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Parlament Ewropew</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87930"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{LIBE}</w:t>
      </w:r>
      <w:r>
        <w:t>Kumitat għal-Libertajiet Ċivili, il-Ġustizzja u l-Intern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27/01/2022</w:t>
      </w:r>
      <w:r>
        <w:rPr>
          <w:rStyle w:val="HideTWBInt"/>
        </w:rPr>
        <w:t>}</w:t>
      </w:r>
      <w:r>
        <w:t>27.1.2022</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EMENDI</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445 - 807</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Abbozz ta' rapport</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Birgit Sippel</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PE700.425v01-00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L-introduzzjoni ta' skrinjar ta' ċittadini ta' pajjiżi terzi fuq il-fruntieri esterni u l-emenda tar-Regolamenti (KE) Nru 767/2008, (UE) 2017/2226, (UE) 2018/1240 u (UE) 2019/817</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COM(2020)0612</w:t>
      </w:r>
      <w:r>
        <w:t xml:space="preserve"> – </w:t>
      </w:r>
      <w:r>
        <w:t>C9-0307/2020</w:t>
      </w:r>
      <w:r>
        <w:t xml:space="preserve"> – </w:t>
      </w:r>
      <w:r>
        <w:t>2020/0278(COD)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Fil-każijiet imsemmija fl-Artikolu 3,</w:t>
            </w:r>
            <w:r>
              <w:t xml:space="preserve"> l-iskrinjar għandu jitwettaq f’postijiet </w:t>
            </w:r>
            <w:r>
              <w:rPr>
                <w:b/>
                <w:i/>
                <w:strike w:val="0"/>
                <w:color w:val="auto"/>
                <w:highlight w:val="none"/>
                <w:u w:val="none" w:color="auto"/>
                <w:vertAlign w:val="baseline"/>
              </w:rPr>
              <w:t>li jinsabu fil-fruntieri esterni jew qrib tagħhom</w:t>
            </w:r>
            <w:r>
              <w:t>.</w:t>
            </w:r>
          </w:p>
        </w:tc>
        <w:tc>
          <w:tcPr>
            <w:tcW w:w="4876" w:type="dxa"/>
            <w:vAlign w:val="top"/>
          </w:tcPr>
          <w:p>
            <w:pPr>
              <w:pStyle w:val="Normal6a"/>
            </w:pPr>
            <w:r>
              <w:t>1.</w:t>
            </w:r>
            <w:r>
              <w:tab/>
            </w:r>
            <w:r>
              <w:t xml:space="preserve">L-iskrinjar għandu jitwettaq f’postijiet </w:t>
            </w:r>
            <w:r>
              <w:rPr>
                <w:b/>
                <w:i/>
                <w:strike w:val="0"/>
                <w:color w:val="auto"/>
                <w:highlight w:val="none"/>
                <w:u w:val="none" w:color="auto"/>
                <w:vertAlign w:val="baseline"/>
              </w:rPr>
              <w:t>xierqa identifikati mill-Istat Membru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L-Istat Membru għandu jkun dak li jiddeċiedi fejn se jsir l-iskrinjar.</w:t>
      </w:r>
      <w:r>
        <w:t xml:space="preserve"> </w:t>
      </w:r>
      <w:r>
        <w:t>Din il-flessibbiltà hija meħtieġa minħabba l-ispeċifiċitajiet ġeografiċi differenti tal-Istat Membru.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Fil-każijiet imsemmija fl-Artikolu 3,</w:t>
            </w:r>
            <w:r>
              <w:t xml:space="preserve"> l-iskrinjar għandu jitwettaq </w:t>
            </w:r>
            <w:r>
              <w:rPr>
                <w:b/>
                <w:i/>
                <w:strike w:val="0"/>
                <w:color w:val="auto"/>
                <w:highlight w:val="none"/>
                <w:u w:val="none" w:color="auto"/>
                <w:vertAlign w:val="baseline"/>
              </w:rPr>
              <w:t>f’postijiet li jinsabu fil-fruntieri esterni jew qrib tagħhom</w:t>
            </w:r>
            <w:r>
              <w:t>.</w:t>
            </w:r>
          </w:p>
        </w:tc>
        <w:tc>
          <w:tcPr>
            <w:tcW w:w="4876" w:type="dxa"/>
            <w:vAlign w:val="top"/>
          </w:tcPr>
          <w:p>
            <w:pPr>
              <w:pStyle w:val="Normal6a"/>
            </w:pPr>
            <w:r>
              <w:t>1.</w:t>
            </w:r>
            <w:r>
              <w:tab/>
            </w:r>
            <w:r>
              <w:t xml:space="preserve">L-iskrinjar għandu jitwettaq </w:t>
            </w:r>
            <w:r>
              <w:rPr>
                <w:b/>
                <w:i/>
                <w:strike w:val="0"/>
                <w:color w:val="auto"/>
                <w:highlight w:val="none"/>
                <w:u w:val="none" w:color="auto"/>
                <w:vertAlign w:val="baseline"/>
              </w:rPr>
              <w:t>fil-fora xierqa identifikati mill-Istati Membri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Fil-każijiet imsemmija fl-Artikolu 3,</w:t>
            </w:r>
            <w:r>
              <w:t xml:space="preserve"> l-iskrinjar </w:t>
            </w:r>
            <w:r>
              <w:rPr>
                <w:b/>
                <w:i/>
                <w:strike w:val="0"/>
                <w:color w:val="auto"/>
                <w:highlight w:val="none"/>
                <w:u w:val="none" w:color="auto"/>
                <w:vertAlign w:val="baseline"/>
              </w:rPr>
              <w:t>għandu jitwettaq f’postijiet li jinsabu fil-fruntieri esterni jew qrib tagħhom</w:t>
            </w:r>
            <w:r>
              <w:t>.</w:t>
            </w:r>
          </w:p>
        </w:tc>
        <w:tc>
          <w:tcPr>
            <w:tcW w:w="4876" w:type="dxa"/>
            <w:vAlign w:val="top"/>
          </w:tcPr>
          <w:p>
            <w:pPr>
              <w:pStyle w:val="Normal6a"/>
            </w:pPr>
            <w:r>
              <w:t>1.</w:t>
            </w:r>
            <w:r>
              <w:tab/>
            </w:r>
            <w:r>
              <w:rPr>
                <w:b/>
                <w:i/>
                <w:strike w:val="0"/>
                <w:color w:val="auto"/>
                <w:highlight w:val="none"/>
                <w:u w:val="none" w:color="auto"/>
                <w:vertAlign w:val="baseline"/>
              </w:rPr>
              <w:t>L-iskrinjar għandu jitwettaq f’faċilitajiet adegwati u uffiċjali fit-territorju tal-Istati Membri fejn ċittadini ta’ pajjiżi terzi għandu jkollhom aċċess għal servizzi xierqa, inklużi pariri legali, għajnuna legali mingħajr ħlas u assistenza lingwistika.</w:t>
            </w:r>
            <w:r>
              <w:t xml:space="preserve"> </w:t>
            </w:r>
            <w:r>
              <w:rPr>
                <w:b/>
                <w:i/>
                <w:strike w:val="0"/>
                <w:color w:val="auto"/>
                <w:highlight w:val="none"/>
                <w:u w:val="none" w:color="auto"/>
                <w:vertAlign w:val="baseline"/>
              </w:rPr>
              <w:t>L-Istati Membri għandhom jiżguraw li organizzazzjonijiet internazzjonali, mhux governattivi u tas-soċjetà ċivili speċjalizzati u persuni li jipprovdu pariri u konsulenza għandu jkollhom aċċess effettiv għal ċittadini ta' pajjiżi terzi fil-faċilitajiet u l-postijiet fejn isir</w:t>
            </w:r>
            <w:r>
              <w:t xml:space="preserve"> l-iskrinjar</w:t>
            </w:r>
            <w:r>
              <w:rPr>
                <w:b/>
                <w:i/>
                <w:strike w:val="0"/>
                <w:color w:val="auto"/>
                <w:highlight w:val="none"/>
                <w:u w:val="none" w:color="auto"/>
                <w:vertAlign w:val="baseline"/>
              </w:rPr>
              <w:t>, b'mod partikolari għal dawk miżmuma f'faċilitajiet ta' detenzjoni jew preżenti fil-punti ta' qsim tal-fruntiera, inklużi ż-żoni ta’ tranżitu, fil-fruntieri esterni</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jistgħu jiddeċiedu li ċ-ċittadini ta’ pajjiżi terzi għandhom jirrisjedu f’post speċifiku iżda dan ma għandux jirriżulta fid-detenzjoni tagħhom, b’mod partikolari meta dawn ikunu tfal mhux akkumpanjati jew tfal f’familji jew persuni f’sitwazzjoni ta’ vulnerabbiltà.</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Matul l-iskrinjar, id-detenzjoni trid tkun miżura tal-aħħar istanza u trid tkun neċessarja, raġonevoli u proporzjonata għal għan leġittimu.</w:t>
            </w:r>
            <w:r>
              <w:rPr>
                <w:b/>
                <w:i/>
                <w:strike w:val="0"/>
                <w:color w:val="auto"/>
                <w:highlight w:val="none"/>
                <w:u w:val="none" w:color="auto"/>
                <w:vertAlign w:val="baseline"/>
              </w:rPr>
              <w:t>Jekk ikun hemm raġunijiet biex persuna tiġi mċaħħda mil-libertà tagħha, l-ewwel għandhom dejjem jitqiesu l-alternattivi għad-detenzjoni.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jużaw biss id-detenzjoni b'soġġett għad-dritt tal-UE u dak nazzjonali, fuq bażi individwali, b'segwitu għal deċiżjoni ġudizzjarja jew amministrattiva bil-miktub u bħala miżura tal-aħħar istanza u, meta jużawha, għandhom jiżguraw li l-kundizzjonijiet ikunu konformi mad-Direttiva 2013/33/UE [id-Direttiva dwar il-Kundizzjonijiet tal-Akkoljenza].</w:t>
            </w:r>
            <w:r>
              <w:rPr>
                <w:b/>
                <w:i/>
                <w:strike w:val="0"/>
                <w:color w:val="auto"/>
                <w:highlight w:val="none"/>
                <w:u w:val="none" w:color="auto"/>
                <w:vertAlign w:val="baseline"/>
              </w:rPr>
              <w:t>L-ordni ta’ detenzjoni għandha tiġi tradotta f’lingwa li ċ-ċittadin ta’ pajjiż terz ikkonċernat ikun jista’ jifhem.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Meta jkun meħtieġ u abbażi ta’ valutazzjoni individwali, l-Istati Membri jistgħu jżommu f’detenzjoni persuna li tkun qed tiġi skrinjata li tkun applikat għal protezzjoni internazzjonali, jekk ma jkunux jistgħu jiġu applikati b’mod effettiv miżuri alternattivi oħra inqas koerċittivi biss għar-raġunijiet indikati fl-Artikolu 8(3) tad-Direttiva 2013/33/UE [id-Direttiva dwar il-Kundizzjonijiet tal-Akkoljenza].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Meta jkun meħtieġ u abbażi ta’ valutazzjoni individwali, l-Istati Membri jistgħu jżommu f’detenzjoni persuna li tkun qed tiġi skrinjata li ma tkunx applikat għal protezzjoni internazzjonali, jekk ma jkunux jistgħu jiġu applikati miżuri alternattivi oħra inqas koerċittivi.</w:t>
            </w:r>
            <w:r>
              <w:rPr>
                <w:b/>
                <w:i/>
                <w:strike w:val="0"/>
                <w:color w:val="auto"/>
                <w:highlight w:val="none"/>
                <w:u w:val="none" w:color="auto"/>
                <w:vertAlign w:val="baseline"/>
              </w:rPr>
              <w:t>Il-persuna għandu jkollha aċċess għal proċedura ta’ appell effettiva u għal parir legali.</w:t>
            </w:r>
            <w:r>
              <w:rPr>
                <w:b/>
                <w:i/>
                <w:strike w:val="0"/>
                <w:color w:val="auto"/>
                <w:highlight w:val="none"/>
                <w:u w:val="none" w:color="auto"/>
                <w:vertAlign w:val="baseline"/>
              </w:rPr>
              <w:t>Ir-rekwiżiti li jikkonċernaw id-deċiżjoni ta’ detenzjoni u l-appell għandhom jikkonformaw mal-Artikolu 9 tad-Direttiva 2013/33/UE [id-Direttiva dwar il-Kundizzjonijiet tal-Akkoljenza] u l-Artikolu 15 tad-Direttiva 2008/115/KE [id-Direttiva dwar ir-Ritorn].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Minorenni u individwi oħra f'sitwazzjoni ta' vulnerabbiltà qatt ma għandhom jiġu detenuti.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Fil-każijiet imsemmija fl-Artikolu 3, l-iskrinjar</w:t>
            </w:r>
            <w:r>
              <w:t xml:space="preserve"> għandu </w:t>
            </w:r>
            <w:r>
              <w:rPr>
                <w:b/>
                <w:i/>
                <w:strike w:val="0"/>
                <w:color w:val="auto"/>
                <w:highlight w:val="none"/>
                <w:u w:val="none" w:color="auto"/>
                <w:vertAlign w:val="baseline"/>
              </w:rPr>
              <w:t>jitwettaq f’postijiet li jinsabu fil-fruntieri esterni jew qrib tagħhom</w:t>
            </w:r>
            <w:r>
              <w:t>.</w:t>
            </w:r>
          </w:p>
        </w:tc>
        <w:tc>
          <w:tcPr>
            <w:tcW w:w="4876" w:type="dxa"/>
            <w:vAlign w:val="top"/>
          </w:tcPr>
          <w:p>
            <w:pPr>
              <w:pStyle w:val="Normal6a"/>
            </w:pPr>
            <w:r>
              <w:t>1.</w:t>
            </w:r>
            <w:r>
              <w:tab/>
            </w:r>
            <w:r>
              <w:rPr>
                <w:b/>
                <w:i/>
                <w:strike w:val="0"/>
                <w:color w:val="auto"/>
                <w:highlight w:val="none"/>
                <w:u w:val="none" w:color="auto"/>
                <w:vertAlign w:val="baseline"/>
              </w:rPr>
              <w:t>L-iskrinjar għandu jitwettaq f’faċilitajiet uffiċjali adegwati li jkunu jinsabu fit-territorju tal-Istat Membru u li jipprovdu aċċess għal servizzi xierqa, inkluża assistenza legali u lingwistika.</w:t>
            </w:r>
            <w:r>
              <w:t xml:space="preserve"> </w:t>
            </w:r>
            <w:r>
              <w:rPr>
                <w:b/>
                <w:i/>
                <w:strike w:val="0"/>
                <w:color w:val="auto"/>
                <w:highlight w:val="none"/>
                <w:u w:val="none" w:color="auto"/>
                <w:vertAlign w:val="baseline"/>
              </w:rPr>
              <w:t>Iċ-ċittadini ta’ pajjiżi terzi soġġetti għall-iskrinjar</w:t>
            </w:r>
            <w:r>
              <w:t xml:space="preserve"> għandu </w:t>
            </w:r>
            <w:r>
              <w:rPr>
                <w:b/>
                <w:i/>
                <w:strike w:val="0"/>
                <w:color w:val="auto"/>
                <w:highlight w:val="none"/>
                <w:u w:val="none" w:color="auto"/>
                <w:vertAlign w:val="baseline"/>
              </w:rPr>
              <w:t>jkollhom aċċess għal proċedura ta’ appell, parir legali u għajnuna legali mingħajr ħlas.</w:t>
            </w:r>
            <w:r>
              <w:t xml:space="preserve"> </w:t>
            </w:r>
            <w:r>
              <w:rPr>
                <w:b/>
                <w:i/>
                <w:strike w:val="0"/>
                <w:color w:val="auto"/>
                <w:highlight w:val="none"/>
                <w:u w:val="none" w:color="auto"/>
                <w:vertAlign w:val="baseline"/>
              </w:rPr>
              <w:t>L-Istati Membri għandhom jiżguraw li organizzazzjonijiet internazzjonali, mhux governattivi u tas-soċjetà ċivili speċjalizzati u persuni li jipprovdu pariri u konsulenza għandu jkollhom aċċess effettiv għal ċittadini ta' pajjiżi terzi fil-faċilitajiet u l-postijiet fejn isir l-iskrinjar, b'mod partikolari għal dawk miżmuma f'faċilitajiet ta' detenzjoni jew preżenti fil-punti ta' qsim tal-fruntiera, inklużi ż-żoni ta’ tranżitu, fil-fruntieri esterni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Fil-każijiet imsemmija fl-Artikolu 3, l-iskrinjar għandu jitwettaq f’postijiet </w:t>
            </w:r>
            <w:r>
              <w:rPr>
                <w:b/>
                <w:i/>
                <w:strike w:val="0"/>
                <w:color w:val="auto"/>
                <w:highlight w:val="none"/>
                <w:u w:val="none" w:color="auto"/>
                <w:vertAlign w:val="baseline"/>
              </w:rPr>
              <w:t>li</w:t>
            </w:r>
            <w:r>
              <w:t xml:space="preserve"> jinsabu fil-fruntieri esterni jew qrib tagħhom.</w:t>
            </w:r>
          </w:p>
        </w:tc>
        <w:tc>
          <w:tcPr>
            <w:tcW w:w="4876" w:type="dxa"/>
            <w:vAlign w:val="top"/>
          </w:tcPr>
          <w:p>
            <w:pPr>
              <w:pStyle w:val="Normal6a"/>
            </w:pPr>
            <w:r>
              <w:t>1.</w:t>
            </w:r>
            <w:r>
              <w:tab/>
            </w:r>
            <w:r>
              <w:t xml:space="preserve">Fil-każijiet imsemmija fl-Artikolu 3, l-iskrinjar għandu jitwettaq f’postijiet </w:t>
            </w:r>
            <w:r>
              <w:rPr>
                <w:b/>
                <w:i/>
                <w:strike w:val="0"/>
                <w:color w:val="auto"/>
                <w:highlight w:val="none"/>
                <w:u w:val="none" w:color="auto"/>
                <w:vertAlign w:val="baseline"/>
              </w:rPr>
              <w:t>fit-territorju tal-Istat Membru, inklużi dawk li jkunu</w:t>
            </w:r>
            <w:r>
              <w:t xml:space="preserve"> jinsabu fil-fruntieri esterni jew qrib tagħhom</w:t>
            </w:r>
            <w:r>
              <w:rPr>
                <w:b/>
                <w:i/>
                <w:strike w:val="0"/>
                <w:color w:val="auto"/>
                <w:highlight w:val="none"/>
                <w:u w:val="none" w:color="auto"/>
                <w:vertAlign w:val="baseline"/>
              </w:rPr>
              <w:t>, dment li d-dispożizzjonijiet rilevanti stabbiliti fl-Artikoli 5, 6, 6a, 7, 8, 9, 10, 11, 12, 16, 17, 18, 20, 21, 22, 23, 24, tad-Direttiva XXX/XXX/UE [riformulazzjoni tad-Direttiva dwar il-Kundizzjonijiet tal-Akkoljenza] jkunu jistgħu jiġu applikati f’dawn il-postijiet.</w:t>
            </w:r>
            <w:r>
              <w:t xml:space="preserve"> </w:t>
            </w:r>
            <w:r>
              <w:rPr>
                <w:b/>
                <w:i/>
                <w:strike w:val="0"/>
                <w:color w:val="auto"/>
                <w:highlight w:val="none"/>
                <w:u w:val="none" w:color="auto"/>
                <w:vertAlign w:val="baseline"/>
              </w:rPr>
              <w:t>Għandha tingħata attenzjoni partikolari lil bżonnijiet proċedurali u ta' akkoljenza speċifiċi, f'konformità mal-Artikolu 20 ta' dik id-direttiva.</w:t>
            </w:r>
            <w:r>
              <w:t xml:space="preserve"> </w:t>
            </w:r>
            <w:r>
              <w:rPr>
                <w:b/>
                <w:i/>
                <w:strike w:val="0"/>
                <w:color w:val="auto"/>
                <w:highlight w:val="none"/>
                <w:u w:val="none" w:color="auto"/>
                <w:vertAlign w:val="baseline"/>
              </w:rPr>
              <w:t>Il-faċilitajiet użati għall-finijiet ta' skrinjar għandhom jiġu ffinanzjati kompletament mill-baġit tal-Unjoni.</w:t>
            </w:r>
            <w:r>
              <w:t xml:space="preserve"> </w:t>
            </w:r>
            <w:r>
              <w:rPr>
                <w:b/>
                <w:i/>
                <w:strike w:val="0"/>
                <w:color w:val="auto"/>
                <w:highlight w:val="none"/>
                <w:u w:val="none" w:color="auto"/>
                <w:vertAlign w:val="baseline"/>
              </w:rPr>
              <w:t>Dan għandu jinkludi l-kostruzzjoni, l-operat u r-rinnovazzjoni tal-faċilitajiet attwali u futuri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Fil-każijiet imsemmija fl-Artikolu 3, l-iskrinjar għandu jitwettaq f’postijiet li jinsabu fil-fruntieri esterni jew qrib tagħhom.</w:t>
            </w:r>
          </w:p>
        </w:tc>
        <w:tc>
          <w:tcPr>
            <w:tcW w:w="4876" w:type="dxa"/>
            <w:vAlign w:val="top"/>
          </w:tcPr>
          <w:p>
            <w:pPr>
              <w:pStyle w:val="Normal6a"/>
            </w:pPr>
            <w:r>
              <w:t>1.</w:t>
            </w:r>
            <w:r>
              <w:tab/>
            </w:r>
            <w:r>
              <w:t xml:space="preserve">Fil-każijiet imsemmija fl-Artikolu 3, l-iskrinjar għandu jitwettaq f'postijiet li jinsabu fil-fruntieri esterni jew qrib tagħhom. </w:t>
            </w:r>
            <w:r>
              <w:rPr>
                <w:b/>
                <w:i/>
                <w:strike w:val="0"/>
                <w:color w:val="auto"/>
                <w:highlight w:val="none"/>
                <w:u w:val="none" w:color="auto"/>
                <w:vertAlign w:val="baseline"/>
              </w:rPr>
              <w:t>Madankollu, fi kwalunkwe każ, il-persuni taħt il-proċedura ta' skrinjar ma għandhomx jitqiesu li jkunu fit-territorju ta' 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Il-persuni għandhom jiġu akkomodati skont l-istandards u d-dispożizzjonijiet tad-Direttiva (UE) xxxx/xxxx [id-Direttiva dwar il-Kundizzjonijiet tal-Akkoljenza].</w:t>
            </w:r>
            <w:r>
              <w:t xml:space="preserve"> </w:t>
            </w:r>
            <w:r>
              <w:rPr>
                <w:b/>
                <w:i/>
                <w:strike w:val="0"/>
                <w:color w:val="auto"/>
                <w:highlight w:val="none"/>
                <w:u w:val="none" w:color="auto"/>
                <w:vertAlign w:val="baseline"/>
              </w:rPr>
              <w:t>Matul l-iskrinjar, id-detenzjoni trid tkun miżura tal-aħħar istanza, trid tkun qasira kemm jista' jkun u trid tkun neċessarja, raġonevoli u proporzjonata għal għan leġittimu.</w:t>
            </w:r>
            <w:r>
              <w:t xml:space="preserve"> </w:t>
            </w:r>
            <w:r>
              <w:rPr>
                <w:b/>
                <w:i/>
                <w:strike w:val="0"/>
                <w:color w:val="auto"/>
                <w:highlight w:val="none"/>
                <w:u w:val="none" w:color="auto"/>
                <w:vertAlign w:val="baseline"/>
              </w:rPr>
              <w:t>Jekk ikun hemm raġunijiet biex persuna tiġi mċaħħda mil-libertà tagħha, l-ewwel għandhom dejjem jitqiesu l-alternattivi għad-detenzjoni.</w:t>
            </w:r>
            <w:r>
              <w:t xml:space="preserve"> </w:t>
            </w:r>
            <w:r>
              <w:rPr>
                <w:b/>
                <w:i/>
                <w:strike w:val="0"/>
                <w:color w:val="auto"/>
                <w:highlight w:val="none"/>
                <w:u w:val="none" w:color="auto"/>
                <w:vertAlign w:val="baseline"/>
              </w:rPr>
              <w:t>Id-detenzjoni għandha tkun ibbażata fuq ordni ta’ detenzjoni, tradotta lill-persuna f'lingwa li l-persuna tkun tista' tifhem.</w:t>
            </w:r>
            <w:r>
              <w:t xml:space="preserve"> </w:t>
            </w:r>
            <w:r>
              <w:rPr>
                <w:b/>
                <w:i/>
                <w:strike w:val="0"/>
                <w:color w:val="auto"/>
                <w:highlight w:val="none"/>
                <w:u w:val="none" w:color="auto"/>
                <w:vertAlign w:val="baseline"/>
              </w:rPr>
              <w:t>Il-minorenni u individwi oħra f’sitwazzjoni ta’ vulnerabbiltà qatt ma għandhom jiġu detenuti.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Sabiex jikkonformaw mad-dispożizzjonijiet tal-paragrafu 1 ta’ dan l-Artikolu, u minbarra r-rappreżentanti tal-mekkaniżmu ta’ monitoraġġ indipendenti previst fl-Artikolu 7, l-Istati Membri għandhom jiżguraw li l-organizzazzjonijiet u l-persuni li jipprovdu pariri u konsulenza, inkluża l-għajnuna legali mingħajr ħlas, għandu jkollhom aċċess effettiv għal ċittadini ta’ pajjiżi terzi, b’mod partikolari għal dawk miżmuma f’faċilitajiet ta’ detenzjoni jew preżenti fil-punti ta’ qsim tal-fruntiera, inklużi ż-żoni ta’ tranżitu, fil-fruntieri esterni.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Iċ-ċittadini ta’ pajjiżi terzi ma għandhomx ikunu soġġetti għal teknoloġiji ta’ sorveljanza bijometrika intrużivi, bħas-software għar-rikonoxximent tal-wiċċ, ir-rikonoxximent tal-emozzjonijiet u r-rikonoxximent komportamentali, u lanqas għal analitika predittiva, valutazzjonijiet tar-riskju u kategorizzazzjoni bijometrika fil-kuntest ta’ attivitajiet ta’ ġestjoni tal-fruntieri, fil-faċilitajiet ta’ akkoljenza jew ta’ skrinjar jew fl-inħawi tagħhom jew matul l-iskrinjar.</w:t>
            </w:r>
            <w:r>
              <w:t xml:space="preserve"> </w:t>
            </w:r>
            <w:r>
              <w:rPr>
                <w:b/>
                <w:i/>
                <w:strike w:val="0"/>
                <w:color w:val="auto"/>
                <w:highlight w:val="none"/>
                <w:u w:val="none" w:color="auto"/>
                <w:vertAlign w:val="baseline"/>
              </w:rPr>
              <w:t>L-użu ta’ software għar-rikonoxximent tal-lingwa, sistemi ta’ detezzjoni tal-gideb jew apparat akustiku fuq distanza twila għandu jkun ipprojbit.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Iċ-ċittadini ta’ pajjiżi terzi ma għandhomx ikunu soġġetti għal teknoloġiji ta’ sorveljanza bijometrika intrużivi, bħas-software għar-rikonoxximent tal-wiċċ, ir-rikonoxximent tal-emozzjonijiet u r-rikonoxximent komportamentali, u lanqas għal analitika predittiva, valutazzjonijiet tar-riskju u kategorizzazzjoni bijometrika fil-kuntest ta’ attivitajiet ta’ ġestjoni tal-fruntieri, fil-faċilitajiet ta’ akkoljenza jew ta’ skrinjar jew fl-inħawi tagħhom jew matul l-iskrinjar.</w:t>
            </w:r>
            <w:r>
              <w:t xml:space="preserve"> </w:t>
            </w:r>
            <w:r>
              <w:rPr>
                <w:b/>
                <w:i/>
                <w:strike w:val="0"/>
                <w:color w:val="auto"/>
                <w:highlight w:val="none"/>
                <w:u w:val="none" w:color="auto"/>
                <w:vertAlign w:val="baseline"/>
              </w:rPr>
              <w:t>L-użu ta’ sistemi ta’ detezzjoni tal-gideb jew ta’ apparati akustiċi fuq distanza twila għandu jkun ipprojbit.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Fil-każijiet imsemmija fl-Artikolu 5, l-iskrinjar għandu jitwettaq fi kwalunkwe post xieraq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Fil-każijiet imsemmija fl-Artikolu 5, l-iskrinjar għandu jitwettaq fi kwalunkwe post xieraq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Fil-każijiet imsemmija fl-Artikolu 5, l-iskrinjar għandu jitwettaq fi kwalunkwe post xieraq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Fil-każijiet imsemmija fl-Artikolu 5, l-iskrinjar għandu jitwettaq fi kwalunkwe post xieraq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Fil-każijiet imsemmija fl-Artikolu 5, l-iskrinjar għandu jitwettaq fi kwalunkwe post xieraq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 </w:t>
            </w:r>
            <w:r>
              <w:rPr>
                <w:b/>
                <w:i/>
                <w:strike w:val="0"/>
                <w:color w:val="auto"/>
                <w:highlight w:val="none"/>
                <w:u w:val="none" w:color="auto"/>
                <w:vertAlign w:val="baseline"/>
              </w:rPr>
              <w:t>F’ċirkostanzi eċċezzjonali, fejn għadd sproporzjonat ta’ ċittadini ta’ pajjiżi terzi jeħtieġ li jkunu soġġetti għall-iskrinjar fl-istess ħin, li fil-prattika jagħmilha impossibbli li l-iskrinjar jiġi konkluż f’dak il-limitu ta’ żmien, il-perjodu ta’ ħamest ijiem jista’ jiġi estiż b’massimu ta’ ħamest ijiem addizzjonali.</w:t>
            </w:r>
          </w:p>
        </w:tc>
        <w:tc>
          <w:tcPr>
            <w:tcW w:w="4876" w:type="dxa"/>
            <w:vAlign w:val="top"/>
          </w:tcPr>
          <w:p>
            <w:pPr>
              <w:pStyle w:val="Normal6a"/>
            </w:pPr>
            <w:r>
              <w:t>3.</w:t>
            </w:r>
            <w:r>
              <w:tab/>
            </w:r>
            <w:r>
              <w:t>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w:t>
            </w:r>
            <w:r>
              <w:rPr>
                <w:b/>
                <w:i/>
                <w:strike w:val="0"/>
                <w:color w:val="auto"/>
                <w:highlight w:val="none"/>
                <w:u w:val="none" w:color="auto"/>
                <w:vertAlign w:val="baseline"/>
              </w:rPr>
              <w:t>fiż-żona tal-fruntiera esterna, l-iżbark fit-territorju tal-Istat Membru kkonċernat jew il-preżentazzjoni fil-punt ta’ qsim tal-fruntiera</w:t>
            </w:r>
            <w:r>
              <w:t xml:space="preserve">. F’ċirkostanzi eċċezzjonali, fejn għadd sproporzjonat ta’ ċittadini ta’ pajjiżi terzi jeħtieġ li jkunu soġġetti għall-iskrinjar fl-istess ħin, li fil-prattika jagħmilha impossibbli li l-iskrinjar jiġi konkluż f’dak il-limitu ta’ żmien, </w:t>
            </w:r>
            <w:r>
              <w:rPr>
                <w:b/>
                <w:i/>
                <w:strike w:val="0"/>
                <w:color w:val="auto"/>
                <w:highlight w:val="none"/>
                <w:u w:val="none" w:color="auto"/>
                <w:vertAlign w:val="baseline"/>
              </w:rPr>
              <w:t>il-perjodu ta’ ħamest ijiem jista’ jiġi estiż b’massimu ta’ ħamest ijiem addizzjonali</w:t>
            </w:r>
            <w:r>
              <w:t>.</w:t>
            </w:r>
          </w:p>
        </w:tc>
        <w:tc>
          <w:tcPr>
            <w:tcW w:w="4876" w:type="dxa"/>
            <w:vAlign w:val="top"/>
          </w:tcPr>
          <w:p>
            <w:pPr>
              <w:pStyle w:val="Normal6a"/>
            </w:pPr>
            <w:r>
              <w:t>3.</w:t>
            </w:r>
            <w:r>
              <w:tab/>
            </w:r>
            <w:r>
              <w:t>Fil-każijiet imsemmija fl-Artikolu 3, l-iskrinjar għandu jitwettaq mingħajr dewmien u fi kwalunkwe każ għandu jitlesta fi żmien ħamest ijiem mill-qbid</w:t>
            </w:r>
            <w:r>
              <w:rPr>
                <w:b/>
                <w:i/>
                <w:strike w:val="0"/>
                <w:color w:val="auto"/>
                <w:highlight w:val="none"/>
                <w:u w:val="none" w:color="auto"/>
                <w:vertAlign w:val="baseline"/>
              </w:rPr>
              <w:t>.</w:t>
            </w:r>
            <w:r>
              <w:t xml:space="preserve"> </w:t>
            </w:r>
            <w:r>
              <w:rPr>
                <w:b/>
                <w:i/>
                <w:strike w:val="0"/>
                <w:color w:val="auto"/>
                <w:highlight w:val="none"/>
                <w:u w:val="none" w:color="auto"/>
                <w:vertAlign w:val="baseline"/>
              </w:rPr>
              <w:t>Malli jiskadi l-perjodu ta' ħamest ijiem, il-persuna għandha tiġi riferuta mingħajr aktar dewmien għall-proċedura rilevanti skont l-Artikolu 14, anki jekk l-iskrinjar ikun għadu ma tlestiex, mingħajr preġudizzju għall-verifiki tas-saħħa u tal-vulnerabbiltà</w:t>
            </w:r>
            <w:r>
              <w:t xml:space="preserve">. F'ċirkostanzi eċċezzjonali, fejn għadd sproporzjonat ta' ċittadini ta' pajjiżi terzi jeħtieġ li jkunu soġġetti għall-iskrinjar fl-istess ħin, li fil-prattika jagħmilha impossibbli li l-iskrinjar jiġi konkluż f'dak il-limitu ta' żmien, </w:t>
            </w:r>
            <w:r>
              <w:rPr>
                <w:b/>
                <w:i/>
                <w:strike w:val="0"/>
                <w:color w:val="auto"/>
                <w:highlight w:val="none"/>
                <w:u w:val="none" w:color="auto"/>
                <w:vertAlign w:val="baseline"/>
              </w:rPr>
              <w:t>l-iskrinjar ma għandux isir u ċ-ċittadini ta’ pajjiżi terzi għandhom jiġu riferuti direttament għall-proċedura normali tal-ażil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 </w:t>
            </w:r>
            <w:r>
              <w:rPr>
                <w:b/>
                <w:i/>
                <w:strike w:val="0"/>
                <w:color w:val="auto"/>
                <w:highlight w:val="none"/>
                <w:u w:val="none" w:color="auto"/>
                <w:vertAlign w:val="baseline"/>
              </w:rPr>
              <w:t>F’ċirkostanzi eċċezzjonali, fejn għadd sproporzjonat ta’ ċittadini ta’ pajjiżi terzi jeħtieġ li jkunu soġġetti għall-iskrinjar fl-istess ħin, li fil-prattika jagħmilha impossibbli li</w:t>
            </w:r>
            <w:r>
              <w:t xml:space="preserve"> l-iskrinjar </w:t>
            </w:r>
            <w:r>
              <w:rPr>
                <w:b/>
                <w:i/>
                <w:strike w:val="0"/>
                <w:color w:val="auto"/>
                <w:highlight w:val="none"/>
                <w:u w:val="none" w:color="auto"/>
                <w:vertAlign w:val="baseline"/>
              </w:rPr>
              <w:t>jiġi konkluż f’dak il-limitu ta’ żmien, il-perjodu ta’ ħamest ijiem jista’ jiġi estiż b’massimu ta’ ħamest ijiem addizzjonali</w:t>
            </w:r>
            <w:r>
              <w:t>.</w:t>
            </w:r>
          </w:p>
        </w:tc>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 </w:t>
            </w:r>
            <w:r>
              <w:rPr>
                <w:b/>
                <w:i/>
                <w:strike w:val="0"/>
                <w:color w:val="auto"/>
                <w:highlight w:val="none"/>
                <w:u w:val="none" w:color="auto"/>
                <w:vertAlign w:val="baseline"/>
              </w:rPr>
              <w:t>Malli jiskadi l-perjodu ta' ħamest ijiem, il-persuna għandha tiġi riferuta mingħajr aktar dewmien għall-proċedura rilevanti skont l-Artikolu 14, anki jekk</w:t>
            </w:r>
            <w:r>
              <w:t xml:space="preserve"> l-iskrinjar </w:t>
            </w:r>
            <w:r>
              <w:rPr>
                <w:b/>
                <w:i/>
                <w:strike w:val="0"/>
                <w:color w:val="auto"/>
                <w:highlight w:val="none"/>
                <w:u w:val="none" w:color="auto"/>
                <w:vertAlign w:val="baseline"/>
              </w:rPr>
              <w:t>ikun għadu ma tlestiex, mingħajr preġudizzju għall-verifiki tas-saħħa u tal-vulnerabbiltà, li għandhom jitkomplew fil-proċedura regolari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 </w:t>
            </w:r>
            <w:r>
              <w:rPr>
                <w:b/>
                <w:i/>
                <w:strike w:val="0"/>
                <w:color w:val="auto"/>
                <w:highlight w:val="none"/>
                <w:u w:val="none" w:color="auto"/>
                <w:vertAlign w:val="baseline"/>
              </w:rPr>
              <w:t>F’ċirkostanzi</w:t>
            </w:r>
            <w:r>
              <w:t xml:space="preserve"> eċċezzjonali, </w:t>
            </w:r>
            <w:r>
              <w:rPr>
                <w:b/>
                <w:i/>
                <w:strike w:val="0"/>
                <w:color w:val="auto"/>
                <w:highlight w:val="none"/>
                <w:u w:val="none" w:color="auto"/>
                <w:vertAlign w:val="baseline"/>
              </w:rPr>
              <w:t>fejn għadd sproporzjonat ta’ ċittadini ta’ pajjiżi terzi jeħtieġ li jkunu soġġetti għall-iskrinjar fl-istess ħin, li fil-prattika jagħmilha impossibbli li l-iskrinjar jiġi konkluż f’dak il-limitu ta’ żmien, il-perjodu ta’ ħamest ijiem jista’ jiġi estiż b’massimu ta’ ħamest ijiem addizzjonali</w:t>
            </w:r>
            <w:r>
              <w:t>.</w:t>
            </w:r>
          </w:p>
        </w:tc>
        <w:tc>
          <w:tcPr>
            <w:tcW w:w="4876" w:type="dxa"/>
            <w:vAlign w:val="top"/>
          </w:tcPr>
          <w:p>
            <w:pPr>
              <w:pStyle w:val="Normal6a"/>
            </w:pPr>
            <w:r>
              <w:t>3.</w:t>
            </w:r>
            <w:r>
              <w:tab/>
            </w:r>
            <w:r>
              <w:t xml:space="preserve">Fil-każijiet imsemmija fl-Artikolu 3, l-iskrinjar għandu jitwettaq mingħajr dewmien u fi kwalunkwe każ għandu jitlesta fi żmien ħamest ijiem mill-qbid fiż-żona tal-fruntiera esterna, l-iżbark fit-territorju tal-Istat Membru kkonċernat jew il-preżentazzjoni fil-punt ta' qsim tal-fruntiera. </w:t>
            </w:r>
            <w:r>
              <w:rPr>
                <w:b/>
                <w:i/>
                <w:strike w:val="0"/>
                <w:color w:val="auto"/>
                <w:highlight w:val="none"/>
                <w:u w:val="none" w:color="auto"/>
                <w:vertAlign w:val="baseline"/>
              </w:rPr>
              <w:t>F'sitwazzjonijiet</w:t>
            </w:r>
            <w:r>
              <w:t xml:space="preserve"> eċċezzjonali, </w:t>
            </w:r>
            <w:r>
              <w:rPr>
                <w:b/>
                <w:i/>
                <w:strike w:val="0"/>
                <w:color w:val="auto"/>
                <w:highlight w:val="none"/>
                <w:u w:val="none" w:color="auto"/>
                <w:vertAlign w:val="baseline"/>
              </w:rPr>
              <w:t>il-limitu jista' jiġi estiż, jekk ikun meħtieġ għat-twettiq xieraq tal-proċedura ta' skrinjar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Fil-każijiet imsemmija </w:t>
            </w:r>
            <w:r>
              <w:rPr>
                <w:b/>
                <w:i/>
                <w:strike w:val="0"/>
                <w:color w:val="auto"/>
                <w:highlight w:val="none"/>
                <w:u w:val="none" w:color="auto"/>
                <w:vertAlign w:val="baseline"/>
              </w:rPr>
              <w:t>fl-Artikolu 3</w:t>
            </w:r>
            <w:r>
              <w:t xml:space="preserve">, l-iskrinjar għandu jitwettaq mingħajr dewmien u fi kwalunkwe każ għandu jitlesta fi żmien </w:t>
            </w:r>
            <w:r>
              <w:rPr>
                <w:b/>
                <w:i/>
                <w:strike w:val="0"/>
                <w:color w:val="auto"/>
                <w:highlight w:val="none"/>
                <w:u w:val="none" w:color="auto"/>
                <w:vertAlign w:val="baseline"/>
              </w:rPr>
              <w:t>ħamest ijiem</w:t>
            </w:r>
            <w:r>
              <w:t xml:space="preserve"> mill-qbid fiż-żona tal-fruntiera esterna, l-iżbark fit-territorju tal-Istat Membru kkonċernat jew il-preżentazzjoni fil-punt ta’ qsim tal-fruntiera. F’ċirkostanzi eċċezzjonali, </w:t>
            </w:r>
            <w:r>
              <w:rPr>
                <w:b/>
                <w:i/>
                <w:strike w:val="0"/>
                <w:color w:val="auto"/>
                <w:highlight w:val="none"/>
                <w:u w:val="none" w:color="auto"/>
                <w:vertAlign w:val="baseline"/>
              </w:rPr>
              <w:t>fejn</w:t>
            </w:r>
            <w:r>
              <w:t xml:space="preserve"> għadd sproporzjonat ta’ ċittadini ta’ pajjiżi terzi </w:t>
            </w:r>
            <w:r>
              <w:rPr>
                <w:b/>
                <w:i/>
                <w:strike w:val="0"/>
                <w:color w:val="auto"/>
                <w:highlight w:val="none"/>
                <w:u w:val="none" w:color="auto"/>
                <w:vertAlign w:val="baseline"/>
              </w:rPr>
              <w:t>jeħtieġ li</w:t>
            </w:r>
            <w:r>
              <w:t xml:space="preserve"> jkunu soġġetti għall-iskrinjar fl-istess ħin, li fil-prattika jagħmilha impossibbli li l-iskrinjar jiġi konkluż f’dak il-limitu ta’ żmien, il-perjodu ta’ </w:t>
            </w:r>
            <w:r>
              <w:rPr>
                <w:b/>
                <w:i/>
                <w:strike w:val="0"/>
                <w:color w:val="auto"/>
                <w:highlight w:val="none"/>
                <w:u w:val="none" w:color="auto"/>
                <w:vertAlign w:val="baseline"/>
              </w:rPr>
              <w:t>ħamest ijiem</w:t>
            </w:r>
            <w:r>
              <w:t xml:space="preserve"> jista’ jiġi estiż b’massimu ta’ </w:t>
            </w:r>
            <w:r>
              <w:rPr>
                <w:b/>
                <w:i/>
                <w:strike w:val="0"/>
                <w:color w:val="auto"/>
                <w:highlight w:val="none"/>
                <w:u w:val="none" w:color="auto"/>
                <w:vertAlign w:val="baseline"/>
              </w:rPr>
              <w:t>ħamest ijiem</w:t>
            </w:r>
            <w:r>
              <w:t xml:space="preserve"> addizzjonali.</w:t>
            </w:r>
          </w:p>
        </w:tc>
        <w:tc>
          <w:tcPr>
            <w:tcW w:w="4876" w:type="dxa"/>
            <w:vAlign w:val="top"/>
          </w:tcPr>
          <w:p>
            <w:pPr>
              <w:pStyle w:val="Normal6a"/>
            </w:pPr>
            <w:r>
              <w:t>3.</w:t>
            </w:r>
            <w:r>
              <w:tab/>
            </w:r>
            <w:r>
              <w:t xml:space="preserve">Fil-każijiet imsemmija </w:t>
            </w:r>
            <w:r>
              <w:rPr>
                <w:b/>
                <w:i/>
                <w:strike w:val="0"/>
                <w:color w:val="auto"/>
                <w:highlight w:val="none"/>
                <w:u w:val="none" w:color="auto"/>
                <w:vertAlign w:val="baseline"/>
              </w:rPr>
              <w:t>fl-Artikoli 3 u 5</w:t>
            </w:r>
            <w:r>
              <w:t xml:space="preserve">, l-iskrinjar għandu jitwettaq mingħajr dewmien u fi kwalunkwe każ għandu jitlesta fi żmien </w:t>
            </w:r>
            <w:r>
              <w:rPr>
                <w:b/>
                <w:i/>
                <w:strike w:val="0"/>
                <w:color w:val="auto"/>
                <w:highlight w:val="none"/>
                <w:u w:val="none" w:color="auto"/>
                <w:vertAlign w:val="baseline"/>
              </w:rPr>
              <w:t>14-il jum</w:t>
            </w:r>
            <w:r>
              <w:t xml:space="preserve"> mill-qbid fiż-żona tal-fruntiera esterna, l-iżbark fit-territorju tal-Istat Membru kkonċernat jew il-preżentazzjoni fil-punt ta' qsim tal-fruntiera. F'ċirkostanzi eċċezzjonali, </w:t>
            </w:r>
            <w:r>
              <w:rPr>
                <w:b/>
                <w:i/>
                <w:strike w:val="0"/>
                <w:color w:val="auto"/>
                <w:highlight w:val="none"/>
                <w:u w:val="none" w:color="auto"/>
                <w:vertAlign w:val="baseline"/>
              </w:rPr>
              <w:t>bħal meta jkun meħtieġ li</w:t>
            </w:r>
            <w:r>
              <w:t xml:space="preserve"> għadd sproporzjonat ta' ċittadini ta' pajjiżi terzi jkunu soġġetti għall-iskrinjar fl-istess ħin, li fil-prattika jagħmilha impossibbli li l-iskrinjar jiġi konkluż </w:t>
            </w:r>
            <w:r>
              <w:rPr>
                <w:b/>
                <w:i/>
                <w:strike w:val="0"/>
                <w:color w:val="auto"/>
                <w:highlight w:val="none"/>
                <w:u w:val="none" w:color="auto"/>
                <w:vertAlign w:val="baseline"/>
              </w:rPr>
              <w:t>jew meta jkun impossibbli li titlesta l-proċedura għad-determinazzjoni tal-età, tal-vulnerabbiltà u tas-sigurtà</w:t>
            </w:r>
            <w:r>
              <w:t xml:space="preserve"> f'dak il-limitu ta' żmien, il-perjodu ta' </w:t>
            </w:r>
            <w:r>
              <w:rPr>
                <w:b/>
                <w:i/>
                <w:strike w:val="0"/>
                <w:color w:val="auto"/>
                <w:highlight w:val="none"/>
                <w:u w:val="none" w:color="auto"/>
                <w:vertAlign w:val="baseline"/>
              </w:rPr>
              <w:t>14-il jum</w:t>
            </w:r>
            <w:r>
              <w:t xml:space="preserve"> jista' jiġi estiż b'massimu ta' </w:t>
            </w:r>
            <w:r>
              <w:rPr>
                <w:b/>
                <w:i/>
                <w:strike w:val="0"/>
                <w:color w:val="auto"/>
                <w:highlight w:val="none"/>
                <w:u w:val="none" w:color="auto"/>
                <w:vertAlign w:val="baseline"/>
              </w:rPr>
              <w:t>14-il jum</w:t>
            </w:r>
            <w:r>
              <w:t xml:space="preserve"> addizzjonali.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Fil-każijiet imsemmija fl-Artikolu 3,</w:t>
            </w:r>
            <w:r>
              <w:t xml:space="preserve"> l-iskrinjar għandu jitwettaq mingħajr dewmien u fi kwalunkwe każ għandu jitlesta fi żmien ħamest ijiem mill-qbid </w:t>
            </w:r>
            <w:r>
              <w:rPr>
                <w:b/>
                <w:i/>
                <w:strike w:val="0"/>
                <w:color w:val="auto"/>
                <w:highlight w:val="none"/>
                <w:u w:val="none" w:color="auto"/>
                <w:vertAlign w:val="baseline"/>
              </w:rPr>
              <w:t>fiż-żona tal-fruntiera esterna,</w:t>
            </w:r>
            <w:r>
              <w:t xml:space="preserve"> l-iżbark fit-territorju tal-Istat Membru kkonċernat </w:t>
            </w:r>
            <w:r>
              <w:rPr>
                <w:b/>
                <w:i/>
                <w:strike w:val="0"/>
                <w:color w:val="auto"/>
                <w:highlight w:val="none"/>
                <w:u w:val="none" w:color="auto"/>
                <w:vertAlign w:val="baseline"/>
              </w:rPr>
              <w:t>jew il-preżentazzjoni fil-punt ta’ qsim tal-fruntiera</w:t>
            </w:r>
            <w:r>
              <w:t xml:space="preserve">. F’ċirkostanzi eċċezzjonali, fejn għadd sproporzjonat ta’ ċittadini ta’ pajjiżi terzi </w:t>
            </w:r>
            <w:r>
              <w:rPr>
                <w:b/>
                <w:i/>
                <w:strike w:val="0"/>
                <w:color w:val="auto"/>
                <w:highlight w:val="none"/>
                <w:u w:val="none" w:color="auto"/>
                <w:vertAlign w:val="baseline"/>
              </w:rPr>
              <w:t>jeħtieġ li</w:t>
            </w:r>
            <w:r>
              <w:t xml:space="preserve"> jkunu soġġetti għall-iskrinjar fl-istess ħin, li fil-prattika jagħmilha impossibbli li l-iskrinjar jiġi konkluż f’dak il-limitu ta’ żmien, il-perjodu ta’ ħamest ijiem jista’ jiġi estiż b’massimu ta’ ħamest ijiem addizzjonali.</w:t>
            </w:r>
          </w:p>
        </w:tc>
        <w:tc>
          <w:tcPr>
            <w:tcW w:w="4876" w:type="dxa"/>
            <w:vAlign w:val="top"/>
          </w:tcPr>
          <w:p>
            <w:pPr>
              <w:pStyle w:val="Normal6a"/>
            </w:pPr>
            <w:r>
              <w:t>3.</w:t>
            </w:r>
            <w:r>
              <w:tab/>
            </w:r>
            <w:r>
              <w:t xml:space="preserve">L-iskrinjar għandu jitwettaq mingħajr dewmien u fi kwalunkwe każ għandu jitlesta fi żmien ħamest ijiem mill-qbid </w:t>
            </w:r>
            <w:r>
              <w:rPr>
                <w:b/>
                <w:i/>
                <w:strike w:val="0"/>
                <w:color w:val="auto"/>
                <w:highlight w:val="none"/>
                <w:u w:val="none" w:color="auto"/>
                <w:vertAlign w:val="baseline"/>
              </w:rPr>
              <w:t>jew</w:t>
            </w:r>
            <w:r>
              <w:t xml:space="preserve"> l-iżbark fit-territorju tal-Istat Membru kkonċernat. F'ċirkostanzi eċċezzjonali, fejn </w:t>
            </w:r>
            <w:r>
              <w:rPr>
                <w:b/>
                <w:i/>
                <w:strike w:val="0"/>
                <w:color w:val="auto"/>
                <w:highlight w:val="none"/>
                <w:u w:val="none" w:color="auto"/>
                <w:vertAlign w:val="baseline"/>
              </w:rPr>
              <w:t>ikun meħtieġ li</w:t>
            </w:r>
            <w:r>
              <w:t xml:space="preserve"> għadd sproporzjonat ta' ċittadini ta' pajjiżi terzi jkunu soġġetti għall-iskrinjar fl-istess ħin, li fil-prattika jagħmilha impossibbli li l-iskrinjar jiġi konkluż f'dak il-limitu ta' żmien, il-perjodu ta' ħamest ijiem jista' jiġi estiż b'massimu ta' ħamest ijiem addizzjonali.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Fil-każijiet imsemmija fl-Artikolu 3,</w:t>
            </w:r>
            <w:r>
              <w:t xml:space="preserve"> l-iskrinjar għandu jitwettaq mingħajr dewmien u fi kwalunkwe każ għandu jitlesta fi żmien ħamest ijiem mill-qbid </w:t>
            </w:r>
            <w:r>
              <w:rPr>
                <w:b/>
                <w:i/>
                <w:strike w:val="0"/>
                <w:color w:val="auto"/>
                <w:highlight w:val="none"/>
                <w:u w:val="none" w:color="auto"/>
                <w:vertAlign w:val="baseline"/>
              </w:rPr>
              <w:t>fiż-żona tal-fruntiera esterna,</w:t>
            </w:r>
            <w:r>
              <w:t xml:space="preserve"> l-iżbark fit-territorju tal-Istat Membru kkonċernat </w:t>
            </w:r>
            <w:r>
              <w:rPr>
                <w:b/>
                <w:i/>
                <w:strike w:val="0"/>
                <w:color w:val="auto"/>
                <w:highlight w:val="none"/>
                <w:u w:val="none" w:color="auto"/>
                <w:vertAlign w:val="baseline"/>
              </w:rPr>
              <w:t>jew il-preżentazzjoni fil-punt ta’ qsim tal-fruntiera</w:t>
            </w:r>
            <w:r>
              <w:t xml:space="preserve">. F’ċirkostanzi eċċezzjonali, fejn għadd sproporzjonat ta’ ċittadini ta’ pajjiżi terzi </w:t>
            </w:r>
            <w:r>
              <w:rPr>
                <w:b/>
                <w:i/>
                <w:strike w:val="0"/>
                <w:color w:val="auto"/>
                <w:highlight w:val="none"/>
                <w:u w:val="none" w:color="auto"/>
                <w:vertAlign w:val="baseline"/>
              </w:rPr>
              <w:t>jeħtieġ li</w:t>
            </w:r>
            <w:r>
              <w:t xml:space="preserve"> jkunu soġġetti għall-iskrinjar fl-istess ħin, li fil-prattika jagħmilha impossibbli li l-iskrinjar jiġi konkluż f’dak il-limitu ta’ żmien, il-perjodu ta’ ħamest ijiem jista’ jiġi estiż b’massimu ta’ ħamest ijiem addizzjonali.</w:t>
            </w:r>
          </w:p>
        </w:tc>
        <w:tc>
          <w:tcPr>
            <w:tcW w:w="4876" w:type="dxa"/>
            <w:vAlign w:val="top"/>
          </w:tcPr>
          <w:p>
            <w:pPr>
              <w:pStyle w:val="Normal6a"/>
            </w:pPr>
            <w:r>
              <w:t>3.</w:t>
            </w:r>
            <w:r>
              <w:tab/>
            </w:r>
            <w:r>
              <w:t xml:space="preserve">L-iskrinjar għandu jitwettaq mingħajr dewmien u fi kwalunkwe każ għandu jitlesta fi żmien ħamest ijiem mill-qbid </w:t>
            </w:r>
            <w:r>
              <w:rPr>
                <w:b/>
                <w:i/>
                <w:strike w:val="0"/>
                <w:color w:val="auto"/>
                <w:highlight w:val="none"/>
                <w:u w:val="none" w:color="auto"/>
                <w:vertAlign w:val="baseline"/>
              </w:rPr>
              <w:t>jew</w:t>
            </w:r>
            <w:r>
              <w:t xml:space="preserve"> l-iżbark fit-territorju tal-Istat Membru kkonċernat. F'ċirkostanzi eċċezzjonali, fejn </w:t>
            </w:r>
            <w:r>
              <w:rPr>
                <w:b/>
                <w:i/>
                <w:strike w:val="0"/>
                <w:color w:val="auto"/>
                <w:highlight w:val="none"/>
                <w:u w:val="none" w:color="auto"/>
                <w:vertAlign w:val="baseline"/>
              </w:rPr>
              <w:t>ikun meħtieġ li </w:t>
            </w:r>
            <w:r>
              <w:t>għadd sproporzjonat ta' ċittadini ta' pajjiżi terzi jkunu soġġetti għall-iskrinjar fl-istess ħin, li fil-prattika jagħmilha impossibbli li l-iskrinjar jiġi konkluż f'dak il-limitu ta' żmien, il-perjodu ta' ħamest ijiem jista' jiġi estiż b'massimu ta' ħamest ijiem addizzjonali.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3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Fir-rigward tal-persuni msemmija fl-Artikolu 3(1)(a) li għalihom japplikaw l-Artikolu 14(1) u (3) tar-Regolament (UE) 603/2013, </w:t>
            </w:r>
            <w:r>
              <w:rPr>
                <w:b/>
                <w:i/>
                <w:strike w:val="0"/>
                <w:color w:val="auto"/>
                <w:highlight w:val="none"/>
                <w:u w:val="none" w:color="auto"/>
                <w:vertAlign w:val="baseline"/>
              </w:rPr>
              <w:t>fejn</w:t>
            </w:r>
            <w:r>
              <w:t xml:space="preserve"> jibqgħu fiżikament fil-fruntiera esterna għal aktar minn 72 siegħa, </w:t>
            </w:r>
            <w:r>
              <w:rPr>
                <w:b/>
                <w:i/>
                <w:strike w:val="0"/>
                <w:color w:val="auto"/>
                <w:highlight w:val="none"/>
                <w:u w:val="none" w:color="auto"/>
                <w:vertAlign w:val="baseline"/>
              </w:rPr>
              <w:t>il-perjodu</w:t>
            </w:r>
            <w:r>
              <w:t xml:space="preserve"> għall-iskrinjar għandu jitnaqqas għal jumejn.</w:t>
            </w:r>
          </w:p>
        </w:tc>
        <w:tc>
          <w:tcPr>
            <w:tcW w:w="4876" w:type="dxa"/>
            <w:vAlign w:val="top"/>
          </w:tcPr>
          <w:p>
            <w:pPr>
              <w:pStyle w:val="Normal6a"/>
            </w:pPr>
            <w:r>
              <w:t xml:space="preserve">Fir-rigward tal-persuni msemmija fl-Artikolu 3(1)(a) li għalihom japplikaw l-Artikolu 14(1) u (3) tar-Regolament (UE) 603/2013, </w:t>
            </w:r>
            <w:r>
              <w:rPr>
                <w:b/>
                <w:i/>
                <w:strike w:val="0"/>
                <w:color w:val="auto"/>
                <w:highlight w:val="none"/>
                <w:u w:val="none" w:color="auto"/>
                <w:vertAlign w:val="baseline"/>
              </w:rPr>
              <w:t>meta sussegwentement</w:t>
            </w:r>
            <w:r>
              <w:t xml:space="preserve"> jibqgħu fiżikament fil-fruntiera esterna għal aktar minn 72 siegħa, </w:t>
            </w:r>
            <w:r>
              <w:rPr>
                <w:b/>
                <w:i/>
                <w:strike w:val="0"/>
                <w:color w:val="auto"/>
                <w:highlight w:val="none"/>
                <w:u w:val="none" w:color="auto"/>
                <w:vertAlign w:val="baseline"/>
              </w:rPr>
              <w:t>għandu japplika l-iskrinjar u l-perjodu</w:t>
            </w:r>
            <w:r>
              <w:t xml:space="preserve"> għall-iskrinjar għandu jitnaqqas għal jumejn.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L-Istati Membri għandhom jinnotifikaw lill-Kummissjoni mingħajr dewmien dwar iċ-ċirkostanzi eċċezzjonali msemmija fil-paragrafu 3. Huma għandhom ukoll jgħarrfu lill-Kummissjoni hekk kif ir-raġunijiet għall-estensjoni tal-perjodu ta’ skrinjar ma jkunux għadhom jeżistu.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L-Istati Membri għandhom jinnotifikaw lill-Kummissjoni mingħajr dewmien dwar iċ-ċirkostanzi eċċezzjonali msemmija fil-paragrafu 3. Huma għandhom ukoll jgħarrfu lill-Kummissjoni hekk kif ir-raġunijiet għall-estensjoni tal-perjodu ta’ skrinjar ma jkunux għadhom jeżistu.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L-Istati Membri għandhom jinnotifikaw lill-Kummissjoni mingħajr dewmien dwar iċ-ċirkostanzi eċċezzjonali msemmija fil-paragrafu 3. Huma għandhom ukoll jgħarrfu lill-Kummissjoni hekk kif ir-raġunijiet għall-estensjoni tal-perjodu ta’ skrinjar ma jkunux għadhom jeżistu.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w:t>
            </w:r>
            <w:r>
              <w:rPr>
                <w:b/>
                <w:i/>
                <w:strike w:val="0"/>
                <w:color w:val="auto"/>
                <w:highlight w:val="none"/>
                <w:u w:val="none" w:color="auto"/>
                <w:vertAlign w:val="baseline"/>
              </w:rPr>
              <w:t>għandhom</w:t>
            </w:r>
            <w:r>
              <w:t xml:space="preserve"> jinnotifikaw lill-Kummissjoni </w:t>
            </w:r>
            <w:r>
              <w:rPr>
                <w:b/>
                <w:i/>
                <w:strike w:val="0"/>
                <w:color w:val="auto"/>
                <w:highlight w:val="none"/>
                <w:u w:val="none" w:color="auto"/>
                <w:vertAlign w:val="baseline"/>
              </w:rPr>
              <w:t>mingħajr dewmien</w:t>
            </w:r>
            <w:r>
              <w:t xml:space="preserve"> dwar iċ-ċirkostanzi eċċezzjonali msemmija fil-paragrafu 3. </w:t>
            </w:r>
            <w:r>
              <w:rPr>
                <w:b/>
                <w:i/>
                <w:strike w:val="0"/>
                <w:color w:val="auto"/>
                <w:highlight w:val="none"/>
                <w:u w:val="none" w:color="auto"/>
                <w:vertAlign w:val="baseline"/>
              </w:rPr>
              <w:t>Huma għandhom ukoll jgħarrfu lill-Kummissjoni hekk kif ir-raġunijiet għall-estensjoni tal-perjodu ta’ skrinjar ma jkunux għadhom jeżistu.</w:t>
            </w:r>
          </w:p>
        </w:tc>
        <w:tc>
          <w:tcPr>
            <w:tcW w:w="4876" w:type="dxa"/>
            <w:vAlign w:val="top"/>
          </w:tcPr>
          <w:p>
            <w:pPr>
              <w:pStyle w:val="Normal6a"/>
            </w:pPr>
            <w:r>
              <w:t>4.</w:t>
            </w:r>
            <w:r>
              <w:tab/>
            </w:r>
            <w:r>
              <w:t xml:space="preserve">L-Istati Membri </w:t>
            </w:r>
            <w:r>
              <w:rPr>
                <w:b/>
                <w:i/>
                <w:strike w:val="0"/>
                <w:color w:val="auto"/>
                <w:highlight w:val="none"/>
                <w:u w:val="none" w:color="auto"/>
                <w:vertAlign w:val="baseline"/>
              </w:rPr>
              <w:t>jistgħu</w:t>
            </w:r>
            <w:r>
              <w:t xml:space="preserve"> jinnotifikaw lill-Kummissjoni dwar iċ-ċirkostanzi eċċezzjonali msemmija fil-paragrafu 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L-iskrinjar imsemmi fl-Artikolu 5 għandu jitwettaq mingħajr dewmien u fi kwalunkwe każ għandu jitlesta fi żmien tlitt ijiem mill-qbid.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Billi l-każijiet fl-Artikolu 5 għandhom jiġu koperti mill-paragrafu 3 tal-Artikolu 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L-iskrinjar imsemmi fl-Artikolu 5 għandu jitwettaq mingħajr dewmien u fi kwalunkwe każ għandu jitlesta fi żmien tlitt ijiem mill-qbid.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L-iskrinjar imsemmi fl-Artikolu 5 għandu jitwettaq mingħajr dewmien u fi kwalunkwe każ għandu jitlesta fi żmien tlitt ijiem mill-qbid.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L-iskrinjar imsemmi fl-Artikolu 5 għandu jitwettaq mingħajr dewmien u fi kwalunkwe każ għandu jitlesta fi żmien tlitt ijiem mill-qbid.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L-iskrinjar imsemmi fl-Artikolu 5 għandu jitwettaq mingħajr dewmien u fi kwalunkwe każ għandu jitlesta fi żmien tlitt ijiem mill-qbid.</w:t>
            </w:r>
          </w:p>
        </w:tc>
        <w:tc>
          <w:tcPr>
            <w:tcW w:w="4876" w:type="dxa"/>
            <w:vAlign w:val="top"/>
          </w:tcPr>
          <w:p>
            <w:pPr>
              <w:pStyle w:val="Normal6a"/>
            </w:pPr>
            <w:r>
              <w:t>5.</w:t>
            </w:r>
            <w:r>
              <w:tab/>
            </w:r>
            <w:r>
              <w:t xml:space="preserve">L-iskrinjar imsemmi fl-Artikolu 5 għandu jitwettaq mingħajr dewmien u fi kwalunkwe każ għandu jitlesta fi żmien tlitt ijiem mill-qbid. </w:t>
            </w:r>
            <w:r>
              <w:rPr>
                <w:b/>
                <w:i/>
                <w:strike w:val="0"/>
                <w:color w:val="auto"/>
                <w:highlight w:val="none"/>
                <w:u w:val="none" w:color="auto"/>
                <w:vertAlign w:val="baseline"/>
              </w:rPr>
              <w:t>Dan il-limitu jista’ jiġi estiż, jekk il-proċedura ta’ skrinjar tkun teħtieġ dan.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L-Istati Membri għandhom dejjem jiżguraw, anki waqt ċirkostanzi eċċezzjonali, inkluż f'sitwazzjonijiet ta' emerġenza, li l-persuni kollha soġġetti għall-iskrinjar jingħataw livell ta' għajxien li jiggarantixxi s-sussistenza tagħhom, jipproteġi s-saħħa fiżika u mentali tagħhom, u jirrispetta d-drittijiet tagħhom skont il-Karta tad-Drittijiet Fundamentali tal-Unjoni Ewropea.</w:t>
            </w:r>
            <w:r>
              <w:t xml:space="preserve"> </w:t>
            </w:r>
            <w:r>
              <w:rPr>
                <w:b/>
                <w:i/>
                <w:strike w:val="0"/>
                <w:color w:val="auto"/>
                <w:highlight w:val="none"/>
                <w:u w:val="none" w:color="auto"/>
                <w:vertAlign w:val="baseline"/>
              </w:rPr>
              <w:t>Il-persuni għandhom jiġu akkomodati skont l-istandards u d-dispożizzjonijiet tad-Direttiva (UE) xxx/xxx (id-Direttiva dwar il-Kundizzjonijiet tal-Akkoljenza).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rPr>
                <w:b/>
                <w:i/>
                <w:strike w:val="0"/>
                <w:color w:val="auto"/>
                <w:highlight w:val="none"/>
                <w:u w:val="none" w:color="auto"/>
                <w:vertAlign w:val="baseline"/>
              </w:rPr>
              <w:t>verifika</w:t>
            </w:r>
            <w:r>
              <w:t xml:space="preserve"> preliminari tas-saħħa u tal-vulnerabbiltà kif imsemmi fl-Artikolu 9;</w:t>
            </w:r>
          </w:p>
        </w:tc>
        <w:tc>
          <w:tcPr>
            <w:tcW w:w="4876" w:type="dxa"/>
            <w:vAlign w:val="top"/>
          </w:tcPr>
          <w:p>
            <w:pPr>
              <w:pStyle w:val="Normal6a"/>
            </w:pPr>
            <w:r>
              <w:t>(a)</w:t>
            </w:r>
            <w:r>
              <w:tab/>
            </w:r>
            <w:r>
              <w:rPr>
                <w:b/>
                <w:i/>
                <w:strike w:val="0"/>
                <w:color w:val="auto"/>
                <w:highlight w:val="none"/>
                <w:u w:val="none" w:color="auto"/>
                <w:vertAlign w:val="baseline"/>
              </w:rPr>
              <w:t>verifiki</w:t>
            </w:r>
            <w:r>
              <w:t xml:space="preserve"> preliminari tas-saħħa u tal-vulnerabbiltà kif imsemmi fl-Artikolu 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identifikazzjoni kif imsemmi fl-Artikolu 10;</w:t>
            </w:r>
          </w:p>
        </w:tc>
        <w:tc>
          <w:tcPr>
            <w:tcW w:w="4876" w:type="dxa"/>
            <w:vAlign w:val="top"/>
          </w:tcPr>
          <w:p>
            <w:pPr>
              <w:pStyle w:val="Normal6a"/>
            </w:pPr>
            <w:r>
              <w:t>(b)</w:t>
            </w:r>
            <w:r>
              <w:tab/>
            </w:r>
            <w:r>
              <w:t xml:space="preserve">identifikazzjoni kif imsemmi fl-Artikolu 10; </w:t>
            </w:r>
            <w:r>
              <w:rPr>
                <w:b/>
                <w:i/>
                <w:strike w:val="0"/>
                <w:color w:val="auto"/>
                <w:highlight w:val="none"/>
                <w:u w:val="none" w:color="auto"/>
                <w:vertAlign w:val="baseline"/>
              </w:rPr>
              <w:t>meta individwu jiddikjara li ma għandu l-ebda nazzjonalità jew meta jkun hemm bażi raġonevoli biex wieħed jemmen li individwu jista' jkun apolidu, dan għandu jiġi rreġistrat b'mod ċar sakemm jiġi ddeterminat jekk l-individwu huwiex apolidu fi proċedura separata;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ba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verifika preliminari tal-vulnerabbiltà kif imsemmi fl-Artikolu 9a;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reġistrazzjoni tad-data bijometrika </w:t>
            </w:r>
            <w:r>
              <w:rPr>
                <w:b/>
                <w:i/>
                <w:strike w:val="0"/>
                <w:color w:val="auto"/>
                <w:highlight w:val="none"/>
                <w:u w:val="none" w:color="auto"/>
                <w:vertAlign w:val="baseline"/>
              </w:rPr>
              <w:t>fil-bażijiet tad-data xierqa kif imsemmi fl-Artikolu 14(6), sa fejn din tkun għadha ma seħħitx</w:t>
            </w:r>
            <w:r>
              <w:t>;</w:t>
            </w:r>
          </w:p>
        </w:tc>
        <w:tc>
          <w:tcPr>
            <w:tcW w:w="4876" w:type="dxa"/>
            <w:vAlign w:val="top"/>
          </w:tcPr>
          <w:p>
            <w:pPr>
              <w:pStyle w:val="Normal6a"/>
            </w:pPr>
            <w:r>
              <w:t>(c)</w:t>
            </w:r>
            <w:r>
              <w:tab/>
            </w:r>
            <w:r>
              <w:t xml:space="preserve">reġistrazzjoni tad-data bijometrika </w:t>
            </w:r>
            <w:r>
              <w:rPr>
                <w:b/>
                <w:i/>
                <w:strike w:val="0"/>
                <w:color w:val="auto"/>
                <w:highlight w:val="none"/>
                <w:u w:val="none" w:color="auto"/>
                <w:vertAlign w:val="baseline"/>
              </w:rPr>
              <w:t>f'konformità mal-Artikoli 10, 13 u 14a tar-Regolament (UE) xxxx/xxxx [ir-Regolament Eurodac]</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reġistrazzjoni tad-data bijometrika </w:t>
            </w:r>
            <w:r>
              <w:rPr>
                <w:b/>
                <w:i/>
                <w:strike w:val="0"/>
                <w:color w:val="auto"/>
                <w:highlight w:val="none"/>
                <w:u w:val="none" w:color="auto"/>
                <w:vertAlign w:val="baseline"/>
              </w:rPr>
              <w:t>fil-bażijiet tad-data xierqa kif imsemmi fl-Artikolu 14(6), sa fejn din tkun għadha ma seħħitx</w:t>
            </w:r>
            <w:r>
              <w:t>;</w:t>
            </w:r>
          </w:p>
        </w:tc>
        <w:tc>
          <w:tcPr>
            <w:tcW w:w="4876" w:type="dxa"/>
            <w:vAlign w:val="top"/>
          </w:tcPr>
          <w:p>
            <w:pPr>
              <w:pStyle w:val="Normal6a"/>
            </w:pPr>
            <w:r>
              <w:t>(c)</w:t>
            </w:r>
            <w:r>
              <w:tab/>
            </w:r>
            <w:r>
              <w:t xml:space="preserve">reġistrazzjoni tad-data bijometrika </w:t>
            </w:r>
            <w:r>
              <w:rPr>
                <w:b/>
                <w:i/>
                <w:strike w:val="0"/>
                <w:color w:val="auto"/>
                <w:highlight w:val="none"/>
                <w:u w:val="none" w:color="auto"/>
                <w:vertAlign w:val="baseline"/>
              </w:rPr>
              <w:t>f'konformità mar-Regolament (UE) xxxx/xxxx [ir-Regolament Eurodac]</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reġistrazzjoni tad-data bijometrika fil-bażijiet tad-data xierqa kif imsemmi fl-Artikolu 14(6), sa fejn din tkun għadha ma seħħitx;</w:t>
            </w:r>
          </w:p>
        </w:tc>
        <w:tc>
          <w:tcPr>
            <w:tcW w:w="4876" w:type="dxa"/>
            <w:vAlign w:val="top"/>
          </w:tcPr>
          <w:p>
            <w:pPr>
              <w:pStyle w:val="Normal6a"/>
            </w:pPr>
            <w:r>
              <w:t>(c)</w:t>
            </w:r>
            <w:r>
              <w:tab/>
            </w:r>
            <w:r>
              <w:t xml:space="preserve">reġistrazzjoni tad-data </w:t>
            </w:r>
            <w:r>
              <w:rPr>
                <w:b/>
                <w:i/>
                <w:strike w:val="0"/>
                <w:color w:val="auto"/>
                <w:highlight w:val="none"/>
                <w:u w:val="none" w:color="auto"/>
                <w:vertAlign w:val="baseline"/>
              </w:rPr>
              <w:t>tal-għadam fil-każ ta' kwalunkwe dubju dwar l-istatus ta' minorenni ta' immigrant u tad-data</w:t>
            </w:r>
            <w:r>
              <w:t xml:space="preserve"> bijometrika fil-bażijiet tad-data xierqa kif imsemmi fl-Artikolu 14(6), sa fejn din tkun għadha ma seħħitx;</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reġistrazzjoni tad-data bijometrika fil-bażijiet tad-data xierqa kif imsemmi fl-Artikolu 14(6), sa fejn din tkun għadha ma seħħitx;</w:t>
            </w:r>
          </w:p>
        </w:tc>
        <w:tc>
          <w:tcPr>
            <w:tcW w:w="4876" w:type="dxa"/>
            <w:vAlign w:val="top"/>
          </w:tcPr>
          <w:p>
            <w:pPr>
              <w:pStyle w:val="Normal6a"/>
            </w:pPr>
            <w:r>
              <w:t>(c)</w:t>
            </w:r>
            <w:r>
              <w:tab/>
            </w:r>
            <w:r>
              <w:t xml:space="preserve">reġistrazzjoni tad-data bijometrika </w:t>
            </w:r>
            <w:r>
              <w:rPr>
                <w:b/>
                <w:i/>
                <w:strike w:val="0"/>
                <w:color w:val="auto"/>
                <w:highlight w:val="none"/>
                <w:u w:val="none" w:color="auto"/>
                <w:vertAlign w:val="baseline"/>
              </w:rPr>
              <w:t>u dwar id-DNA</w:t>
            </w:r>
            <w:r>
              <w:t xml:space="preserve"> fil-bażijiet tad-data xierqa kif imsemmi fl-Artikolu 14(6), sa fejn din tkun għadha ma seħħitx;</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verifika tas-sigurtà kif imsemmi fl-Artikolu 11;</w:t>
            </w:r>
          </w:p>
        </w:tc>
        <w:tc>
          <w:tcPr>
            <w:tcW w:w="4876" w:type="dxa"/>
            <w:vAlign w:val="top"/>
          </w:tcPr>
          <w:p>
            <w:pPr>
              <w:pStyle w:val="Normal6a"/>
            </w:pPr>
            <w:r>
              <w:rPr>
                <w:b w:val="0"/>
                <w:i/>
                <w:strike w:val="0"/>
                <w:color w:val="auto"/>
                <w:highlight w:val="none"/>
                <w:u w:val="none" w:color="auto"/>
                <w:vertAlign w:val="baseline"/>
              </w:rPr>
              <w:t>(Ma taffettwax il-verżjoni Maltija.)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mili ta’ formola </w:t>
            </w:r>
            <w:r>
              <w:rPr>
                <w:b/>
                <w:i/>
                <w:strike w:val="0"/>
                <w:color w:val="auto"/>
                <w:highlight w:val="none"/>
                <w:u w:val="none" w:color="auto"/>
                <w:vertAlign w:val="baseline"/>
              </w:rPr>
              <w:t>ta’ debriefing</w:t>
            </w:r>
            <w:r>
              <w:t xml:space="preserve"> kif imsemmi fl-Artikolu 13;</w:t>
            </w:r>
          </w:p>
        </w:tc>
        <w:tc>
          <w:tcPr>
            <w:tcW w:w="4876" w:type="dxa"/>
            <w:vAlign w:val="top"/>
          </w:tcPr>
          <w:p>
            <w:pPr>
              <w:pStyle w:val="Normal6a"/>
            </w:pPr>
            <w:r>
              <w:t>(e)</w:t>
            </w:r>
            <w:r>
              <w:tab/>
            </w:r>
            <w:r>
              <w:t xml:space="preserve">mili ta’ formola </w:t>
            </w:r>
            <w:r>
              <w:rPr>
                <w:b/>
                <w:i/>
                <w:strike w:val="0"/>
                <w:color w:val="auto"/>
                <w:highlight w:val="none"/>
                <w:u w:val="none" w:color="auto"/>
                <w:vertAlign w:val="baseline"/>
              </w:rPr>
              <w:t>tal-iskrinjar</w:t>
            </w:r>
            <w:r>
              <w:t xml:space="preserve"> kif imsemmi fl-Artikolu 13;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 – punt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riferiment għall-proċedura xierqa kif imsemmi fl-Artikolu 14.</w:t>
            </w:r>
          </w:p>
        </w:tc>
        <w:tc>
          <w:tcPr>
            <w:tcW w:w="4876" w:type="dxa"/>
            <w:vAlign w:val="top"/>
          </w:tcPr>
          <w:p>
            <w:pPr>
              <w:pStyle w:val="Normal6a"/>
            </w:pPr>
            <w:r>
              <w:t>(f)</w:t>
            </w:r>
            <w:r>
              <w:tab/>
            </w:r>
            <w:r>
              <w:t xml:space="preserve">riferiment għall-proċedura xierqa </w:t>
            </w:r>
            <w:r>
              <w:rPr>
                <w:b/>
                <w:i/>
                <w:strike w:val="0"/>
                <w:color w:val="auto"/>
                <w:highlight w:val="none"/>
                <w:u w:val="none" w:color="auto"/>
                <w:vertAlign w:val="baseline"/>
              </w:rPr>
              <w:t>jew ċaħda ta' dħul</w:t>
            </w:r>
            <w:r>
              <w:t xml:space="preserve"> kif imsemmi fl-Artikolu 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6a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L-iskrinjar jista’ jiġi ssupplimentat, fil-każ ta’ ċittadini ta’ pajjiżi terzi li jiddikjaraw li huma minorenni, b’test tal-għadam biex tiġi kkonfermata l-età minuri tagħhom u jiġu rrifjutati l-aktar applikazzjonijiet manifestament infondati għar-rikonoxximent ta’ status ta' minorenni.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L-Istati Membri għandhom jaħtru </w:t>
            </w:r>
            <w:r>
              <w:rPr>
                <w:b/>
                <w:i/>
                <w:strike w:val="0"/>
                <w:color w:val="auto"/>
                <w:highlight w:val="none"/>
                <w:u w:val="none" w:color="auto"/>
                <w:vertAlign w:val="baseline"/>
              </w:rPr>
              <w:t>l-awtoritajiet</w:t>
            </w:r>
            <w:r>
              <w:t xml:space="preserve"> kompetenti </w:t>
            </w:r>
            <w:r>
              <w:rPr>
                <w:b/>
                <w:i/>
                <w:strike w:val="0"/>
                <w:color w:val="auto"/>
                <w:highlight w:val="none"/>
                <w:u w:val="none" w:color="auto"/>
                <w:vertAlign w:val="baseline"/>
              </w:rPr>
              <w:t>sabiex</w:t>
            </w:r>
            <w:r>
              <w:t xml:space="preserve"> iwettqu </w:t>
            </w:r>
            <w:r>
              <w:rPr>
                <w:b/>
                <w:i/>
                <w:strike w:val="0"/>
                <w:color w:val="auto"/>
                <w:highlight w:val="none"/>
                <w:u w:val="none" w:color="auto"/>
                <w:vertAlign w:val="baseline"/>
              </w:rPr>
              <w:t>l-iskrinjar</w:t>
            </w:r>
            <w:r>
              <w:t>. Huma għandhom jużaw persunal xieraq u riżorsi suffiċjenti biex iwettqu l-iskrinjar b’mod effiċjenti.</w:t>
            </w:r>
          </w:p>
        </w:tc>
        <w:tc>
          <w:tcPr>
            <w:tcW w:w="4876" w:type="dxa"/>
            <w:vAlign w:val="top"/>
          </w:tcPr>
          <w:p>
            <w:pPr>
              <w:pStyle w:val="Normal6a"/>
            </w:pPr>
            <w:r>
              <w:t>7.</w:t>
            </w:r>
            <w:r>
              <w:tab/>
            </w:r>
            <w:r>
              <w:t xml:space="preserve">L-Istati Membri għandhom jaħtru </w:t>
            </w:r>
            <w:r>
              <w:rPr>
                <w:b/>
                <w:i/>
                <w:strike w:val="0"/>
                <w:color w:val="auto"/>
                <w:highlight w:val="none"/>
                <w:u w:val="none" w:color="auto"/>
                <w:vertAlign w:val="baseline"/>
              </w:rPr>
              <w:t>awtoritajiet tal-fruntiera kwalifikati u</w:t>
            </w:r>
            <w:r>
              <w:t xml:space="preserve"> kompetenti</w:t>
            </w:r>
            <w:r>
              <w:rPr>
                <w:b/>
                <w:i/>
                <w:strike w:val="0"/>
                <w:color w:val="auto"/>
                <w:highlight w:val="none"/>
                <w:u w:val="none" w:color="auto"/>
                <w:vertAlign w:val="baseline"/>
              </w:rPr>
              <w:t>, inklużi awtoritajiet tal-ażil u pulizija tal-fruntieri, biex</w:t>
            </w:r>
            <w:r>
              <w:t xml:space="preserve"> iwettqu </w:t>
            </w:r>
            <w:r>
              <w:rPr>
                <w:b/>
                <w:i/>
                <w:strike w:val="0"/>
                <w:color w:val="auto"/>
                <w:highlight w:val="none"/>
                <w:u w:val="none" w:color="auto"/>
                <w:vertAlign w:val="baseline"/>
              </w:rPr>
              <w:t>l-verifiki tal-identità u tas-sigurtà u għandhom jiżguraw li l-persunal ta’ dawk l-awtoritajiet kompetenti jkun irċieva t-taħriġ xieraq f’konformità mal-Artikolu 18 tar-Regolament (UE) XXX/XXX [l-Aġenzija tal-UE għall-Ażil]</w:t>
            </w:r>
            <w:r>
              <w:t xml:space="preserve">. Huma għandhom jużaw persunal xieraq u riżorsi suffiċjenti biex iwettqu l-iskrinjar b'mod effiċjenti </w:t>
            </w:r>
            <w:r>
              <w:rPr>
                <w:b/>
                <w:i/>
                <w:strike w:val="0"/>
                <w:color w:val="auto"/>
                <w:highlight w:val="none"/>
                <w:u w:val="none" w:color="auto"/>
                <w:vertAlign w:val="baseline"/>
              </w:rPr>
              <w:t>u fil-qafas ta' żmien previst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L-Istati Membri għandhom jaħtru l-awtoritajiet kompetenti sabiex iwettqu l-iskrinjar. Huma għandhom jużaw persunal xieraq u riżorsi suffiċjenti biex iwettqu l-iskrinjar b’mod effiċjenti.</w:t>
            </w:r>
          </w:p>
        </w:tc>
        <w:tc>
          <w:tcPr>
            <w:tcW w:w="4876" w:type="dxa"/>
            <w:vAlign w:val="top"/>
          </w:tcPr>
          <w:p>
            <w:pPr>
              <w:pStyle w:val="Normal6a"/>
            </w:pPr>
            <w:r>
              <w:t>7.</w:t>
            </w:r>
            <w:r>
              <w:tab/>
            </w:r>
            <w:r>
              <w:t xml:space="preserve">L-Istati Membri għandhom jaħtru l-awtoritajiet kompetenti sabiex iwettqu l-iskrinjar. Huma għandhom jużaw persunal xieraq u riżorsi suffiċjenti biex iwettqu l-iskrinjar b'mod effiċjenti. </w:t>
            </w:r>
            <w:r>
              <w:rPr>
                <w:b/>
                <w:i/>
                <w:strike w:val="0"/>
                <w:color w:val="auto"/>
                <w:highlight w:val="none"/>
                <w:u w:val="none" w:color="auto"/>
                <w:vertAlign w:val="baseline"/>
              </w:rPr>
              <w:t>Il-persunal kollu tal-awtoritajiet li jwettqu l-iskrinjar għandu jkollu t-taħriġ adegwat sabiex ikun kompletament konxju dwar id-dritt internazzjonali dwar id-drittijiet tal-bniedem u r-refuġjati u s-SEKA, biex ikun jista’ jikkonforma mal-Karta tad-Drittijiet Fundamentali fil-proċedimenti kollha u biex ikun jista’ jidentifika u jittratta kif xieraq il-persuni bi bżonnijiet speċjali.</w:t>
            </w:r>
            <w:r>
              <w:t xml:space="preserve"> </w:t>
            </w:r>
            <w:r>
              <w:rPr>
                <w:b/>
                <w:i/>
                <w:strike w:val="0"/>
                <w:color w:val="auto"/>
                <w:highlight w:val="none"/>
                <w:u w:val="none" w:color="auto"/>
                <w:vertAlign w:val="baseline"/>
              </w:rPr>
              <w:t>L-Istati Membri jridu jiżguraw li l-persunal tal-awtoritajiet tal-Ażil ikun involut fl-iskrinjar sabiex, anki f’każijiet fejn ċittadin ta’ pajjiż terz ma jkunx ippreżenta applikazzjoni uffiċjali għal protezzjoni internazzjonali, din il-ħtieġa tkun tista’ tiġi rikonoxxuta u li jista’ jkun hemm valutazzjoni adegwata tal-applikabbiltà tal-kunċetti tal-ewwel pajjiż ta' ażil u ta’ pajjiż terz sigur.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L-Istati Membri għandhom jaħtru l-awtoritajiet kompetenti sabiex iwettqu l-iskrinjar. Huma għandhom jużaw persunal xieraq u riżorsi suffiċjenti biex iwettqu l-iskrinjar b’mod effiċjenti.</w:t>
            </w:r>
          </w:p>
        </w:tc>
        <w:tc>
          <w:tcPr>
            <w:tcW w:w="4876" w:type="dxa"/>
            <w:vAlign w:val="top"/>
          </w:tcPr>
          <w:p>
            <w:pPr>
              <w:pStyle w:val="Normal6a"/>
            </w:pPr>
            <w:r>
              <w:t>7.</w:t>
            </w:r>
            <w:r>
              <w:tab/>
            </w:r>
            <w:r>
              <w:t xml:space="preserve">L-Istati Membri għandhom jaħtru l-awtoritajiet kompetenti sabiex iwettqu l-iskrinjar. Huma għandhom jużaw persunal xieraq u riżorsi suffiċjenti biex iwettqu l-iskrinjar b'mod effiċjenti. </w:t>
            </w:r>
            <w:r>
              <w:rPr>
                <w:b/>
                <w:i/>
                <w:strike w:val="0"/>
                <w:color w:val="auto"/>
                <w:highlight w:val="none"/>
                <w:u w:val="none" w:color="auto"/>
                <w:vertAlign w:val="baseline"/>
              </w:rPr>
              <w:t>L-Istati Membri għandhom jiżguraw li l-awtoritajiet kompetenti jkunu ngħataw taħriġ adegwat, inkluż fid-dritt Ewropew dwar il-migrazzjoni u l-ażil u fid-dritt internazzjonali dwar id-drittijiet tal-bniedem u r-refuġjati.</w:t>
            </w:r>
            <w:r>
              <w:t xml:space="preserve"> </w:t>
            </w:r>
            <w:r>
              <w:rPr>
                <w:b/>
                <w:i/>
                <w:strike w:val="0"/>
                <w:color w:val="auto"/>
                <w:highlight w:val="none"/>
                <w:u w:val="none" w:color="auto"/>
                <w:vertAlign w:val="baseline"/>
              </w:rPr>
              <w:t>L-awtoritajiet kompetenti għandhom ukoll ikunu mħarrġa b’mod adegwat biex jidentifikaw kif xieraq il-persuni f’sitwazzjonijiet vulnerabbli u jirreferuhom għall-proċedura xierqa u appoġġ immirat.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jaħtru persunal mediku kwalifikat biex iwettaq il-verifika tas-saħħa prevista fl-Artikolu 9</w:t>
            </w:r>
            <w:r>
              <w:rPr>
                <w:b/>
                <w:i/>
                <w:strike w:val="0"/>
                <w:color w:val="auto"/>
                <w:highlight w:val="none"/>
                <w:u w:val="none" w:color="auto"/>
                <w:vertAlign w:val="baseline"/>
              </w:rPr>
              <w:t>. L-awtoritajiet nazzjonali għall-protezzjoni tat-tfal u r-rapporteurs nazzjonali kontra t-traffikar għandhom ikunu involuti wkoll, fejn xieraq</w:t>
            </w:r>
            <w:r>
              <w:t>.</w:t>
            </w:r>
          </w:p>
        </w:tc>
        <w:tc>
          <w:tcPr>
            <w:tcW w:w="4876" w:type="dxa"/>
            <w:vAlign w:val="top"/>
          </w:tcPr>
          <w:p>
            <w:pPr>
              <w:pStyle w:val="Normal6a"/>
            </w:pPr>
            <w:r>
              <w:t xml:space="preserve">L-Istati Membri għandhom jaħtru persunal mediku kwalifikat </w:t>
            </w:r>
            <w:r>
              <w:rPr>
                <w:b/>
                <w:i/>
                <w:strike w:val="0"/>
                <w:color w:val="auto"/>
                <w:highlight w:val="none"/>
                <w:u w:val="none" w:color="auto"/>
                <w:vertAlign w:val="baseline"/>
              </w:rPr>
              <w:t>u mħarreġ kif xieraq</w:t>
            </w:r>
            <w:r>
              <w:t xml:space="preserve"> biex iwettaq il-verifika tas-saħħa prevista fl-Artikolu 9 </w:t>
            </w:r>
            <w:r>
              <w:rPr>
                <w:b/>
                <w:i/>
                <w:strike w:val="0"/>
                <w:color w:val="auto"/>
                <w:highlight w:val="none"/>
                <w:u w:val="none" w:color="auto"/>
                <w:vertAlign w:val="baseline"/>
              </w:rPr>
              <w:t>kif ukoll persunal kwalifikat u mħarreġ kif xieraq biex iwettaq il-verifika tal-vulnerabbiltà prevista fl-Artikolu 9a.</w:t>
            </w:r>
            <w:r>
              <w:t xml:space="preserve"> </w:t>
            </w:r>
            <w:r>
              <w:rPr>
                <w:b/>
                <w:i/>
                <w:strike w:val="0"/>
                <w:color w:val="auto"/>
                <w:highlight w:val="none"/>
                <w:u w:val="none" w:color="auto"/>
                <w:vertAlign w:val="baseline"/>
              </w:rPr>
              <w:t>F’każijiet ta’ riżorsi skarsi, l-awtoritajiet nazzjonali jistgħu japplikaw għal appoġġ finanzjarju mill-baġit tal-UE</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Kull Stat Membru għandu jinnotifika lill-Kummissjoni bl-awtoritajiet elenkati hawn fuq.</w:t>
            </w:r>
            <w:r>
              <w:t xml:space="preserve"> </w:t>
            </w:r>
            <w:r>
              <w:rPr>
                <w:b/>
                <w:i/>
                <w:strike w:val="0"/>
                <w:color w:val="auto"/>
                <w:highlight w:val="none"/>
                <w:u w:val="none" w:color="auto"/>
                <w:vertAlign w:val="baseline"/>
              </w:rPr>
              <w:t>L-Istati Membri għandhom jinfurmaw lill-Kummissjoni bi kwalunkwe bidla fl-identità ta' dawn l-awtoritajiet.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L-Istati Membri għandhom jaħtru </w:t>
            </w:r>
            <w:r>
              <w:rPr>
                <w:b/>
                <w:i/>
                <w:strike w:val="0"/>
                <w:color w:val="auto"/>
                <w:highlight w:val="none"/>
                <w:u w:val="none" w:color="auto"/>
                <w:vertAlign w:val="baseline"/>
              </w:rPr>
              <w:t>persunal mediku kwalifikat biex iwettaq il-verifika</w:t>
            </w:r>
            <w:r>
              <w:t xml:space="preserve"> tas-saħħa prevista fl-Artikolu 9. L-awtoritajiet nazzjonali għall-protezzjoni tat-tfal u r-rapporteurs nazzjonali kontra t-traffikar għandhom ikunu involuti wkoll</w:t>
            </w:r>
            <w:r>
              <w:rPr>
                <w:b/>
                <w:i/>
                <w:strike w:val="0"/>
                <w:color w:val="auto"/>
                <w:highlight w:val="none"/>
                <w:u w:val="none" w:color="auto"/>
                <w:vertAlign w:val="baseline"/>
              </w:rPr>
              <w:t>, fejn xieraq</w:t>
            </w:r>
            <w:r>
              <w:t>.</w:t>
            </w:r>
          </w:p>
        </w:tc>
        <w:tc>
          <w:tcPr>
            <w:tcW w:w="4876" w:type="dxa"/>
            <w:vAlign w:val="top"/>
          </w:tcPr>
          <w:p>
            <w:pPr>
              <w:pStyle w:val="Normal6a"/>
            </w:pPr>
            <w:r>
              <w:t xml:space="preserve">L-Istati Membri għandhom jaħtru </w:t>
            </w:r>
            <w:r>
              <w:rPr>
                <w:b/>
                <w:i/>
                <w:strike w:val="0"/>
                <w:color w:val="auto"/>
                <w:highlight w:val="none"/>
                <w:u w:val="none" w:color="auto"/>
                <w:vertAlign w:val="baseline"/>
              </w:rPr>
              <w:t>professjonisti mediċi kwalifikati biex iwettqu l-verifika</w:t>
            </w:r>
            <w:r>
              <w:t xml:space="preserve"> tas-saħħa prevista fl-Artikolu 9</w:t>
            </w:r>
            <w:r>
              <w:rPr>
                <w:b/>
                <w:i/>
                <w:strike w:val="0"/>
                <w:color w:val="auto"/>
                <w:highlight w:val="none"/>
                <w:u w:val="none" w:color="auto"/>
                <w:vertAlign w:val="baseline"/>
              </w:rPr>
              <w:t>, dejjem f’konformità mal-Artikoli 1, 3 u 4 tal-Karta tad-Drittijiet Fundamentali tal-UE.</w:t>
            </w:r>
            <w:r>
              <w:t xml:space="preserve"> </w:t>
            </w:r>
            <w:r>
              <w:rPr>
                <w:b/>
                <w:i/>
                <w:strike w:val="0"/>
                <w:color w:val="auto"/>
                <w:highlight w:val="none"/>
                <w:u w:val="none" w:color="auto"/>
                <w:vertAlign w:val="baseline"/>
              </w:rPr>
              <w:t>Il-professjonisti mediċi għandhom jitħarrġu sabiex ikunu jistgħu jidentifikaw b’mod xieraq il-vulnerabbiltajiet u l-persuni bi bżonnijiet speċjali u jirreferuhom kif xieraq</w:t>
            </w:r>
            <w:r>
              <w:t>. L-awtoritajiet nazzjonali għall-protezzjoni tat-tfal u r-rapporteurs nazzjonali kontra t-traffikar għandhom ikunu involuti wkoll</w:t>
            </w:r>
            <w:r>
              <w:rPr>
                <w:b/>
                <w:i/>
                <w:strike w:val="0"/>
                <w:color w:val="auto"/>
                <w:highlight w:val="none"/>
                <w:u w:val="none" w:color="auto"/>
                <w:vertAlign w:val="baseline"/>
              </w:rPr>
              <w:t>.</w:t>
            </w:r>
            <w:r>
              <w:t xml:space="preserve"> </w:t>
            </w:r>
            <w:r>
              <w:rPr>
                <w:b/>
                <w:i/>
                <w:strike w:val="0"/>
                <w:color w:val="auto"/>
                <w:highlight w:val="none"/>
                <w:u w:val="none" w:color="auto"/>
                <w:vertAlign w:val="baseline"/>
              </w:rPr>
              <w:t>L-Istati Membri għandhom jaħtru wkoll uffiċjali għall-protezzjoni kontra t-traffikar li jappoġġaw l-identifikazzjoni bikrija tal-vittmi potenzjali u jiżguraw il-protezzjoni tagħhom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L-Istati Membri għandhom jaħtru </w:t>
            </w:r>
            <w:r>
              <w:rPr>
                <w:b/>
                <w:i/>
                <w:strike w:val="0"/>
                <w:color w:val="auto"/>
                <w:highlight w:val="none"/>
                <w:u w:val="none" w:color="auto"/>
                <w:vertAlign w:val="baseline"/>
              </w:rPr>
              <w:t>persunal mediku kwalifikat biex iwettaq il-verifika</w:t>
            </w:r>
            <w:r>
              <w:t xml:space="preserve"> tas-saħħa prevista fl-Artikolu 9. L-awtoritajiet nazzjonali għall-protezzjoni tat-tfal u r-rapporteurs nazzjonali kontra t-traffikar għandhom ikunu involuti wkoll</w:t>
            </w:r>
            <w:r>
              <w:rPr>
                <w:b/>
                <w:i/>
                <w:strike w:val="0"/>
                <w:color w:val="auto"/>
                <w:highlight w:val="none"/>
                <w:u w:val="none" w:color="auto"/>
                <w:vertAlign w:val="baseline"/>
              </w:rPr>
              <w:t>, fejn xieraq</w:t>
            </w:r>
            <w:r>
              <w:t>.</w:t>
            </w:r>
          </w:p>
        </w:tc>
        <w:tc>
          <w:tcPr>
            <w:tcW w:w="4876" w:type="dxa"/>
            <w:vAlign w:val="top"/>
          </w:tcPr>
          <w:p>
            <w:pPr>
              <w:pStyle w:val="Normal6a"/>
            </w:pPr>
            <w:r>
              <w:t xml:space="preserve">L-Istati Membri għandhom jaħtru </w:t>
            </w:r>
            <w:r>
              <w:rPr>
                <w:b/>
                <w:i/>
                <w:strike w:val="0"/>
                <w:color w:val="auto"/>
                <w:highlight w:val="none"/>
                <w:u w:val="none" w:color="auto"/>
                <w:vertAlign w:val="baseline"/>
              </w:rPr>
              <w:t>professjonisti mediċi kwalifikati biex iwettqu l-verifika</w:t>
            </w:r>
            <w:r>
              <w:t xml:space="preserve"> tas-saħħa prevista fl-Artikolu 9. L-awtoritajiet nazzjonali għall-protezzjoni tat-tfal u r-rapporteurs nazzjonali kontra t-traffikar għandhom ikunu involuti wkoll.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jaħtru persunal mediku kwalifikat biex iwettaq il-verifika tas-saħħa prevista fl-Artikolu 9. L-awtoritajiet nazzjonali għall-protezzjoni tat-tfal u r-rapporteurs nazzjonali kontra t-traffikar għandhom ikunu involuti wkoll, fejn xieraq.</w:t>
            </w:r>
          </w:p>
        </w:tc>
        <w:tc>
          <w:tcPr>
            <w:tcW w:w="4876" w:type="dxa"/>
            <w:vAlign w:val="top"/>
          </w:tcPr>
          <w:p>
            <w:pPr>
              <w:pStyle w:val="Normal6a"/>
            </w:pPr>
            <w:r>
              <w:t xml:space="preserve">L-Istati Membri għandhom jaħtru persunal mediku kwalifikat biex iwettaq il-verifika tas-saħħa prevista fl-Artikolu 9 </w:t>
            </w:r>
            <w:r>
              <w:rPr>
                <w:b/>
                <w:i/>
                <w:strike w:val="0"/>
                <w:color w:val="auto"/>
                <w:highlight w:val="none"/>
                <w:u w:val="none" w:color="auto"/>
                <w:vertAlign w:val="baseline"/>
              </w:rPr>
              <w:t>u l-ittestjar tal-għadam previst fl-Artikolu 6</w:t>
            </w:r>
            <w:r>
              <w:t>. L-awtoritajiet nazzjonali għall-protezzjoni tat-tfal u r-rapporteurs nazzjonali kontra t-traffikar għandhom ikunu involuti wkoll, fejn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jiżguraw li jinħatar kustodju legali għal minorenni mhux akkumpanjat, jew persuna li tiddikjara li hija minorenni mhux akkumpanjat, malli jibda l-iskrinjar.</w:t>
            </w:r>
            <w:r>
              <w:t xml:space="preserve"> </w:t>
            </w:r>
            <w:r>
              <w:rPr>
                <w:b/>
                <w:i/>
                <w:strike w:val="0"/>
                <w:color w:val="auto"/>
                <w:highlight w:val="none"/>
                <w:u w:val="none" w:color="auto"/>
                <w:vertAlign w:val="baseline"/>
              </w:rPr>
              <w:t>Għal raġunijiet ta’ koerenza u konsistenza, u jekk dan ikun fl-aħjar interess tat-tfal, il-kustodju għandu jibqa’ l-istess wieħed fil-proċedura sussegwenti.</w:t>
            </w:r>
            <w:r>
              <w:t xml:space="preserve"> </w:t>
            </w:r>
            <w:r>
              <w:rPr>
                <w:b/>
                <w:i/>
                <w:strike w:val="0"/>
                <w:color w:val="auto"/>
                <w:highlight w:val="none"/>
                <w:u w:val="none" w:color="auto"/>
                <w:vertAlign w:val="baseline"/>
              </w:rPr>
              <w:t>L-awtoritajiet nazzjonali għall-protezzjoni tat-tfal u r-rapporteurs nazzjonali kontra t-traffikar għandhom ikunu involuti wkoll meta l-iskrinjar isir fuq minorenni, irrispettivament minn jekk dawn ikunux akkumpanjat jew 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L-aħjar interessi tat-tfal għandhom jikkostitwixxu kunsiderazzjoni primarja meta jiġi implimentat dan ir-Regolament.</w:t>
            </w:r>
            <w:r>
              <w:t xml:space="preserve"> </w:t>
            </w:r>
            <w:r>
              <w:rPr>
                <w:b/>
                <w:i/>
                <w:strike w:val="0"/>
                <w:color w:val="auto"/>
                <w:highlight w:val="none"/>
                <w:u w:val="none" w:color="auto"/>
                <w:vertAlign w:val="baseline"/>
              </w:rPr>
              <w:t>Il-prinċipju tal-"benefiċċju tad-dubju" favur il-minorenni japplika dejjem meta l-età ta’ persuna ma tkunx ċara jew tkun ikkontestata u ma tkun teżisti l-ebda dokumentazzjoni ta’ sostenn li tagħti prova tal-età ta' dik il-persuna.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L-awtoritajiet kompetenti </w:t>
            </w:r>
            <w:r>
              <w:rPr>
                <w:b/>
                <w:i/>
                <w:strike w:val="0"/>
                <w:color w:val="auto"/>
                <w:highlight w:val="none"/>
                <w:u w:val="none" w:color="auto"/>
                <w:vertAlign w:val="baseline"/>
              </w:rPr>
              <w:t>jistgħu jiġu assistiti jew</w:t>
            </w:r>
            <w:r>
              <w:t xml:space="preserve"> appoġġati fit-twettiq tal-iskrinjar minn </w:t>
            </w:r>
            <w:r>
              <w:rPr>
                <w:b/>
                <w:i/>
                <w:strike w:val="0"/>
                <w:color w:val="auto"/>
                <w:highlight w:val="none"/>
                <w:u w:val="none" w:color="auto"/>
                <w:vertAlign w:val="baseline"/>
              </w:rPr>
              <w:t>esperti jew uffiċjali u timijiet ta’ kollegament mibgħuta mill-Aġenzija</w:t>
            </w:r>
            <w:r>
              <w:t xml:space="preserve"> Ewropea </w:t>
            </w:r>
            <w:r>
              <w:rPr>
                <w:b/>
                <w:i/>
                <w:strike w:val="0"/>
                <w:color w:val="auto"/>
                <w:highlight w:val="none"/>
                <w:u w:val="none" w:color="auto"/>
                <w:vertAlign w:val="baseline"/>
              </w:rPr>
              <w:t>għall-Gwardja</w:t>
            </w:r>
            <w:r>
              <w:t xml:space="preserve"> tal-Fruntiera u tal-Kosta u l-[Aġenzija tal-Unjoni Ewropea </w:t>
            </w:r>
            <w:r>
              <w:rPr>
                <w:b/>
                <w:i/>
                <w:strike w:val="0"/>
                <w:color w:val="auto"/>
                <w:highlight w:val="none"/>
                <w:u w:val="none" w:color="auto"/>
                <w:vertAlign w:val="baseline"/>
              </w:rPr>
              <w:t>għall-Asil</w:t>
            </w:r>
            <w:r>
              <w:t xml:space="preserve">] </w:t>
            </w:r>
            <w:r>
              <w:rPr>
                <w:b/>
                <w:i/>
                <w:strike w:val="0"/>
                <w:color w:val="auto"/>
                <w:highlight w:val="none"/>
                <w:u w:val="none" w:color="auto"/>
                <w:vertAlign w:val="baseline"/>
              </w:rPr>
              <w:t>fil-limiti tal-mandati tagħhom</w:t>
            </w:r>
            <w:r>
              <w:t>.</w:t>
            </w:r>
          </w:p>
        </w:tc>
        <w:tc>
          <w:tcPr>
            <w:tcW w:w="4876" w:type="dxa"/>
            <w:vAlign w:val="top"/>
          </w:tcPr>
          <w:p>
            <w:pPr>
              <w:pStyle w:val="Normal6a"/>
            </w:pPr>
            <w:r>
              <w:t xml:space="preserve">L-awtoritajiet kompetenti </w:t>
            </w:r>
            <w:r>
              <w:rPr>
                <w:b/>
                <w:i/>
                <w:strike w:val="0"/>
                <w:color w:val="auto"/>
                <w:highlight w:val="none"/>
                <w:u w:val="none" w:color="auto"/>
                <w:vertAlign w:val="baseline"/>
              </w:rPr>
              <w:t>għandhom jiġu</w:t>
            </w:r>
            <w:r>
              <w:t xml:space="preserve"> appoġġati fit-twettiq tal-iskrinjar minn </w:t>
            </w:r>
            <w:r>
              <w:rPr>
                <w:b/>
                <w:i/>
                <w:strike w:val="0"/>
                <w:color w:val="auto"/>
                <w:highlight w:val="none"/>
                <w:u w:val="none" w:color="auto"/>
                <w:vertAlign w:val="baseline"/>
              </w:rPr>
              <w:t>membri tal-Korp Permanenti tal-Gwardja</w:t>
            </w:r>
            <w:r>
              <w:t xml:space="preserve"> Ewropea tal-Fruntiera u tal-Kosta u l-[Aġenzija tal-Unjoni Ewropea </w:t>
            </w:r>
            <w:r>
              <w:rPr>
                <w:b/>
                <w:i/>
                <w:strike w:val="0"/>
                <w:color w:val="auto"/>
                <w:highlight w:val="none"/>
                <w:u w:val="none" w:color="auto"/>
                <w:vertAlign w:val="baseline"/>
              </w:rPr>
              <w:t>għall-Ażil] f’konformità mal-punt (a) tal-Artikolu 40(4) tar-Regolament 2019/1896 dwar il-Gwardja Ewropea tal-Fruntiera u tal-Kosta u r-Regolament [...</w:t>
            </w:r>
            <w:r>
              <w:t xml:space="preserve">] </w:t>
            </w:r>
            <w:r>
              <w:rPr>
                <w:b/>
                <w:i/>
                <w:strike w:val="0"/>
                <w:color w:val="auto"/>
                <w:highlight w:val="none"/>
                <w:u w:val="none" w:color="auto"/>
                <w:vertAlign w:val="baseline"/>
              </w:rPr>
              <w:t>dwar l-Aġenzija tal-Unjoni Ewropea għall-Ażil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L-awtoritajiet kompetenti </w:t>
            </w:r>
            <w:r>
              <w:rPr>
                <w:b/>
                <w:i/>
                <w:strike w:val="0"/>
                <w:color w:val="auto"/>
                <w:highlight w:val="none"/>
                <w:u w:val="none" w:color="auto"/>
                <w:vertAlign w:val="baseline"/>
              </w:rPr>
              <w:t>jistgħu</w:t>
            </w:r>
            <w:r>
              <w:t xml:space="preserve"> jiġu assistiti jew appoġġati fit-twettiq tal-iskrinjar minn esperti jew uffiċjali u timijiet </w:t>
            </w:r>
            <w:r>
              <w:rPr>
                <w:b/>
                <w:i/>
                <w:strike w:val="0"/>
                <w:color w:val="auto"/>
                <w:highlight w:val="none"/>
                <w:u w:val="none" w:color="auto"/>
                <w:vertAlign w:val="baseline"/>
              </w:rPr>
              <w:t>ta’ kollegament mibgħuta mill-Aġenzija</w:t>
            </w:r>
            <w:r>
              <w:t xml:space="preserve"> Ewropea għall-Gwardja tal-Fruntiera u tal-Kosta u l-[Aġenzija tal-Unjoni Ewropea </w:t>
            </w:r>
            <w:r>
              <w:rPr>
                <w:b/>
                <w:i/>
                <w:strike w:val="0"/>
                <w:color w:val="auto"/>
                <w:highlight w:val="none"/>
                <w:u w:val="none" w:color="auto"/>
                <w:vertAlign w:val="baseline"/>
              </w:rPr>
              <w:t>għall-Asil</w:t>
            </w:r>
            <w:r>
              <w:t>] fil-limiti tal-mandati tagħhom.</w:t>
            </w:r>
          </w:p>
        </w:tc>
        <w:tc>
          <w:tcPr>
            <w:tcW w:w="4876" w:type="dxa"/>
            <w:vAlign w:val="top"/>
          </w:tcPr>
          <w:p>
            <w:pPr>
              <w:pStyle w:val="Normal6a"/>
            </w:pPr>
            <w:r>
              <w:rPr>
                <w:b/>
                <w:i/>
                <w:strike w:val="0"/>
                <w:color w:val="auto"/>
                <w:highlight w:val="none"/>
                <w:u w:val="none" w:color="auto"/>
                <w:vertAlign w:val="baseline"/>
              </w:rPr>
              <w:t>Il-funzjonament xieraq tal-proċedura tal-iskrinjar u l-konformità tagħha mal-Karta tad-Drittijiet Fundamentali jiddependu b’mod inerenti fuq id-disponibbiltà ta’ persunal adegwat u kkwalifikat fl-istadji kollha tal-proċedura.</w:t>
            </w:r>
            <w:r>
              <w:t xml:space="preserve"> L-awtoritajiet kompetenti </w:t>
            </w:r>
            <w:r>
              <w:rPr>
                <w:b/>
                <w:i/>
                <w:strike w:val="0"/>
                <w:color w:val="auto"/>
                <w:highlight w:val="none"/>
                <w:u w:val="none" w:color="auto"/>
                <w:vertAlign w:val="baseline"/>
              </w:rPr>
              <w:t>għandhom għalhekk</w:t>
            </w:r>
            <w:r>
              <w:t xml:space="preserve"> jiġu assistiti jew appoġġati fit-twettiq tal-iskrinjar minn esperti jew uffiċjali </w:t>
            </w:r>
            <w:r>
              <w:rPr>
                <w:b/>
                <w:i/>
                <w:strike w:val="0"/>
                <w:color w:val="auto"/>
                <w:highlight w:val="none"/>
                <w:u w:val="none" w:color="auto"/>
                <w:vertAlign w:val="baseline"/>
              </w:rPr>
              <w:t>ta’ kollegament</w:t>
            </w:r>
            <w:r>
              <w:t xml:space="preserve"> u timijiet </w:t>
            </w:r>
            <w:r>
              <w:rPr>
                <w:b/>
                <w:i/>
                <w:strike w:val="0"/>
                <w:color w:val="auto"/>
                <w:highlight w:val="none"/>
                <w:u w:val="none" w:color="auto"/>
                <w:vertAlign w:val="baseline"/>
              </w:rPr>
              <w:t>mibgħuta minn korpi, uffiċċji u aġenziji tal-Unjoni, organizzazzjonijiet internazzjonali u organizzazzjonijiet mhux governattivi, b’mod partikolari l-Aġenzija</w:t>
            </w:r>
            <w:r>
              <w:t xml:space="preserve"> Ewropea għall-Gwardja tal-Fruntiera u tal-Kosta u l-[Aġenzija tal-Unjoni Ewropea </w:t>
            </w:r>
            <w:r>
              <w:rPr>
                <w:b/>
                <w:i/>
                <w:strike w:val="0"/>
                <w:color w:val="auto"/>
                <w:highlight w:val="none"/>
                <w:u w:val="none" w:color="auto"/>
                <w:vertAlign w:val="baseline"/>
              </w:rPr>
              <w:t>għall-Ażil</w:t>
            </w:r>
            <w:r>
              <w:t xml:space="preserve">] fil-limiti tal-mandati tagħhom. </w:t>
            </w:r>
            <w:r>
              <w:rPr>
                <w:b/>
                <w:i/>
                <w:strike w:val="0"/>
                <w:color w:val="auto"/>
                <w:highlight w:val="none"/>
                <w:u w:val="none" w:color="auto"/>
                <w:vertAlign w:val="baseline"/>
              </w:rPr>
              <w:t>B’mod partikolari, dan għandu jkun il-każ meta l-Istat Membru jkun iffaċċjat b’sitwazzjoni ta’ influss bil-massa ta' persuni u meta l-istruttura operattiva u s-sistema tal-ażil tiegħu jkunu mgħobbija żżejjed.</w:t>
            </w:r>
            <w:r>
              <w:t xml:space="preserve"> </w:t>
            </w:r>
            <w:r>
              <w:rPr>
                <w:b/>
                <w:i/>
                <w:strike w:val="0"/>
                <w:color w:val="auto"/>
                <w:highlight w:val="none"/>
                <w:u w:val="none" w:color="auto"/>
                <w:vertAlign w:val="baseline"/>
              </w:rPr>
              <w:t>Il-Kummissjoni għandha tassisti wkoll lill-awtoritajiet kompetenti fl-ippjanar tal-allokazzjoni tal-persunal kwalifikat, bil-ħsieb li jiġu żgurati kundizzjonijiet ekwi fl-Istati Membri kollha.</w:t>
            </w:r>
            <w:r>
              <w:t xml:space="preserve"> </w:t>
            </w:r>
            <w:r>
              <w:rPr>
                <w:b/>
                <w:i/>
                <w:strike w:val="0"/>
                <w:color w:val="auto"/>
                <w:highlight w:val="none"/>
                <w:u w:val="none" w:color="auto"/>
                <w:vertAlign w:val="baseline"/>
              </w:rPr>
              <w:t>Meta korp, uffiċċju jew aġenzija tal-Unjoni jqisu li jkun meħtieġ li jipproponu appoġġ lil Stat Membru speċifiku, dak l-Istat Membru għandu jieħu kont debitu ta' dik il-proposta u għandu jkun jista' jaċċettaha, jemendaha jew jirrifjutaha.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L-awtoritajiet kompetenti jistgħu jiġu assistiti jew appoġġati fit-twettiq tal-iskrinjar minn esperti jew uffiċjali </w:t>
            </w:r>
            <w:r>
              <w:rPr>
                <w:b/>
                <w:i/>
                <w:strike w:val="0"/>
                <w:color w:val="auto"/>
                <w:highlight w:val="none"/>
                <w:u w:val="none" w:color="auto"/>
                <w:vertAlign w:val="baseline"/>
              </w:rPr>
              <w:t>u timijiet</w:t>
            </w:r>
            <w:r>
              <w:t xml:space="preserve"> ta’ kollegament mibgħuta mill-Aġenzija Ewropea għall-Gwardja tal-Fruntiera u tal-Kosta u l-[Aġenzija tal-Unjoni Ewropea </w:t>
            </w:r>
            <w:r>
              <w:rPr>
                <w:b/>
                <w:i/>
                <w:strike w:val="0"/>
                <w:color w:val="auto"/>
                <w:highlight w:val="none"/>
                <w:u w:val="none" w:color="auto"/>
                <w:vertAlign w:val="baseline"/>
              </w:rPr>
              <w:t>għall-Asil</w:t>
            </w:r>
            <w:r>
              <w:t>] fil-limiti tal-mandati tagħhom.</w:t>
            </w:r>
          </w:p>
        </w:tc>
        <w:tc>
          <w:tcPr>
            <w:tcW w:w="4876" w:type="dxa"/>
            <w:vAlign w:val="top"/>
          </w:tcPr>
          <w:p>
            <w:pPr>
              <w:pStyle w:val="Normal6a"/>
            </w:pPr>
            <w:r>
              <w:t>L-awtoritajiet kompetenti jistgħu jiġu assistiti jew appoġġati fit-twettiq tal-iskrinjar minn esperti jew uffiċjali ta’ kollegament</w:t>
            </w:r>
            <w:r>
              <w:rPr>
                <w:b/>
                <w:i/>
                <w:strike w:val="0"/>
                <w:color w:val="auto"/>
                <w:highlight w:val="none"/>
                <w:u w:val="none" w:color="auto"/>
                <w:vertAlign w:val="baseline"/>
              </w:rPr>
              <w:t>u timijiet</w:t>
            </w:r>
            <w:r>
              <w:t>mibgħuta mill-Aġenzija Ewropea għall-Gwardja tal-Fruntiera u tal-Kosta u l-[Aġenzija tal-Unjoni Ewropea</w:t>
            </w:r>
            <w:r>
              <w:rPr>
                <w:b/>
                <w:i/>
                <w:strike w:val="0"/>
                <w:color w:val="auto"/>
                <w:highlight w:val="none"/>
                <w:u w:val="none" w:color="auto"/>
                <w:vertAlign w:val="baseline"/>
              </w:rPr>
              <w:t>għall-Ażil</w:t>
            </w:r>
            <w:r>
              <w:t>] fil-limiti tal-mandati tagħhom</w:t>
            </w:r>
            <w:r>
              <w:rPr>
                <w:b/>
                <w:i/>
                <w:strike w:val="0"/>
                <w:color w:val="auto"/>
                <w:highlight w:val="none"/>
                <w:u w:val="none" w:color="auto"/>
                <w:vertAlign w:val="baseline"/>
              </w:rPr>
              <w:t>, dment li l-persunal speċifiku jkollu t-taħriġ u l-kwalifiki kif stabbilit fiż-żewġ subparagrafi ta' hawn fuq</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Ir-rwol, is-setgħat, il-kompiti, ir-responsabbiltajiet u l-attivitajiet, inkluż l-ipproċessar ta’ data personali, taż-żewġ Aġenziji għandhom ikunu definiti b’mod ċar, limitati għal kompiti ta’ appoġġ, u miftuħa għal skrutinju estern, inkluż permezz ta’ mekkaniżmi effettivi għall-ilmenti u mill-mekkaniżmu ta’ monitoraġġ indipendenti previst fl-Artikolu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L-awtoritajiet kompetenti jistgħu jiġu assistiti jew appoġġati fit-twettiq tal-iskrinjar minn esperti jew uffiċjali </w:t>
            </w:r>
            <w:r>
              <w:rPr>
                <w:b/>
                <w:i/>
                <w:strike w:val="0"/>
                <w:color w:val="auto"/>
                <w:highlight w:val="none"/>
                <w:u w:val="none" w:color="auto"/>
                <w:vertAlign w:val="baseline"/>
              </w:rPr>
              <w:t>u timijiet</w:t>
            </w:r>
            <w:r>
              <w:t xml:space="preserve"> ta’ kollegament mibgħuta mill-Aġenzija Ewropea għall-Gwardja tal-Fruntiera u tal-Kosta u l-[Aġenzija tal-Unjoni Ewropea </w:t>
            </w:r>
            <w:r>
              <w:rPr>
                <w:b/>
                <w:i/>
                <w:strike w:val="0"/>
                <w:color w:val="auto"/>
                <w:highlight w:val="none"/>
                <w:u w:val="none" w:color="auto"/>
                <w:vertAlign w:val="baseline"/>
              </w:rPr>
              <w:t>għall-Asil</w:t>
            </w:r>
            <w:r>
              <w:t>] fil-limiti tal-mandati tagħhom.</w:t>
            </w:r>
          </w:p>
        </w:tc>
        <w:tc>
          <w:tcPr>
            <w:tcW w:w="4876" w:type="dxa"/>
            <w:vAlign w:val="top"/>
          </w:tcPr>
          <w:p>
            <w:pPr>
              <w:pStyle w:val="Normal6a"/>
            </w:pPr>
            <w:r>
              <w:t xml:space="preserve">L-awtoritajiet kompetenti jistgħu jiġu assistiti jew appoġġati fit-twettiq tal-iskrinjar minn esperti jew uffiċjali ta' kollegament </w:t>
            </w:r>
            <w:r>
              <w:rPr>
                <w:b/>
                <w:i/>
                <w:strike w:val="0"/>
                <w:color w:val="auto"/>
                <w:highlight w:val="none"/>
                <w:u w:val="none" w:color="auto"/>
                <w:vertAlign w:val="baseline"/>
              </w:rPr>
              <w:t>u timijiet</w:t>
            </w:r>
            <w:r>
              <w:t xml:space="preserve"> mibgħuta mill-Aġenzija Ewropea għall-Gwardja tal-Fruntiera u tal-Kosta u l-[Aġenzija tal-Unjoni Ewropea </w:t>
            </w:r>
            <w:r>
              <w:rPr>
                <w:b/>
                <w:i/>
                <w:strike w:val="0"/>
                <w:color w:val="auto"/>
                <w:highlight w:val="none"/>
                <w:u w:val="none" w:color="auto"/>
                <w:vertAlign w:val="baseline"/>
              </w:rPr>
              <w:t>għall-Ażil</w:t>
            </w:r>
            <w:r>
              <w:t xml:space="preserve">] fil-limiti tal-mandati tagħhom. </w:t>
            </w:r>
            <w:r>
              <w:rPr>
                <w:b/>
                <w:i/>
                <w:strike w:val="0"/>
                <w:color w:val="auto"/>
                <w:highlight w:val="none"/>
                <w:u w:val="none" w:color="auto"/>
                <w:vertAlign w:val="baseline"/>
              </w:rPr>
              <w:t>Il-kompiti u l-attivitajiet imwettqa fil-qafas ta’ dan ir-Regolament mill-persunal rilevanti tal-aġenziji tal-UE għandhom ikunu soġġetti wkoll għall-monitoraġġ imsemmi fl-Artikolu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L-awtoritajiet kompetenti jistgħu jiġu assistiti jew appoġġati fit-twettiq tal-iskrinjar minn esperti jew uffiċjali </w:t>
            </w:r>
            <w:r>
              <w:rPr>
                <w:b/>
                <w:i/>
                <w:strike w:val="0"/>
                <w:color w:val="auto"/>
                <w:highlight w:val="none"/>
                <w:u w:val="none" w:color="auto"/>
                <w:vertAlign w:val="baseline"/>
              </w:rPr>
              <w:t>u timijiet</w:t>
            </w:r>
            <w:r>
              <w:t xml:space="preserve"> ta’ kollegament mibgħuta mill-Aġenzija Ewropea għall-Gwardja tal-Fruntiera u tal-Kosta u l-[Aġenzija tal-Unjoni Ewropea </w:t>
            </w:r>
            <w:r>
              <w:rPr>
                <w:b/>
                <w:i/>
                <w:strike w:val="0"/>
                <w:color w:val="auto"/>
                <w:highlight w:val="none"/>
                <w:u w:val="none" w:color="auto"/>
                <w:vertAlign w:val="baseline"/>
              </w:rPr>
              <w:t>għall-Asil</w:t>
            </w:r>
            <w:r>
              <w:t>] fil-limiti tal-mandati tagħhom.</w:t>
            </w:r>
          </w:p>
        </w:tc>
        <w:tc>
          <w:tcPr>
            <w:tcW w:w="4876" w:type="dxa"/>
            <w:vAlign w:val="top"/>
          </w:tcPr>
          <w:p>
            <w:pPr>
              <w:pStyle w:val="Normal6a"/>
            </w:pPr>
            <w:r>
              <w:t xml:space="preserve">L-awtoritajiet kompetenti jistgħu jiġu assistiti jew appoġġati fit-twettiq tal-iskrinjar minn esperti jew uffiċjali ta' kollegament </w:t>
            </w:r>
            <w:r>
              <w:rPr>
                <w:b/>
                <w:i/>
                <w:strike w:val="0"/>
                <w:color w:val="auto"/>
                <w:highlight w:val="none"/>
                <w:u w:val="none" w:color="auto"/>
                <w:vertAlign w:val="baseline"/>
              </w:rPr>
              <w:t>u timijiet</w:t>
            </w:r>
            <w:r>
              <w:t xml:space="preserve"> mibgħuta </w:t>
            </w:r>
            <w:r>
              <w:rPr>
                <w:b/>
                <w:i/>
                <w:strike w:val="0"/>
                <w:color w:val="auto"/>
                <w:highlight w:val="none"/>
                <w:u w:val="none" w:color="auto"/>
                <w:vertAlign w:val="baseline"/>
              </w:rPr>
              <w:t>fuq talba tal-Istati Membru kkonċernat</w:t>
            </w:r>
            <w:r>
              <w:t xml:space="preserve"> mill-Aġenzija Ewropea għall-Gwardja tal-Fruntiera u tal-Kosta u l-[Aġenzija tal-Unjoni Ewropea </w:t>
            </w:r>
            <w:r>
              <w:rPr>
                <w:b/>
                <w:i/>
                <w:strike w:val="0"/>
                <w:color w:val="auto"/>
                <w:highlight w:val="none"/>
                <w:u w:val="none" w:color="auto"/>
                <w:vertAlign w:val="baseline"/>
              </w:rPr>
              <w:t>għall-Ażil</w:t>
            </w:r>
            <w:r>
              <w:t>] fil-limiti tal-mandati tagħhom.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L-Istati Membri għandhom jistabbilixxu salvagwardji speċifiċi, pereżempju billi: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jaħtru malajr kemm jista’ jkun u qabel ma jibda l-iskrinjar, rappreżentant meta jkun ikkonċernat minorenni mhux akkumpanjat, jew persuna li tiddikjara li hija minorenni mhux akkumpanjat;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japplikaw dejjem il-prinċipju tal-"benefiċċju tad-dubju" favur il-minorenni meta l-età ta’ persuna ma tkunx ċara jew tkun ikkontestata u ma tkun teżisti l-ebda dokumentazzjoni ta’ sostenn li tagħti prova tal-età ta' dik il-persuna.</w:t>
            </w:r>
            <w:r>
              <w:rPr>
                <w:b/>
                <w:i/>
                <w:strike w:val="0"/>
                <w:color w:val="auto"/>
                <w:highlight w:val="none"/>
                <w:u w:val="none" w:color="auto"/>
                <w:vertAlign w:val="baseline"/>
              </w:rPr>
              <w:t>Għalhekk, jittrattaw bħala minorenni kwalunkwe persuna li fir-rigward tagħha jkun hemm raġunijiet biex wieħed jemmen li hija minorenni kif ukoll kwalunkwe persuna li tiddikjara li hija minorenni, sakemm dokumentazzjoni jew valutazzjoni tal-età ma tagħtix prova kuntrarja.</w:t>
            </w:r>
            <w:r>
              <w:rPr>
                <w:b/>
                <w:i/>
                <w:strike w:val="0"/>
                <w:color w:val="auto"/>
                <w:highlight w:val="none"/>
                <w:u w:val="none" w:color="auto"/>
                <w:vertAlign w:val="baseline"/>
              </w:rPr>
              <w:t>Il-proċeduri ta’ valutazzjoni tal-età għandhom isiru biss meta jkun hemm dubju raġonevoli li l-persuna ma tkunx minorenni, għandhom jirrispettaw l-aħjar interessi tat-tfal u primarjament jużaw proċeduri mhux mediċi u, taħt l-ebda ċirkostanza, ma għandhom jużaw tneżżigħ furzat jew eżami tal-ġenitali;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jiżguraw li, minbarra l-mekkaniżmu ta’ monitoraġġ imsemmi fl-Artikolu 7, l-organizzazzjonijiet mhux governattivi u tas-soċjetà ċivili speċjalizzati fil-protezzjoni tat-tfal għandu jkollhom aċċess għall-monitoraġġ tal-proċeduri ta’ identifikazzjoni, verifika u valutazzjoni tal-età;</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 l-iskrinjar ta’ tfal mhux akkumpanjati u tfal mal-familji tagħhom isir f’faċilitajiet xierqa għall-akkoljenza ta’ minorenni mhux akkumpanjati jew ta’ familji fit-territorju tal-Istati Membri, fi ħdan is-sistema prinċipali ta’ protezzjoni għall-minorenni;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 jiżguraw li d-dikjarazzjonijiet tal-minorenni jiffurmaw il-bażi tal-formola ta’ debriefing biss jekk ikunu assistiti mill-ġenitur(i) tagħhom jew minn rappreżentant;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 jiżguraw li ċ-ċittadin ta’ pajjiż terz ikkonċernat jista’ jkollu aċċess għall-informazzjoni inkluża fil-formola ta’ debriefing u jkun jista' jikkoreġiha;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(g) jiżguraw li ċ-ċittadini kollha ta’ pajjiżi terzi kkonċernati jkollhom aċċess għal għajnuna legali mingħajr ħlas.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Iċ-ċittadini ta’ pajjiżi terzi għandhom jiġu infurmati bid-dritt tagħhom li jaċċessaw konsulenza jew parir legali mingħajr ħlas matul l-iskrinjar u l-Istati Membri għandhom jippermettu tali aċċess jekk iċ-ċittadini ta’ pajjiżi terzi jitolbu dan bil-fomm jew bil-miktub.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7</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Monitoraġġ tad-drittijiet fundamentali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L-Istati Membri għandhom jadottaw id-dispożizzjonijiet rilevanti biex jinvestigaw allegazzjonijiet ta’ nuqqas ta’ rispett tad-drittijiet fundamentali fir-rigward tal-iskrinjar.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Kull Stat Membru għandu jistabbilixxi mekkaniżmu ta’ monitoraġġ indipendenti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tiġi żgurata l-konformità mad-dritt tal-Unjoni u dak internazzjonali, inkluża l-Karta tad-Drittijiet Fundamentali, matul l-iskrinjar;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jistabbilixxu salvagwardji adegwati biex jiggarantixxu l-indipendenza tal-mekkaniżmu.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L-Istati Membri għandhom jadottaw </w:t>
            </w:r>
            <w:r>
              <w:rPr>
                <w:b/>
                <w:i/>
                <w:strike w:val="0"/>
                <w:color w:val="auto"/>
                <w:highlight w:val="none"/>
                <w:u w:val="none" w:color="auto"/>
                <w:vertAlign w:val="baseline"/>
              </w:rPr>
              <w:t>id-dispożizzjonijiet</w:t>
            </w:r>
            <w:r>
              <w:t xml:space="preserve"> rilevanti </w:t>
            </w:r>
            <w:r>
              <w:rPr>
                <w:b/>
                <w:i/>
                <w:strike w:val="0"/>
                <w:color w:val="auto"/>
                <w:highlight w:val="none"/>
                <w:u w:val="none" w:color="auto"/>
                <w:vertAlign w:val="baseline"/>
              </w:rPr>
              <w:t>biex jinvestigaw allegazzjonijiet ta’ nuqqas ta’ rispett tad-drittijiet fundamentali fir-rigward tal-iskrinjar.</w:t>
            </w:r>
          </w:p>
        </w:tc>
        <w:tc>
          <w:tcPr>
            <w:tcW w:w="4876" w:type="dxa"/>
            <w:vAlign w:val="top"/>
          </w:tcPr>
          <w:p>
            <w:pPr>
              <w:pStyle w:val="Normal6a"/>
            </w:pPr>
            <w:r>
              <w:t>1.</w:t>
            </w:r>
            <w:r>
              <w:tab/>
            </w:r>
            <w:r>
              <w:t xml:space="preserve">L-Istati Membri għandhom jadottaw </w:t>
            </w:r>
            <w:r>
              <w:rPr>
                <w:b/>
                <w:i/>
                <w:strike w:val="0"/>
                <w:color w:val="auto"/>
                <w:highlight w:val="none"/>
                <w:u w:val="none" w:color="auto"/>
                <w:vertAlign w:val="baseline"/>
              </w:rPr>
              <w:t>dispożizzjonijiet</w:t>
            </w:r>
            <w:r>
              <w:t xml:space="preserve"> rilevanti </w:t>
            </w:r>
            <w:r>
              <w:rPr>
                <w:b/>
                <w:i/>
                <w:strike w:val="0"/>
                <w:color w:val="auto"/>
                <w:highlight w:val="none"/>
                <w:u w:val="none" w:color="auto"/>
                <w:vertAlign w:val="baseline"/>
              </w:rPr>
              <w:t>li jiżguraw:</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il-monitoraġġ u l-valutazzjoni kostanti tal-konformità mad-drittijiet fundamentali tal-attivitajiet tal-ġestjoni tal-fruntieri fit-territorji tagħhom jew mill-awtoritajiet tagħhom, inklużi l-proċeduri ta' sorveljanza fil-fruntieri, skrinjar, ażil u ritorn,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l-investigazzjoni fil-pront tal-allegazzjonijiet kollha ta’ nuqqas ta’ rispett tad-drittijiet fundamentali,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il-prosekuzzjoni fil-każijiet kollha fejn allegazzjonijiet bħal dawn jiġu sostanzjati minn ġbir ta’ informazzjoni indipendenti,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il-penalizzazzjoni tal-ksur tad-drittijiet fundamentali, inklużi dawk tal-migranti irregolari, b’sanzjonijiet proporzjonati, effettivi u dissważivi.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L-Istati Membri għandhom jadottaw </w:t>
            </w:r>
            <w:r>
              <w:rPr>
                <w:b/>
                <w:i/>
                <w:strike w:val="0"/>
                <w:color w:val="auto"/>
                <w:highlight w:val="none"/>
                <w:u w:val="none" w:color="auto"/>
                <w:vertAlign w:val="baseline"/>
              </w:rPr>
              <w:t>id-dispożizzjonijiet</w:t>
            </w:r>
            <w:r>
              <w:t xml:space="preserve"> rilevanti biex jinvestigaw </w:t>
            </w:r>
            <w:r>
              <w:rPr>
                <w:b/>
                <w:i/>
                <w:strike w:val="0"/>
                <w:color w:val="auto"/>
                <w:highlight w:val="none"/>
                <w:u w:val="none" w:color="auto"/>
                <w:vertAlign w:val="baseline"/>
              </w:rPr>
              <w:t>allegazzjonijiet</w:t>
            </w:r>
            <w:r>
              <w:t xml:space="preserve"> ta’ nuqqas ta’ rispett tad-drittijiet fundamentali </w:t>
            </w:r>
            <w:r>
              <w:rPr>
                <w:b/>
                <w:i/>
                <w:strike w:val="0"/>
                <w:color w:val="auto"/>
                <w:highlight w:val="none"/>
                <w:u w:val="none" w:color="auto"/>
                <w:vertAlign w:val="baseline"/>
              </w:rPr>
              <w:t>fir-rigward tal-iskrinjar</w:t>
            </w:r>
            <w:r>
              <w:t>.</w:t>
            </w:r>
          </w:p>
        </w:tc>
        <w:tc>
          <w:tcPr>
            <w:tcW w:w="4876" w:type="dxa"/>
            <w:vAlign w:val="top"/>
          </w:tcPr>
          <w:p>
            <w:pPr>
              <w:pStyle w:val="Normal6a"/>
            </w:pPr>
            <w:r>
              <w:t>1.</w:t>
            </w:r>
            <w:r>
              <w:tab/>
            </w:r>
            <w:r>
              <w:t xml:space="preserve">L-Istati Membri għandhom jadottaw </w:t>
            </w:r>
            <w:r>
              <w:rPr>
                <w:b/>
                <w:i/>
                <w:strike w:val="0"/>
                <w:color w:val="auto"/>
                <w:highlight w:val="none"/>
                <w:u w:val="none" w:color="auto"/>
                <w:vertAlign w:val="baseline"/>
              </w:rPr>
              <w:t>dispożizzjonijiet u miżuri</w:t>
            </w:r>
            <w:r>
              <w:t xml:space="preserve"> rilevanti biex </w:t>
            </w:r>
            <w:r>
              <w:rPr>
                <w:b/>
                <w:i/>
                <w:strike w:val="0"/>
                <w:color w:val="auto"/>
                <w:highlight w:val="none"/>
                <w:u w:val="none" w:color="auto"/>
                <w:vertAlign w:val="baseline"/>
              </w:rPr>
              <w:t>jimmonitorjaw u jivvalutaw b’mod kostanti l-konformità mad-drittijiet fundamentali tal-attivitajiet ta' ġestjoni tal-fruntieri fit-territorji tagħhom jew mill-awtoritajiet tagħhom, biex</w:t>
            </w:r>
            <w:r>
              <w:t xml:space="preserve"> jinvestigaw </w:t>
            </w:r>
            <w:r>
              <w:rPr>
                <w:b/>
                <w:i/>
                <w:strike w:val="0"/>
                <w:color w:val="auto"/>
                <w:highlight w:val="none"/>
                <w:u w:val="none" w:color="auto"/>
                <w:vertAlign w:val="baseline"/>
              </w:rPr>
              <w:t>minnufih u b’mod effettiv l-allegazzjonijiet kollha</w:t>
            </w:r>
            <w:r>
              <w:t xml:space="preserve"> ta’ nuqqas ta’ rispett tad-drittijiet fundamentali </w:t>
            </w:r>
            <w:r>
              <w:rPr>
                <w:b/>
                <w:i/>
                <w:strike w:val="0"/>
                <w:color w:val="auto"/>
                <w:highlight w:val="none"/>
                <w:u w:val="none" w:color="auto"/>
                <w:vertAlign w:val="baseline"/>
              </w:rPr>
              <w:t>u biex jipproċedu bil-prosekuzzjoni tal-każijiet kollha fejn tali allegazzjonijiet ikunu sostanzjati minn ġbir ta’ informazzjoni indipendenti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L-Istati Membri għandhom jadottaw id-dispożizzjonijiet rilevanti biex jinvestigaw allegazzjonijiet ta’ nuqqas ta’ rispett tad-drittijiet fundamentali </w:t>
            </w:r>
            <w:r>
              <w:rPr>
                <w:b/>
                <w:i/>
                <w:strike w:val="0"/>
                <w:color w:val="auto"/>
                <w:highlight w:val="none"/>
                <w:u w:val="none" w:color="auto"/>
                <w:vertAlign w:val="baseline"/>
              </w:rPr>
              <w:t>fir-rigward tal-iskrinjar</w:t>
            </w:r>
            <w:r>
              <w:t>.</w:t>
            </w:r>
          </w:p>
        </w:tc>
        <w:tc>
          <w:tcPr>
            <w:tcW w:w="4876" w:type="dxa"/>
            <w:vAlign w:val="top"/>
          </w:tcPr>
          <w:p>
            <w:pPr>
              <w:pStyle w:val="Normal6a"/>
            </w:pPr>
            <w:r>
              <w:t>1.</w:t>
            </w:r>
            <w:r>
              <w:tab/>
            </w:r>
            <w:r>
              <w:t xml:space="preserve">L-Istati Membri għandhom jadottaw id-dispożizzjonijiet rilevanti biex jinvestigaw allegazzjonijiet ta' nuqqas ta' rispett tad-drittijiet fundamentali </w:t>
            </w:r>
            <w:r>
              <w:rPr>
                <w:b/>
                <w:i/>
                <w:strike w:val="0"/>
                <w:color w:val="auto"/>
                <w:highlight w:val="none"/>
                <w:u w:val="none" w:color="auto"/>
                <w:vertAlign w:val="baseline"/>
              </w:rPr>
              <w:t>matul is-sorveljanza fil-fruntieri, l-iskrinjar, il-proċeduri kollha ta' ażil u ta' ritorn kif ukoll f'sitwazzjonijiet ta' kriżi fil-qasam tal-migrazzjoni u l-ażil.</w:t>
            </w:r>
            <w:r>
              <w:t xml:space="preserve"> </w:t>
            </w:r>
            <w:r>
              <w:rPr>
                <w:b/>
                <w:i/>
                <w:strike w:val="0"/>
                <w:color w:val="auto"/>
                <w:highlight w:val="none"/>
                <w:u w:val="none" w:color="auto"/>
                <w:vertAlign w:val="baseline"/>
              </w:rPr>
              <w:t>Huma għandhom ifasslu miżuri dixxiplinari ċari u proporzjonati skont id-dritt nazzjonali f’każ li l-allegazzjonijiet ikunu veri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L-Istati Membri għandhom jadottaw id-dispożizzjonijiet rilevanti biex jinvestigaw allegazzjonijiet ta’ nuqqas ta’ rispett tad-drittijiet fundamentali fir-rigward tal-iskrinjar.</w:t>
            </w:r>
          </w:p>
        </w:tc>
        <w:tc>
          <w:tcPr>
            <w:tcW w:w="4876" w:type="dxa"/>
            <w:vAlign w:val="top"/>
          </w:tcPr>
          <w:p>
            <w:pPr>
              <w:pStyle w:val="Normal6a"/>
            </w:pPr>
            <w:r>
              <w:t>1.</w:t>
            </w:r>
            <w:r>
              <w:tab/>
            </w:r>
            <w:r>
              <w:t>L-Istati Membri għandhom</w:t>
            </w:r>
            <w:r>
              <w:rPr>
                <w:b/>
                <w:i/>
                <w:strike w:val="0"/>
                <w:color w:val="auto"/>
                <w:highlight w:val="none"/>
                <w:u w:val="none" w:color="auto"/>
                <w:vertAlign w:val="baseline"/>
              </w:rPr>
              <w:t>, mingħajr dewmien żejjed,</w:t>
            </w:r>
            <w:r>
              <w:t xml:space="preserve"> jadottaw id-dispożizzjonijiet rilevanti biex jinvestigaw allegazzjonijiet ta' nuqqas ta' rispett tad-drittijiet fundamentali fir-rigward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L-Istati Membri </w:t>
            </w:r>
            <w:r>
              <w:rPr>
                <w:b/>
                <w:i/>
                <w:strike w:val="0"/>
                <w:color w:val="auto"/>
                <w:highlight w:val="none"/>
                <w:u w:val="none" w:color="auto"/>
                <w:vertAlign w:val="baseline"/>
              </w:rPr>
              <w:t>għandhom</w:t>
            </w:r>
            <w:r>
              <w:t xml:space="preserve"> jadottaw id-dispożizzjonijiet rilevanti biex jinvestigaw allegazzjonijiet ta’ nuqqas ta’ rispett tad-drittijiet fundamentali fir-rigward tal-iskrinjar.</w:t>
            </w:r>
          </w:p>
        </w:tc>
        <w:tc>
          <w:tcPr>
            <w:tcW w:w="4876" w:type="dxa"/>
            <w:vAlign w:val="top"/>
          </w:tcPr>
          <w:p>
            <w:pPr>
              <w:pStyle w:val="Normal6a"/>
            </w:pPr>
            <w:r>
              <w:t>1.</w:t>
            </w:r>
            <w:r>
              <w:tab/>
            </w:r>
            <w:r>
              <w:t xml:space="preserve">L-Istati Membri </w:t>
            </w:r>
            <w:r>
              <w:rPr>
                <w:b/>
                <w:i/>
                <w:strike w:val="0"/>
                <w:color w:val="auto"/>
                <w:highlight w:val="none"/>
                <w:u w:val="none" w:color="auto"/>
                <w:vertAlign w:val="baseline"/>
              </w:rPr>
              <w:t>jistgħu</w:t>
            </w:r>
            <w:r>
              <w:t xml:space="preserve"> jadottaw id-dispożizzjonijiet rilevanti biex jinvestigaw allegazzjonijiet ta' nuqqas ta' rispett tad-drittijiet fundamentali fir-rigward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Kull Stat Membru għandu jistabbilixxi mekkaniżmu ta’ monitoraġġ indipendenti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tiġi żgurata l-konformità mad-dritt tal-Unjoni u dak internazzjonali, inkluża l-Karta tad-Drittijiet Fundamentali, matul l-iskrinjar;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jistabbilixxu salvagwardji adegwati biex jiggarantixxu l-indipendenza tal-mekkaniżmu.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Kull Stat Membru għandu jistabbilixxi mekkaniżmu ta’ monitoraġġ indipendenti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tiġi żgurata l-konformità mad-dritt tal-Unjoni u dak internazzjonali, inkluża l-Karta tad-Drittijiet Fundamentali, matul l-iskrinjar;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jistabbilixxu salvagwardji adegwati biex jiggarantixxu l-indipendenza tal-mekkaniżmu.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Kull</w:t>
            </w:r>
            <w:r>
              <w:t xml:space="preserve"> Stat Membru għandu jistabbilixxi mekkaniżmu ta’ </w:t>
            </w:r>
            <w:r>
              <w:rPr>
                <w:b/>
                <w:i/>
                <w:strike w:val="0"/>
                <w:color w:val="auto"/>
                <w:highlight w:val="none"/>
                <w:u w:val="none" w:color="auto"/>
                <w:vertAlign w:val="baseline"/>
              </w:rPr>
              <w:t>monitoraġġ indipendenti</w:t>
            </w:r>
          </w:p>
        </w:tc>
        <w:tc>
          <w:tcPr>
            <w:tcW w:w="4876" w:type="dxa"/>
            <w:vAlign w:val="top"/>
          </w:tcPr>
          <w:p>
            <w:pPr>
              <w:pStyle w:val="Normal6a"/>
            </w:pPr>
            <w:r>
              <w:t>2.</w:t>
            </w:r>
            <w:r>
              <w:tab/>
            </w:r>
            <w:r>
              <w:t xml:space="preserve">Stat Membru għandu </w:t>
            </w:r>
            <w:r>
              <w:rPr>
                <w:b/>
                <w:i/>
                <w:strike w:val="0"/>
                <w:color w:val="auto"/>
                <w:highlight w:val="none"/>
                <w:u w:val="none" w:color="auto"/>
                <w:vertAlign w:val="baseline"/>
              </w:rPr>
              <w:t>jkun liberu li</w:t>
            </w:r>
            <w:r>
              <w:t xml:space="preserve"> jistabbilixxi mekkaniżmu ta’ </w:t>
            </w:r>
            <w:r>
              <w:rPr>
                <w:b/>
                <w:i/>
                <w:strike w:val="0"/>
                <w:color w:val="auto"/>
                <w:highlight w:val="none"/>
                <w:u w:val="none" w:color="auto"/>
                <w:vertAlign w:val="baseline"/>
              </w:rPr>
              <w:t>kontroll estern għall-proċedura ta’ skrinjar fil-fruntieri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Kull Stat Membru għandu </w:t>
            </w:r>
            <w:r>
              <w:rPr>
                <w:b/>
                <w:i/>
                <w:strike w:val="0"/>
                <w:color w:val="auto"/>
                <w:highlight w:val="none"/>
                <w:u w:val="none" w:color="auto"/>
                <w:vertAlign w:val="baseline"/>
              </w:rPr>
              <w:t>jistabbilixxi</w:t>
            </w:r>
            <w:r>
              <w:t xml:space="preserve"> mekkaniżmu ta’ monitoraġġ indipendenti</w:t>
            </w:r>
          </w:p>
        </w:tc>
        <w:tc>
          <w:tcPr>
            <w:tcW w:w="4876" w:type="dxa"/>
            <w:vAlign w:val="top"/>
          </w:tcPr>
          <w:p>
            <w:pPr>
              <w:pStyle w:val="Normal6a"/>
            </w:pPr>
            <w:r>
              <w:t>2.</w:t>
            </w:r>
            <w:r>
              <w:tab/>
            </w:r>
            <w:r>
              <w:t xml:space="preserve">Kull Stat Membru għandu </w:t>
            </w:r>
            <w:r>
              <w:rPr>
                <w:b/>
                <w:i/>
                <w:strike w:val="0"/>
                <w:color w:val="auto"/>
                <w:highlight w:val="none"/>
                <w:u w:val="none" w:color="auto"/>
                <w:vertAlign w:val="baseline"/>
              </w:rPr>
              <w:t>jipprovdi</w:t>
            </w:r>
            <w:r>
              <w:t xml:space="preserve"> mekkaniżmu ta’ monitoraġġ indipendenti</w:t>
            </w:r>
            <w:r>
              <w:rPr>
                <w:b/>
                <w:i/>
                <w:strike w:val="0"/>
                <w:color w:val="auto"/>
                <w:highlight w:val="none"/>
                <w:u w:val="none" w:color="auto"/>
                <w:vertAlign w:val="baseline"/>
              </w:rPr>
              <w:t>, biex jikkomplementa u jassisti l-monitoraġġ imwettaq mill-Aġenzija Ewropea għall-Ażil f’konformità mal-Artikolu 14 tar-Regolament (UE) xxx/xxx [l-Aġenzija Ewropea għall-Ażil].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Kull Stat Membru għandu </w:t>
            </w:r>
            <w:r>
              <w:rPr>
                <w:b/>
                <w:i/>
                <w:strike w:val="0"/>
                <w:color w:val="auto"/>
                <w:highlight w:val="none"/>
                <w:u w:val="none" w:color="auto"/>
                <w:vertAlign w:val="baseline"/>
              </w:rPr>
              <w:t>jistabbilixxi</w:t>
            </w:r>
            <w:r>
              <w:t xml:space="preserve"> mekkaniżmu ta’ monitoraġġ indipendenti</w:t>
            </w:r>
          </w:p>
        </w:tc>
        <w:tc>
          <w:tcPr>
            <w:tcW w:w="4876" w:type="dxa"/>
            <w:vAlign w:val="top"/>
          </w:tcPr>
          <w:p>
            <w:pPr>
              <w:pStyle w:val="Normal6a"/>
            </w:pPr>
            <w:r>
              <w:t>2.</w:t>
            </w:r>
            <w:r>
              <w:tab/>
            </w:r>
            <w:r>
              <w:rPr>
                <w:b/>
                <w:i/>
                <w:strike w:val="0"/>
                <w:color w:val="auto"/>
                <w:highlight w:val="none"/>
                <w:u w:val="none" w:color="auto"/>
                <w:vertAlign w:val="baseline"/>
              </w:rPr>
              <w:t>Għall-finijiet tal-paragrafu 1,</w:t>
            </w:r>
            <w:r>
              <w:t xml:space="preserve"> kull Stat Membru għandu </w:t>
            </w:r>
            <w:r>
              <w:rPr>
                <w:b/>
                <w:i/>
                <w:strike w:val="0"/>
                <w:color w:val="auto"/>
                <w:highlight w:val="none"/>
                <w:u w:val="none" w:color="auto"/>
                <w:vertAlign w:val="baseline"/>
              </w:rPr>
              <w:t>jinkariga</w:t>
            </w:r>
            <w:r>
              <w:t xml:space="preserve"> mekkaniżmu ta’ monitoraġġ indipendenti </w:t>
            </w:r>
            <w:r>
              <w:rPr>
                <w:b/>
                <w:i/>
                <w:strike w:val="0"/>
                <w:color w:val="auto"/>
                <w:highlight w:val="none"/>
                <w:u w:val="none" w:color="auto"/>
                <w:vertAlign w:val="baseline"/>
              </w:rPr>
              <w:t>bi</w:t>
            </w:r>
            <w:r>
              <w:t xml:space="preserve"> </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Kull Stat Membru għandu </w:t>
            </w:r>
            <w:r>
              <w:rPr>
                <w:b/>
                <w:i/>
                <w:strike w:val="0"/>
                <w:color w:val="auto"/>
                <w:highlight w:val="none"/>
                <w:u w:val="none" w:color="auto"/>
                <w:vertAlign w:val="baseline"/>
              </w:rPr>
              <w:t>jistabbilixxi</w:t>
            </w:r>
            <w:r>
              <w:t xml:space="preserve"> mekkaniżmu ta’ monitoraġġ indipendenti</w:t>
            </w:r>
          </w:p>
        </w:tc>
        <w:tc>
          <w:tcPr>
            <w:tcW w:w="4876" w:type="dxa"/>
            <w:vAlign w:val="top"/>
          </w:tcPr>
          <w:p>
            <w:pPr>
              <w:pStyle w:val="Normal6a"/>
            </w:pPr>
            <w:r>
              <w:t>2.</w:t>
            </w:r>
            <w:r>
              <w:tab/>
            </w:r>
            <w:r>
              <w:t xml:space="preserve">Kull Stat Membru għandu </w:t>
            </w:r>
            <w:r>
              <w:rPr>
                <w:b/>
                <w:i/>
                <w:strike w:val="0"/>
                <w:color w:val="auto"/>
                <w:highlight w:val="none"/>
                <w:u w:val="none" w:color="auto"/>
                <w:vertAlign w:val="baseline"/>
              </w:rPr>
              <w:t>jipprevedi</w:t>
            </w:r>
            <w:r>
              <w:t xml:space="preserve"> mekkaniżmu ta' monitoraġġ indipendenti</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Kull Stat Membru għandu jistabbilixxi mekkaniżmu ta’ monitoraġġ indipendenti</w:t>
            </w:r>
          </w:p>
        </w:tc>
        <w:tc>
          <w:tcPr>
            <w:tcW w:w="4876" w:type="dxa"/>
            <w:vAlign w:val="top"/>
          </w:tcPr>
          <w:p>
            <w:pPr>
              <w:pStyle w:val="Normal6a"/>
            </w:pPr>
            <w:r>
              <w:t>2.</w:t>
            </w:r>
            <w:r>
              <w:tab/>
            </w:r>
            <w:r>
              <w:rPr>
                <w:b/>
                <w:i/>
                <w:strike w:val="0"/>
                <w:color w:val="auto"/>
                <w:highlight w:val="none"/>
                <w:u w:val="none" w:color="auto"/>
                <w:vertAlign w:val="baseline"/>
              </w:rPr>
              <w:t>F’dan il-kuntest,</w:t>
            </w:r>
            <w:r>
              <w:t xml:space="preserve"> kull Stat Membru għandu jistabbilixxi mekkaniżmu ta’ monitoraġġ indipendenti </w:t>
            </w:r>
            <w:r>
              <w:rPr>
                <w:b/>
                <w:i/>
                <w:strike w:val="0"/>
                <w:color w:val="auto"/>
                <w:highlight w:val="none"/>
                <w:u w:val="none" w:color="auto"/>
                <w:vertAlign w:val="baseline"/>
              </w:rPr>
              <w:t>li jwettaq il-kompiti li ġejjin: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il-monitoraġġ, f’koordinazzjoni mal-Uffiċjal għad-Drittijiet Fundamentali fejn rilevanti, fuq bażi kontinwa tal-attivitajiet ta’ kontroll fil-fruntieri u ta’ sorveljanza fil-fruntieri mwettqa mill-awtoritajiet nazzjonali jew mill-aġenziji rilevanti tal-UE fit-territorji tiegħu, kif ukoll l-attivitajiet kollha bħal dawn imwettqa mill-awtoritajiet nazzjonali barra mit-territorji tiegħu u jivvaluta jekk l-attivitajiet osservati humiex konformi mad-dritt nazzjonali applikabbli, mad-dritt tal-UE u mad-dritt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il-monitoraġġ fuq bażi kontinwa, inkluż matul sitwazzjonijiet ta’ emerġenza, tal-attivitajiet kollha ta’ ġestjoni tal-fruntieri fit-territorji tiegħu;</w:t>
            </w:r>
            <w:r>
              <w:t xml:space="preserve"> </w:t>
            </w:r>
            <w:r>
              <w:rPr>
                <w:b/>
                <w:i/>
                <w:strike w:val="0"/>
                <w:color w:val="auto"/>
                <w:highlight w:val="none"/>
                <w:u w:val="none" w:color="auto"/>
                <w:vertAlign w:val="baseline"/>
              </w:rPr>
              <w:t>irrispettivament minn jekk ikunux imwettqa minn awtoritajiet nazzjonali jew aġenziji rilevanti tal-UE, kif ukoll ta' kwalunkwe attività bħal din imwettqa minn awtoritajiet nazzjonali barra mit-territorji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il-valutazzjoni ta’ jekk l-attivitajiet osservati humiex konformi mad-dritt nazzjonali, tal-Unjoni u internazzjonali applikabbli,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tiġi żgurata l-konformità mad-dritt tal-Unjoni u dak internazzjonali, inkluża l-Karta tad-Drittijiet Fundamentali, matul l-iskrinjar;</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tiġi żgurata l-konformità mad-dritt tal-Unjoni u dak internazzjonali, inkluża l-Karta tad-Drittijiet Fundamentali, matul l-iskrinjar;</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tiġi żgurata l-konformità mad-dritt tal-Unjoni u dak internazzjonali, inkluża l-Karta tad-Drittijiet Fundamentali, matul l-iskrinjar</w:t>
            </w:r>
            <w:r>
              <w:t>;</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il-monitoraġġ u l-valutazzjoni tal-konformità tal-proċeduri tal-iskrinjar, tal-ażil u tar-ritorn mad-dritt tal-UE u dak internazzjonali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tiġi żgurata</w:t>
            </w:r>
            <w:r>
              <w:t xml:space="preserve"> l-konformità mad-dritt tal-Unjoni u </w:t>
            </w:r>
            <w:r>
              <w:rPr>
                <w:b/>
                <w:i/>
                <w:strike w:val="0"/>
                <w:color w:val="auto"/>
                <w:highlight w:val="none"/>
                <w:u w:val="none" w:color="auto"/>
                <w:vertAlign w:val="baseline"/>
              </w:rPr>
              <w:t>dak</w:t>
            </w:r>
            <w:r>
              <w:t xml:space="preserve"> internazzjonali, inkluża l-Karta tad-Drittijiet Fundamentali, matul </w:t>
            </w:r>
            <w:r>
              <w:rPr>
                <w:b/>
                <w:i/>
                <w:strike w:val="0"/>
                <w:color w:val="auto"/>
                <w:highlight w:val="none"/>
                <w:u w:val="none" w:color="auto"/>
                <w:vertAlign w:val="baseline"/>
              </w:rPr>
              <w:t>l-iskrinjar;</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jiżgura</w:t>
            </w:r>
            <w:r>
              <w:t xml:space="preserve"> l-konformità mad-dritt </w:t>
            </w:r>
            <w:r>
              <w:rPr>
                <w:b/>
                <w:i/>
                <w:strike w:val="0"/>
                <w:color w:val="auto"/>
                <w:highlight w:val="none"/>
                <w:u w:val="none" w:color="auto"/>
                <w:vertAlign w:val="baseline"/>
              </w:rPr>
              <w:t>nazzjonali,</w:t>
            </w:r>
            <w:r>
              <w:t xml:space="preserve"> tal-Unjoni u internazzjonali, inkluża l-Karta tad-Drittijiet Fundamentali, matul </w:t>
            </w:r>
            <w:r>
              <w:rPr>
                <w:b/>
                <w:i/>
                <w:strike w:val="0"/>
                <w:color w:val="auto"/>
                <w:highlight w:val="none"/>
                <w:u w:val="none" w:color="auto"/>
                <w:vertAlign w:val="baseline"/>
              </w:rPr>
              <w:t>is-sorveljanza fil-fruntieri u l-proċeduri tal-iskrinjar, l-ażil, ir-ritorn u l-fruntieri,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biex tiġi żgurata l-konformità mad-dritt tal-Unjoni u dak internazzjonali</w:t>
            </w:r>
            <w:r>
              <w:rPr>
                <w:b/>
                <w:i/>
                <w:strike w:val="0"/>
                <w:color w:val="auto"/>
                <w:highlight w:val="none"/>
                <w:u w:val="none" w:color="auto"/>
                <w:vertAlign w:val="baseline"/>
              </w:rPr>
              <w:t>, inkluża l-Karta</w:t>
            </w:r>
            <w:r>
              <w:t xml:space="preserve"> tad-Drittijiet Fundamentali</w:t>
            </w:r>
            <w:r>
              <w:rPr>
                <w:b/>
                <w:i/>
                <w:strike w:val="0"/>
                <w:color w:val="auto"/>
                <w:highlight w:val="none"/>
                <w:u w:val="none" w:color="auto"/>
                <w:vertAlign w:val="baseline"/>
              </w:rPr>
              <w:t>,</w:t>
            </w:r>
            <w:r>
              <w:t xml:space="preserve"> matul l-iskrinjar</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w:t>
            </w:r>
            <w:r>
              <w:tab/>
            </w:r>
            <w:r>
              <w:t xml:space="preserve">biex tiġi żgurata l-konformità mad-dritt tal-Unjoni u dak internazzjonali </w:t>
            </w:r>
            <w:r>
              <w:rPr>
                <w:b/>
                <w:i/>
                <w:strike w:val="0"/>
                <w:color w:val="auto"/>
                <w:highlight w:val="none"/>
                <w:u w:val="none" w:color="auto"/>
                <w:vertAlign w:val="baseline"/>
              </w:rPr>
              <w:t>u mal-Karta</w:t>
            </w:r>
            <w:r>
              <w:t xml:space="preserve"> tad-Drittijiet Fundamentali </w:t>
            </w:r>
            <w:r>
              <w:rPr>
                <w:b/>
                <w:i/>
                <w:strike w:val="0"/>
                <w:color w:val="auto"/>
                <w:highlight w:val="none"/>
                <w:u w:val="none" w:color="auto"/>
                <w:vertAlign w:val="baseline"/>
              </w:rPr>
              <w:t>dwar miżuri restrittivi meħuda biex jiġi żgurat li ċ-ċittadin ta’ pajjiż terz jibqa’ għad-dispożizzjoni tal-awtoritajiet tal-iskrinjar</w:t>
            </w:r>
            <w:r>
              <w:t xml:space="preserve"> matul l-iskrinjar</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biex tiġi żgurata l-konformità mad-dritt tal-Unjoni u dak internazzjonali, inkluża l-Karta tad-Drittijiet Fundamentali</w:t>
            </w:r>
            <w:r>
              <w:rPr>
                <w:b/>
                <w:i/>
                <w:strike w:val="0"/>
                <w:color w:val="auto"/>
                <w:highlight w:val="none"/>
                <w:u w:val="none" w:color="auto"/>
                <w:vertAlign w:val="baseline"/>
              </w:rPr>
              <w:t>, matul l-iskrinjar</w:t>
            </w:r>
            <w:r>
              <w:t>;</w:t>
            </w:r>
          </w:p>
        </w:tc>
        <w:tc>
          <w:tcPr>
            <w:tcW w:w="4876" w:type="dxa"/>
            <w:vAlign w:val="top"/>
          </w:tcPr>
          <w:p>
            <w:pPr>
              <w:pStyle w:val="Normal6a"/>
            </w:pPr>
            <w:r>
              <w:rPr>
                <w:b/>
                <w:i/>
                <w:strike w:val="0"/>
                <w:color w:val="auto"/>
                <w:highlight w:val="none"/>
                <w:u w:val="none" w:color="auto"/>
                <w:vertAlign w:val="baseline"/>
              </w:rPr>
              <w:t>–</w:t>
            </w:r>
            <w:r>
              <w:tab/>
            </w:r>
            <w:r>
              <w:t>biex tiġi żgurata l-konformità mad-dritt tal-Unjoni u dak internazzjonali, inkluża l-Karta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jiżgura li l-allegazzjonijiet ta’ nuqqas ta’ rispett tad-drittijiet fundamentali, inkluż fir-rigward tal-aċċess għall-proċedura tal-ażil u n-nuqqas ta’ konformità mal-prinċipju ta’ non-refoulement, jiġu ttrattati b’mod effettiv u mingħajr dewmien żejjed.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 xml:space="preserve">fejn applikabbli, </w:t>
            </w:r>
            <w:r>
              <w:rPr>
                <w:b/>
                <w:i/>
                <w:strike w:val="0"/>
                <w:color w:val="auto"/>
                <w:highlight w:val="none"/>
                <w:u w:val="none" w:color="auto"/>
                <w:vertAlign w:val="baseline"/>
              </w:rPr>
              <w:t>biex tiġi żgurata</w:t>
            </w:r>
            <w:r>
              <w:t xml:space="preserve"> l-konformità mar-regoli nazzjonali dwar id-detenzjoni </w:t>
            </w:r>
            <w:r>
              <w:rPr>
                <w:b/>
                <w:i/>
                <w:strike w:val="0"/>
                <w:color w:val="auto"/>
                <w:highlight w:val="none"/>
                <w:u w:val="none" w:color="auto"/>
                <w:vertAlign w:val="baseline"/>
              </w:rPr>
              <w:t>tal-persuna kkonċernata</w:t>
            </w:r>
            <w:r>
              <w:t xml:space="preserve">, b’mod partikolari rigward ir-raġunijiet </w:t>
            </w:r>
            <w:r>
              <w:rPr>
                <w:b/>
                <w:i/>
                <w:strike w:val="0"/>
                <w:color w:val="auto"/>
                <w:highlight w:val="none"/>
                <w:u w:val="none" w:color="auto"/>
                <w:vertAlign w:val="baseline"/>
              </w:rPr>
              <w:t>u t-tul</w:t>
            </w:r>
            <w:r>
              <w:t xml:space="preserve"> ta’ żmien tad-detenzjoni</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w:t>
            </w:r>
            <w:r>
              <w:tab/>
            </w:r>
            <w:r>
              <w:t xml:space="preserve">fejn applikabbli, </w:t>
            </w:r>
            <w:r>
              <w:rPr>
                <w:b/>
                <w:i/>
                <w:strike w:val="0"/>
                <w:color w:val="auto"/>
                <w:highlight w:val="none"/>
                <w:u w:val="none" w:color="auto"/>
                <w:vertAlign w:val="baseline"/>
              </w:rPr>
              <w:t>li jiżgura</w:t>
            </w:r>
            <w:r>
              <w:t xml:space="preserve"> l-konformità mar-regoli nazzjonali </w:t>
            </w:r>
            <w:r>
              <w:rPr>
                <w:b/>
                <w:i/>
                <w:strike w:val="0"/>
                <w:color w:val="auto"/>
                <w:highlight w:val="none"/>
                <w:u w:val="none" w:color="auto"/>
                <w:vertAlign w:val="baseline"/>
              </w:rPr>
              <w:t>u tal-Unjoni</w:t>
            </w:r>
            <w:r>
              <w:t xml:space="preserve"> dwar id-detenzjoni </w:t>
            </w:r>
            <w:r>
              <w:rPr>
                <w:b/>
                <w:i/>
                <w:strike w:val="0"/>
                <w:color w:val="auto"/>
                <w:highlight w:val="none"/>
                <w:u w:val="none" w:color="auto"/>
                <w:vertAlign w:val="baseline"/>
              </w:rPr>
              <w:t>tal-migranti</w:t>
            </w:r>
            <w:r>
              <w:t>, b’mod partikolari rigward ir-raġunijiet</w:t>
            </w:r>
            <w:r>
              <w:rPr>
                <w:b/>
                <w:i/>
                <w:strike w:val="0"/>
                <w:color w:val="auto"/>
                <w:highlight w:val="none"/>
                <w:u w:val="none" w:color="auto"/>
                <w:vertAlign w:val="baseline"/>
              </w:rPr>
              <w:t>, in-neċessità u l-proporzjonalità kif ukoll it-tul</w:t>
            </w:r>
            <w:r>
              <w:t xml:space="preserve"> ta’ żmien </w:t>
            </w:r>
            <w:r>
              <w:rPr>
                <w:b/>
                <w:i/>
                <w:strike w:val="0"/>
                <w:color w:val="auto"/>
                <w:highlight w:val="none"/>
                <w:u w:val="none" w:color="auto"/>
                <w:vertAlign w:val="baseline"/>
              </w:rPr>
              <w:t>u l-kundizzjonijiet, inkluż l-aċċess għal għajnuna legali mingħajr ħlas,</w:t>
            </w:r>
            <w:r>
              <w:t xml:space="preserve"> tad-detenzjoni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fejn applikabbli, biex tiġi żgurata l-konformità mar-regoli nazzjonali dwar id-detenzjoni tal-persuna kkonċernata, b’mod partikolari rigward ir-raġunijiet u t-tul ta’ żmien tad-detenzjoni;</w:t>
            </w:r>
          </w:p>
        </w:tc>
        <w:tc>
          <w:tcPr>
            <w:tcW w:w="4876" w:type="dxa"/>
            <w:vAlign w:val="top"/>
          </w:tcPr>
          <w:p>
            <w:pPr>
              <w:pStyle w:val="Normal6a"/>
            </w:pPr>
            <w:r>
              <w:rPr>
                <w:b/>
                <w:i/>
                <w:strike w:val="0"/>
                <w:color w:val="auto"/>
                <w:highlight w:val="none"/>
                <w:u w:val="none" w:color="auto"/>
                <w:vertAlign w:val="baseline"/>
              </w:rPr>
              <w:t>–</w:t>
            </w:r>
            <w:r>
              <w:tab/>
            </w:r>
            <w:r>
              <w:t xml:space="preserve">fejn applikabbli, biex tiġi żgurata l-konformità mar-regoli </w:t>
            </w:r>
            <w:r>
              <w:rPr>
                <w:b/>
                <w:i/>
                <w:strike w:val="0"/>
                <w:color w:val="auto"/>
                <w:highlight w:val="none"/>
                <w:u w:val="none" w:color="auto"/>
                <w:vertAlign w:val="baseline"/>
              </w:rPr>
              <w:t>tal-Unjoni u</w:t>
            </w:r>
            <w:r>
              <w:t xml:space="preserve"> nazzjonali dwar id-detenzjoni tal-persuna kkonċernata, b'mod partikolari rigward ir-raġunijiet</w:t>
            </w:r>
            <w:r>
              <w:rPr>
                <w:b/>
                <w:i/>
                <w:strike w:val="0"/>
                <w:color w:val="auto"/>
                <w:highlight w:val="none"/>
                <w:u w:val="none" w:color="auto"/>
                <w:vertAlign w:val="baseline"/>
              </w:rPr>
              <w:t>, il-kundizzjonijiet</w:t>
            </w:r>
            <w:r>
              <w:t xml:space="preserve"> u t-tul ta' żmien tad-detenzjoni;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jirrapporta pubblikament dwar il-każijiet kollha ta’ nuqqas ta’ konformità li jista’ jsib,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biex jiġi żgurat li l-allegazzjonijiet ta’ nuqqas ta’ rispett</w:t>
            </w:r>
            <w:r>
              <w:t xml:space="preserve"> tad-drittijiet fundamentali </w:t>
            </w:r>
            <w:r>
              <w:rPr>
                <w:b/>
                <w:i/>
                <w:strike w:val="0"/>
                <w:color w:val="auto"/>
                <w:highlight w:val="none"/>
                <w:u w:val="none" w:color="auto"/>
                <w:vertAlign w:val="baseline"/>
              </w:rPr>
              <w:t>fir-rigward tal-iskrinjar</w:t>
            </w:r>
            <w:r>
              <w:t xml:space="preserve">, </w:t>
            </w:r>
            <w:r>
              <w:rPr>
                <w:b/>
                <w:i/>
                <w:strike w:val="0"/>
                <w:color w:val="auto"/>
                <w:highlight w:val="none"/>
                <w:u w:val="none" w:color="auto"/>
                <w:vertAlign w:val="baseline"/>
              </w:rPr>
              <w:t>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jiskatta u jwettaq investigazzjonijiet biex jiġi vvalutat il-ksur</w:t>
            </w:r>
            <w:r>
              <w:t xml:space="preserve">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 xml:space="preserve">biex jiġi żgurat li l-allegazzjonijiet ta’ nuqqas ta’ rispett tad-drittijiet fundamentali </w:t>
            </w:r>
            <w:r>
              <w:rPr>
                <w:b/>
                <w:i/>
                <w:strike w:val="0"/>
                <w:color w:val="auto"/>
                <w:highlight w:val="none"/>
                <w:u w:val="none" w:color="auto"/>
                <w:vertAlign w:val="baseline"/>
              </w:rPr>
              <w:t>fir-rigward tal-iskrinjar</w:t>
            </w:r>
            <w:r>
              <w:t>, inkluż fir-rigward tal-aċċess għall-proċedura tal-ażil u n-nuqqas ta’ konformità mal-prinċipju ta’ non-refoulement, jiġu ttrattati b’mod effettiv u mingħajr dewmien żejjed.</w:t>
            </w:r>
          </w:p>
        </w:tc>
        <w:tc>
          <w:tcPr>
            <w:tcW w:w="4876" w:type="dxa"/>
            <w:vAlign w:val="top"/>
          </w:tcPr>
          <w:p>
            <w:pPr>
              <w:pStyle w:val="Normal6a"/>
            </w:pPr>
            <w:r>
              <w:rPr>
                <w:b/>
                <w:i/>
                <w:strike w:val="0"/>
                <w:color w:val="auto"/>
                <w:highlight w:val="none"/>
                <w:u w:val="none" w:color="auto"/>
                <w:vertAlign w:val="baseline"/>
              </w:rPr>
              <w:t>–</w:t>
            </w:r>
            <w:r>
              <w:tab/>
            </w:r>
            <w:r>
              <w:t xml:space="preserve">biex jiġi żgurat li l-allegazzjonijiet ta’ nuqqas ta’ rispett tad-drittijiet fundamentali, inkluż fir-rigward tal-aċċess għall-proċedura tal-ażil u n-nuqqas ta’ konformità mal-prinċipju ta’ non-refoulement, </w:t>
            </w:r>
            <w:r>
              <w:rPr>
                <w:b/>
                <w:i/>
                <w:strike w:val="0"/>
                <w:color w:val="auto"/>
                <w:highlight w:val="none"/>
                <w:u w:val="none" w:color="auto"/>
                <w:vertAlign w:val="baseline"/>
              </w:rPr>
              <w:t>l-aħjar interessi tat-tfal, id-dritt għall-kura tas-saħħa, il-protezzjoni tad-data u l-kundizzjonijiet tal-akkoljenza</w:t>
            </w:r>
            <w:r>
              <w:t xml:space="preserve"> jiġu ttrattati b’mod effettiv u mingħajr dewmien żejjed. </w:t>
            </w:r>
            <w:r>
              <w:rPr>
                <w:b/>
                <w:i/>
                <w:strike w:val="0"/>
                <w:color w:val="auto"/>
                <w:highlight w:val="none"/>
                <w:u w:val="none" w:color="auto"/>
                <w:vertAlign w:val="baseline"/>
              </w:rPr>
              <w:t>L-aċċess għall-ġustizzja għall-individwi affettwati għandu jiġi ċċarat.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 xml:space="preserve">biex jiġi żgurat li l-allegazzjonijiet ta’ nuqqas ta’ rispett tad-drittijiet fundamentali fir-rigward tal-iskrinjar, inkluż fir-rigward tal-aċċess għall-proċedura tal-ażil u n-nuqqas ta’ konformità mal-prinċipju ta’ non-refoulement, jiġu </w:t>
            </w:r>
            <w:r>
              <w:rPr>
                <w:b/>
                <w:i/>
                <w:strike w:val="0"/>
                <w:color w:val="auto"/>
                <w:highlight w:val="none"/>
                <w:u w:val="none" w:color="auto"/>
                <w:vertAlign w:val="baseline"/>
              </w:rPr>
              <w:t>ttrattati b’mod effettiv</w:t>
            </w:r>
            <w:r>
              <w:t xml:space="preserve"> u mingħajr dewmien żejjed.</w:t>
            </w:r>
          </w:p>
        </w:tc>
        <w:tc>
          <w:tcPr>
            <w:tcW w:w="4876" w:type="dxa"/>
            <w:vAlign w:val="top"/>
          </w:tcPr>
          <w:p>
            <w:pPr>
              <w:pStyle w:val="Normal6a"/>
            </w:pPr>
            <w:r>
              <w:rPr>
                <w:b/>
                <w:i/>
                <w:strike w:val="0"/>
                <w:color w:val="auto"/>
                <w:highlight w:val="none"/>
                <w:u w:val="none" w:color="auto"/>
                <w:vertAlign w:val="baseline"/>
              </w:rPr>
              <w:t>–</w:t>
            </w:r>
            <w:r>
              <w:tab/>
            </w:r>
            <w:r>
              <w:t xml:space="preserve">biex jiġi żgurat li l-allegazzjonijiet ta’ nuqqas ta’ rispett tad-drittijiet fundamentali fir-rigward tal-iskrinjar, inkluż fir-rigward tal-aċċess għall-proċedura tal-ażil u n-nuqqas ta’ konformità mal-prinċipju ta’ non-refoulement, jiġu </w:t>
            </w:r>
            <w:r>
              <w:rPr>
                <w:b/>
                <w:i/>
                <w:strike w:val="0"/>
                <w:color w:val="auto"/>
                <w:highlight w:val="none"/>
                <w:u w:val="none" w:color="auto"/>
                <w:vertAlign w:val="baseline"/>
              </w:rPr>
              <w:t>investigati kif xieraq, u fejn applikabbli, trattati b’mod adegwat</w:t>
            </w:r>
            <w:r>
              <w:t xml:space="preserve"> u mingħajr dewmien żejjed.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jirrapporta pubblikament dwar il-każijiet kollha ta’ nuqqas ta’ konformità li jista’ jsib;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jgħaddi f’idejn l-awtoritajiet nazzjonali ta’ prosekuzzjoni l-evidenza kollha li jkun irnexxielu jiġbor dwar każijiet individwali ta’ ksur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jgħaddi f’idejn l-awtoritajiet ta’ prosekuzzjoni rilevanti l-evidenza kollha li jkun irnexxielu jiġbor dwar każijiet individwali ta’ ksur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inċiż 3c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li jimmonitorja l-effettività tal-prosekuzzjonijiet u, jekk ikun xieraq, is-sanzjonar tal-ksur tad-drittijiet fundamentali tal-migranti.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Il-mekkaniżmu ta’ monitoraġġ indipendenti għandu joħroġ rakkomandazzjonijiet lill-Istati Membri u lill-aġenziji tal-UE kif imsemmi fil-paragrafu 2, u jirrapporta kull sena u pubblikament dwar is-sejbiet u r-rakkomandazzjonijiet tiegħu.</w:t>
            </w:r>
            <w:r>
              <w:t xml:space="preserve"> </w:t>
            </w:r>
            <w:r>
              <w:rPr>
                <w:b/>
                <w:i/>
                <w:strike w:val="0"/>
                <w:color w:val="auto"/>
                <w:highlight w:val="none"/>
                <w:u w:val="none" w:color="auto"/>
                <w:vertAlign w:val="baseline"/>
              </w:rPr>
              <w:t>Is-sejbiet tal-mekkaniżmu ta’ monitoraġġ indipendenti għandhom ikunu disponibbli għall-awtoritajiet rilevanti tal-Istati Membri għal investigazzjonijiet u prosekuzzjoni sussegwenti ta’ ksur tad-drittijiet tal-bniedem.</w:t>
            </w:r>
            <w:r>
              <w:t xml:space="preserve"> </w:t>
            </w:r>
            <w:r>
              <w:rPr>
                <w:b/>
                <w:i/>
                <w:strike w:val="0"/>
                <w:color w:val="auto"/>
                <w:highlight w:val="none"/>
                <w:u w:val="none" w:color="auto"/>
                <w:vertAlign w:val="baseline"/>
              </w:rPr>
              <w:t>L-awtoritajiet tal-Istati Membri għandhom jiżguraw segwitu fil-pront u effettiv għar-rakkomandazzjonijiet, u għandhom jinfurmaw lill-mekkaniżmu ta’ monitoraġġ kif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Il-monitoraġġ għandu japplika għall-awtoritajiet nazzjonali kif ukoll għal kwalunkwe aġenzija u korp tal-UE involuti fil-proċeduri msemmija hawn fuq.</w:t>
            </w:r>
            <w:r>
              <w:t xml:space="preserve"> </w:t>
            </w:r>
            <w:r>
              <w:rPr>
                <w:b/>
                <w:i/>
                <w:strike w:val="0"/>
                <w:color w:val="auto"/>
                <w:highlight w:val="none"/>
                <w:u w:val="none" w:color="auto"/>
                <w:vertAlign w:val="baseline"/>
              </w:rPr>
              <w:t>L-Istati Membri għandhom jistiednu lill-organizzazzjonijiet u l-korpi nazzjonali, internazzjonali u mhux governattivi rilevanti u indipendenti, inklużi l-awtoritajiet tal-protezzjoni tad-data, biex jipparteċipaw b’mod attiv fil-monitoraġġ.</w:t>
            </w:r>
            <w:r>
              <w:t xml:space="preserve"> </w:t>
            </w:r>
            <w:r>
              <w:rPr>
                <w:b/>
                <w:i/>
                <w:strike w:val="0"/>
                <w:color w:val="auto"/>
                <w:highlight w:val="none"/>
                <w:u w:val="none" w:color="auto"/>
                <w:vertAlign w:val="baseline"/>
              </w:rPr>
              <w:t>L-Istati Membri għandhom jagħtu lill-awtoritajiet ta’ monitoraġġ aċċess mingħajr xkiel għall-faċilitajiet u d-dokumenti rilevanti.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Il-mekkaniżmi ta’ monitoraġġ indipendenti għandhom joħorġu rakkomandazzjonijiet lill-Istati Membri u lill-aġenziji tal-UE kif imsemmi fil-paragrafu 1 ta’ dan l-Artikolu, u għandhom jirrapportaw kull sena u pubblikament lill-parlamenti nazzjonali dwar is-sejbiet u r-rakkomandazzjonijiet tagħhom u dwar il-miżuri meħuda għall-implimentazzjoni tar-rakkomandazzjonijiet tagħhom.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jistabbilixxu salvagwardji adegwati biex jiggarantixxu l-indipendenza tal-mekkaniżmu.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L-Istati Membri għandhom </w:t>
            </w:r>
            <w:r>
              <w:rPr>
                <w:b/>
                <w:i/>
                <w:strike w:val="0"/>
                <w:color w:val="auto"/>
                <w:highlight w:val="none"/>
                <w:u w:val="none" w:color="auto"/>
                <w:vertAlign w:val="baseline"/>
              </w:rPr>
              <w:t>jistabbilixxu salvagwardji adegwati biex jiggarantixxu l-indipendenza tal-mekkaniżmu</w:t>
            </w:r>
            <w:r>
              <w:t>.</w:t>
            </w:r>
          </w:p>
        </w:tc>
        <w:tc>
          <w:tcPr>
            <w:tcW w:w="4876" w:type="dxa"/>
            <w:vAlign w:val="top"/>
          </w:tcPr>
          <w:p>
            <w:pPr>
              <w:pStyle w:val="Normal6a"/>
            </w:pPr>
            <w:r>
              <w:t xml:space="preserve">L-Istati Membri għandhom </w:t>
            </w:r>
            <w:r>
              <w:rPr>
                <w:b/>
                <w:i/>
                <w:strike w:val="0"/>
                <w:color w:val="auto"/>
                <w:highlight w:val="none"/>
                <w:u w:val="none" w:color="auto"/>
                <w:vertAlign w:val="baseline"/>
              </w:rPr>
              <w:t>jiżguraw li l-mekkaniżmu ta’ monitoraġġ indipendenti jkun jista’ jwettaq il-ħidma tiegħu filwaqt li jiżgura, bħala minimu, ir-rakkomandazzjonijiet tal-Kumitat Ewropew għall-Prevenzjoni tat-Tortura (CPT)</w:t>
            </w:r>
            <w:r>
              <w:t xml:space="preserve">. </w:t>
            </w:r>
            <w:r>
              <w:rPr>
                <w:b/>
                <w:i/>
                <w:strike w:val="0"/>
                <w:color w:val="auto"/>
                <w:highlight w:val="none"/>
                <w:u w:val="none" w:color="auto"/>
                <w:vertAlign w:val="baseline"/>
              </w:rPr>
              <w:t>B’mod partikolari, l-Istati Membri u, fejn xieraq l-aġenziji rilevanti tal-UE, għandhom jiżguraw li l-mekkaniżmu ta’ monitoraġġ indipendenti, fi kwalunkwe ħin: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ikun kapaċi jirċievi u jaġixxi fuq informazzjoni riċevuta minn organizzazzjonijiet internazzjonali, organizzazzjonijiet mhux governattivi, ġurnalisti, aġenziji u istituzzjonijiet tal-UE anke jekk ma jkunux parti mill-mekkaniżmu, u l-individwi kollha affettwati anki jekk ma jkunux preżenti fl-Istat Membru rispettiv jew fit-territorju tal-UE,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jingħata aċċess mingħajr xkiel għal kwalunkwe post u żona, inklużi l-fruntieri blu u ħodor kif ukoll għases tal-pulizija u faċilitajiet ta’ detenzjoni u akkoljenza, li huwa jqis rilevanti għat-twettiq tal-mandat tiegħu, biex iwettaq żjarat perjodiċi, bla limitu fl-għadd u mhux ristretti mħabbra kif ukoll mhux imħabbra,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jingħata aċċess għat-tagħmir kollu użat fil-kuntest tal-ġestjoni tal-fruntieri u jirċievi informazzjoni dwar l-użu tiegħu,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jingħata aċċess għad-dokumenti, il-fajls u r-reġistrazzjonijiet kollha ta’ rilevanza għall-missjoni tiegħu u jitħalla jagħmel jew jirċievi kopji anke ta’ dawk li għalihom għandhom jiżguraw il-kunfidenzjalità dovuta,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ikun kapaċi jirċievi lmenti minn individwi li jallegaw ksur tad-drittijiet fundamentali tagħhom, jew mir-rappreżentanti tagħhom, irrispettivament miż-żmien tal-inċidenti allegati jew il-post tal-individwu fiż-żmien tal-ilment,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ikollu s-setgħa li jikseb aċċess mingħajr xkiel u jisma’ lix-xhieda u lill-individwi kollha li jallegaw li raw ksur tad-drittijiet fundamentali jew li jallegaw ksur tad-drittijiet fundamentali tagħhom, b’rispett sħiħ tal-kunfidenzjalità.</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jistabbilixxu salvagwardji adegwati biex jiggarantixxu l-indipendenza tal-mekkaniżmu.</w:t>
            </w:r>
          </w:p>
        </w:tc>
        <w:tc>
          <w:tcPr>
            <w:tcW w:w="4876" w:type="dxa"/>
            <w:vAlign w:val="top"/>
          </w:tcPr>
          <w:p>
            <w:pPr>
              <w:pStyle w:val="Normal6a"/>
            </w:pPr>
            <w:r>
              <w:t>L-Istati Membri għandhom jistabbilixxu salvagwardji adegwati biex jiggarantixxu l-indipendenza tal-mekkaniżmu</w:t>
            </w:r>
            <w:r>
              <w:rPr>
                <w:b/>
                <w:i/>
                <w:strike w:val="0"/>
                <w:color w:val="auto"/>
                <w:highlight w:val="none"/>
                <w:u w:val="none" w:color="auto"/>
                <w:vertAlign w:val="baseline"/>
              </w:rPr>
              <w:t>, inkluż billi jiżguraw li l-organizzazzjonijiet nazzjonali tad-drittijiet tal-bniedem, l-ombudspersons, l-organizzazzjonijiet indipendenti mhux governattivi jew tas-soċjetà ċivili u l-organizzazzjonijiet internazzjonali jkunu parti mis-sistema ta' monitoraġġ</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Fejn ikunu jeżistu korpi nazzjonali indipendenti tad-drittijiet tal-bniedem b’mandati legali jew kostituzzjonali li jkopru attivitajiet ta’ ġestjoni tal-fruntieri, bħall-istituzzjonijiet nazzjonali tal-Ombudsman, l-Istituzzjonijiet Nazzjonali tad-Drittijiet tal-Bniedem jew il-Mekkaniżmi Nazzjonali ta’ Prevenzjoni kontra t-tortura mwaqqfa skont il-Protokoll Fakultattiv għall-Konvenzjoni tan-NU Kontra t-Tortura, dawn il-korpi diġà jistgħu jinħatru bħala l-mekkaniżmu ta’ monitoraġġ indipendenti għall-finijiet tal-paragrafu 2.</w:t>
            </w:r>
            <w:r>
              <w:rPr>
                <w:b/>
                <w:i/>
                <w:strike w:val="0"/>
                <w:color w:val="auto"/>
                <w:highlight w:val="none"/>
                <w:u w:val="none" w:color="auto"/>
                <w:vertAlign w:val="baseline"/>
              </w:rPr>
              <w:t>Huma għandhom jistiednu l-organizzazzjonijiet u l-korpi nazzjonali, internazzjonali, u mhux governattivi rilevanti biex jipparteċipaw fil-monitoraġġ.</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Fejn ma jkunux jeżistu korpi bħal dawn, l-Istati Membri għandhom iwaqqfuhom, filwaqt li jqisu bis-sħiħ l-istrumenti internazzjonali li jirregolaw dawk l-istituzzjonijiet u jissalvagwardjaw l-indipendenza tagħhom, jiġifieri 1) il-Prinċipji ta’ Pariġi, 2) il-Prinċipji ta’ Venezja, 3) ir-Riżoluzzjoni tal-Assemblea Ġenerali tan-NU tal-2020 dwar ir-rwol tal-Ombudsman, u 4) l-OPCAT, bl-appoġġ tal-Aġenzija għad-Drittijiet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jistabbilixxu salvagwardji adegwati biex jiggarantixxu l-indipendenza tal-mekkaniżmu.</w:t>
            </w:r>
          </w:p>
        </w:tc>
        <w:tc>
          <w:tcPr>
            <w:tcW w:w="4876" w:type="dxa"/>
            <w:vAlign w:val="top"/>
          </w:tcPr>
          <w:p>
            <w:pPr>
              <w:pStyle w:val="Normal6a"/>
            </w:pPr>
            <w:r>
              <w:t>L-Istati Membri għandhom jistabbilixxu salvagwardji adegwati biex jiggarantixxu l-indipendenza tal-mekkaniżmu</w:t>
            </w:r>
            <w:r>
              <w:rPr>
                <w:b/>
                <w:i/>
                <w:strike w:val="0"/>
                <w:color w:val="auto"/>
                <w:highlight w:val="none"/>
                <w:u w:val="none" w:color="auto"/>
                <w:vertAlign w:val="baseline"/>
              </w:rPr>
              <w:t>, f’konformità mal-kriterji rikonoxxuti skont id-dritt u l-istandards internazzjonali rilevanti dwar id-drittijiet tal-bniedem.</w:t>
            </w:r>
            <w:r>
              <w:t xml:space="preserve"> </w:t>
            </w:r>
            <w:r>
              <w:rPr>
                <w:b/>
                <w:i/>
                <w:strike w:val="0"/>
                <w:color w:val="auto"/>
                <w:highlight w:val="none"/>
                <w:u w:val="none" w:color="auto"/>
                <w:vertAlign w:val="baseline"/>
              </w:rPr>
              <w:t>Dawn is-salvagwardji għandhom jinkludu l-għażla ta’ atturi nazzjonali u internazzjonali rilevanti indipendenti, inkluż mill-inqas rappreżentant wieħed mill-Aġenzija għad-Drittijiet Fundamentali (FRA) u rappreżentant wieħed mill-Ombudsman tal-UE jew l-ombudspersons nazzjonali, biex jirrieżaminaw l-indipendenza tal-mekkaniżmu fuq bażi annwali u jirrapportaw lura lill-Kummissjoni, lill-Kunsill u lill-Parlament Ewropew</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jistabbilixxu salvagwardji adegwati biex jiggarantixxu l-indipendenza tal-mekkaniżmu.</w:t>
            </w:r>
          </w:p>
        </w:tc>
        <w:tc>
          <w:tcPr>
            <w:tcW w:w="4876" w:type="dxa"/>
            <w:vAlign w:val="top"/>
          </w:tcPr>
          <w:p>
            <w:pPr>
              <w:pStyle w:val="Normal6a"/>
            </w:pPr>
            <w:r>
              <w:t xml:space="preserve">L-Istati Membri għandhom jistabbilixxu </w:t>
            </w:r>
            <w:r>
              <w:rPr>
                <w:b/>
                <w:i/>
                <w:strike w:val="0"/>
                <w:color w:val="auto"/>
                <w:highlight w:val="none"/>
                <w:u w:val="none" w:color="auto"/>
                <w:vertAlign w:val="baseline"/>
              </w:rPr>
              <w:t>mekkaniżmu ta’ monitoraġġ jew jaħtru mekkaniżmu eżistenti u jistabbilixxu</w:t>
            </w:r>
            <w:r>
              <w:t xml:space="preserve"> salvagwardji adegwati biex jiggarantixxu l-indipendenza tal-mekkaniżmu.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L-Aġenzija għad-Drittijiet Fundamentali </w:t>
            </w:r>
            <w:r>
              <w:rPr>
                <w:b/>
                <w:i/>
                <w:strike w:val="0"/>
                <w:color w:val="auto"/>
                <w:highlight w:val="none"/>
                <w:u w:val="none" w:color="auto"/>
                <w:vertAlign w:val="baseline"/>
              </w:rPr>
              <w:t>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r>
              <w:t>.</w:t>
            </w:r>
          </w:p>
        </w:tc>
        <w:tc>
          <w:tcPr>
            <w:tcW w:w="4876" w:type="dxa"/>
            <w:vAlign w:val="top"/>
          </w:tcPr>
          <w:p>
            <w:pPr>
              <w:pStyle w:val="Normal6a"/>
            </w:pPr>
            <w:r>
              <w:t>L-Aġenzija għad-Drittijiet Fundamentali</w:t>
            </w:r>
            <w:r>
              <w:rPr>
                <w:b/>
                <w:i/>
                <w:strike w:val="0"/>
                <w:color w:val="auto"/>
                <w:highlight w:val="none"/>
                <w:u w:val="none" w:color="auto"/>
                <w:vertAlign w:val="baseline"/>
              </w:rPr>
              <w:t>, li hija favur l-immigrazzjoni tal-massa fl-Ewropa, għandha toqgħod lura milli tagħti pariri lill-Istati Membri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L-Aġenzija għad-Drittijiet Fundamentali għandha toħroġ gwida ġenerali għall-Istati Membri dwar l-istabbiliment ta’ tali mekkaniżmu u l-funzjonament indipendenti tiegħu. </w:t>
            </w:r>
            <w:r>
              <w:rPr>
                <w:b/>
                <w:i/>
                <w:strike w:val="0"/>
                <w:color w:val="auto"/>
                <w:highlight w:val="none"/>
                <w:u w:val="none" w:color="auto"/>
                <w:vertAlign w:val="baseline"/>
              </w:rPr>
              <w:t>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t>L-Aġenzija għad-Drittijiet Fundamentali għandha toħroġ gwida ġenerali għall-Istati Membri dwar l-istabbiliment ta' tali mekkaniżmu u l-funzjonament indipendenti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L-Aġenzija għad-Drittijiet Fundamentali għandha toħroġ gwida </w:t>
            </w:r>
            <w:r>
              <w:rPr>
                <w:b/>
                <w:i/>
                <w:strike w:val="0"/>
                <w:color w:val="auto"/>
                <w:highlight w:val="none"/>
                <w:u w:val="none" w:color="auto"/>
                <w:vertAlign w:val="baseline"/>
              </w:rPr>
              <w:t>ġenerali</w:t>
            </w:r>
            <w:r>
              <w:t xml:space="preserve"> għall-Istati Membri dwar l-istabbiliment ta’ </w:t>
            </w:r>
            <w:r>
              <w:rPr>
                <w:b/>
                <w:i/>
                <w:strike w:val="0"/>
                <w:color w:val="auto"/>
                <w:highlight w:val="none"/>
                <w:u w:val="none" w:color="auto"/>
                <w:vertAlign w:val="baseline"/>
              </w:rPr>
              <w:t>tali mekkaniżmu</w:t>
            </w:r>
            <w:r>
              <w:t xml:space="preserve"> u l-funzjonament indipendenti tiegħu. Barra minn hekk, </w:t>
            </w:r>
            <w:r>
              <w:rPr>
                <w:b/>
                <w:i/>
                <w:strike w:val="0"/>
                <w:color w:val="auto"/>
                <w:highlight w:val="none"/>
                <w:u w:val="none" w:color="auto"/>
                <w:vertAlign w:val="baseline"/>
              </w:rPr>
              <w:t>l-Istati Membri jistgħu jitolbu lill-Aġenzija</w:t>
            </w:r>
            <w:r>
              <w:t xml:space="preserve"> għad-Drittijiet Fundamentali </w:t>
            </w:r>
            <w:r>
              <w:rPr>
                <w:b/>
                <w:i/>
                <w:strike w:val="0"/>
                <w:color w:val="auto"/>
                <w:highlight w:val="none"/>
                <w:u w:val="none" w:color="auto"/>
                <w:vertAlign w:val="baseline"/>
              </w:rPr>
              <w:t>biex tappoġġahom fl-iżvilupp tal-mekkaniżmu ta’ monitoraġġ nazzjonali</w:t>
            </w:r>
            <w:r>
              <w:t xml:space="preserve"> tagħhom</w:t>
            </w:r>
            <w:r>
              <w:rPr>
                <w:b/>
                <w:i/>
                <w:strike w:val="0"/>
                <w:color w:val="auto"/>
                <w:highlight w:val="none"/>
                <w:u w:val="none" w:color="auto"/>
                <w:vertAlign w:val="baseline"/>
              </w:rPr>
              <w:t>, inklużi s-salvagwardji għall-indipendenza ta’ tali mekkaniżmi</w:t>
            </w:r>
            <w:r>
              <w:t>, kif ukoll il-metodoloġija ta’ monitoraġġ u l-iskemi ta’ taħriġ xierqa.</w:t>
            </w:r>
          </w:p>
        </w:tc>
        <w:tc>
          <w:tcPr>
            <w:tcW w:w="4876" w:type="dxa"/>
            <w:vAlign w:val="top"/>
          </w:tcPr>
          <w:p>
            <w:pPr>
              <w:pStyle w:val="Normal6a"/>
            </w:pPr>
            <w:r>
              <w:rPr>
                <w:b/>
                <w:i/>
                <w:strike w:val="0"/>
                <w:color w:val="auto"/>
                <w:highlight w:val="none"/>
                <w:u w:val="none" w:color="auto"/>
                <w:vertAlign w:val="baseline"/>
              </w:rPr>
              <w:t>Filwaqt li tibni fuq il-qafas previst f’dan l-Artikolu,</w:t>
            </w:r>
            <w:r>
              <w:t xml:space="preserve"> l-Aġenzija għad-Drittijiet Fundamentali għandha toħroġ gwida għall-Istati Membri dwar l-istabbiliment ta’ </w:t>
            </w:r>
            <w:r>
              <w:rPr>
                <w:b/>
                <w:i/>
                <w:strike w:val="0"/>
                <w:color w:val="auto"/>
                <w:highlight w:val="none"/>
                <w:u w:val="none" w:color="auto"/>
                <w:vertAlign w:val="baseline"/>
              </w:rPr>
              <w:t>mekkaniżmu ta’ monitoraġġ</w:t>
            </w:r>
            <w:r>
              <w:t xml:space="preserve"> u l-funzjonament indipendenti tiegħu. Barra minn hekk, </w:t>
            </w:r>
            <w:r>
              <w:rPr>
                <w:b/>
                <w:i/>
                <w:strike w:val="0"/>
                <w:color w:val="auto"/>
                <w:highlight w:val="none"/>
                <w:u w:val="none" w:color="auto"/>
                <w:vertAlign w:val="baseline"/>
              </w:rPr>
              <w:t>l-Aġenzija</w:t>
            </w:r>
            <w:r>
              <w:t xml:space="preserve"> għad-Drittijiet Fundamentali </w:t>
            </w:r>
            <w:r>
              <w:rPr>
                <w:b/>
                <w:i/>
                <w:strike w:val="0"/>
                <w:color w:val="auto"/>
                <w:highlight w:val="none"/>
                <w:u w:val="none" w:color="auto"/>
                <w:vertAlign w:val="baseline"/>
              </w:rPr>
              <w:t>għandha tappoġġa lill-Istati Membri fl-iżvilupp u l-implimentazzjoni</w:t>
            </w:r>
            <w:r>
              <w:t xml:space="preserve"> tagħhom </w:t>
            </w:r>
            <w:r>
              <w:rPr>
                <w:b/>
                <w:i/>
                <w:strike w:val="0"/>
                <w:color w:val="auto"/>
                <w:highlight w:val="none"/>
                <w:u w:val="none" w:color="auto"/>
                <w:vertAlign w:val="baseline"/>
              </w:rPr>
              <w:t>tas-salvagwardji għall-indipendenza tal-mekkaniżmi ta’ monitoraġġ</w:t>
            </w:r>
            <w:r>
              <w:t>, kif ukoll il-metodoloġija ta’ monitoraġġ u l-iskemi ta’ taħriġ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L-Aġenzija għad-Drittijiet Fundamentali għandha toħroġ gwida ġenerali għall-Istati Membri dwar l-istabbiliment ta’ tali mekkaniżmu u l-funzjonament indipendenti tiegħu. Barra minn hekk, l-Istati Membri </w:t>
            </w:r>
            <w:r>
              <w:rPr>
                <w:b/>
                <w:i/>
                <w:strike w:val="0"/>
                <w:color w:val="auto"/>
                <w:highlight w:val="none"/>
                <w:u w:val="none" w:color="auto"/>
                <w:vertAlign w:val="baseline"/>
              </w:rPr>
              <w:t>jistgħu</w:t>
            </w:r>
            <w:r>
              <w:t xml:space="preserve">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t xml:space="preserve">L-Aġenzija għad-Drittijiet Fundamentali għandha toħroġ gwida ġenerali għall-Istati Membri dwar l-istabbiliment ta' tali mekkaniżmu u l-funzjonament indipendenti tiegħu. Barra minn hekk, l-Istati Membri </w:t>
            </w:r>
            <w:r>
              <w:rPr>
                <w:b/>
                <w:i/>
                <w:strike w:val="0"/>
                <w:color w:val="auto"/>
                <w:highlight w:val="none"/>
                <w:u w:val="none" w:color="auto"/>
                <w:vertAlign w:val="baseline"/>
              </w:rPr>
              <w:t>għandhom</w:t>
            </w:r>
            <w:r>
              <w:t xml:space="preserve">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c>
          <w:tcPr>
            <w:tcW w:w="4876" w:type="dxa"/>
            <w:vAlign w:val="top"/>
          </w:tcPr>
          <w:p>
            <w:pPr>
              <w:pStyle w:val="Normal6a"/>
            </w:pPr>
            <w:r>
              <w:rPr>
                <w:b/>
                <w:i/>
                <w:strike w:val="0"/>
                <w:color w:val="auto"/>
                <w:highlight w:val="none"/>
                <w:u w:val="none" w:color="auto"/>
                <w:vertAlign w:val="baseline"/>
              </w:rPr>
              <w:t>Mingħajr preġudizzju għad-dispożizzjonijiet tal-paragrafi preċedenti ta’ dan l-Artikolu,</w:t>
            </w:r>
            <w:r>
              <w:t xml:space="preserve"> l-Aġenzija għad-Drittijiet Fundamentali għandha toħroġ gwida ġenerali għall-Istati Membri dwar l-istabbiliment ta’ tali mekkaniżmu u l-funzjonament indipendenti tiegħu. Barra minn hekk,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Fejn ikunu jeżistu korpi nazzjonali indipendenti tad-drittijiet tal-bniedem b’mandati legali jew kostituzzjonali li jkopru attivitajiet ta’ ġestjoni tal-fruntieri, bħall-istituzzjonijiet nazzjonali tal-Ombudsman, l-Istituzzjonijiet Nazzjonali tad-Drittijiet tal-Bniedem jew il-Mekkaniżmi Nazzjonali ta’ Prevenzjoni kontra t-tortura mwaqqfa skont il-Protokoll Fakultattiv għall-Konvenzjoni tan-NU Kontra t-Tortura, dawn il-korpi għandhom jinħatru bħala l-mekkaniżmu ta’ monitoraġġ indipendenti għall-finijiet ta' dan l-Artikolu.</w:t>
            </w:r>
            <w:r>
              <w:rPr>
                <w:b/>
                <w:i/>
                <w:strike w:val="0"/>
                <w:color w:val="auto"/>
                <w:highlight w:val="none"/>
                <w:u w:val="none" w:color="auto"/>
                <w:vertAlign w:val="baseline"/>
              </w:rPr>
              <w:t>Huma għandhom jistiednu lill-organizzazzjonijiet u l-korpi nazzjonali, internazzjonali u mhux governattivi rilevanti, l-organizzazzjonijiet tas-soċjetà ċivili u d-difensuri tad-drittijiet tal-bniedem biex jipparteċipaw fil-ħolqien tal-mekkaniżmu u jimplimentaw il-kompiti tiegħu kif deskritt f’dan l-Artikolu.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Fejn ma jkunux jeżistu korpi bħal dawn, l-Istati Membri għandhom iwaqqfuhom, filwaqt li jqisu bis-sħiħ l-istrumenti internazzjonali li jirregolaw dawk l-istituzzjonijiet u jissalvagwardjaw l-indipendenza tagħhom, jiġifieri l-Prinċipji ta’ Pariġi</w:t>
            </w:r>
            <w:r>
              <w:rPr>
                <w:rStyle w:val="SupBoldItalic"/>
              </w:rPr>
              <w:t>1a</w:t>
            </w:r>
            <w:r>
              <w:rPr>
                <w:b/>
                <w:i/>
                <w:strike w:val="0"/>
                <w:color w:val="auto"/>
                <w:highlight w:val="none"/>
                <w:u w:val="none" w:color="auto"/>
                <w:vertAlign w:val="baseline"/>
              </w:rPr>
              <w:t>, il-Prinċipji ta’ Venezja</w:t>
            </w:r>
            <w:r>
              <w:rPr>
                <w:rStyle w:val="SupBoldItalic"/>
              </w:rPr>
              <w:t>2a</w:t>
            </w:r>
            <w:r>
              <w:rPr>
                <w:b/>
                <w:i/>
                <w:strike w:val="0"/>
                <w:color w:val="auto"/>
                <w:highlight w:val="none"/>
                <w:u w:val="none" w:color="auto"/>
                <w:vertAlign w:val="baseline"/>
              </w:rPr>
              <w:t>, ir-Riżoluzzjoni tal-Assemblea Ġenerali tan-NU tal-2020</w:t>
            </w:r>
            <w:r>
              <w:rPr>
                <w:rStyle w:val="SupBoldItalic"/>
              </w:rPr>
              <w:t>3a</w:t>
            </w:r>
            <w:r>
              <w:t xml:space="preserve"> </w:t>
            </w:r>
            <w:r>
              <w:rPr>
                <w:b/>
                <w:i/>
                <w:strike w:val="0"/>
                <w:color w:val="auto"/>
                <w:highlight w:val="none"/>
                <w:u w:val="none" w:color="auto"/>
                <w:vertAlign w:val="baseline"/>
              </w:rPr>
              <w:t>dwar ir-rwol tal-Ombudsman, u l-OPCAT</w:t>
            </w:r>
            <w:r>
              <w:rPr>
                <w:rStyle w:val="SupBoldItalic"/>
              </w:rPr>
              <w:t>4a</w:t>
            </w:r>
            <w:r>
              <w:rPr>
                <w:b/>
                <w:i/>
                <w:strike w:val="0"/>
                <w:color w:val="auto"/>
                <w:highlight w:val="none"/>
                <w:u w:val="none" w:color="auto"/>
                <w:vertAlign w:val="baseline"/>
              </w:rPr>
              <w:t>, bl-appoġġ tal-Aġenzija għad-Drittijiet Fundamentali.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Fil-każijiet kollha, il-komponenti għall-ħolqien u l-implimentazzjoni tal-kompiti tal-mekkaniżmu ta’ monitoraġġ indipendenti għandhom jintgħażlu b’mod trasparenti u responsabbli, inkluż permezz ta’ sejħa pubblika għall-offerti.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Il-prinċipji relatati mal-Istatus tal-Istituzzjonijiet Nazzjonali (Il-Prinċipji ta’ Pariġi), adottati permezz tar-Riżoluzzjoni 48/134 tal-Assemblea Ġenerali tan-NU tal-20 ta’ Diċembru 1993 (A/RES/48/134).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2a</w:t>
            </w:r>
            <w:r>
              <w:t xml:space="preserve"> </w:t>
            </w:r>
            <w:r>
              <w:rPr>
                <w:b/>
                <w:i/>
                <w:strike w:val="0"/>
                <w:color w:val="auto"/>
                <w:highlight w:val="none"/>
                <w:u w:val="none" w:color="auto"/>
                <w:vertAlign w:val="baseline"/>
              </w:rPr>
              <w:t>Il-Kummissjoni Ewropea għad-Demokrazija permezz tad-Dritt (il-Kummissjoni ta’ Venezja);</w:t>
            </w:r>
            <w:r>
              <w:t xml:space="preserve"> </w:t>
            </w:r>
            <w:r>
              <w:rPr>
                <w:b/>
                <w:i/>
                <w:strike w:val="0"/>
                <w:color w:val="auto"/>
                <w:highlight w:val="none"/>
                <w:u w:val="none" w:color="auto"/>
                <w:vertAlign w:val="baseline"/>
              </w:rPr>
              <w:t>Il-prinċipji dwar il-Protezzjoni u l-Promozzjoni tal-Istituzzjoni tal-Ombudsman (Il-Prinċipji ta’ Venezja), 2019, CDL-AD (2019) 005.</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3a</w:t>
            </w:r>
            <w:r>
              <w:t xml:space="preserve"> </w:t>
            </w:r>
            <w:r>
              <w:rPr>
                <w:b/>
                <w:i/>
                <w:strike w:val="0"/>
                <w:color w:val="auto"/>
                <w:highlight w:val="none"/>
                <w:u w:val="none" w:color="auto"/>
                <w:vertAlign w:val="baseline"/>
              </w:rPr>
              <w:t>Ir-riżoluzzjoni tal-Assemblea Ġenerali tan-NU dwar Ir-rwol tal-Ombudsman u tal-istituzzjonijiet medjaturi fil-promozzjoni u l-protezzjoni tad-drittijiet tal-bniedem, il-governanza tajba u l-istat tad-dritt 2020, A/RES/75/186.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4a</w:t>
            </w:r>
            <w:r>
              <w:t xml:space="preserve"> </w:t>
            </w:r>
            <w:r>
              <w:rPr>
                <w:b/>
                <w:i/>
                <w:strike w:val="0"/>
                <w:color w:val="auto"/>
                <w:highlight w:val="none"/>
                <w:u w:val="none" w:color="auto"/>
                <w:vertAlign w:val="baseline"/>
              </w:rPr>
              <w:t>Il-Protokoll Fakultattiv għall-Konvenzjoni Kontra t-Tortura u Trattament jew Pieni Krudili, Inumani jew Degradanti oħra adottat fit-18 ta' Diċembru 2002 fis-sebgħa u ħamsin sessjoni tal-Assemblea Ġenerali tan-Nazzjonijiet Uniti permezz tar-riżoluzzjoni A/RES/57/199 daħal fis-seħħ fit-22 ta' Ġunju 2006.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Il-ħidma tal-mekkaniżmi ta’ monitoraġġ indipendenti għandha tikkontribwixxi għall-valutazzjoni tal-applikazzjoni u l-implimentazzjoni effettivi tal-Karta tad-Drittijiet Fundamentali skont l-Artikolu 15(1) u l-Anness III tar-Regolament (UE) 2021/1060 (ir-Regolament dwar Dispożizzjonijiet Komuni).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Ladarba l-indipendenza u l-funzjonament effettiv tal-mekkaniżmu jkunu ġew ivverifikati skont il-gwida żviluppata mill-Aġenzija għad-Drittijiet Fundamentali, il-mekkaniżmu għandu jirċievi finanzjament adegwat mill-Istrument għall-Appoġġ Finanzjarju għall-Ġestjoni tal-Fruntieri u l-Politika dwar il-Viżi (BMVI) tal-Fond għall-Ġestjoni Integrata tal-Fruntieri u tal-Viżi (BMVI) u sorsi oħra ta’ finanzjament tal-UE.</w:t>
            </w:r>
            <w:r>
              <w:t xml:space="preserve"> </w:t>
            </w:r>
            <w:r>
              <w:rPr>
                <w:b/>
                <w:i/>
                <w:strike w:val="0"/>
                <w:color w:val="auto"/>
                <w:highlight w:val="none"/>
                <w:u w:val="none" w:color="auto"/>
                <w:vertAlign w:val="baseline"/>
              </w:rPr>
              <w:t>F’dan il-każ, il-funzjonament u l-effettività tal-mekkaniżmu ta’ monitoraġġ, inkluż l-issodisfar tal-kriterji dwar l-indipendenza tal-mekkaniżmu, għandhom jiġu inklużi fil-kriterji ta’ programmazzjoni nazzjonali u fir-rieżami ta’ nofs it-terminu ta’ dawn il-fondi.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2c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Il-mekkaniżmu ta’ monitoraġġ indipendenti għandu, b’mod partikolari: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jirċievi u jaġixxi fuq informazzjoni disponibbli fid-dominju pubbliku u/jew informazzjoni minn organizzazzjonijiet internazzjonali, organizzazzjonijiet mhux governattivi, ġurnalisti, aġenziji u istituzzjonijiet tal-UE u individwi affettwati, anke jekk dawn l-individwi ma jkunux preżenti fl-Istat Membru rispettiv;</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jingħata aċċess mingħajr xkiel għal kwalunkwe post, inklużi l-fruntieri blu u ħodor kif ukoll faċilitajiet ta’ detenzjoni u akkoljenza, li huwa jqis rilevanti għat-twettiq tal-mandat tiegħu, u jkun kapaċi jwettaq żjarat perjodiċi mħabbra u mhux imħabbra;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jingħata aċċess għad-dokumenti u r-rekords kollha ta’ rilevanza għall-missjoni tiegħu u jitħalla jagħmel jew jirċievi kopji li għalihom għandhom jiżguraw il-kunfidenzjalità dovuta;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ikunu kapaċi jirċievi lmenti minn vittmi ta’ ksur potenzjali tad-drittijiet fundamentali, jew mir-rappreżentanti tagħhom, li għandhom jiġu indirizzati lill-awtorità ġudizzjarja nazzjonali kompetenti;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ikollu s-setgħa li jisima' lix-xhieda u lill-allegati vittmi ta’ ksur tad-drittijiet fundamentali, b’rispett sħiħ tal-kunfidenzjalità.</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jistgħu jistiednu organizzazzjonijiet u korpi nazzjonali, internazzjonali u mhux governattivi rilevanti biex jipparteċipaw fil-monitoraġġ.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w:t>
            </w:r>
            <w:r>
              <w:t xml:space="preserve"> jistgħu </w:t>
            </w:r>
            <w:r>
              <w:rPr>
                <w:b/>
                <w:i/>
                <w:strike w:val="0"/>
                <w:color w:val="auto"/>
                <w:highlight w:val="none"/>
                <w:u w:val="none" w:color="auto"/>
                <w:vertAlign w:val="baseline"/>
              </w:rPr>
              <w:t>jistiednu organizzazzjonijiet u korpi nazzjonali, internazzjonali u mhux governattivi rilevanti biex jipparteċipaw fil-monitoraġġ</w:t>
            </w:r>
            <w:r>
              <w:t>.</w:t>
            </w:r>
          </w:p>
        </w:tc>
        <w:tc>
          <w:tcPr>
            <w:tcW w:w="4876" w:type="dxa"/>
            <w:vAlign w:val="top"/>
          </w:tcPr>
          <w:p>
            <w:pPr>
              <w:pStyle w:val="Normal6a"/>
            </w:pPr>
            <w:r>
              <w:rPr>
                <w:b/>
                <w:i/>
                <w:strike w:val="0"/>
                <w:color w:val="auto"/>
                <w:highlight w:val="none"/>
                <w:u w:val="none" w:color="auto"/>
                <w:vertAlign w:val="baseline"/>
              </w:rPr>
              <w:t>L-organizzazzjonijiet tas-soċjetà ċivili, li bħalissa</w:t>
            </w:r>
            <w:r>
              <w:t xml:space="preserve"> jistgħu </w:t>
            </w:r>
            <w:r>
              <w:rPr>
                <w:b/>
                <w:i/>
                <w:strike w:val="0"/>
                <w:color w:val="auto"/>
                <w:highlight w:val="none"/>
                <w:u w:val="none" w:color="auto"/>
                <w:vertAlign w:val="baseline"/>
              </w:rPr>
              <w:t>ma jkunux parti mill-mekkaniżmu ta' monitoraġġ indipendenti, għandhom ikunu jistgħu jwissu dwar ksur potenzjali, jipprovdu evidenza u rapporti, jirreferu individwi, u jirrappreżentaw jew iressqu lmenti f'isimhom, irrispettivament minn jekk fiż-żmien meta l-ilmentaturi jkunux fit-territorju tal-Istat Membru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L-Istati Membri jistgħu </w:t>
            </w:r>
            <w:r>
              <w:rPr>
                <w:b/>
                <w:i/>
                <w:strike w:val="0"/>
                <w:color w:val="auto"/>
                <w:highlight w:val="none"/>
                <w:u w:val="none" w:color="auto"/>
                <w:vertAlign w:val="baseline"/>
              </w:rPr>
              <w:t>jistiednu</w:t>
            </w:r>
            <w:r>
              <w:t xml:space="preserve"> organizzazzjonijiet </w:t>
            </w:r>
            <w:r>
              <w:rPr>
                <w:b/>
                <w:i/>
                <w:strike w:val="0"/>
                <w:color w:val="auto"/>
                <w:highlight w:val="none"/>
                <w:u w:val="none" w:color="auto"/>
                <w:vertAlign w:val="baseline"/>
              </w:rPr>
              <w:t>u korpi nazzjonali, internazzjonali u mhux governattivi rilevanti biex jipparteċipaw fil-monitoraġġ</w:t>
            </w:r>
            <w:r>
              <w:t>.</w:t>
            </w:r>
          </w:p>
        </w:tc>
        <w:tc>
          <w:tcPr>
            <w:tcW w:w="4876" w:type="dxa"/>
            <w:vAlign w:val="top"/>
          </w:tcPr>
          <w:p>
            <w:pPr>
              <w:pStyle w:val="Normal6a"/>
            </w:pPr>
            <w:r>
              <w:t xml:space="preserve">L-Istati Membri jistgħu </w:t>
            </w:r>
            <w:r>
              <w:rPr>
                <w:b/>
                <w:i/>
                <w:strike w:val="0"/>
                <w:color w:val="auto"/>
                <w:highlight w:val="none"/>
                <w:u w:val="none" w:color="auto"/>
                <w:vertAlign w:val="baseline"/>
              </w:rPr>
              <w:t>jipprevjenu lil</w:t>
            </w:r>
            <w:r>
              <w:t xml:space="preserve"> organizzazzjonijiet </w:t>
            </w:r>
            <w:r>
              <w:rPr>
                <w:b/>
                <w:i/>
                <w:strike w:val="0"/>
                <w:color w:val="auto"/>
                <w:highlight w:val="none"/>
                <w:u w:val="none" w:color="auto"/>
                <w:vertAlign w:val="baseline"/>
              </w:rPr>
              <w:t>mhux governattivi milli jipparteċipaw fil-monitoraġġ tal-proċedura ta' skrinjar għall-migranti li jkunu qed ifittxu li jidħlu fl-Unjoni Ewropea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L-Istati Membri jistgħu jistiednu organizzazzjonijiet u korpi nazzjonali, internazzjonali u mhux governattivi rilevanti biex </w:t>
            </w:r>
            <w:r>
              <w:rPr>
                <w:b/>
                <w:i/>
                <w:strike w:val="0"/>
                <w:color w:val="auto"/>
                <w:highlight w:val="none"/>
                <w:u w:val="none" w:color="auto"/>
                <w:vertAlign w:val="baseline"/>
              </w:rPr>
              <w:t>jipparteċipaw</w:t>
            </w:r>
            <w:r>
              <w:t xml:space="preserve"> fil-monitoraġġ.</w:t>
            </w:r>
          </w:p>
        </w:tc>
        <w:tc>
          <w:tcPr>
            <w:tcW w:w="4876" w:type="dxa"/>
            <w:vAlign w:val="top"/>
          </w:tcPr>
          <w:p>
            <w:pPr>
              <w:pStyle w:val="Normal6a"/>
            </w:pPr>
            <w:r>
              <w:t xml:space="preserve">L-Istati Membri jistgħu jistiednu organizzazzjonijiet u korpi nazzjonali, internazzjonali u mhux governattivi rilevanti biex </w:t>
            </w:r>
            <w:r>
              <w:rPr>
                <w:b/>
                <w:i/>
                <w:strike w:val="0"/>
                <w:color w:val="auto"/>
                <w:highlight w:val="none"/>
                <w:u w:val="none" w:color="auto"/>
                <w:vertAlign w:val="baseline"/>
              </w:rPr>
              <w:t>jassistu</w:t>
            </w:r>
            <w:r>
              <w:t xml:space="preserve"> fil-monitoraġġ.</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Sabiex tiġi mmonitorjata l-konformità mad-drittijiet fundamentali, għandu jiġi stabbilit mekkaniżmu speċifiku indipendenti tal-ilmenti mill-awtoritajiet u l-korpi nazzjonali u internazzjonali involuti, għal ċittadini ta' pajjiżi terzi, inklużi dawk li ma ngħatawx id-dritt li jidħlu fit-territorju, li jinsabu f'riskju li jiġu ritornati u/jew li ġew ritornati lejn pajjiż terz.</w:t>
            </w:r>
            <w:r>
              <w:t xml:space="preserve"> </w:t>
            </w:r>
            <w:r>
              <w:rPr>
                <w:b/>
                <w:i/>
                <w:strike w:val="0"/>
                <w:color w:val="auto"/>
                <w:highlight w:val="none"/>
                <w:u w:val="none" w:color="auto"/>
                <w:vertAlign w:val="baseline"/>
              </w:rPr>
              <w:t>Tali mekkaniżmu għandu jinkludi hotline miftuħa l-ħin kollu li tista' tiġi aċċessata minn persuni sabiex jiġu evitati aktar abbużi tad-drittijiet fundamentali, b'mod partikolari f'każ li persuna tkun f'riskju li tiġi rritornata b'mod arbitrarju lejn pajjiż terz.</w:t>
            </w:r>
            <w:r>
              <w:t xml:space="preserve"> </w:t>
            </w:r>
            <w:r>
              <w:rPr>
                <w:b/>
                <w:i/>
                <w:strike w:val="0"/>
                <w:color w:val="auto"/>
                <w:highlight w:val="none"/>
                <w:u w:val="none" w:color="auto"/>
                <w:vertAlign w:val="baseline"/>
              </w:rPr>
              <w:t>Fl-Istati Membri fejn tali mekkaniżmu għat-tressiq ta' lmenti diġà jeżisti fi ħdan mekkaniżmi nazzjonali indipendenti tad-drittijiet tal-bniedem, imbagħad dawn jistgħu jintużaw minflok ma jiġi stabbilit wieħed ġdid.</w:t>
            </w:r>
            <w:r>
              <w:t xml:space="preserve"> </w:t>
            </w:r>
            <w:r>
              <w:rPr>
                <w:b/>
                <w:i/>
                <w:strike w:val="0"/>
                <w:color w:val="auto"/>
                <w:highlight w:val="none"/>
                <w:u w:val="none" w:color="auto"/>
                <w:vertAlign w:val="baseline"/>
              </w:rPr>
              <w:t>Il-persunal ta' dan il-mekkaniżmu, inklużi dawk li joperaw il-hotline, ma għandux ikun kriminalizzat minn Stat Membru fuq bażi tal-ħidma tiegħu fih.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jiżviluppaw proċedura tal-ilmenti effettiva u aċċessibbli disponibbli fil-fruntieri, li l-eżistenza tagħha tkun magħrufa sew, inkluż fil-pajjiżi ġirien tagħhom.</w:t>
            </w:r>
            <w:r>
              <w:t xml:space="preserve"> </w:t>
            </w:r>
            <w:r>
              <w:rPr>
                <w:b/>
                <w:i/>
                <w:strike w:val="0"/>
                <w:color w:val="auto"/>
                <w:highlight w:val="none"/>
                <w:u w:val="none" w:color="auto"/>
                <w:vertAlign w:val="baseline"/>
              </w:rPr>
              <w:t>Huma għandhom jiżguraw l-investigazzjoni tal-allegazzjonijiet kollha ta' ksur tad-drittijiet fundamentali matul is-sorveljanza tal-fruntieri, il-proċeduri tal-iskrinjar, tal-ażil u tar-ritorn, f'konformità mar-rekwiżiti tad-dritt għal amministrazzjoni tajba, bħala prinċipju ġenerali tad-dritt tal-UE, u l-Artikolu 47 tal-Karta.</w:t>
            </w:r>
            <w:r>
              <w:t xml:space="preserve"> </w:t>
            </w:r>
            <w:r>
              <w:rPr>
                <w:b/>
                <w:i/>
                <w:strike w:val="0"/>
                <w:color w:val="auto"/>
                <w:highlight w:val="none"/>
                <w:u w:val="none" w:color="auto"/>
                <w:vertAlign w:val="baseline"/>
              </w:rPr>
              <w:t>L-ilmenti għandhom jiġu ttrattati fil-pront, imparzjalment, b'mod effettiv, minn persuni li jaġixxu b'mod indipendenti, fejn il-vittmi jinstemgħu u jkunu involuti b'mod suffiċjenti.</w:t>
            </w:r>
            <w:r>
              <w:t xml:space="preserve"> </w:t>
            </w:r>
            <w:r>
              <w:rPr>
                <w:b/>
                <w:i/>
                <w:strike w:val="0"/>
                <w:color w:val="auto"/>
                <w:highlight w:val="none"/>
                <w:u w:val="none" w:color="auto"/>
                <w:vertAlign w:val="baseline"/>
              </w:rPr>
              <w:t>L-investigazzjoni għandha tkun kapaċi twassal għal rettifika u kumpens, kif ukoll għall-identifikazzjoni u l-prosekuzzjoni ta' dawk responsabbli b'mod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fuq bażi annwali, jirrapportaw lura lill-Kummissjoni, lill-Kunsill u lill-Parlament Ewropew dwar allegazzjonijiet potenzjali ta' nuqqas ta' rispett għad-drittijiet fundamentali fir-rigward tal-proċess ta' skrinjar, jekk ikun hemm.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Jekk ikun meħtieġ, il-mekkaniżmu għandu jkun jista' jirċievi finanzjament permezz tal-Fond għall-Ġestjoni Integrata tal-Fruntieri (IBMF) jew kwalunkwe fond rilevanti ieħor tal-UE.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Il-mekkaniżmu ta' monitoraġġ indipendenti għandu jaġixxi f'sinerġija ma' strumenti oħra ta' monitoraġġ tad-drittijiet fundamentali tal-UE bħal, b'mod partikolari, dawk previsti mill-Artikoli 109, 110 u 111 tar-Regolament (UE) 2019/1896 (ir-Regolament dwar il-Gwardja Ewropea tal-Fruntiera u tal-Kosta), il-mekkaniżmu ta' monitoraġġ għall-fini ta' monitoraġġ tal-applikazzjoni operazzjonali u teknika tas-Sistema Ewropea Komuni tal-Asil (SEKA) kif stabbilit fl-Artikolu 14 tar-Regolament (UE) xxxx/xxxx [ir-Regolament dwar l-Aġenzija Ewropea għall-Asil] u r-Regolament (UE) xxxx/xxxx [ir-Regolament dwar il-mekkaniżmu ta' evalwazzjoni u monitoraġġ ta' Schengen].</w:t>
            </w:r>
            <w:r>
              <w:rPr>
                <w:b/>
                <w:i/>
                <w:strike w:val="0"/>
                <w:color w:val="auto"/>
                <w:highlight w:val="none"/>
                <w:u w:val="none" w:color="auto"/>
                <w:vertAlign w:val="baseline"/>
              </w:rPr>
              <w:t>L-osservazzjonijiet, ir-rakkomandazzjonijiet jew l-opinjonijiet mill-osservaturi tad-drittijiet fundamentali tal-Frontex u r-rapporti ta' inċidenti serji relatati man-nuqqas ta' konformità mad-drittijiet fundamentali għandhom jiġu kondiviżi bejn il-mekkaniżmu ta' monitoraġġ indipendenti u l-korpi ta' monitoraġġ tal-aġenziji tal-UE.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Il-mekkaniżmu ta' monitoraġġ indipendenti huwa mingħajr preġudizzju għall-mandati tal-korpi ta' monitoraġġ eżistenti li joperaw fil-livell tal-UE u dak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jipprovdu lil individwi potenzjalment affettwati informazzjoni dwar il-mekkaniżmu, bil-miktub u bil-fomm, f'forma konċiża, trasparenti, intelliġibbli u faċilment aċċessibbli, bl-użu ta' lingwaġġ ċar u sempliċi li l-individwu affettwat ikun jista' jifhmu.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Ladarba l-indipendenza u s-setgħat xierqa tal-mekkaniżmu jiġu vverifikati mill-Aġenzija għad-Drittijiet Fundamentali, il-mekkaniżmu għandu jirċievi finanzjament mill-Fond għall-Ġestjoni Integrata tal-Fruntieri:</w:t>
            </w:r>
            <w:r>
              <w:t xml:space="preserve"> </w:t>
            </w:r>
            <w:r>
              <w:rPr>
                <w:b/>
                <w:i/>
                <w:strike w:val="0"/>
                <w:color w:val="auto"/>
                <w:highlight w:val="none"/>
                <w:u w:val="none" w:color="auto"/>
                <w:vertAlign w:val="baseline"/>
              </w:rPr>
              <w:t>Strument għall-appoġġ finanzjarju għall-Ġestjoni tal-Fruntieri u għall-Viżi (BMVI) u sorsi oħra ta' finanzjament tal-UE u għandu jkun finanzjarjament indipendenti mill-Istat Membru li fih jopera.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Il-mekkaniżmu għandu, kull sena, jirrapporta pubblikament dwar is-sejbiet u r-rakkomandazzjonijiet tiegħu, inkluż dwar il-passi meħuda biex dawk li jiksru d-drittijiet fundamentali jinżammu responsabbli.</w:t>
            </w:r>
            <w:r>
              <w:t xml:space="preserve"> </w:t>
            </w:r>
            <w:r>
              <w:rPr>
                <w:b/>
                <w:i/>
                <w:strike w:val="0"/>
                <w:color w:val="auto"/>
                <w:highlight w:val="none"/>
                <w:u w:val="none" w:color="auto"/>
                <w:vertAlign w:val="baseline"/>
              </w:rPr>
              <w:t>Dawn ir-rapporti għandhom jikkontribwixxu għall-valutazzjoni tal-konformità mal-Karta tad-Drittijiet Fundamentali tal-UE skont l-Artikolu 11(1) tar-Regolament (UE) 2018/0196 (ir-Regolament dwar Dispożizzjonijiet Komuni) u l-Anness III.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7a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Il-Protezzjoni tad-Data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Ir-Regolament (UE) 2016/679, ir-Regolament 2018/1725 u, fejn rilevanti, id-Direttiva 2018/680 għandhom japplikaw għall-ipproċessar ta' data personali mwettaq meta jiġi implimentat dan ir-Regolament.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L-Istati Membri għandhom jikkonsultaw lill-awtorità superviżorja nazzjonali stabbilita skont l-Artikolu 51 tar-Regolament 2016/679 dwar il-protezzjoni tad-drittijiet għall-protezzjoni tad-data u l-privatezza li jikkonċernaw l-attivitajiet tagħhom ta' ġestjoni tal-fruntieri u l-implimentazzjoni tal-iskrinjar skont dan ir-Regolament kull sena.</w:t>
            </w:r>
            <w:r>
              <w:t xml:space="preserve"> </w:t>
            </w:r>
            <w:r>
              <w:rPr>
                <w:b/>
                <w:i/>
                <w:strike w:val="0"/>
                <w:color w:val="auto"/>
                <w:highlight w:val="none"/>
                <w:u w:val="none" w:color="auto"/>
                <w:vertAlign w:val="baseline"/>
              </w:rPr>
              <w:t>L-awtorità superviżorja nazzjonali se tippubblika l-valutazzjonijiet tagħhom kull sena.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Il-BEPD u l-KEPD jistgħu joħorġu linji gwida dwar il-ġbir u l-ipproċessar tad-data għall-fini ta' dan ir-Regolament.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L-Istati Membri kull sena se jippubblikaw l-għadd ta' talbiet tas-suġġetti tad-data riċevuti u avviżi tad-data pprovduti skont ir-Regolament (UE) 2016/679 fil-kuntest ta' proċeduri ta' skrinjar, asil u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Iċ-ċittadini</w:t>
            </w:r>
            <w:r>
              <w:t xml:space="preserve"> ta’ pajjiżi terzi soġġetti għall-iskrinjar </w:t>
            </w:r>
            <w:r>
              <w:rPr>
                <w:b/>
                <w:i/>
                <w:strike w:val="0"/>
                <w:color w:val="auto"/>
                <w:highlight w:val="none"/>
                <w:u w:val="none" w:color="auto"/>
                <w:vertAlign w:val="baseline"/>
              </w:rPr>
              <w:t>għandhom ikunu infurmati fil-qosor</w:t>
            </w:r>
            <w:r>
              <w:t xml:space="preserve"> dwar l-għan u l-modalitajiet </w:t>
            </w:r>
            <w:r>
              <w:rPr>
                <w:b/>
                <w:i/>
                <w:strike w:val="0"/>
                <w:color w:val="auto"/>
                <w:highlight w:val="none"/>
                <w:u w:val="none" w:color="auto"/>
                <w:vertAlign w:val="baseline"/>
              </w:rPr>
              <w:t>tal-iskrinjar</w:t>
            </w:r>
            <w:r>
              <w:t>:</w:t>
            </w:r>
          </w:p>
        </w:tc>
        <w:tc>
          <w:tcPr>
            <w:tcW w:w="4876" w:type="dxa"/>
            <w:vAlign w:val="top"/>
          </w:tcPr>
          <w:p>
            <w:pPr>
              <w:pStyle w:val="Normal6a"/>
            </w:pPr>
            <w:r>
              <w:t>1.</w:t>
            </w:r>
            <w:r>
              <w:tab/>
            </w:r>
            <w:r>
              <w:rPr>
                <w:b/>
                <w:i/>
                <w:strike w:val="0"/>
                <w:color w:val="auto"/>
                <w:highlight w:val="none"/>
                <w:u w:val="none" w:color="auto"/>
                <w:vertAlign w:val="baseline"/>
              </w:rPr>
              <w:t>L-Istati Membri għandhom jinfurmaw, b'mod ċar u komprensiv b'lingwa li jkunu jifhmuha, liċ-ċittadini kollha</w:t>
            </w:r>
            <w:r>
              <w:t xml:space="preserve"> ta' pajjiżi terzi soġġetti għall-iskrinjar dwar l-għan</w:t>
            </w:r>
            <w:r>
              <w:rPr>
                <w:b/>
                <w:i/>
                <w:strike w:val="0"/>
                <w:color w:val="auto"/>
                <w:highlight w:val="none"/>
                <w:u w:val="none" w:color="auto"/>
                <w:vertAlign w:val="baseline"/>
              </w:rPr>
              <w:t>, it-tul</w:t>
            </w:r>
            <w:r>
              <w:t xml:space="preserve"> u l-modalitajiet </w:t>
            </w:r>
            <w:r>
              <w:rPr>
                <w:b/>
                <w:i/>
                <w:strike w:val="0"/>
                <w:color w:val="auto"/>
                <w:highlight w:val="none"/>
                <w:u w:val="none" w:color="auto"/>
                <w:vertAlign w:val="baseline"/>
              </w:rPr>
              <w:t>tiegħu kif ukoll dwar id-drittijiet tagħhom, bħal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Iċ-ċittadini</w:t>
            </w:r>
            <w:r>
              <w:t xml:space="preserve"> ta’ pajjiżi terzi soġġetti għall-iskrinjar </w:t>
            </w:r>
            <w:r>
              <w:rPr>
                <w:b/>
                <w:i/>
                <w:strike w:val="0"/>
                <w:color w:val="auto"/>
                <w:highlight w:val="none"/>
                <w:u w:val="none" w:color="auto"/>
                <w:vertAlign w:val="baseline"/>
              </w:rPr>
              <w:t>għandhom ikunu infurmati fil-qosor dwar l-għan u l-modalitajiet tal-iskrinjar</w:t>
            </w:r>
            <w:r>
              <w:t>:</w:t>
            </w:r>
          </w:p>
        </w:tc>
        <w:tc>
          <w:tcPr>
            <w:tcW w:w="4876" w:type="dxa"/>
            <w:vAlign w:val="top"/>
          </w:tcPr>
          <w:p>
            <w:pPr>
              <w:pStyle w:val="Normal6a"/>
            </w:pPr>
            <w:r>
              <w:t>1.</w:t>
            </w:r>
            <w:r>
              <w:tab/>
            </w:r>
            <w:r>
              <w:rPr>
                <w:b/>
                <w:i/>
                <w:strike w:val="0"/>
                <w:color w:val="auto"/>
                <w:highlight w:val="none"/>
                <w:u w:val="none" w:color="auto"/>
                <w:vertAlign w:val="baseline"/>
              </w:rPr>
              <w:t>L-awtoritajiet kompetenti għandhom jinformaw lil ċittadini</w:t>
            </w:r>
            <w:r>
              <w:t xml:space="preserve"> ta' pajjiżi terzi soġġetti għall-iskrinjar </w:t>
            </w:r>
            <w:r>
              <w:rPr>
                <w:b/>
                <w:i/>
                <w:strike w:val="0"/>
                <w:color w:val="auto"/>
                <w:highlight w:val="none"/>
                <w:u w:val="none" w:color="auto"/>
                <w:vertAlign w:val="baseline"/>
              </w:rPr>
              <w:t>dwar l-għan, il-modalitajiet u d-dewmien tal-iskrinjar u dwar id-dritt li jfittxu asil, b'mod partikolari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soġġetti għall-iskrinjar għandhom ikunu infurmati fil-qosor dwar l-għan u l-modalitajiet tal-iskrinjar:</w:t>
            </w:r>
          </w:p>
        </w:tc>
        <w:tc>
          <w:tcPr>
            <w:tcW w:w="4876" w:type="dxa"/>
            <w:vAlign w:val="top"/>
          </w:tcPr>
          <w:p>
            <w:pPr>
              <w:pStyle w:val="Normal6a"/>
            </w:pPr>
            <w:r>
              <w:t>1.</w:t>
            </w:r>
            <w:r>
              <w:tab/>
            </w:r>
            <w:r>
              <w:t xml:space="preserve">Iċ-ċittadini ta' pajjiżi terzi soġġetti għall-iskrinjar għandhom ikunu infurmati fil-qosor </w:t>
            </w:r>
            <w:r>
              <w:rPr>
                <w:b/>
                <w:i/>
                <w:strike w:val="0"/>
                <w:color w:val="auto"/>
                <w:highlight w:val="none"/>
                <w:u w:val="none" w:color="auto"/>
                <w:vertAlign w:val="baseline"/>
              </w:rPr>
              <w:t>u b'mod adegwat</w:t>
            </w:r>
            <w:r>
              <w:t xml:space="preserve"> dwar l-għan u l-modalitajiet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il-passi u l-modalitajiet tal-iskrinjar kif ukoll ir-riżultati possibbli tal-iskrinjar;</w:t>
            </w:r>
          </w:p>
        </w:tc>
        <w:tc>
          <w:tcPr>
            <w:tcW w:w="4876" w:type="dxa"/>
            <w:vAlign w:val="top"/>
          </w:tcPr>
          <w:p>
            <w:pPr>
              <w:pStyle w:val="Normal6a"/>
            </w:pPr>
            <w:r>
              <w:t>(a)</w:t>
            </w:r>
            <w:r>
              <w:tab/>
            </w:r>
            <w:r>
              <w:t>il-passi</w:t>
            </w:r>
            <w:r>
              <w:rPr>
                <w:b/>
                <w:i/>
                <w:strike w:val="0"/>
                <w:color w:val="auto"/>
                <w:highlight w:val="none"/>
                <w:u w:val="none" w:color="auto"/>
                <w:vertAlign w:val="baseline"/>
              </w:rPr>
              <w:t>, l-għan, id-dewmien</w:t>
            </w:r>
            <w:r>
              <w:t xml:space="preserve"> u l-modalitajiet tal-iskrinjar kif ukoll ir-riżultati possibbli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il-passi </w:t>
            </w:r>
            <w:r>
              <w:rPr>
                <w:b/>
                <w:i/>
                <w:strike w:val="0"/>
                <w:color w:val="auto"/>
                <w:highlight w:val="none"/>
                <w:u w:val="none" w:color="auto"/>
                <w:vertAlign w:val="baseline"/>
              </w:rPr>
              <w:t>u l-modalitajiet</w:t>
            </w:r>
            <w:r>
              <w:t xml:space="preserve"> tal-iskrinjar kif ukoll ir-riżultati possibbli tal-iskrinjar;</w:t>
            </w:r>
          </w:p>
        </w:tc>
        <w:tc>
          <w:tcPr>
            <w:tcW w:w="4876" w:type="dxa"/>
            <w:vAlign w:val="top"/>
          </w:tcPr>
          <w:p>
            <w:pPr>
              <w:pStyle w:val="Normal6a"/>
            </w:pPr>
            <w:r>
              <w:t>(a)</w:t>
            </w:r>
            <w:r>
              <w:tab/>
            </w:r>
            <w:r>
              <w:t>il-passi</w:t>
            </w:r>
            <w:r>
              <w:rPr>
                <w:b/>
                <w:i/>
                <w:strike w:val="0"/>
                <w:color w:val="auto"/>
                <w:highlight w:val="none"/>
                <w:u w:val="none" w:color="auto"/>
                <w:vertAlign w:val="baseline"/>
              </w:rPr>
              <w:t>, l-għan, il-modalitajiet u d-dewmien</w:t>
            </w:r>
            <w:r>
              <w:t xml:space="preserve"> tal-iskrinjar kif ukoll ir-riżultati possibbli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il-passi u l-modalitajiet tal-iskrinjar kif ukoll ir-riżultati possibbli tal-iskrinjar</w:t>
            </w:r>
            <w:r>
              <w:rPr>
                <w:b/>
                <w:i/>
                <w:strike w:val="0"/>
                <w:color w:val="auto"/>
                <w:highlight w:val="none"/>
                <w:u w:val="none" w:color="auto"/>
                <w:vertAlign w:val="baseline"/>
              </w:rPr>
              <w:t>;</w:t>
            </w:r>
          </w:p>
        </w:tc>
        <w:tc>
          <w:tcPr>
            <w:tcW w:w="4876" w:type="dxa"/>
            <w:vAlign w:val="top"/>
          </w:tcPr>
          <w:p>
            <w:pPr>
              <w:pStyle w:val="Normal6a"/>
            </w:pPr>
            <w:r>
              <w:t>(a)</w:t>
            </w:r>
            <w:r>
              <w:tab/>
            </w:r>
            <w:r>
              <w:t>il-passi u l-modalitajiet tal-iskrinjar kif ukoll ir-riżultati possibbli tal-iskrinjar</w:t>
            </w:r>
            <w:r>
              <w:rPr>
                <w:b/>
                <w:i/>
                <w:strike w:val="0"/>
                <w:color w:val="auto"/>
                <w:highlight w:val="none"/>
                <w:u w:val="none" w:color="auto"/>
                <w:vertAlign w:val="baseline"/>
              </w:rPr>
              <w:t>, b'mod partikolari d-dritt tagħhom li japplikaw għall-protezzjoni internazzjonali jew forom oħra ta' protezzjoni applikabbli fil-liġi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id-drittijiet u l-obbligi ta’ ċittadini ta’ pajjiżi terzi matul l-iskrinjar</w:t>
            </w:r>
            <w:r>
              <w:rPr>
                <w:b/>
                <w:i/>
                <w:strike w:val="0"/>
                <w:color w:val="auto"/>
                <w:highlight w:val="none"/>
                <w:u w:val="none" w:color="auto"/>
                <w:vertAlign w:val="baseline"/>
              </w:rPr>
              <w:t>, inkluż l-obbligu li jibqgħu fil-faċilitajiet iddeżinjati matul l-iskrinjar.</w:t>
            </w:r>
          </w:p>
        </w:tc>
        <w:tc>
          <w:tcPr>
            <w:tcW w:w="4876" w:type="dxa"/>
            <w:vAlign w:val="top"/>
          </w:tcPr>
          <w:p>
            <w:pPr>
              <w:pStyle w:val="Normal6a"/>
            </w:pPr>
            <w:r>
              <w:t>(b)</w:t>
            </w:r>
            <w:r>
              <w:tab/>
            </w:r>
            <w:r>
              <w:t>id-drittijiet u l-obbligi ta' ċittadini ta' pajjiżi terzi matul l-iskrinjar</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id-drittijiet u l-obbligi ta’ ċittadini ta’ pajjiżi terzi matul l-iskrinjar</w:t>
            </w:r>
            <w:r>
              <w:rPr>
                <w:b/>
                <w:i/>
                <w:strike w:val="0"/>
                <w:color w:val="auto"/>
                <w:highlight w:val="none"/>
                <w:u w:val="none" w:color="auto"/>
                <w:vertAlign w:val="baseline"/>
              </w:rPr>
              <w:t>, inkluż l-obbligu li jibqgħu fil-faċilitajiet iddeżinjati matul l-iskrinjar</w:t>
            </w:r>
            <w:r>
              <w:t>.</w:t>
            </w:r>
          </w:p>
        </w:tc>
        <w:tc>
          <w:tcPr>
            <w:tcW w:w="4876" w:type="dxa"/>
            <w:vAlign w:val="top"/>
          </w:tcPr>
          <w:p>
            <w:pPr>
              <w:pStyle w:val="Normal6a"/>
            </w:pPr>
            <w:r>
              <w:t>(b)</w:t>
            </w:r>
            <w:r>
              <w:tab/>
            </w:r>
            <w:r>
              <w:t>id-drittijiet u l-obbligi ta' ċittadini ta' pajjiżi terzi matul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id-drittijiet u l-obbligi ta’ ċittadini ta’ pajjiżi terzi matul l-iskrinjar, inkluż l-obbligu li jibqgħu fil-faċilitajiet iddeżinjati matul l-iskrinjar.</w:t>
            </w:r>
          </w:p>
        </w:tc>
        <w:tc>
          <w:tcPr>
            <w:tcW w:w="4876" w:type="dxa"/>
            <w:vAlign w:val="top"/>
          </w:tcPr>
          <w:p>
            <w:pPr>
              <w:pStyle w:val="Normal6a"/>
            </w:pPr>
            <w:r>
              <w:t>(b)</w:t>
            </w:r>
            <w:r>
              <w:tab/>
            </w:r>
            <w:r>
              <w:t xml:space="preserve">id-drittijiet u l-obbligi ta' ċittadini ta' pajjiżi terzi matul l-iskrinjar, inkluż </w:t>
            </w:r>
            <w:r>
              <w:rPr>
                <w:b/>
                <w:i/>
                <w:strike w:val="0"/>
                <w:color w:val="auto"/>
                <w:highlight w:val="none"/>
                <w:u w:val="none" w:color="auto"/>
                <w:vertAlign w:val="baseline"/>
              </w:rPr>
              <w:t>il-possibbiltà li jikkuntattjaw lil organizzazzjonijiet li jipprovdu informazzjoni u assistenza legali kif imsemmi fl-Artikolu 8(4) u li jiġu kkuntattjati minnhom, kif ukoll</w:t>
            </w:r>
            <w:r>
              <w:t xml:space="preserve"> l-obbligu li jibqgħu fil-faċilitajiet iddeżinjati matul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dwar id-dritt tagħhom li jikkuntattjaw organizzazzjonijiet, korpi u individwi u li dawn iżuruhom, kif imsemmi fl-Artikolu 8, li jipprovdu informazzjoni u assistenza legali u dwar id-dritt tagħhom li jikkuntattjaw il-mekkaniżmu ta' monitoraġġ previst fl-Artikolu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il-possibbiltà u l-modalitajiet kif japplikaw għall-protezzjoni internazzjonali, jew forom oħra ta' protezzjoni kif applikabbli fil-liġi nazzjonali, kif ukoll il-proċeduri li jsegwu t-tressiq ta' applikazzjoni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ir-regoli applikabbli dwar il-kundizzjonijiet ta' dħul għal ċittadini ta' pajjiżi terzi skont ir-Regolament (Nru) 2016/399 [Kodiċi tal-Fruntieri ta' Schengen], kif ukoll dwar kondizzjonijiet oħra ta' dħul, soġġorn u residenza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id-dritt tagħhom u l-modalitajiet li jiġu riunifikati ma' membru tal-familja jew qarib preżenti fit-territorju ta' Stat Membru ieħor;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(bc)</w:t>
            </w:r>
            <w:r>
              <w:tab/>
            </w:r>
            <w:r>
              <w:rPr>
                <w:b/>
                <w:i/>
                <w:strike w:val="0"/>
                <w:color w:val="auto"/>
                <w:highlight w:val="none"/>
                <w:u w:val="none" w:color="auto"/>
                <w:vertAlign w:val="baseline"/>
              </w:rPr>
              <w:t>id-dritt tagħhom u l-modalitajiet biex japplikaw għall-protezzjoni internazzjonali jew forom oħra ta' protezzjoni skont il-liġi nazzjonali kif ukoll il-proċedura ta' rilokazzjoni skont il-mekkaniżmu ta' distribuzzjoni awtomatika stabbilit bir-Regolament (UE) XXX/XXX [il-Ġestjoni tal-Ażil u tal-Migrazzjoni];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(bc)</w:t>
            </w:r>
            <w:r>
              <w:tab/>
            </w:r>
            <w:r>
              <w:rPr>
                <w:b/>
                <w:i/>
                <w:strike w:val="0"/>
                <w:color w:val="auto"/>
                <w:highlight w:val="none"/>
                <w:u w:val="none" w:color="auto"/>
                <w:vertAlign w:val="baseline"/>
              </w:rPr>
              <w:t>l-obbligu ta' ritorn ta' ċittadini ta' pajjiżi terzi li jkunu qegħdin fil-pajjiż b'mod irregolari skont id-Direttiva XXXXX [id-Direttiva dwar ir-Ritorn];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(bd)</w:t>
            </w:r>
            <w:r>
              <w:tab/>
            </w:r>
            <w:r>
              <w:rPr>
                <w:b/>
                <w:i/>
                <w:strike w:val="0"/>
                <w:color w:val="auto"/>
                <w:highlight w:val="none"/>
                <w:u w:val="none" w:color="auto"/>
                <w:vertAlign w:val="baseline"/>
              </w:rPr>
              <w:t>il-possibbiltajiet li jirreġistraw fi programm li jipprovdi assistenza loġistika, finanzjarja u materjali jew in natura oħra bil-għan li jiġi appoġġat it-tluq volontarju;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be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(be)</w:t>
            </w:r>
            <w:r>
              <w:tab/>
            </w:r>
            <w:r>
              <w:rPr>
                <w:b/>
                <w:i/>
                <w:strike w:val="0"/>
                <w:color w:val="auto"/>
                <w:highlight w:val="none"/>
                <w:u w:val="none" w:color="auto"/>
                <w:vertAlign w:val="baseline"/>
              </w:rPr>
              <w:t>il-kundizzjonijiet ta' parteċipazzjoni fir-rilokazzjoni skont l-Artikolu XX tar-Regolament (UE) Nru XXX/XXX [dak li kien ir-Regolament ta' Dublin];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bf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(bf)</w:t>
            </w:r>
            <w:r>
              <w:tab/>
            </w:r>
            <w:r>
              <w:rPr>
                <w:b/>
                <w:i/>
                <w:strike w:val="0"/>
                <w:color w:val="auto"/>
                <w:highlight w:val="none"/>
                <w:u w:val="none" w:color="auto"/>
                <w:vertAlign w:val="baseline"/>
              </w:rPr>
              <w:t>l-informazzjoni msemmija fl-Artikolu 13 tar-Regolament (UE) 2016/679 [GDPR];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bg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(bg)</w:t>
            </w:r>
            <w:r>
              <w:tab/>
            </w:r>
            <w:r>
              <w:rPr>
                <w:b/>
                <w:i/>
                <w:strike w:val="0"/>
                <w:color w:val="auto"/>
                <w:highlight w:val="none"/>
                <w:u w:val="none" w:color="auto"/>
                <w:vertAlign w:val="baseline"/>
              </w:rPr>
              <w:t>il-finijiet għat-teħid ta' data bijometrika, u l-lista sħiħa tal-bażijiet tad-data nazzjonali u tal-Unjoni rilevanti li l-awtorità kompetenti ser tfittex f'konformità mal-Artikoli 10 u 11;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bh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(bh)</w:t>
            </w:r>
            <w:r>
              <w:tab/>
            </w:r>
            <w:r>
              <w:rPr>
                <w:b/>
                <w:i/>
                <w:strike w:val="0"/>
                <w:color w:val="auto"/>
                <w:highlight w:val="none"/>
                <w:u w:val="none" w:color="auto"/>
                <w:vertAlign w:val="baseline"/>
              </w:rPr>
              <w:t>informazzjoni dwar id-dritt li l-informazzjoni tiġi rettifikata u supplimentata;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bi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(bi)</w:t>
            </w:r>
            <w:r>
              <w:tab/>
            </w:r>
            <w:r>
              <w:rPr>
                <w:b/>
                <w:i/>
                <w:strike w:val="0"/>
                <w:color w:val="auto"/>
                <w:highlight w:val="none"/>
                <w:u w:val="none" w:color="auto"/>
                <w:vertAlign w:val="baseline"/>
              </w:rPr>
              <w:t>il-possibbiltà li jikkuntattjaw organizzazzjonijiet, korpi u individwi u li dawn iżuruhom, kif imsemmi fl-Artikoli 6(1) u 8(4) li jipprovdu informazzjoni u assistenza legali;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 – punt bj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(bj)</w:t>
            </w:r>
            <w:r>
              <w:tab/>
            </w:r>
            <w:r>
              <w:rPr>
                <w:b/>
                <w:i/>
                <w:strike w:val="0"/>
                <w:color w:val="auto"/>
                <w:highlight w:val="none"/>
                <w:u w:val="none" w:color="auto"/>
                <w:vertAlign w:val="baseline"/>
              </w:rPr>
              <w:t>ir-regoli applikabbli dwar il-kundizzjonijiet ta' soġġorn għal ċittadini ta' pajjiżi terzi f'konformità mal-liġi nazzjonali u l-proċeduri ta' residenza relatati tal-Istat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Matul l-iskrinjar, huma għandhom jirċievu wkoll, kif xieraq, informazzjoni dwar:</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ir-regoli applikabbli dwar il-kundizzjonijiet tad-dħul għal ċittadini ta’ pajjiżi terzi skont ir-Regolament (Nru) 2016/399 [Kodiċi tal-Fruntieri ta’ Schengen], kif ukoll dwar kundizzjonijiet oħra tad-dħul, soġġorn u residenza tal-Istat Membru kkonċernat, sa fejn din l-informazzjoni ma tkunx diġà ngħatat;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 fejn ikunu applikaw, jew ikun hemm indikazzjonijiet li jixtiequ japplikaw, għall-protezzjoni internazzjonali, informazzjoni dwar l-obbligu li japplikaw għall-protezzjoni internazzjonali fl-Istat Membru tal-ewwel dħul jew soġġorn legali stabbilit fl-Artikolu [9(1) u (2)] tar-Regolament (UE) Nru XXX/XXX [l-ex-Regolament ta’ Dublin], il-konsegwenzi ta’ nuqqas ta’ konformità stabbiliti fl-Artikolu [10(1)] ta’ dak ir-Regolament, u l-informazzjoni stabbilita fl-Artikolu 11 ta’ dak ir-Regolament kif ukoll dwar il-proċeduri li jsegwu t-twettiq ta’ applikazzjoni għall-protezzjoni internazzjonali;</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 l-obbligu ta’ ritorn ta’ ċittadini ta’ pajjiżi terzi li jkunu qegħdin fil-pajjiż illegalment skont id-Direttiva XXXXX [id-Direttiva dwar ir-Ritorn];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 il-possibbiltajiet li jirreġistraw fi programm li jipprovdi assistenza loġistika, finanzjarja u materjali jew in natura oħra bil-għan li jiġi appoġġat it-tluq volontarju;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 il-kundizzjonijiet ta’ parteċipazzjoni fir-rilokazzjoni skont l-Artikolu XX tar-Regolament (UE) Nru XXX/XXX [ir-Regolament ex-Dublin];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(f) l-informazzjoni msemmija fl-Artikolu 13 tar-Regolament (UE) 2016/679</w:t>
            </w:r>
            <w:r>
              <w:rPr>
                <w:rStyle w:val="SupBoldItalic"/>
              </w:rPr>
              <w:t>35</w:t>
            </w:r>
            <w:r>
              <w:rPr>
                <w:b/>
                <w:i/>
                <w:strike w:val="0"/>
                <w:color w:val="auto"/>
                <w:highlight w:val="none"/>
                <w:u w:val="none" w:color="auto"/>
                <w:vertAlign w:val="baseline"/>
              </w:rPr>
              <w:t>[GDPR];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35</w:t>
            </w:r>
            <w:r>
              <w:t xml:space="preserve"> </w:t>
            </w:r>
            <w:r>
              <w:rPr>
                <w:b/>
                <w:i/>
                <w:strike w:val="0"/>
                <w:color w:val="auto"/>
                <w:highlight w:val="none"/>
                <w:u w:val="none" w:color="auto"/>
                <w:vertAlign w:val="baseline"/>
              </w:rP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Matul l-iskrinjar, huma</w:t>
            </w:r>
            <w:r>
              <w:t xml:space="preserve"> għandhom </w:t>
            </w:r>
            <w:r>
              <w:rPr>
                <w:b/>
                <w:i/>
                <w:strike w:val="0"/>
                <w:color w:val="auto"/>
                <w:highlight w:val="none"/>
                <w:u w:val="none" w:color="auto"/>
                <w:vertAlign w:val="baseline"/>
              </w:rPr>
              <w:t>jirċievu wkoll, kif xieraq</w:t>
            </w:r>
            <w:r>
              <w:t xml:space="preserve">, </w:t>
            </w:r>
            <w:r>
              <w:rPr>
                <w:b/>
                <w:i/>
                <w:strike w:val="0"/>
                <w:color w:val="auto"/>
                <w:highlight w:val="none"/>
                <w:u w:val="none" w:color="auto"/>
                <w:vertAlign w:val="baseline"/>
              </w:rPr>
              <w:t>informazzjoni</w:t>
            </w:r>
            <w:r>
              <w:t xml:space="preserve"> dwar:</w:t>
            </w:r>
          </w:p>
        </w:tc>
        <w:tc>
          <w:tcPr>
            <w:tcW w:w="4876" w:type="dxa"/>
            <w:vAlign w:val="top"/>
          </w:tcPr>
          <w:p>
            <w:pPr>
              <w:pStyle w:val="Normal6a"/>
            </w:pPr>
            <w:r>
              <w:t>2.</w:t>
            </w:r>
            <w:r>
              <w:tab/>
            </w:r>
            <w:r>
              <w:rPr>
                <w:b/>
                <w:i/>
                <w:strike w:val="0"/>
                <w:color w:val="auto"/>
                <w:highlight w:val="none"/>
                <w:u w:val="none" w:color="auto"/>
                <w:vertAlign w:val="baseline"/>
              </w:rPr>
              <w:t>Fil-bidu tal-iskrinjar, l-Istati Membri</w:t>
            </w:r>
            <w:r>
              <w:t xml:space="preserve"> għandhom </w:t>
            </w:r>
            <w:r>
              <w:rPr>
                <w:b/>
                <w:i/>
                <w:strike w:val="0"/>
                <w:color w:val="auto"/>
                <w:highlight w:val="none"/>
                <w:u w:val="none" w:color="auto"/>
                <w:vertAlign w:val="baseline"/>
              </w:rPr>
              <w:t>jipprovdu informazzjoni ċara f'lingwa li kull persuna soġġetta għal skrinjar tkun tifhem</w:t>
            </w:r>
            <w:r>
              <w:t>, dwar: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 soġġorn u residenza tal-Istat Membru kkonċernat</w:t>
            </w:r>
            <w:r>
              <w:rPr>
                <w:b/>
                <w:i/>
                <w:strike w:val="0"/>
                <w:color w:val="auto"/>
                <w:highlight w:val="none"/>
                <w:u w:val="none" w:color="auto"/>
                <w:vertAlign w:val="baseline"/>
              </w:rPr>
              <w:t>, sa fejn din l-informazzjoni ma tkunx diġà ngħatat</w:t>
            </w:r>
            <w:r>
              <w:t>;</w:t>
            </w:r>
          </w:p>
        </w:tc>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 soġġorn u residenza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 soġġorn u residenza tal-Istat Membru kkonċernat</w:t>
            </w:r>
            <w:r>
              <w:rPr>
                <w:b/>
                <w:i/>
                <w:strike w:val="0"/>
                <w:color w:val="auto"/>
                <w:highlight w:val="none"/>
                <w:u w:val="none" w:color="auto"/>
                <w:vertAlign w:val="baseline"/>
              </w:rPr>
              <w:t>, sa fejn din l-informazzjoni ma tkunx diġà ngħatat</w:t>
            </w:r>
            <w:r>
              <w:t>;</w:t>
            </w:r>
          </w:p>
        </w:tc>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 soġġorn u residenza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w:t>
            </w:r>
            <w:r>
              <w:rPr>
                <w:b/>
                <w:i/>
                <w:strike w:val="0"/>
                <w:color w:val="auto"/>
                <w:highlight w:val="none"/>
                <w:u w:val="none" w:color="auto"/>
                <w:vertAlign w:val="baseline"/>
              </w:rPr>
              <w:t>, soġġorn u residenza</w:t>
            </w:r>
            <w:r>
              <w:t xml:space="preserve"> tal-Istat Membru kkonċernat, sa fejn din l-informazzjoni ma tkunx diġà ngħatat;</w:t>
            </w:r>
          </w:p>
        </w:tc>
        <w:tc>
          <w:tcPr>
            <w:tcW w:w="4876" w:type="dxa"/>
            <w:vAlign w:val="top"/>
          </w:tcPr>
          <w:p>
            <w:pPr>
              <w:pStyle w:val="Normal6a"/>
            </w:pPr>
            <w:r>
              <w:t>(a)</w:t>
            </w:r>
            <w:r>
              <w:tab/>
            </w:r>
            <w:r>
              <w:t>ir-regoli applikabbli dwar il-kundizzjonijiet tad-dħul għal ċittadini ta’ pajjiżi terzi skont ir-Regolament (Nru) 2016/399 [Kodiċi tal-Fruntieri ta’ Schengen], kif ukoll dwar kundizzjonijiet oħra tad-dħul tal-Istat Membru kkonċernat, sa fejn din l-informazzjoni ma tkunx diġà ngħatat;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fejn ikunu applikaw, jew ikun hemm indikazzjonijiet li jixtiequ japplikaw, għall-protezzjoni internazzjonali,</w:t>
            </w:r>
            <w:r>
              <w:t xml:space="preserve"> informazzjoni dwar l-obbligu li japplikaw għall-protezzjoni internazzjonali fl-Istat Membru tal-ewwel dħul jew soġġorn legali stabbilit fl-Artikolu [9(1) u (2)] tar-Regolament (UE) Nru XXX/XXX [l-ex-Regolament ta’ Dublin], il-konsegwenzi ta’ nuqqas ta’ konformità stabbiliti fl-Artikolu [10(1)] ta’ dak ir-Regolament, u l-informazzjoni stabbilita fl-Artikolu 11 ta’ dak ir-Regolament kif ukoll dwar il-proċeduri li jsegwu t-twettiq ta’ applikazzjoni għall-protezzjoni internazzjonali;</w:t>
            </w:r>
          </w:p>
        </w:tc>
        <w:tc>
          <w:tcPr>
            <w:tcW w:w="4876" w:type="dxa"/>
            <w:vAlign w:val="top"/>
          </w:tcPr>
          <w:p>
            <w:pPr>
              <w:pStyle w:val="Normal6a"/>
            </w:pPr>
            <w:r>
              <w:t>(b)</w:t>
            </w:r>
            <w:r>
              <w:tab/>
            </w:r>
            <w:r>
              <w:t>informazzjoni dwar l-obbligu li japplikaw għall-protezzjoni internazzjonali fl-Istat Membru tal-ewwel dħul jew soġġorn legali stabbilit fl-Artikolu [9(1) u (2)] tar-Regolament (UE) Nru XXX/XXX [l-ex-Regolament ta’ Dublin], il-konsegwenzi ta’ nuqqas ta’ konformità stabbiliti fl-Artikolu [10(1)] ta’ dak ir-Regolament, u l-informazzjoni stabbilita fl-Artikolu 11 ta’ dak ir-Regolament kif ukoll dwar il-proċeduri li jsegwu t-twettiq ta’ applikazzjoni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l-obbligu ta’ ritorn ta’ ċittadini ta’ pajjiżi terzi li jkunu qegħdin fil-pajjiż </w:t>
            </w:r>
            <w:r>
              <w:rPr>
                <w:b/>
                <w:i/>
                <w:strike w:val="0"/>
                <w:color w:val="auto"/>
                <w:highlight w:val="none"/>
                <w:u w:val="none" w:color="auto"/>
                <w:vertAlign w:val="baseline"/>
              </w:rPr>
              <w:t>illegalment</w:t>
            </w:r>
            <w:r>
              <w:t xml:space="preserve"> skont id-Direttiva XXXXX [id-Direttiva dwar ir-Ritorn];</w:t>
            </w:r>
          </w:p>
        </w:tc>
        <w:tc>
          <w:tcPr>
            <w:tcW w:w="4876" w:type="dxa"/>
            <w:vAlign w:val="top"/>
          </w:tcPr>
          <w:p>
            <w:pPr>
              <w:pStyle w:val="Normal6a"/>
            </w:pPr>
            <w:r>
              <w:t>(c)</w:t>
            </w:r>
            <w:r>
              <w:tab/>
            </w:r>
            <w:r>
              <w:t>l-obbligu ta' ritorn ta' ċittadini ta' pajjiżi terzi</w:t>
            </w:r>
            <w:r>
              <w:rPr>
                <w:b/>
                <w:i/>
                <w:strike w:val="0"/>
                <w:color w:val="auto"/>
                <w:highlight w:val="none"/>
                <w:u w:val="none" w:color="auto"/>
                <w:vertAlign w:val="baseline"/>
              </w:rPr>
              <w:t>, fejn xieraq,</w:t>
            </w:r>
            <w:r>
              <w:t xml:space="preserve"> li jkunu qegħdin fil-pajjiż skont id-Direttiva XXXXX [id-Direttiva dwar ir-Ritorn];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il-kundizzjonijiet ta’ parteċipazzjoni fir-rilokazzjoni skont l-Artikolu XX tar-Regolament (UE) Nru XXX/XXX [ir-Regolament ex-Dublin];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rPr>
                <w:b/>
                <w:i/>
                <w:strike w:val="0"/>
                <w:color w:val="auto"/>
                <w:highlight w:val="none"/>
                <w:u w:val="none" w:color="auto"/>
                <w:vertAlign w:val="baseline"/>
              </w:rPr>
              <w:t>l-informazzjoni msemmija</w:t>
            </w:r>
            <w:r>
              <w:t xml:space="preserve"> fl-Artikolu 13 tar-Regolament (UE) 2016/679</w:t>
            </w:r>
            <w:r>
              <w:rPr>
                <w:rStyle w:val="Sup"/>
              </w:rPr>
              <w:t>35</w:t>
            </w:r>
            <w:r>
              <w:rPr>
                <w:b/>
                <w:i/>
                <w:strike w:val="0"/>
                <w:color w:val="auto"/>
                <w:highlight w:val="none"/>
                <w:u w:val="none" w:color="auto"/>
                <w:vertAlign w:val="baseline"/>
              </w:rPr>
              <w:t>[GDPR];</w:t>
            </w:r>
          </w:p>
        </w:tc>
        <w:tc>
          <w:tcPr>
            <w:tcW w:w="4876" w:type="dxa"/>
            <w:vAlign w:val="top"/>
          </w:tcPr>
          <w:p>
            <w:pPr>
              <w:pStyle w:val="Normal6a"/>
            </w:pPr>
            <w:r>
              <w:t>(f)</w:t>
            </w:r>
            <w:r>
              <w:tab/>
            </w:r>
            <w:r>
              <w:rPr>
                <w:b/>
                <w:i/>
                <w:strike w:val="0"/>
                <w:color w:val="auto"/>
                <w:highlight w:val="none"/>
                <w:u w:val="none" w:color="auto"/>
                <w:vertAlign w:val="baseline"/>
              </w:rPr>
              <w:t>id-drittijiet imsemmija</w:t>
            </w:r>
            <w:r>
              <w:t xml:space="preserve"> fl-Artikolu 13 </w:t>
            </w:r>
            <w:r>
              <w:rPr>
                <w:b/>
                <w:i/>
                <w:strike w:val="0"/>
                <w:color w:val="auto"/>
                <w:highlight w:val="none"/>
                <w:u w:val="none" w:color="auto"/>
                <w:vertAlign w:val="baseline"/>
              </w:rPr>
              <w:t>u fl-Artikoli 15 sa 19 inklużi</w:t>
            </w:r>
            <w:r>
              <w:t xml:space="preserve"> tar-Regolament (UE) 2016/679</w:t>
            </w:r>
            <w:r>
              <w:rPr>
                <w:rStyle w:val="Sup"/>
              </w:rPr>
              <w:t>35</w:t>
            </w:r>
            <w:r>
              <w:t xml:space="preserve"> </w:t>
            </w:r>
            <w:r>
              <w:rPr>
                <w:b/>
                <w:i/>
                <w:strike w:val="0"/>
                <w:color w:val="auto"/>
                <w:highlight w:val="none"/>
                <w:u w:val="none" w:color="auto"/>
                <w:vertAlign w:val="baseline"/>
              </w:rPr>
              <w:t>[GDPR], fl-Artikolu 13 tad-Direttiva (UE) 2016/680 [id-Direttiva tal-Pulizija] u fl-Artikolu 15 tar-Regolament (UE) 2018/1725.</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w:t>
            </w:r>
          </w:p>
        </w:tc>
        <w:tc>
          <w:tcPr>
            <w:tcW w:w="4876" w:type="dxa"/>
            <w:vAlign w:val="top"/>
          </w:tcPr>
          <w:p>
            <w:pPr>
              <w:pStyle w:val="Normal6a"/>
            </w:pPr>
            <w:r>
              <w:rPr>
                <w:rStyle w:val="Sup"/>
              </w:rPr>
              <w:t>35</w:t>
            </w:r>
            <w:r>
              <w:t xml:space="preserve"> </w:t>
            </w:r>
            <w: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 – punt fa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(fa)</w:t>
            </w:r>
            <w:r>
              <w:tab/>
            </w:r>
            <w:r>
              <w:rPr>
                <w:b/>
                <w:i/>
                <w:strike w:val="0"/>
                <w:color w:val="auto"/>
                <w:highlight w:val="none"/>
                <w:u w:val="none" w:color="auto"/>
                <w:vertAlign w:val="baseline"/>
              </w:rPr>
              <w:t>ittestjar tal-għadam biex jiġi kkonfermat jew annullat status ta' minorenni.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li ċ-ċittadin ta’ pajjiż terz jifhem jew li jkun raġonevolment mistenni li jifhem. L-informazzjoni għandha tingħata bil-miktub u, f’ċirkostanzi eċċezzjonali, fejn meħtieġ, b’mod orali bl-użu ta’ servizzi ta’ interpretazzjoni. </w:t>
            </w:r>
            <w:r>
              <w:rPr>
                <w:b/>
                <w:i/>
                <w:strike w:val="0"/>
                <w:color w:val="auto"/>
                <w:highlight w:val="none"/>
                <w:u w:val="none" w:color="auto"/>
                <w:vertAlign w:val="baseline"/>
              </w:rPr>
              <w:t>Din għandha tiġi pprovduta b’mod xieraq filwaqt li jitqiesu l-età u l-ġeneru tal-persuna.</w:t>
            </w:r>
          </w:p>
        </w:tc>
        <w:tc>
          <w:tcPr>
            <w:tcW w:w="4876" w:type="dxa"/>
            <w:vAlign w:val="top"/>
          </w:tcPr>
          <w:p>
            <w:pPr>
              <w:pStyle w:val="Normal6a"/>
            </w:pPr>
            <w:r>
              <w:t>3.</w:t>
            </w:r>
            <w:r>
              <w:tab/>
            </w:r>
            <w:r>
              <w:t>L-informazzjoni pprovduta waqt l-iskrinjar għandha tingħata f'lingwa li ċ-ċittadin ta' pajjiż terz jifhem jew li jkun raġonevolment mistenni li jifhem. L-informazzjoni għandha tingħata bil-miktub u, f'ċirkostanzi eċċezzjonali, fejn meħtieġ, b'mod orali bl-użu ta' servizzi ta' interpretazzjoni.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li ċ-ċittadin ta’ pajjiż terz jifhem </w:t>
            </w:r>
            <w:r>
              <w:rPr>
                <w:b/>
                <w:i/>
                <w:strike w:val="0"/>
                <w:color w:val="auto"/>
                <w:highlight w:val="none"/>
                <w:u w:val="none" w:color="auto"/>
                <w:vertAlign w:val="baseline"/>
              </w:rPr>
              <w:t>jew li jkun raġonevolment mistenni li jifhem</w:t>
            </w:r>
            <w:r>
              <w:t>. L-informazzjoni għandha tingħata bil-miktub u</w:t>
            </w:r>
            <w:r>
              <w:rPr>
                <w:b/>
                <w:i/>
                <w:strike w:val="0"/>
                <w:color w:val="auto"/>
                <w:highlight w:val="none"/>
                <w:u w:val="none" w:color="auto"/>
                <w:vertAlign w:val="baseline"/>
              </w:rPr>
              <w:t>, f’ċirkostanzi eċċezzjonali, fejn meħtieġ, b’mod orali bl-użu ta’ servizzi ta’ interpretazzjoni</w:t>
            </w:r>
            <w:r>
              <w:t>. Din għandha tiġi pprovduta b’mod xieraq filwaqt li jitqiesu l-età u l-ġeneru tal-persuna.</w:t>
            </w:r>
          </w:p>
        </w:tc>
        <w:tc>
          <w:tcPr>
            <w:tcW w:w="4876" w:type="dxa"/>
            <w:vAlign w:val="top"/>
          </w:tcPr>
          <w:p>
            <w:pPr>
              <w:pStyle w:val="Normal6a"/>
            </w:pPr>
            <w:r>
              <w:t>3.</w:t>
            </w:r>
            <w:r>
              <w:tab/>
            </w:r>
            <w:r>
              <w:t xml:space="preserve">L-informazzjoni pprovduta waqt l-iskrinjar għandha tingħata f'lingwa </w:t>
            </w:r>
            <w:r>
              <w:rPr>
                <w:b/>
                <w:i/>
                <w:strike w:val="0"/>
                <w:color w:val="auto"/>
                <w:highlight w:val="none"/>
                <w:u w:val="none" w:color="auto"/>
                <w:vertAlign w:val="baseline"/>
              </w:rPr>
              <w:t>u f'format</w:t>
            </w:r>
            <w:r>
              <w:t xml:space="preserve"> li ċ-ċittadin ta’ pajjiż terz jifhem. L-informazzjoni għandha tingħata bil-miktub u </w:t>
            </w:r>
            <w:r>
              <w:rPr>
                <w:b/>
                <w:i/>
                <w:strike w:val="0"/>
                <w:color w:val="auto"/>
                <w:highlight w:val="none"/>
                <w:u w:val="none" w:color="auto"/>
                <w:vertAlign w:val="baseline"/>
              </w:rPr>
              <w:t>bil-fomm bl-użu ta' servizzi ta' interpretazzjoni u lingwaġġ ċar, inkluż bl-appoġġ ta' medjaturi kulturali mħarrġa adegwatament</w:t>
            </w:r>
            <w:r>
              <w:t>. Din għandha tiġi pprovduta b’mod xieraq filwaqt li jitqiesu l-età u l-ġeneru tal-persuna</w:t>
            </w:r>
            <w:r>
              <w:rPr>
                <w:b/>
                <w:i/>
                <w:strike w:val="0"/>
                <w:color w:val="auto"/>
                <w:highlight w:val="none"/>
                <w:u w:val="none" w:color="auto"/>
                <w:vertAlign w:val="baseline"/>
              </w:rPr>
              <w:t>, minn professjonisti mħarrġa kif xieraq u fil-preżenza tar-rappreżentant maħtur skont l-Artikolu 9a f'każ ta' minorenni mhux akkumpanjati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w:t>
            </w:r>
            <w:r>
              <w:rPr>
                <w:b/>
                <w:i/>
                <w:strike w:val="0"/>
                <w:color w:val="auto"/>
                <w:highlight w:val="none"/>
                <w:u w:val="none" w:color="auto"/>
                <w:vertAlign w:val="baseline"/>
              </w:rPr>
              <w:t>li ċ-ċittadin</w:t>
            </w:r>
            <w:r>
              <w:t xml:space="preserve"> ta’ pajjiż terz </w:t>
            </w:r>
            <w:r>
              <w:rPr>
                <w:b/>
                <w:i/>
                <w:strike w:val="0"/>
                <w:color w:val="auto"/>
                <w:highlight w:val="none"/>
                <w:u w:val="none" w:color="auto"/>
                <w:vertAlign w:val="baseline"/>
              </w:rPr>
              <w:t>jifhem jew li jkun raġonevolment mistenni li jifhem</w:t>
            </w:r>
            <w:r>
              <w:t>. L-informazzjoni għandha tingħata bil-miktub u</w:t>
            </w:r>
            <w:r>
              <w:rPr>
                <w:b/>
                <w:i/>
                <w:strike w:val="0"/>
                <w:color w:val="auto"/>
                <w:highlight w:val="none"/>
                <w:u w:val="none" w:color="auto"/>
                <w:vertAlign w:val="baseline"/>
              </w:rPr>
              <w:t>, f’ċirkostanzi eċċezzjonali, fejn meħtieġ,</w:t>
            </w:r>
            <w:r>
              <w:t xml:space="preserve"> b’mod orali bl-użu ta’ servizzi ta’ interpretazzjoni. Din għandha tiġi pprovduta b’mod xieraq filwaqt li jitqiesu l-età u l-ġeneru tal-persuna.</w:t>
            </w:r>
          </w:p>
        </w:tc>
        <w:tc>
          <w:tcPr>
            <w:tcW w:w="4876" w:type="dxa"/>
            <w:vAlign w:val="top"/>
          </w:tcPr>
          <w:p>
            <w:pPr>
              <w:pStyle w:val="Normal6a"/>
            </w:pPr>
            <w:r>
              <w:t>3.</w:t>
            </w:r>
            <w:r>
              <w:tab/>
            </w:r>
            <w:r>
              <w:t xml:space="preserve">L-informazzjoni pprovduta waqt l-iskrinjar għandha tingħata f'lingwa </w:t>
            </w:r>
            <w:r>
              <w:rPr>
                <w:b/>
                <w:i/>
                <w:strike w:val="0"/>
                <w:color w:val="auto"/>
                <w:highlight w:val="none"/>
                <w:u w:val="none" w:color="auto"/>
                <w:vertAlign w:val="baseline"/>
              </w:rPr>
              <w:t>u f'format li jiftehmu miċ-ċittadin</w:t>
            </w:r>
            <w:r>
              <w:t xml:space="preserve"> ta' pajjiż terz. L-informazzjoni għandha tingħata bil-miktub u b'mod orali bl-użu ta' servizzi ta' interpretazzjoni</w:t>
            </w:r>
            <w:r>
              <w:rPr>
                <w:b/>
                <w:i/>
                <w:strike w:val="0"/>
                <w:color w:val="auto"/>
                <w:highlight w:val="none"/>
                <w:u w:val="none" w:color="auto"/>
                <w:vertAlign w:val="baseline"/>
              </w:rPr>
              <w:t>, fejn meħtieġ</w:t>
            </w:r>
            <w:r>
              <w:t xml:space="preserve">. Din għandha tiġi pprovduta b'mod xieraq filwaqt li jitqiesu l-età u l-ġeneru tal-persuna. </w:t>
            </w:r>
            <w:r>
              <w:rPr>
                <w:b/>
                <w:i/>
                <w:strike w:val="0"/>
                <w:color w:val="auto"/>
                <w:highlight w:val="none"/>
                <w:u w:val="none" w:color="auto"/>
                <w:vertAlign w:val="baseline"/>
              </w:rPr>
              <w:t>Meta l-persuna tkun tifel jew tifla, l-informazzjoni għandha tiġi pprovduta b'mod adattat għat-tfal.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li </w:t>
            </w:r>
            <w:r>
              <w:rPr>
                <w:b/>
                <w:i/>
                <w:strike w:val="0"/>
                <w:color w:val="auto"/>
                <w:highlight w:val="none"/>
                <w:u w:val="none" w:color="auto"/>
                <w:vertAlign w:val="baseline"/>
              </w:rPr>
              <w:t>ċ-ċittadin</w:t>
            </w:r>
            <w:r>
              <w:t xml:space="preserve"> ta’ pajjiż terz </w:t>
            </w:r>
            <w:r>
              <w:rPr>
                <w:b/>
                <w:i/>
                <w:strike w:val="0"/>
                <w:color w:val="auto"/>
                <w:highlight w:val="none"/>
                <w:u w:val="none" w:color="auto"/>
                <w:vertAlign w:val="baseline"/>
              </w:rPr>
              <w:t>jifhem jew li jkun raġonevolment mistenni li jifhem</w:t>
            </w:r>
            <w:r>
              <w:t>. L-informazzjoni għandha tingħata bil-miktub u</w:t>
            </w:r>
            <w:r>
              <w:rPr>
                <w:b/>
                <w:i/>
                <w:strike w:val="0"/>
                <w:color w:val="auto"/>
                <w:highlight w:val="none"/>
                <w:u w:val="none" w:color="auto"/>
                <w:vertAlign w:val="baseline"/>
              </w:rPr>
              <w:t>, f’ċirkostanzi eċċezzjonali, fejn meħtieġ, b’mod orali bl-użu ta’ servizzi ta’ interpretazzjoni</w:t>
            </w:r>
            <w:r>
              <w:t>. Din għandha tiġi pprovduta b’mod xieraq filwaqt li jitqiesu l-età u l-ġeneru tal-persuna.</w:t>
            </w:r>
          </w:p>
        </w:tc>
        <w:tc>
          <w:tcPr>
            <w:tcW w:w="4876" w:type="dxa"/>
            <w:vAlign w:val="top"/>
          </w:tcPr>
          <w:p>
            <w:pPr>
              <w:pStyle w:val="Normal6a"/>
            </w:pPr>
            <w:r>
              <w:t>3.</w:t>
            </w:r>
            <w:r>
              <w:tab/>
            </w:r>
            <w:r>
              <w:t xml:space="preserve">L-informazzjoni pprovduta waqt l-iskrinjar għandha tingħata f'lingwa li </w:t>
            </w:r>
            <w:r>
              <w:rPr>
                <w:b/>
                <w:i/>
                <w:strike w:val="0"/>
                <w:color w:val="auto"/>
                <w:highlight w:val="none"/>
                <w:u w:val="none" w:color="auto"/>
                <w:vertAlign w:val="baseline"/>
              </w:rPr>
              <w:t>jifhem iċ-ċittadin</w:t>
            </w:r>
            <w:r>
              <w:t xml:space="preserve"> ta' pajjiż terz. L-informazzjoni għandha tingħata bil-miktub u </w:t>
            </w:r>
            <w:r>
              <w:rPr>
                <w:b/>
                <w:i/>
                <w:strike w:val="0"/>
                <w:color w:val="auto"/>
                <w:highlight w:val="none"/>
                <w:u w:val="none" w:color="auto"/>
                <w:vertAlign w:val="baseline"/>
              </w:rPr>
              <w:t>bil-fomm bl-użu ta' servizzi ta' interpretazzjoni, inkluż bl-appoġġ ta' medjaturi kulturali mħarrġa adegwatament</w:t>
            </w:r>
            <w:r>
              <w:t>. Din għandha tiġi pprovduta b'mod xieraq filwaqt li jitqiesu l-età u l-ġeneru tal-persuna.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li ċ-ċittadin ta’ pajjiż terz jifhem jew li jkun raġonevolment mistenni li jifhem. L-informazzjoni għandha tingħata bil-miktub </w:t>
            </w:r>
            <w:r>
              <w:rPr>
                <w:b/>
                <w:i/>
                <w:strike w:val="0"/>
                <w:color w:val="auto"/>
                <w:highlight w:val="none"/>
                <w:u w:val="none" w:color="auto"/>
                <w:vertAlign w:val="baseline"/>
              </w:rPr>
              <w:t>u, f’ċirkostanzi eċċezzjonali,</w:t>
            </w:r>
            <w:r>
              <w:t xml:space="preserve"> fejn meħtieġ, b’mod orali bl-użu ta’ servizzi ta’ interpretazzjoni. Din għandha tiġi pprovduta b’mod xieraq filwaqt li jitqiesu l-età u l-ġeneru tal-persuna.</w:t>
            </w:r>
          </w:p>
        </w:tc>
        <w:tc>
          <w:tcPr>
            <w:tcW w:w="4876" w:type="dxa"/>
            <w:vAlign w:val="top"/>
          </w:tcPr>
          <w:p>
            <w:pPr>
              <w:pStyle w:val="Normal6a"/>
            </w:pPr>
            <w:r>
              <w:t>3.</w:t>
            </w:r>
            <w:r>
              <w:tab/>
            </w:r>
            <w:r>
              <w:t xml:space="preserve">L-informazzjoni pprovduta waqt l-iskrinjar għandha tingħata f'lingwa li ċ-ċittadin ta' pajjiż terz jifhem jew li jkun raġonevolment mistenni li jifhem. L-informazzjoni għandha tingħata bil-miktub </w:t>
            </w:r>
            <w:r>
              <w:rPr>
                <w:b/>
                <w:i/>
                <w:strike w:val="0"/>
                <w:color w:val="auto"/>
                <w:highlight w:val="none"/>
                <w:u w:val="none" w:color="auto"/>
                <w:vertAlign w:val="baseline"/>
              </w:rPr>
              <w:t>jew</w:t>
            </w:r>
            <w:r>
              <w:t xml:space="preserve"> fejn meħtieġ, b'mod orali bl-użu ta' servizzi ta' interpretazzjoni. Din għandha tiġi pprovduta b'mod xieraq filwaqt li jitqiesu l-età u l-ġeneru tal-persuna.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L-informazzjoni pprovduta waqt l-iskrinjar għandha tingħata f’lingwa li ċ-ċittadin ta’ pajjiż terz jifhem jew li jkun raġonevolment mistenni li jifhem. L-informazzjoni għandha tingħata bil-miktub u, f’ċirkostanzi eċċezzjonali, fejn meħtieġ, b’mod orali bl-użu ta’ servizzi ta’ interpretazzjoni. Din għandha tiġi pprovduta b’mod xieraq filwaqt li jitqiesu l-età </w:t>
            </w:r>
            <w:r>
              <w:rPr>
                <w:b/>
                <w:i/>
                <w:strike w:val="0"/>
                <w:color w:val="auto"/>
                <w:highlight w:val="none"/>
                <w:u w:val="none" w:color="auto"/>
                <w:vertAlign w:val="baseline"/>
              </w:rPr>
              <w:t>u l-ġeneru</w:t>
            </w:r>
            <w:r>
              <w:t xml:space="preserve"> tal-persuna.</w:t>
            </w:r>
          </w:p>
        </w:tc>
        <w:tc>
          <w:tcPr>
            <w:tcW w:w="4876" w:type="dxa"/>
            <w:vAlign w:val="top"/>
          </w:tcPr>
          <w:p>
            <w:pPr>
              <w:pStyle w:val="Normal6a"/>
            </w:pPr>
            <w:r>
              <w:t>3.</w:t>
            </w:r>
            <w:r>
              <w:tab/>
            </w:r>
            <w:r>
              <w:t>L-informazzjoni pprovduta waqt l-iskrinjar għandha tingħata f'lingwa li ċ-ċittadin ta' pajjiż terz jifhem jew li jkun raġonevolment mistenni li jifhem. L-informazzjoni għandha tingħata bil-miktub u, f'ċirkostanzi eċċezzjonali, fejn meħtieġ, b'mod orali bl-użu ta' servizzi ta' interpretazzjoni. Din għandha tiġi pprovduta b'mod xieraq filwaqt li jitqiesu l-età tal-persuna.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 – subparagrafu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L-informazzjoni lit-tfal għandha tiġi pprovduta b'mod adattat għat-tfal, kemm bil-miktub kif ukoll bil-fomm minn persunal imħarreġ b'mod adattat, u fil-preżenza tar-rappreżentant maħtur skont l-Artikolu 9a fil-każ ta' minorenni mhux akkumpanjati.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Għal dawk iċ-ċittadini ta' pajjiżi terzi li qed ifittxu protezzjoni internazzjonali, din l-informazzjoni tista' tiġi pprovduta fl-istess ħin bħall-informazzjoni kif stabbilit fl-Artikolu 8(2) tar-Regolament (UE) xxxx/xxxx [ir-Regolament dwar il-Proċedura tal-Ażil].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L-awtoritajiet responsabbli għandhom jagħmlu l-arranġamenti meħtieġa biex ikunu disponibbli servizzi ta' interpretazzjoni u, jekk ikun meħtieġ u xieraq, servizzi ta' medjazzjoni kulturali li jiffaċilitaw l-aċċess għall-proċedura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L-Istati Membri jistgħu jawtorizzaw organizzazzjonijiet u korpi nazzjonali, internazzjonali u mhux governattivi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L-Istati Membri jistgħu jawtorizzaw organizzazzjonijiet u korpi nazzjonali, internazzjonali u mhux governattivi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w:t>
            </w:r>
            <w:r>
              <w:rPr>
                <w:b/>
                <w:i/>
                <w:strike w:val="0"/>
                <w:color w:val="auto"/>
                <w:highlight w:val="none"/>
                <w:u w:val="none" w:color="auto"/>
                <w:vertAlign w:val="baseline"/>
              </w:rPr>
              <w:t>jistgħu</w:t>
            </w:r>
            <w:r>
              <w:t xml:space="preserve"> jawtorizzaw organizzazzjonijiet u korpi nazzjonali, internazzjonali u mhux governattivi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t>4.</w:t>
            </w:r>
            <w:r>
              <w:tab/>
            </w:r>
            <w:r>
              <w:t xml:space="preserve">L-Istati Membri </w:t>
            </w:r>
            <w:r>
              <w:rPr>
                <w:b/>
                <w:i/>
                <w:strike w:val="0"/>
                <w:color w:val="auto"/>
                <w:highlight w:val="none"/>
                <w:u w:val="none" w:color="auto"/>
                <w:vertAlign w:val="baseline"/>
              </w:rPr>
              <w:t>għandhom</w:t>
            </w:r>
            <w:r>
              <w:t xml:space="preserve"> jawtorizzaw organizzazzjonijiet u korpi nazzjonali, internazzjonali u mhux governattivi rilevanti u kompetenti biex jipprovdu liċ-ċittadini ta' pajjiżi terzi b'informazzjoni </w:t>
            </w:r>
            <w:r>
              <w:rPr>
                <w:b/>
                <w:i/>
                <w:strike w:val="0"/>
                <w:color w:val="auto"/>
                <w:highlight w:val="none"/>
                <w:u w:val="none" w:color="auto"/>
                <w:vertAlign w:val="baseline"/>
              </w:rPr>
              <w:t>u assistenza</w:t>
            </w:r>
            <w:r>
              <w:t xml:space="preserve"> skont dan l-artikolu matul l-iskrinjar skont id-dispożizzjonijiet stabbiliti mil-liġi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w:t>
            </w:r>
            <w:r>
              <w:rPr>
                <w:b/>
                <w:i/>
                <w:strike w:val="0"/>
                <w:color w:val="auto"/>
                <w:highlight w:val="none"/>
                <w:u w:val="none" w:color="auto"/>
                <w:vertAlign w:val="baseline"/>
              </w:rPr>
              <w:t>jistgħu</w:t>
            </w:r>
            <w:r>
              <w:t xml:space="preserve"> jawtorizzaw organizzazzjonijiet u korpi nazzjonali, internazzjonali u mhux governattivi rilevanti u kompetenti </w:t>
            </w:r>
            <w:r>
              <w:rPr>
                <w:b/>
                <w:i/>
                <w:strike w:val="0"/>
                <w:color w:val="auto"/>
                <w:highlight w:val="none"/>
                <w:u w:val="none" w:color="auto"/>
                <w:vertAlign w:val="baseline"/>
              </w:rPr>
              <w:t>biex</w:t>
            </w:r>
            <w:r>
              <w:t xml:space="preserve"> jipprovdu liċ-ċittadini ta’ pajjiżi terzi b’informazzjoni skont dan l-artikolu matul l-iskrinjar skont id-dispożizzjonijiet stabbiliti mil-liġi nazzjonali.</w:t>
            </w:r>
          </w:p>
        </w:tc>
        <w:tc>
          <w:tcPr>
            <w:tcW w:w="4876" w:type="dxa"/>
            <w:vAlign w:val="top"/>
          </w:tcPr>
          <w:p>
            <w:pPr>
              <w:pStyle w:val="Normal6a"/>
            </w:pPr>
            <w:r>
              <w:t>4.</w:t>
            </w:r>
            <w:r>
              <w:tab/>
            </w:r>
            <w:r>
              <w:t xml:space="preserve">L-Istati Membri </w:t>
            </w:r>
            <w:r>
              <w:rPr>
                <w:b/>
                <w:i/>
                <w:strike w:val="0"/>
                <w:color w:val="auto"/>
                <w:highlight w:val="none"/>
                <w:u w:val="none" w:color="auto"/>
                <w:vertAlign w:val="baseline"/>
              </w:rPr>
              <w:t>għandhom</w:t>
            </w:r>
            <w:r>
              <w:t xml:space="preserve"> jawtorizzaw organizzazzjonijiet u korpi nazzjonali, internazzjonali u mhux governattivi rilevanti u kompetenti </w:t>
            </w:r>
            <w:r>
              <w:rPr>
                <w:b/>
                <w:i/>
                <w:strike w:val="0"/>
                <w:color w:val="auto"/>
                <w:highlight w:val="none"/>
                <w:u w:val="none" w:color="auto"/>
                <w:vertAlign w:val="baseline"/>
              </w:rPr>
              <w:t>u difensuri tad-drittijiet tal-bniedem jaċċessaw faċilitajiet rilevanti sabiex</w:t>
            </w:r>
            <w:r>
              <w:t xml:space="preserve"> jipprovdu liċ-ċittadini ta' pajjiżi terzi</w:t>
            </w:r>
            <w:r>
              <w:rPr>
                <w:b/>
                <w:i/>
                <w:strike w:val="0"/>
                <w:color w:val="auto"/>
                <w:highlight w:val="none"/>
                <w:u w:val="none" w:color="auto"/>
                <w:vertAlign w:val="baseline"/>
              </w:rPr>
              <w:t>, f'kundizzjonijiet sikuri u adegwati,</w:t>
            </w:r>
            <w:r>
              <w:t xml:space="preserve"> b'informazzjoni skont dan l-artikolu matul l-iskrinjar skont id-dispożizzjonijiet stabbiliti mil-liġi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w:t>
            </w:r>
            <w:r>
              <w:rPr>
                <w:b/>
                <w:i/>
                <w:strike w:val="0"/>
                <w:color w:val="auto"/>
                <w:highlight w:val="none"/>
                <w:u w:val="none" w:color="auto"/>
                <w:vertAlign w:val="baseline"/>
              </w:rPr>
              <w:t>jistgħu</w:t>
            </w:r>
            <w:r>
              <w:t xml:space="preserve"> jawtorizzaw organizzazzjonijiet u korpi nazzjonali, internazzjonali u mhux governattivi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t>4.</w:t>
            </w:r>
            <w:r>
              <w:tab/>
            </w:r>
            <w:r>
              <w:t xml:space="preserve">L-Istati Membri </w:t>
            </w:r>
            <w:r>
              <w:rPr>
                <w:b/>
                <w:i/>
                <w:strike w:val="0"/>
                <w:color w:val="auto"/>
                <w:highlight w:val="none"/>
                <w:u w:val="none" w:color="auto"/>
                <w:vertAlign w:val="baseline"/>
              </w:rPr>
              <w:t>għandhom</w:t>
            </w:r>
            <w:r>
              <w:t xml:space="preserve"> jawtorizzaw organizzazzjonijiet u korpi nazzjonali, internazzjonali u mhux governattivi rilevanti u kompetenti biex jipprovdu liċ-ċittadini ta' pajjiżi terzi b'informazzjoni skont dan l-artikolu </w:t>
            </w:r>
            <w:r>
              <w:rPr>
                <w:b/>
                <w:i/>
                <w:strike w:val="0"/>
                <w:color w:val="auto"/>
                <w:highlight w:val="none"/>
                <w:u w:val="none" w:color="auto"/>
                <w:vertAlign w:val="baseline"/>
              </w:rPr>
              <w:t>u konsulenza legali</w:t>
            </w:r>
            <w:r>
              <w:t xml:space="preserve"> matul l-iskrinjar skont id-dispożizzjonijiet stabbiliti mil-liġi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jistgħu jawtorizzaw </w:t>
            </w:r>
            <w:r>
              <w:rPr>
                <w:b/>
                <w:i/>
                <w:strike w:val="0"/>
                <w:color w:val="auto"/>
                <w:highlight w:val="none"/>
                <w:u w:val="none" w:color="auto"/>
                <w:vertAlign w:val="baseline"/>
              </w:rPr>
              <w:t>organizzazzjonijiet u</w:t>
            </w:r>
            <w:r>
              <w:t xml:space="preserve"> korpi nazzjonali</w:t>
            </w:r>
            <w:r>
              <w:rPr>
                <w:b/>
                <w:i/>
                <w:strike w:val="0"/>
                <w:color w:val="auto"/>
                <w:highlight w:val="none"/>
                <w:u w:val="none" w:color="auto"/>
                <w:vertAlign w:val="baseline"/>
              </w:rPr>
              <w:t>, internazzjonali u mhux governattivi</w:t>
            </w:r>
            <w:r>
              <w:t xml:space="preserve">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t>4.</w:t>
            </w:r>
            <w:r>
              <w:tab/>
            </w:r>
            <w:r>
              <w:t>L-Istati Membri jistgħu jawtorizzaw korpi nazzjonali rilevanti u kompetenti biex jipprovdu liċ-ċittadini ta' pajjiżi terzi b'informazzjoni skont dan l-artikolu matul l-iskrinjar skont id-dispożizzjonijiet stabbiliti mil-liġi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L-Istati Membri jistgħu jawtorizzaw </w:t>
            </w:r>
            <w:r>
              <w:rPr>
                <w:b/>
                <w:i/>
                <w:strike w:val="0"/>
                <w:color w:val="auto"/>
                <w:highlight w:val="none"/>
                <w:u w:val="none" w:color="auto"/>
                <w:vertAlign w:val="baseline"/>
              </w:rPr>
              <w:t>organizzazzjonijiet u</w:t>
            </w:r>
            <w:r>
              <w:t xml:space="preserve"> korpi nazzjonali</w:t>
            </w:r>
            <w:r>
              <w:rPr>
                <w:b/>
                <w:i/>
                <w:strike w:val="0"/>
                <w:color w:val="auto"/>
                <w:highlight w:val="none"/>
                <w:u w:val="none" w:color="auto"/>
                <w:vertAlign w:val="baseline"/>
              </w:rPr>
              <w:t>, internazzjonali u mhux governattivi</w:t>
            </w:r>
            <w:r>
              <w:t xml:space="preserve"> rilevanti u kompetenti biex jipprovdu liċ-ċittadini ta’ pajjiżi terzi b’informazzjoni skont dan l-artikolu matul l-iskrinjar skont id-dispożizzjonijiet stabbiliti mil-liġi nazzjonali.</w:t>
            </w:r>
          </w:p>
        </w:tc>
        <w:tc>
          <w:tcPr>
            <w:tcW w:w="4876" w:type="dxa"/>
            <w:vAlign w:val="top"/>
          </w:tcPr>
          <w:p>
            <w:pPr>
              <w:pStyle w:val="Normal6a"/>
            </w:pPr>
            <w:r>
              <w:t>4.</w:t>
            </w:r>
            <w:r>
              <w:tab/>
            </w:r>
            <w:r>
              <w:t xml:space="preserve">L-Istati Membri jistgħu jawtorizzaw korpi nazzjonali </w:t>
            </w:r>
            <w:r>
              <w:rPr>
                <w:b/>
                <w:i/>
                <w:strike w:val="0"/>
                <w:color w:val="auto"/>
                <w:highlight w:val="none"/>
                <w:u w:val="none" w:color="auto"/>
                <w:vertAlign w:val="baseline"/>
              </w:rPr>
              <w:t>u internazzjonali</w:t>
            </w:r>
            <w:r>
              <w:t xml:space="preserve"> rilevanti u kompetenti biex jipprovdu liċ-ċittadini ta' pajjiżi terzi b'informazzjoni skont dan l-artikolu matul l-iskrinjar skont id-dispożizzjonijiet stabbiliti mil-liġi 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L-Artikolu 8a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Id-dritt għall-informazzjoni u r-rettifika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Iċ-ċittadini ta' pajjiżi terzi soġġetti għall-iskrinjar se jirċievu kopja tad-data personali kollha pproċessata u tal-informazzjoni rreġistrata dwarhom skont dan ir-Regolament f'forma elettronika u fuq il-karta direttament wara l-proċedura ta' skrinjar.</w:t>
            </w:r>
            <w:r>
              <w:t xml:space="preserve"> </w:t>
            </w:r>
            <w:r>
              <w:rPr>
                <w:b/>
                <w:i/>
                <w:strike w:val="0"/>
                <w:color w:val="auto"/>
                <w:highlight w:val="none"/>
                <w:u w:val="none" w:color="auto"/>
                <w:vertAlign w:val="baseline"/>
              </w:rPr>
              <w:t>Iċ-ċittadini ta' pajjiżi terzi se jkollhom id-dritt li jiksbu kopja oħra tad-data personali kollha pproċessata u tal-informazzjoni rreġistrata dwarhom skont dan ir-Regolament sakemm tibqa' maħżuna l-informazzjoni.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Iċ-ċittadini ta' pajjiżi terzi soġġetti għall-iskrinjar għandu jkollhom id-dritt li jkunu jafu l-perjodu eżatt taż-żamma tad-data kollha maħżuna u pproċessata tagħhom, inkluża fil-formola jew fl-Anness.</w:t>
            </w:r>
            <w:r>
              <w:t xml:space="preserve"> </w:t>
            </w:r>
            <w:r>
              <w:rPr>
                <w:b/>
                <w:i/>
                <w:strike w:val="0"/>
                <w:color w:val="auto"/>
                <w:highlight w:val="none"/>
                <w:u w:val="none" w:color="auto"/>
                <w:vertAlign w:val="baseline"/>
              </w:rPr>
              <w:t>Barra minn hekk, huma għandu jkollhom id-dritt li jirrettifikaw jew jissupplimentaw id-data personali miġbura matul il-proċedura ta' skrinjar jew kwalunkwe informazzjoni li jkunu pprovdew matul il-proċedura ta' skrinjar, b'mod partikolari dik imsemmija fl-Artikoli 10 u fil-formola ta' debriefing fl-Artikolu 13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L-Artikolu 8a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Id-dritt għall-informazzjoni u r-rettifika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Iċ-ċittadini ta' pajjiżi terzi soġġetti għall-iskrinjar se jirċievu kopja tad-data personali kollha pproċessata u tal-informazzjoni rreġistrata dwarhom skont dan ir-Regolament f'forma elettronika u fuq il-karta direttament wara l-proċedura ta' skrinjar.</w:t>
            </w:r>
            <w:r>
              <w:t xml:space="preserve"> </w:t>
            </w:r>
            <w:r>
              <w:rPr>
                <w:b/>
                <w:i/>
                <w:strike w:val="0"/>
                <w:color w:val="auto"/>
                <w:highlight w:val="none"/>
                <w:u w:val="none" w:color="auto"/>
                <w:vertAlign w:val="baseline"/>
              </w:rPr>
              <w:t>Iċ-ċittadini ta' pajjiżi terzi se jkollhom id-dritt li jiksbu kopja oħra tad-data personali kollha pproċessata u tal-informazzjoni rreġistrata dwarhom skont dan ir-Regolament sakemm tibqa' maħżuna l-informazzjoni.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Iċ-ċittadini ta' pajjiżi terzi soġġetti għall-iskrinjar għandu jkollhom id-dritt li jkunu jafu l-perjodu eżatt taż-żamma tad-data kollha maħżuna u pproċessata tagħhom, inkluża fil-formola jew fl-Anness.Barra minn hekk, huma għandu jkollhom id-dritt li jirrettifikaw jew jissupplimentaw id-data personali miġbura matul il-proċedura ta' skrinjar jew kwalunkwe informazzjoni li jkunu pprovdew matul il-proċedura ta' skrinjar, b'mod partikolari dik imsemmija fl-Artikoli 10 u 13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Verifiki tas-saħħa </w:t>
            </w:r>
            <w:r>
              <w:rPr>
                <w:b/>
                <w:i/>
                <w:strike w:val="0"/>
                <w:color w:val="auto"/>
                <w:highlight w:val="none"/>
                <w:u w:val="none" w:color="auto"/>
                <w:vertAlign w:val="baseline"/>
              </w:rPr>
              <w:t>u vulnerabbiltajiet</w:t>
            </w:r>
          </w:p>
        </w:tc>
        <w:tc>
          <w:tcPr>
            <w:tcW w:w="4876" w:type="dxa"/>
            <w:vAlign w:val="top"/>
          </w:tcPr>
          <w:p>
            <w:pPr>
              <w:pStyle w:val="Normal6a"/>
            </w:pPr>
            <w:r>
              <w:t xml:space="preserve">Verifiki tas-saħħa </w:t>
            </w:r>
            <w:r>
              <w:rPr>
                <w:b/>
                <w:i/>
                <w:strike w:val="0"/>
                <w:color w:val="auto"/>
                <w:highlight w:val="none"/>
                <w:u w:val="none" w:color="auto"/>
                <w:vertAlign w:val="baseline"/>
              </w:rPr>
              <w:t>preliminari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li jiġu soġġetti għall-iskrinjar imsemmija fl-Artikolu 3 għandhom ikunu soġġetti għal eżami mediku preliminari bil-ħsieb li tiġi identifikata kwalunkwe ħtieġa ta’ kura immedjata jew iżolament minħabba raġunijiet ta’ saħħa pubblika</w:t>
            </w:r>
            <w:r>
              <w:rPr>
                <w:b/>
                <w:i/>
                <w:strike w:val="0"/>
                <w:color w:val="auto"/>
                <w:highlight w:val="none"/>
                <w:u w:val="none" w:color="auto"/>
                <w:vertAlign w:val="baseline"/>
              </w:rPr>
              <w:t>,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w:t>
            </w:r>
            <w:r>
              <w:t>.</w:t>
            </w:r>
          </w:p>
        </w:tc>
        <w:tc>
          <w:tcPr>
            <w:tcW w:w="4876" w:type="dxa"/>
            <w:vAlign w:val="top"/>
          </w:tcPr>
          <w:p>
            <w:pPr>
              <w:pStyle w:val="Normal6a"/>
            </w:pPr>
            <w:r>
              <w:t>1.</w:t>
            </w:r>
            <w:r>
              <w:tab/>
            </w:r>
            <w:r>
              <w:t xml:space="preserve">Iċ-ċittadini </w:t>
            </w:r>
            <w:r>
              <w:rPr>
                <w:b/>
                <w:i/>
                <w:strike w:val="0"/>
                <w:color w:val="auto"/>
                <w:highlight w:val="none"/>
                <w:u w:val="none" w:color="auto"/>
                <w:vertAlign w:val="baseline"/>
              </w:rPr>
              <w:t>kollha</w:t>
            </w:r>
            <w:r>
              <w:t xml:space="preserve"> ta' pajjiżi terzi li jiġu soġġetti għall-iskrinjar imsemmija fl-Artikolu 3 għandhom ikunu soġġetti għal eżami mediku preliminari </w:t>
            </w:r>
            <w:r>
              <w:rPr>
                <w:b/>
                <w:i/>
                <w:strike w:val="0"/>
                <w:color w:val="auto"/>
                <w:highlight w:val="none"/>
                <w:u w:val="none" w:color="auto"/>
                <w:vertAlign w:val="baseline"/>
              </w:rPr>
              <w:t>minn professjonisti mediċi kwalifikati u mħarrġa b'mod adegwat</w:t>
            </w:r>
            <w:r>
              <w:t xml:space="preserve"> bil-ħsieb li tiġi identifikata kwalunkwe ħtieġa ta' kura </w:t>
            </w:r>
            <w:r>
              <w:rPr>
                <w:b/>
                <w:i/>
                <w:strike w:val="0"/>
                <w:color w:val="auto"/>
                <w:highlight w:val="none"/>
                <w:u w:val="none" w:color="auto"/>
                <w:vertAlign w:val="baseline"/>
              </w:rPr>
              <w:t>tas-saħħa</w:t>
            </w:r>
            <w:r>
              <w:t xml:space="preserve"> immedjata jew iżolament minħabba raġunijiet ta' 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Iċ-ċittadini ta’ pajjiżi terzi li jiġu soġġetti għall-iskrinjar imsemmija fl-Artikolu 3 għandhom ikunu soġġetti għal eżami mediku preliminari bil-ħsieb li tiġi identifikata kwalunkwe ħtieġa ta’ kura immedjata </w:t>
            </w:r>
            <w:r>
              <w:rPr>
                <w:b/>
                <w:i/>
                <w:strike w:val="0"/>
                <w:color w:val="auto"/>
                <w:highlight w:val="none"/>
                <w:u w:val="none" w:color="auto"/>
                <w:vertAlign w:val="baseline"/>
              </w:rPr>
              <w:t>jew</w:t>
            </w:r>
            <w:r>
              <w:t xml:space="preserve"> iżolament minħabba raġunijiet ta’ saħħa pubblika</w:t>
            </w:r>
            <w:r>
              <w:rPr>
                <w:b/>
                <w:i/>
                <w:strike w:val="0"/>
                <w:color w:val="auto"/>
                <w:highlight w:val="none"/>
                <w:u w:val="none" w:color="auto"/>
                <w:vertAlign w:val="baseline"/>
              </w:rPr>
              <w:t>,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w:t>
            </w:r>
            <w:r>
              <w:t>.</w:t>
            </w:r>
          </w:p>
        </w:tc>
        <w:tc>
          <w:tcPr>
            <w:tcW w:w="4876" w:type="dxa"/>
            <w:vAlign w:val="top"/>
          </w:tcPr>
          <w:p>
            <w:pPr>
              <w:pStyle w:val="Normal6a"/>
            </w:pPr>
            <w:r>
              <w:t>1.</w:t>
            </w:r>
            <w:r>
              <w:tab/>
            </w:r>
            <w:r>
              <w:t xml:space="preserve">Iċ-ċittadini ta' pajjiżi terzi li jiġu soġġetti għall-iskrinjar imsemmija fl-Artikolu 3 għandhom ikunu soġġetti għal eżami mediku preliminari </w:t>
            </w:r>
            <w:r>
              <w:rPr>
                <w:b/>
                <w:i/>
                <w:strike w:val="0"/>
                <w:color w:val="auto"/>
                <w:highlight w:val="none"/>
                <w:u w:val="none" w:color="auto"/>
                <w:vertAlign w:val="baseline"/>
              </w:rPr>
              <w:t>minn professjonisti mediċi kwalifikati</w:t>
            </w:r>
            <w:r>
              <w:t xml:space="preserve"> bil-ħsieb li tiġi identifikata kwalunkwe ħtieġa ta' kura immedjata </w:t>
            </w:r>
            <w:r>
              <w:rPr>
                <w:b/>
                <w:i/>
                <w:strike w:val="0"/>
                <w:color w:val="auto"/>
                <w:highlight w:val="none"/>
                <w:u w:val="none" w:color="auto"/>
                <w:vertAlign w:val="baseline"/>
              </w:rPr>
              <w:t>u fit-tul, kif ukoll</w:t>
            </w:r>
            <w:r>
              <w:t xml:space="preserve"> iżolament minħabba raġunijiet ta' 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li jiġu soġġetti għall-iskrinjar imsemmija fl-Artikolu 3 għandhom ikunu soġġetti għal eżami mediku preliminari bil-ħsieb li tiġi identifikata kwalunkwe ħtieġa ta’ kura immedjata jew iżolament minħabba raġunijiet ta’ saħħa pubblika</w:t>
            </w:r>
            <w:r>
              <w:rPr>
                <w:b/>
                <w:i/>
                <w:strike w:val="0"/>
                <w:color w:val="auto"/>
                <w:highlight w:val="none"/>
                <w:u w:val="none" w:color="auto"/>
                <w:vertAlign w:val="baseline"/>
              </w:rPr>
              <w:t>,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w:t>
            </w:r>
            <w:r>
              <w:t>.</w:t>
            </w:r>
          </w:p>
        </w:tc>
        <w:tc>
          <w:tcPr>
            <w:tcW w:w="4876" w:type="dxa"/>
            <w:vAlign w:val="top"/>
          </w:tcPr>
          <w:p>
            <w:pPr>
              <w:pStyle w:val="Normal6a"/>
            </w:pPr>
            <w:r>
              <w:t>1.</w:t>
            </w:r>
            <w:r>
              <w:tab/>
            </w:r>
            <w:r>
              <w:t xml:space="preserve">Iċ-ċittadini ta' pajjiżi terzi li jiġu soġġetti għall-iskrinjar imsemmija fl-Artikolu 3 </w:t>
            </w:r>
            <w:r>
              <w:rPr>
                <w:b/>
                <w:i/>
                <w:strike w:val="0"/>
                <w:color w:val="auto"/>
                <w:highlight w:val="none"/>
                <w:u w:val="none" w:color="auto"/>
                <w:vertAlign w:val="baseline"/>
              </w:rPr>
              <w:t>dejjem</w:t>
            </w:r>
            <w:r>
              <w:t xml:space="preserve"> għandhom ikunu soġġetti għal eżami mediku preliminari bil-ħsieb li tiġi identifikata kwalunkwe ħtieġa ta' kura immedjata jew iżolament minħabba raġunijiet ta' 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li jiġu soġġetti għall-iskrinjar imsemmija fl-Artikolu 3 għandhom ikunu soġġetti għal eżami mediku preliminari bil-ħsieb li tiġi identifikata kwalunkwe ħtieġa ta’ kura immedjata jew iżolament minħabba raġunijiet ta’ saħħa pubblika</w:t>
            </w:r>
            <w:r>
              <w:rPr>
                <w:b/>
                <w:i/>
                <w:strike w:val="0"/>
                <w:color w:val="auto"/>
                <w:highlight w:val="none"/>
                <w:u w:val="none" w:color="auto"/>
                <w:vertAlign w:val="baseline"/>
              </w:rPr>
              <w:t>,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w:t>
            </w:r>
            <w:r>
              <w:t>.</w:t>
            </w:r>
          </w:p>
        </w:tc>
        <w:tc>
          <w:tcPr>
            <w:tcW w:w="4876" w:type="dxa"/>
            <w:vAlign w:val="top"/>
          </w:tcPr>
          <w:p>
            <w:pPr>
              <w:pStyle w:val="Normal6a"/>
            </w:pPr>
            <w:r>
              <w:t>1.</w:t>
            </w:r>
            <w:r>
              <w:tab/>
            </w:r>
            <w:r>
              <w:t xml:space="preserve">Iċ-ċittadini ta' pajjiżi terzi li jiġu soġġetti għall-iskrinjar imsemmija fl-Artikolu 3 għandhom ikunu soġġetti għal eżami mediku preliminari </w:t>
            </w:r>
            <w:r>
              <w:rPr>
                <w:b/>
                <w:i/>
                <w:strike w:val="0"/>
                <w:color w:val="auto"/>
                <w:highlight w:val="none"/>
                <w:u w:val="none" w:color="auto"/>
                <w:vertAlign w:val="baseline"/>
              </w:rPr>
              <w:t>minn professjonisti mediċi kwalifikati</w:t>
            </w:r>
            <w:r>
              <w:t xml:space="preserve"> bil-ħsieb li tiġi identifikata kwalunkwe ħtieġa ta' kura immedjata jew iżolament minħabba raġunijiet ta' 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Iċ-ċittadini ta’ pajjiżi terzi li jiġu soġġetti għall-iskrinjar imsemmija </w:t>
            </w:r>
            <w:r>
              <w:rPr>
                <w:b/>
                <w:i/>
                <w:strike w:val="0"/>
                <w:color w:val="auto"/>
                <w:highlight w:val="none"/>
                <w:u w:val="none" w:color="auto"/>
                <w:vertAlign w:val="baseline"/>
              </w:rPr>
              <w:t>fl-Artikolu 3</w:t>
            </w:r>
            <w:r>
              <w:t xml:space="preserve"> għandhom ikunu soġġetti għal eżami </w:t>
            </w:r>
            <w:r>
              <w:rPr>
                <w:b/>
                <w:i/>
                <w:strike w:val="0"/>
                <w:color w:val="auto"/>
                <w:highlight w:val="none"/>
                <w:u w:val="none" w:color="auto"/>
                <w:vertAlign w:val="baseline"/>
              </w:rPr>
              <w:t>mediku</w:t>
            </w:r>
            <w:r>
              <w:t xml:space="preserve"> preliminari bil-ħsieb li tiġi identifikata kwalunkwe ħtieġa ta’ kura immedjata jew iżolament minħabba raġunijiet ta’ saħħa pubblika,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w:t>
            </w:r>
          </w:p>
        </w:tc>
        <w:tc>
          <w:tcPr>
            <w:tcW w:w="4876" w:type="dxa"/>
            <w:vAlign w:val="top"/>
          </w:tcPr>
          <w:p>
            <w:pPr>
              <w:pStyle w:val="Normal6a"/>
            </w:pPr>
            <w:r>
              <w:t>1.</w:t>
            </w:r>
            <w:r>
              <w:tab/>
            </w:r>
            <w:r>
              <w:t xml:space="preserve">Iċ-ċittadini ta' pajjiżi terzi li jiġu soġġetti għall-iskrinjar imsemmija </w:t>
            </w:r>
            <w:r>
              <w:rPr>
                <w:b/>
                <w:i/>
                <w:strike w:val="0"/>
                <w:color w:val="auto"/>
                <w:highlight w:val="none"/>
                <w:u w:val="none" w:color="auto"/>
                <w:vertAlign w:val="baseline"/>
              </w:rPr>
              <w:t>fl-Artikoli 3 u 5</w:t>
            </w:r>
            <w:r>
              <w:t xml:space="preserve"> għandhom ikunu soġġetti għal eżami preliminari bil-ħsieb li tiġi identifikata kwalunkwe ħtieġa ta' kura </w:t>
            </w:r>
            <w:r>
              <w:rPr>
                <w:b/>
                <w:i/>
                <w:strike w:val="0"/>
                <w:color w:val="auto"/>
                <w:highlight w:val="none"/>
                <w:u w:val="none" w:color="auto"/>
                <w:vertAlign w:val="baseline"/>
              </w:rPr>
              <w:t>tas-saħħa</w:t>
            </w:r>
            <w:r>
              <w:t xml:space="preserve"> immedjata jew iżolament minħabba raġunijiet ta' saħħa pubblika, sakemm, abbażi taċ-ċirkostanzi li jkunu jikkonċernaw l-istat ġenerali taċ-ċittadini ta' pajjiżi terzi individwali kkonċernati u r-raġunijiet għaliex ikunu ġew riferuti għall-iskrinjar, l-awtoritajiet kompetenti rilevanti jkunu sodisfatti li ma jkun meħtieġ l-ebda skrinjar mediku preliminari. F'dak il-każ, huma għandhom jinfurmaw lil dawk il-persuni b'dan. </w:t>
            </w:r>
            <w:r>
              <w:rPr>
                <w:b/>
                <w:i/>
                <w:strike w:val="0"/>
                <w:color w:val="auto"/>
                <w:highlight w:val="none"/>
                <w:u w:val="none" w:color="auto"/>
                <w:vertAlign w:val="baseline"/>
              </w:rPr>
              <w:t>Fejn jitqies meħtieġ abbażi tal-eżami preliminari, ċittadini ta' pajjiżi terzi soġġetti għall-iskrinjar imsemmi fl-Artikolu 3 5 għandhom ikunu soġġetti għal kontroll tas-saħħa.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Għal dawk iċ-ċittadini ta' pajjiżi terzi li qed ifittxu protezzjoni internazzjonali, il-verifika tas-saħħa msemmija fl-ewwel subparagrafu tista' tifforma parti mill-eżami mediku kif stabbilit fl-Artikolu 23 tar-Regolament (UE) xxxx/xxxx [ir-Regolament dwar il-Proċedura tal-Ażil].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Fejn ikun rilevanti, għandu jiġi vverifikat jekk il-persuni msemmija fil-paragrafu 1 humiex f’sitwazzjoni vulnerabbli, vittmi tat-tortura jew għandhomx ħtiġijiet ta’ akkoljenza jew proċedurali speċjali </w:t>
            </w:r>
            <w:r>
              <w:rPr>
                <w:b/>
                <w:i/>
                <w:strike w:val="0"/>
                <w:color w:val="auto"/>
                <w:highlight w:val="none"/>
                <w:u w:val="none" w:color="auto"/>
                <w:vertAlign w:val="baseline"/>
              </w:rPr>
              <w:t>skont it-tifsira tal-Artikolu 20 tad-Direttiva dwar il-Kundizzjonijiet tal-Akkoljenza [riformulazzjoni]</w:t>
            </w:r>
            <w:r>
              <w:t>.</w:t>
            </w:r>
          </w:p>
        </w:tc>
        <w:tc>
          <w:tcPr>
            <w:tcW w:w="4876" w:type="dxa"/>
            <w:vAlign w:val="top"/>
          </w:tcPr>
          <w:p>
            <w:pPr>
              <w:pStyle w:val="Normal6a"/>
            </w:pPr>
            <w:r>
              <w:t>2.</w:t>
            </w:r>
            <w:r>
              <w:tab/>
            </w:r>
            <w:r>
              <w:t>Fejn ikun rilevanti, għandu jiġi vverifikat jekk il-persuni msemmija fil-paragrafu 1 humiex f'sitwazzjoni vulnerabbli, vittmi tat-tortura jew għandhomx ħtiġijiet ta' akkoljenza jew proċedurali speċjali.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Fejn ikun rilevanti, għandu jiġi vverifikat</w:t>
            </w:r>
            <w:r>
              <w:t xml:space="preserve"> jekk il-persuni msemmija fil-paragrafu 1 humiex f’sitwazzjoni vulnerabbli</w:t>
            </w:r>
            <w:r>
              <w:rPr>
                <w:b/>
                <w:i/>
                <w:strike w:val="0"/>
                <w:color w:val="auto"/>
                <w:highlight w:val="none"/>
                <w:u w:val="none" w:color="auto"/>
                <w:vertAlign w:val="baseline"/>
              </w:rPr>
              <w:t>,</w:t>
            </w:r>
            <w:r>
              <w:t xml:space="preserve"> vittmi tat-tortura jew għandhomx ħtiġijiet ta’ akkoljenza jew proċedurali speċjali skont it-tifsira tal-Artikolu </w:t>
            </w:r>
            <w:r>
              <w:rPr>
                <w:b/>
                <w:i/>
                <w:strike w:val="0"/>
                <w:color w:val="auto"/>
                <w:highlight w:val="none"/>
                <w:u w:val="none" w:color="auto"/>
                <w:vertAlign w:val="baseline"/>
              </w:rPr>
              <w:t>20</w:t>
            </w:r>
            <w:r>
              <w:t xml:space="preserve"> tad-Direttiva dwar il-Kundizzjonijiet tal-Akkoljenza [riformulazzjoni].</w:t>
            </w:r>
          </w:p>
        </w:tc>
        <w:tc>
          <w:tcPr>
            <w:tcW w:w="4876" w:type="dxa"/>
            <w:vAlign w:val="top"/>
          </w:tcPr>
          <w:p>
            <w:pPr>
              <w:pStyle w:val="Normal6a"/>
            </w:pPr>
            <w:r>
              <w:t>2.</w:t>
            </w:r>
            <w:r>
              <w:tab/>
            </w:r>
            <w:r>
              <w:rPr>
                <w:b/>
                <w:i/>
                <w:strike w:val="0"/>
                <w:color w:val="auto"/>
                <w:highlight w:val="none"/>
                <w:u w:val="none" w:color="auto"/>
                <w:vertAlign w:val="baseline"/>
              </w:rPr>
              <w:t>Il-professjonisti mediċi għandhom jivverifikaw</w:t>
            </w:r>
            <w:r>
              <w:t xml:space="preserve"> jekk il-persuni msemmija fil-paragrafu 1 humiex f'sitwazzjoni vulnerabbli </w:t>
            </w:r>
            <w:r>
              <w:rPr>
                <w:b/>
                <w:i/>
                <w:strike w:val="0"/>
                <w:color w:val="auto"/>
                <w:highlight w:val="none"/>
                <w:u w:val="none" w:color="auto"/>
                <w:vertAlign w:val="baseline"/>
              </w:rPr>
              <w:t>jew humiex</w:t>
            </w:r>
            <w:r>
              <w:t xml:space="preserve"> vittmi tat-tortura jew </w:t>
            </w:r>
            <w:r>
              <w:rPr>
                <w:b/>
                <w:i/>
                <w:strike w:val="0"/>
                <w:color w:val="auto"/>
                <w:highlight w:val="none"/>
                <w:u w:val="none" w:color="auto"/>
                <w:vertAlign w:val="baseline"/>
              </w:rPr>
              <w:t>ta' trattament degradanti u inuman ieħor, humiex apolidi jew f'riskju ta' apolidija, jew</w:t>
            </w:r>
            <w:r>
              <w:t xml:space="preserve"> għandhomx ħtiġijiet ta' akkoljenza jew proċedurali speċjali skont it-tifsira tal-Artikolu </w:t>
            </w:r>
            <w:r>
              <w:rPr>
                <w:b/>
                <w:i/>
                <w:strike w:val="0"/>
                <w:color w:val="auto"/>
                <w:highlight w:val="none"/>
                <w:u w:val="none" w:color="auto"/>
                <w:vertAlign w:val="baseline"/>
              </w:rPr>
              <w:t>21</w:t>
            </w:r>
            <w:r>
              <w:t xml:space="preserve"> tad-Direttiva dwar il-Kundizzjonijiet tal-Akkoljenza [riformulazzjoni</w:t>
            </w:r>
            <w:r>
              <w:rPr>
                <w:b/>
                <w:i/>
                <w:strike w:val="0"/>
                <w:color w:val="auto"/>
                <w:highlight w:val="none"/>
                <w:u w:val="none" w:color="auto"/>
                <w:vertAlign w:val="baseline"/>
              </w:rPr>
              <w:t>] u tal-Artikolu 20 tar-Regolament (UE) xxxx/xxxx [ir-Regolament dwar il-Proċedura tal-Ażil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Fejn ikun rilevanti, għandu jiġi vverifikat</w:t>
            </w:r>
            <w:r>
              <w:t xml:space="preserve"> jekk il-persuni </w:t>
            </w:r>
            <w:r>
              <w:rPr>
                <w:b/>
                <w:i/>
                <w:strike w:val="0"/>
                <w:color w:val="auto"/>
                <w:highlight w:val="none"/>
                <w:u w:val="none" w:color="auto"/>
                <w:vertAlign w:val="baseline"/>
              </w:rPr>
              <w:t>msemmija fil-paragrafu 1</w:t>
            </w:r>
            <w:r>
              <w:t xml:space="preserve"> humiex f’sitwazzjoni vulnerabbli, vittmi tat-tortura jew għandhomx ħtiġijiet ta’ akkoljenza jew proċedurali speċjali skont it-tifsira tal-Artikolu </w:t>
            </w:r>
            <w:r>
              <w:rPr>
                <w:b/>
                <w:i/>
                <w:strike w:val="0"/>
                <w:color w:val="auto"/>
                <w:highlight w:val="none"/>
                <w:u w:val="none" w:color="auto"/>
                <w:vertAlign w:val="baseline"/>
              </w:rPr>
              <w:t>20</w:t>
            </w:r>
            <w:r>
              <w:t xml:space="preserve"> tad-Direttiva dwar il-Kundizzjonijiet tal-Akkoljenza [riformulazzjoni].</w:t>
            </w:r>
          </w:p>
        </w:tc>
        <w:tc>
          <w:tcPr>
            <w:tcW w:w="4876" w:type="dxa"/>
            <w:vAlign w:val="top"/>
          </w:tcPr>
          <w:p>
            <w:pPr>
              <w:pStyle w:val="Normal6a"/>
            </w:pPr>
            <w:r>
              <w:t>2.</w:t>
            </w:r>
            <w:r>
              <w:tab/>
            </w:r>
            <w:r>
              <w:rPr>
                <w:b/>
                <w:i/>
                <w:strike w:val="0"/>
                <w:color w:val="auto"/>
                <w:highlight w:val="none"/>
                <w:u w:val="none" w:color="auto"/>
                <w:vertAlign w:val="baseline"/>
              </w:rPr>
              <w:t>L-Istati Membri għandhom jevalwaw</w:t>
            </w:r>
            <w:r>
              <w:t xml:space="preserve"> jekk il-persuni </w:t>
            </w:r>
            <w:r>
              <w:rPr>
                <w:b/>
                <w:i/>
                <w:strike w:val="0"/>
                <w:color w:val="auto"/>
                <w:highlight w:val="none"/>
                <w:u w:val="none" w:color="auto"/>
                <w:vertAlign w:val="baseline"/>
              </w:rPr>
              <w:t>li huma soġġetti ta' skrinjar</w:t>
            </w:r>
            <w:r>
              <w:t xml:space="preserve"> humiex f'sitwazzjoni vulnerabbli, </w:t>
            </w:r>
            <w:r>
              <w:rPr>
                <w:b/>
                <w:i/>
                <w:strike w:val="0"/>
                <w:color w:val="auto"/>
                <w:highlight w:val="none"/>
                <w:u w:val="none" w:color="auto"/>
                <w:vertAlign w:val="baseline"/>
              </w:rPr>
              <w:t>humiex</w:t>
            </w:r>
            <w:r>
              <w:t xml:space="preserve"> vittmi tat-tortura</w:t>
            </w:r>
            <w:r>
              <w:rPr>
                <w:b/>
                <w:i/>
                <w:strike w:val="0"/>
                <w:color w:val="auto"/>
                <w:highlight w:val="none"/>
                <w:u w:val="none" w:color="auto"/>
                <w:vertAlign w:val="baseline"/>
              </w:rPr>
              <w:t>, humiex apolidi jew f'riskju ta' apolidija,</w:t>
            </w:r>
            <w:r>
              <w:t xml:space="preserve"> jew għandhomx ħtiġijiet ta' akkoljenza jew proċedurali speċjali skont it-tifsira tal-Artikolu </w:t>
            </w:r>
            <w:r>
              <w:rPr>
                <w:b/>
                <w:i/>
                <w:strike w:val="0"/>
                <w:color w:val="auto"/>
                <w:highlight w:val="none"/>
                <w:u w:val="none" w:color="auto"/>
                <w:vertAlign w:val="baseline"/>
              </w:rPr>
              <w:t>21</w:t>
            </w:r>
            <w:r>
              <w:t xml:space="preserve"> tad-Direttiva dwar il-Kundizzjonijiet tal-Akkoljenza [riformulazzjoni</w:t>
            </w:r>
            <w:r>
              <w:rPr>
                <w:b/>
                <w:i/>
                <w:strike w:val="0"/>
                <w:color w:val="auto"/>
                <w:highlight w:val="none"/>
                <w:u w:val="none" w:color="auto"/>
                <w:vertAlign w:val="baseline"/>
              </w:rPr>
              <w:t>] u tal-Artikolu 20 tar-Regolament (UE) xxxx/xxxx [ir-Regolament dwar il-Proċedura tal-Ażil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Fejn ikun rilevanti</w:t>
            </w:r>
            <w:r>
              <w:t>, għandu jiġi vverifikat jekk il-persuni msemmija fil-paragrafu 1 humiex f’sitwazzjoni vulnerabbli, vittmi tat-tortura jew għandhomx ħtiġijiet ta’ akkoljenza jew proċedurali speċjali skont it-tifsira tal-Artikolu 20 tad-Direttiva dwar il-Kundizzjonijiet tal-Akkoljenza [riformulazzjoni].</w:t>
            </w:r>
          </w:p>
        </w:tc>
        <w:tc>
          <w:tcPr>
            <w:tcW w:w="4876" w:type="dxa"/>
            <w:vAlign w:val="top"/>
          </w:tcPr>
          <w:p>
            <w:pPr>
              <w:pStyle w:val="Normal6a"/>
            </w:pPr>
            <w:r>
              <w:t>2.</w:t>
            </w:r>
            <w:r>
              <w:tab/>
            </w:r>
            <w:r>
              <w:rPr>
                <w:b/>
                <w:i/>
                <w:strike w:val="0"/>
                <w:color w:val="auto"/>
                <w:highlight w:val="none"/>
                <w:u w:val="none" w:color="auto"/>
                <w:vertAlign w:val="baseline"/>
              </w:rPr>
              <w:t>Barra minn hekk</w:t>
            </w:r>
            <w:r>
              <w:t xml:space="preserve">, għandu jiġi vverifikat jekk il-persuni msemmija fil-paragrafu 1 humiex f'sitwazzjoni vulnerabbli, </w:t>
            </w:r>
            <w:r>
              <w:rPr>
                <w:b/>
                <w:i/>
                <w:strike w:val="0"/>
                <w:color w:val="auto"/>
                <w:highlight w:val="none"/>
                <w:u w:val="none" w:color="auto"/>
                <w:vertAlign w:val="baseline"/>
              </w:rPr>
              <w:t>li tista' tinkludi lil</w:t>
            </w:r>
            <w:r>
              <w:t xml:space="preserve"> vittmi tat-tortura jew għandhomx ħtiġijiet ta' akkoljenza jew proċedurali speċjali skont it-tifsira tal-Artikolu 20 tad-Direttiva dwar il-Kundizzjonijiet tal-Akkoljenza [riformulazzjoni].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Fejn persuna tiddikjara li ma għandha l-ebda nazzjonalità jew meta jkun hemm raġunijiet raġonevoli biex wieħed jemmen li persuna tista' tkun apolida, dan għandu jiġi rreġistrat b'mod ċar sakemm jiġi ddeterminat jekk il-persuna hijiex apolida fi proċedura separata.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Fejn ikun hemm indikazzjonijiet ta’ vulnerabbiltajiet jew ħtiġijiet ta’ akkoljenza jew proċedurali speċjali, iċ-ċittadin ta’ pajjiż terz ikkonċernat għandu jirċievi appoġġ f’waqtu u adegwat fid-dawl tas-saħħa fiżika u mentali tiegħu. Fil-każ tal-minorenni, għandu jingħata appoġġ minn persunal imħarreġ u kkwalifikat biex jittratta l-minorenni, u f’kooperazzjoni mal-awtoritajiet għall-protezzjoni tat-tfal.</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Fejn ikun hemm indikazzjonijiet ta’ vulnerabbiltajiet jew ħtiġijiet ta’ akkoljenza jew proċedurali speċjali, iċ-ċittadin ta’ pajjiż terz ikkonċernat </w:t>
            </w:r>
            <w:r>
              <w:rPr>
                <w:b/>
                <w:i/>
                <w:strike w:val="0"/>
                <w:color w:val="auto"/>
                <w:highlight w:val="none"/>
                <w:u w:val="none" w:color="auto"/>
                <w:vertAlign w:val="baseline"/>
              </w:rPr>
              <w:t>għandu</w:t>
            </w:r>
            <w:r>
              <w:t xml:space="preserve"> jirċievi appoġġ </w:t>
            </w:r>
            <w:r>
              <w:rPr>
                <w:b/>
                <w:i/>
                <w:strike w:val="0"/>
                <w:color w:val="auto"/>
                <w:highlight w:val="none"/>
                <w:u w:val="none" w:color="auto"/>
                <w:vertAlign w:val="baseline"/>
              </w:rPr>
              <w:t>f’waqtu u adegwat</w:t>
            </w:r>
            <w:r>
              <w:t xml:space="preserve"> fid-dawl tas-saħħa fiżika u mentali tiegħu. </w:t>
            </w:r>
            <w:r>
              <w:rPr>
                <w:b/>
                <w:i/>
                <w:strike w:val="0"/>
                <w:color w:val="auto"/>
                <w:highlight w:val="none"/>
                <w:u w:val="none" w:color="auto"/>
                <w:vertAlign w:val="baseline"/>
              </w:rPr>
              <w:t>Fil-każ tal-minorenni, għandu jingħata appoġġ minn persunal imħarreġ u kkwalifikat biex jittratta l-minorenni, u f’kooperazzjoni mal-awtoritajiet għall-protezzjoni tat-tfal.</w:t>
            </w:r>
          </w:p>
        </w:tc>
        <w:tc>
          <w:tcPr>
            <w:tcW w:w="4876" w:type="dxa"/>
            <w:vAlign w:val="top"/>
          </w:tcPr>
          <w:p>
            <w:pPr>
              <w:pStyle w:val="Normal6a"/>
            </w:pPr>
            <w:r>
              <w:t>3.</w:t>
            </w:r>
            <w:r>
              <w:tab/>
            </w:r>
            <w:r>
              <w:t xml:space="preserve">Fejn ikun hemm indikazzjonijiet ta' vulnerabbiltajiet jew ħtiġijiet ta' akkoljenza jew proċedurali speċjali, iċ-ċittadin ta' pajjiż terz ikkonċernat </w:t>
            </w:r>
            <w:r>
              <w:rPr>
                <w:b/>
                <w:i/>
                <w:strike w:val="0"/>
                <w:color w:val="auto"/>
                <w:highlight w:val="none"/>
                <w:u w:val="none" w:color="auto"/>
                <w:vertAlign w:val="baseline"/>
              </w:rPr>
              <w:t>jista'</w:t>
            </w:r>
            <w:r>
              <w:t xml:space="preserve"> jirċievi appoġġ fid-dawl tas-saħħa fiżika u mentali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Fejn ikun hemm indikazzjonijiet ta’ vulnerabbiltajiet jew ħtiġijiet ta’ akkoljenza jew proċedurali speċjali, iċ-ċittadin ta’ pajjiż terz ikkonċernat għandu jirċievi appoġġ f’waqtu u adegwat fid-dawl tas-saħħa fiżika u mentali tiegħu</w:t>
            </w:r>
            <w:r>
              <w:rPr>
                <w:b/>
                <w:i/>
                <w:strike w:val="0"/>
                <w:color w:val="auto"/>
                <w:highlight w:val="none"/>
                <w:u w:val="none" w:color="auto"/>
                <w:vertAlign w:val="baseline"/>
              </w:rPr>
              <w:t>. Fil-każ tal-minorenni, għandu jingħata appoġġ minn persunal imħarreġ u kkwalifikat biex jittratta l-minorenni, u f’kooperazzjoni mal-awtoritajiet għall-protezzjoni tat-tfal</w:t>
            </w:r>
            <w:r>
              <w:t>.</w:t>
            </w:r>
          </w:p>
        </w:tc>
        <w:tc>
          <w:tcPr>
            <w:tcW w:w="4876" w:type="dxa"/>
            <w:vAlign w:val="top"/>
          </w:tcPr>
          <w:p>
            <w:pPr>
              <w:pStyle w:val="Normal6a"/>
            </w:pPr>
            <w:r>
              <w:t>3.</w:t>
            </w:r>
            <w:r>
              <w:tab/>
            </w:r>
            <w:r>
              <w:t xml:space="preserve">Fejn ikun hemm indikazzjonijiet ta’ vulnerabbiltajiet jew ħtiġijiet ta’ akkoljenza jew proċedurali speċjali, iċ-ċittadin ta’ pajjiż terz ikkonċernat għandu jirċievi appoġġ f’waqtu u adegwat fid-dawl tas-saħħa fiżika u mentali tiegħu </w:t>
            </w:r>
            <w:r>
              <w:rPr>
                <w:b/>
                <w:i/>
                <w:strike w:val="0"/>
                <w:color w:val="auto"/>
                <w:highlight w:val="none"/>
                <w:u w:val="none" w:color="auto"/>
                <w:vertAlign w:val="baseline"/>
              </w:rPr>
              <w:t>f'faċilitajiet adegwati fi ħdan it-territorju tal-Istat Membru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Il-minorenni u l-persuni identifikati bħala vulnerabbli jew bi bżonnijiet speċjali għandu jkollhom aċċess għall-istess livell ta' appoġġ li għandhom l-applikanti għall-protezzjoni internazzjonali skont il-Kapitolu IV tad-Direttiva dwar il-Kundizzjonijiet ta' Akkoljenza u, jekk japplikaw għall-protezzjoni internazzjonali, għandhom jiġu riferuti għall-proċedura normali tal-ażil.</w:t>
            </w:r>
            <w:r>
              <w:rPr>
                <w:b/>
                <w:i/>
                <w:strike w:val="0"/>
                <w:color w:val="auto"/>
                <w:highlight w:val="none"/>
                <w:u w:val="none" w:color="auto"/>
                <w:vertAlign w:val="baseline"/>
              </w:rPr>
              <w:t>Ma għandhomx ikunu soġġetti għal detenzjoni.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Fil-każ tal-minorenni, għandu jingħata appoġġ b'mod adegwat għat-tfal minn persunal adegwatament imħarreġ u kkwalifikat biex jittratta l-minorenni, u f'kooperazzjoni mal-awtoritajiet għall-protezzjoni tat-tfal.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Fejn ikun hemm indikazzjonijiet ta’ vulnerabbiltajiet jew ħtiġijiet ta’ akkoljenza jew proċedurali speċjali, iċ-ċittadin ta’ pajjiż terz ikkonċernat għandu jirċievi appoġġ f’waqtu u adegwat fid-dawl tas-saħħa fiżika u mentali tiegħu. Fil-każ tal-minorenni, għandu jingħata appoġġ minn persunal imħarreġ u kkwalifikat biex jittratta l-minorenni, u f’kooperazzjoni mal-awtoritajiet għall-protezzjoni tat-tfal.</w:t>
            </w:r>
          </w:p>
        </w:tc>
        <w:tc>
          <w:tcPr>
            <w:tcW w:w="4876" w:type="dxa"/>
            <w:vAlign w:val="top"/>
          </w:tcPr>
          <w:p>
            <w:pPr>
              <w:pStyle w:val="Normal6a"/>
            </w:pPr>
            <w:r>
              <w:t>3.</w:t>
            </w:r>
            <w:r>
              <w:tab/>
            </w:r>
            <w:r>
              <w:t xml:space="preserve">Fejn ikun hemm indikazzjonijiet ta' vulnerabbiltajiet jew ħtiġijiet ta' akkoljenza jew proċedurali speċjali, iċ-ċittadin ta' pajjiż terz ikkonċernat għandu jirċievi appoġġ f'waqtu u adegwat fid-dawl tas-saħħa fiżika u mentali tiegħu. Fil-każ tal-minorenni, għandu jingħata appoġġ minn persunal imħarreġ u kkwalifikat biex jittratta l-minorenni, u f'kooperazzjoni mal-awtoritajiet għall-protezzjoni tat-tfal. </w:t>
            </w:r>
            <w:r>
              <w:rPr>
                <w:b/>
                <w:i/>
                <w:strike w:val="0"/>
                <w:color w:val="auto"/>
                <w:highlight w:val="none"/>
                <w:u w:val="none" w:color="auto"/>
                <w:vertAlign w:val="baseline"/>
              </w:rPr>
              <w:t>Il-valutazzjonijiet tal-vulnerabbiltà matul il-proċedura ta' skrinjar huma mingħajr preġudizzju għall-kontrolli obbligatorji tal-vulnerabbiltà fi proċeduri sussegwenti tal-ażil u tar-ritorn.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Fil-każ ta' minorenni mhux akkumpanjati, l-Istati Membri għandhom jaħtru rappreżentant biex jassisti u jirrappreżenta lill-minorenni u dan il-minorenni għandu jiġi infurmat b'dan.</w:t>
            </w:r>
            <w:r>
              <w:rPr>
                <w:b/>
                <w:i/>
                <w:strike w:val="0"/>
                <w:color w:val="auto"/>
                <w:highlight w:val="none"/>
                <w:u w:val="none" w:color="auto"/>
                <w:vertAlign w:val="baseline"/>
              </w:rPr>
              <w:t>Fejn applikabbli, dan ir-rappreżentant għandu jkun l-istess persuna bħar-rappreżentant li għandu jinħatar f'konformità mal-Artikolu 23 tad-Direttiva (UE) XXX/XXX [id-Direttiva dwar il-Kundizzjonijiet tal-Akkoljenza].</w:t>
            </w:r>
            <w:r>
              <w:rPr>
                <w:b/>
                <w:i/>
                <w:strike w:val="0"/>
                <w:color w:val="auto"/>
                <w:highlight w:val="none"/>
                <w:u w:val="none" w:color="auto"/>
                <w:vertAlign w:val="baseline"/>
              </w:rPr>
              <w:t>Il-minorenni mhux akkumpanjat għandu jiġi infurmat immedjatament bil-ħatra tar-rappreżentant.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Ir-rappreżentant għandu jwettaq dmirijietu f'konformità mal-prinċipju tal-aħjar interessi tal-minorenni u għandu jkollu l-għarfien espert meħtieġ għal dak il-għan. Sabiex jiġi żgurat il-benesseri u l-iżvilupp soċjali tal-minorenni l-persuna li taġixxi bħala rappreżentant għandha tinbidel biss meta jkun meħtieġ.</w:t>
            </w:r>
            <w:r>
              <w:rPr>
                <w:b/>
                <w:i/>
                <w:strike w:val="0"/>
                <w:color w:val="auto"/>
                <w:highlight w:val="none"/>
                <w:u w:val="none" w:color="auto"/>
                <w:vertAlign w:val="baseline"/>
              </w:rPr>
              <w:t>L-organizzazzjonijiet jew individwi li l-interessi tagħhom ma jaqblux jew jistgħu potenzjalment ma jaqblux ma' dawk tal-minorenni mhux akkumpanjat ma għandhomx ikunu eliġibbli li jsiru rappreżentanti.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jinkarigaw persuna fiżika li tkun nominata bħala rappreżentant jew il-persuna msemmija fil-punt (a) tal-ewwel subparagrafu tal-Artikolu 23(1) tad-Direttiva (UE) XXX/XXX [id-Direttiva dwar il-Kundizzjonijiet tal-Akkoljenza] minn għadd proporzjonat u limitat ta' minorenni mhux akkumpanjati fl-istess ħin biex jiġi żgurat li hu jew hi jkunu jistgħu jwettqu l-kompiti tagħhom b'mod effettiv.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L-Istati Membri għandhom jiżguraw li l-applikanti kollha f'sitwazzjoni vulnerabbli jiġu diretti immedjatament għall-proċedura regolari tal-ażil jew tar-ritorn regolari u li l-applikanti kollha fil-bżonn jingħataw aċċess rapidu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Fejn jitqies meħtieġ abbażi taċ-ċirkostanzi, iċ-ċittadini ta’ pajjiżi terzi soġġetti għall-iskrinjar imsemmi fl-Artikolu 5 għandhom ikunu soġġetti għal eżami mediku preliminari, b’mod partikolari biex tiġi identifikata kwalunkwe kundizzjoni medika li teħtieġ kura immedjata, assistenza speċjali jew iżolament.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Fejn jitqies meħtieġ abbażi taċ-ċirkostanzi, iċ-ċittadini ta’ pajjiżi terzi soġġetti għall-iskrinjar imsemmi fl-Artikolu 5 għandhom ikunu soġġetti għal eżami mediku preliminari, b’mod partikolari biex tiġi identifikata kwalunkwe kundizzjoni medika li teħtieġ kura immedjata, assistenza speċjali jew iżolament.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Fejn jitqies meħtieġ abbażi taċ-ċirkostanzi, iċ-ċittadini ta’ pajjiżi terzi soġġetti għall-iskrinjar imsemmi fl-Artikolu 5 għandhom ikunu soġġetti għal eżami mediku preliminari, b’mod partikolari biex tiġi identifikata kwalunkwe kundizzjoni medika li teħtieġ kura immedjata, assistenza speċjali jew iżolament.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Fejn jitqies meħtieġ abbażi </w:t>
            </w:r>
            <w:r>
              <w:rPr>
                <w:b/>
                <w:i/>
                <w:strike w:val="0"/>
                <w:color w:val="auto"/>
                <w:highlight w:val="none"/>
                <w:u w:val="none" w:color="auto"/>
                <w:vertAlign w:val="baseline"/>
              </w:rPr>
              <w:t>taċ-ċirkostanzi</w:t>
            </w:r>
            <w:r>
              <w:t xml:space="preserve">, iċ-ċittadini ta’ pajjiżi terzi soġġetti għall-iskrinjar imsemmi </w:t>
            </w:r>
            <w:r>
              <w:rPr>
                <w:b/>
                <w:i/>
                <w:strike w:val="0"/>
                <w:color w:val="auto"/>
                <w:highlight w:val="none"/>
                <w:u w:val="none" w:color="auto"/>
                <w:vertAlign w:val="baseline"/>
              </w:rPr>
              <w:t>fl-Artikolu</w:t>
            </w:r>
            <w:r>
              <w:t xml:space="preserve"> 5 għandhom ikunu soġġetti għal </w:t>
            </w:r>
            <w:r>
              <w:rPr>
                <w:b/>
                <w:i/>
                <w:strike w:val="0"/>
                <w:color w:val="auto"/>
                <w:highlight w:val="none"/>
                <w:u w:val="none" w:color="auto"/>
                <w:vertAlign w:val="baseline"/>
              </w:rPr>
              <w:t>eżami mediku preliminari, b’mod partikolari biex tiġi identifikata kwalunkwe kundizzjoni medika li teħtieġ kura immedjata, assistenza speċjali jew iżolament</w:t>
            </w:r>
            <w:r>
              <w:t>.</w:t>
            </w:r>
          </w:p>
        </w:tc>
        <w:tc>
          <w:tcPr>
            <w:tcW w:w="4876" w:type="dxa"/>
            <w:vAlign w:val="top"/>
          </w:tcPr>
          <w:p>
            <w:pPr>
              <w:pStyle w:val="Normal6a"/>
            </w:pPr>
            <w:r>
              <w:t>4.</w:t>
            </w:r>
            <w:r>
              <w:tab/>
            </w:r>
            <w:r>
              <w:t xml:space="preserve">Fejn jitqies meħtieġ abbażi </w:t>
            </w:r>
            <w:r>
              <w:rPr>
                <w:b/>
                <w:i/>
                <w:strike w:val="0"/>
                <w:color w:val="auto"/>
                <w:highlight w:val="none"/>
                <w:u w:val="none" w:color="auto"/>
                <w:vertAlign w:val="baseline"/>
              </w:rPr>
              <w:t>ta' dubji sostanzjati</w:t>
            </w:r>
            <w:r>
              <w:t xml:space="preserve">, iċ-ċittadini ta' pajjiżi terzi soġġetti għall-iskrinjar imsemmi </w:t>
            </w:r>
            <w:r>
              <w:rPr>
                <w:b/>
                <w:i/>
                <w:strike w:val="0"/>
                <w:color w:val="auto"/>
                <w:highlight w:val="none"/>
                <w:u w:val="none" w:color="auto"/>
                <w:vertAlign w:val="baseline"/>
              </w:rPr>
              <w:t>fl-Artikoli 3 u</w:t>
            </w:r>
            <w:r>
              <w:t xml:space="preserve"> 5 għandhom ikunu soġġetti għal </w:t>
            </w:r>
            <w:r>
              <w:rPr>
                <w:b/>
                <w:i/>
                <w:strike w:val="0"/>
                <w:color w:val="auto"/>
                <w:highlight w:val="none"/>
                <w:u w:val="none" w:color="auto"/>
                <w:vertAlign w:val="baseline"/>
              </w:rPr>
              <w:t>valutazzjoni tal-età jew proċeduri oħra skont il-leġiżlazzjoni nazzjonali sabiex jiġu vverifikati l-vulnerabbiltajiet tagħhom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Fejn jitqies meħtieġ abbażi taċ-ċirkostanzi, iċ-ċittadini ta’ pajjiżi terzi soġġetti għall-iskrinjar imsemmi fl-Artikolu 5 għandhom ikunu soġġetti għal eżami mediku preliminari, b’mod partikolari biex tiġi identifikata kwalunkwe kundizzjoni medika li teħtieġ kura immedjata, assistenza speċjali jew iżolament.</w:t>
            </w:r>
          </w:p>
        </w:tc>
        <w:tc>
          <w:tcPr>
            <w:tcW w:w="4876" w:type="dxa"/>
            <w:vAlign w:val="top"/>
          </w:tcPr>
          <w:p>
            <w:pPr>
              <w:pStyle w:val="Normal6a"/>
            </w:pPr>
            <w:r>
              <w:t>4.</w:t>
            </w:r>
            <w:r>
              <w:tab/>
            </w:r>
            <w:r>
              <w:t xml:space="preserve">Fejn jitqies meħtieġ abbażi taċ-ċirkostanzi, iċ-ċittadini ta' pajjiżi terzi soġġetti għall-iskrinjar imsemmi fl-Artikolu 5 għandhom ikunu soġġetti għal eżami mediku preliminari, b'mod partikolari biex tiġi identifikata kwalunkwe kundizzjoni medika li teħtieġ kura immedjata, assistenza speċjali jew iżolament. </w:t>
            </w:r>
            <w:r>
              <w:rPr>
                <w:b/>
                <w:i/>
                <w:strike w:val="0"/>
                <w:color w:val="auto"/>
                <w:highlight w:val="none"/>
                <w:u w:val="none" w:color="auto"/>
                <w:vertAlign w:val="baseline"/>
              </w:rPr>
              <w:t>Dan l-eżami għandu jitwettaq mill-awtoritajiet tas-saħħa kompetenti fl-Istati Membri.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9a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Verifika preliminari dwar il-vulnerabilità</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Iċ-ċittadini ta' pajjiżi terzi soġġetti għall-iskrinjar imsemmi fl-Artikolu 3 għandhom ikunu soġġetti għal verifika preliminari tal-vulnerabbiltà bil-ħsieb li jiġu identifikati kwalunkwe vulnerabbiltajiet jew ħtiġijiet proċedurali u ta' akkoljenza speċifiċi skont it-tifsira tal-Artikolu 2(1), punt 13, tad-Direttiva (UE) XXX/XXX [riformulazzjoni tad-Direttiva dwar il-Kundizzjonijiet ta' Akkoljenza].</w:t>
            </w:r>
            <w:r>
              <w:t xml:space="preserve"> </w:t>
            </w:r>
            <w:r>
              <w:rPr>
                <w:b/>
                <w:i/>
                <w:strike w:val="0"/>
                <w:color w:val="auto"/>
                <w:highlight w:val="none"/>
                <w:u w:val="none" w:color="auto"/>
                <w:vertAlign w:val="baseline"/>
              </w:rPr>
              <w:t>Dan il-kontroll preliminari tal-vulnerabbiltà għandu jkun mingħajr preġudizzju għal valutazzjoni sħiħa tal-vulnerabbiltà fil-proċedura li jmiss kif imsemmi fl-Artikolu 21 ta' dik id-Direttiva.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Il-verifika tal-vulnerabbiltà għandha ssir minn persunal imħarreġ speċifikament għal dak il-għan u f'konformità mal-lista fl-Artikolu 20 tad-Direttiva (UE) XXX/XXX [riformulazzjoni tad-Direttiva dwar il-Kundizzjonijiet ta' Akkoljenza].</w:t>
            </w:r>
            <w:r>
              <w:t xml:space="preserve"> </w:t>
            </w:r>
            <w:r>
              <w:rPr>
                <w:b/>
                <w:i/>
                <w:strike w:val="0"/>
                <w:color w:val="auto"/>
                <w:highlight w:val="none"/>
                <w:u w:val="none" w:color="auto"/>
                <w:vertAlign w:val="baseline"/>
              </w:rPr>
              <w:t>Għandu jiġi żgurat li jkun hemm biżżejjed persunal biex iwettaq dawn il-kontrolli bir-reqqa u b'mod effiċjenti.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Meta jkun hemm indikazzjonijiet inizjali ta' vulnerabbiltajiet jew ħtiġijiet speċifiċi ta' akkoljenza jew proċedurali, irid jiġi żgurat li ċ-ċittadin ta' pajjiż terz ikkonċernat jirċievi appoġġ f'waqtu u adegwat fid-dawl tas-saħħa fiżika u mentali tiegħu matul il-proċess ta' skrinjar u li dan jitkompla fil-proċedura li jmiss li l-persuna tiġi riferuta għalih.</w:t>
            </w:r>
            <w:r>
              <w:t xml:space="preserve"> </w:t>
            </w:r>
            <w:r>
              <w:rPr>
                <w:b/>
                <w:i/>
                <w:strike w:val="0"/>
                <w:color w:val="auto"/>
                <w:highlight w:val="none"/>
                <w:u w:val="none" w:color="auto"/>
                <w:vertAlign w:val="baseline"/>
              </w:rPr>
              <w:t>Jekk il-miżuri ta' skrinjar jammontaw għal detenzjoni, għandhom japplikaw alternattivi għad-detenzjoni jew miżuri inqas koerċittivi.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L-indikazzjonijiet inizjali ta' vulnerabbiltajiet jew ħtiġijiet speċifiċi ta' akkoljenza jew proċedurali jridu jiġu indikati b'mod ċar fuq il-formola ta' debriefing.</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9a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Rappreżentant għal minorenni mhux akkumpanjati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mill-aktar fis possibbli, u qabel ma jibda l-iskrinjar, jaħtru rappreżentant għal minorenni mhux akkumpanjati.</w:t>
            </w:r>
            <w:r>
              <w:t xml:space="preserve"> </w:t>
            </w:r>
            <w:r>
              <w:rPr>
                <w:b/>
                <w:i/>
                <w:strike w:val="0"/>
                <w:color w:val="auto"/>
                <w:highlight w:val="none"/>
                <w:u w:val="none" w:color="auto"/>
                <w:vertAlign w:val="baseline"/>
              </w:rPr>
              <w:t>Il-minorenni għandu jiġi infurmat immedjatament bid-dritt tiegħu li jkollu rappreżentant.</w:t>
            </w:r>
            <w:r>
              <w:t xml:space="preserve"> </w:t>
            </w:r>
            <w:r>
              <w:rPr>
                <w:b/>
                <w:i/>
                <w:strike w:val="0"/>
                <w:color w:val="auto"/>
                <w:highlight w:val="none"/>
                <w:u w:val="none" w:color="auto"/>
                <w:vertAlign w:val="baseline"/>
              </w:rPr>
              <w:t>Ir-rappreżentant għandu jwettaq dmirijietu f’konformità mal-prinċipju tal-aħjar interessi tat-tfal.</w:t>
            </w:r>
            <w:r>
              <w:t xml:space="preserve"> </w:t>
            </w:r>
            <w:r>
              <w:rPr>
                <w:b/>
                <w:i/>
                <w:strike w:val="0"/>
                <w:color w:val="auto"/>
                <w:highlight w:val="none"/>
                <w:u w:val="none" w:color="auto"/>
                <w:vertAlign w:val="baseline"/>
              </w:rPr>
              <w:t>Ir-rappreżentant għandu jkollu r-riżorsi, il-kwalifiki, it-taħriġ u l-kompetenza esperta sabiex jiżgura li l-aħjar interessi tal-minorenni jiġu kkunsidrati matul il-proċeduri mwettqin taħt dan ir-Regolament.</w:t>
            </w:r>
            <w:r>
              <w:t xml:space="preserve"> </w:t>
            </w:r>
            <w:r>
              <w:rPr>
                <w:b/>
                <w:i/>
                <w:strike w:val="0"/>
                <w:color w:val="auto"/>
                <w:highlight w:val="none"/>
                <w:u w:val="none" w:color="auto"/>
                <w:vertAlign w:val="baseline"/>
              </w:rPr>
              <w:t>Tali rappreżentant għandu jkollu aċċess għall-kontenut tad-dokumenti rilevanti fil-fajl tal-applikant inkluż il-materjal ta' informazzjoni speċifiku għal minorenni mhux akkumpanjati, u għandu jinforma lit-tifel jew it-tifla kif xieraq dwar il-proċedura.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9b</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Garanziji speċjali għal minorenni mhux akkompanjati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L-aħjar interess tat-tfal għandu jkun it-tħassib ewlieni f'kull pass tal-iskrinjar, f'konformità mas-salvagwardji previsti fid-Direttiva (UE) XXX/XXX [riformulazzjoni tad-Direttiva dwar il-Kundizzjonijiet ta' Akkoljenza], b'mod partikolari l-Artikoli 11, 12, 13, 14, 20, 21, 22 u 23.</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Minorenni, kemm jekk akkumpanjati kif ukoll jekk mhux akkumpanjati, għandhom jitqiesu bħala applikanti li jeħtieġu garanziji proċedurali speċifiċi.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Il-gwardjani maħtura ta' minorenni mhux akkumpanjati kif imsemmi fl-Artikolu 6 ta' dan ir-Regolament għandu jkollhom il-kwalifiki u l-għarfien espert meħtieġa u jirċievu taħriġ kontinwu u xieraq għal dak il-għan, u ma għandux ikollhom rekord kriminali vverifikat, b'attenzjoni partikolari għal kwalunkwe reat relatat mat-tfal.</w:t>
            </w:r>
            <w:r>
              <w:t xml:space="preserve"> </w:t>
            </w:r>
            <w:r>
              <w:rPr>
                <w:b/>
                <w:i/>
                <w:strike w:val="0"/>
                <w:color w:val="auto"/>
                <w:highlight w:val="none"/>
                <w:u w:val="none" w:color="auto"/>
                <w:vertAlign w:val="baseline"/>
              </w:rPr>
              <w:t>Wara l-ħatra tiegħu/tagħha, ir-rekord kriminali tal-kustodja għandu jiġi rieżaminat b'mod regolari mill-awtoritajiet kompetenti biex ikunu identifikati inkompatibbiltajiet potenzjali mar-rwol tiegħu jew tagħha.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L-iskrinjar ma għandux jinvolvi proċedura ta' valutazzjoni tal-età.</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Sa fejn dan ikun għadu ma sarx matul l-applikazzjoni tal-Artikolu 8 tar-Regolament (UE) 2016/399, l-identità ta’ ċittadini ta’ pajjiżi terzi soġġetti għall-iskrinjar skont l-Artikolu 3 </w:t>
            </w:r>
            <w:r>
              <w:rPr>
                <w:b/>
                <w:i/>
                <w:strike w:val="0"/>
                <w:color w:val="auto"/>
                <w:highlight w:val="none"/>
                <w:u w:val="none" w:color="auto"/>
                <w:vertAlign w:val="baseline"/>
              </w:rPr>
              <w:t>jew l-Artikolu 5</w:t>
            </w:r>
            <w:r>
              <w:t xml:space="preserve"> għandha tiġi vverifikata jew stabbilita, billi </w:t>
            </w:r>
            <w:r>
              <w:rPr>
                <w:b/>
                <w:i/>
                <w:strike w:val="0"/>
                <w:color w:val="auto"/>
                <w:highlight w:val="none"/>
                <w:u w:val="none" w:color="auto"/>
                <w:vertAlign w:val="baseline"/>
              </w:rPr>
              <w:t>jintużaw b’mod partikolari</w:t>
            </w:r>
            <w:r>
              <w:t xml:space="preserve"> dan li ġej</w:t>
            </w:r>
            <w:r>
              <w:rPr>
                <w:b/>
                <w:i/>
                <w:strike w:val="0"/>
                <w:color w:val="auto"/>
                <w:highlight w:val="none"/>
                <w:u w:val="none" w:color="auto"/>
                <w:vertAlign w:val="baseline"/>
              </w:rPr>
              <w:t>, flimkien ma’ bażijiet tad-data nazzjonali u Ewropej</w:t>
            </w:r>
            <w:r>
              <w:t>:</w:t>
            </w:r>
          </w:p>
        </w:tc>
        <w:tc>
          <w:tcPr>
            <w:tcW w:w="4876" w:type="dxa"/>
            <w:vAlign w:val="top"/>
          </w:tcPr>
          <w:p>
            <w:pPr>
              <w:pStyle w:val="Normal6a"/>
            </w:pPr>
            <w:r>
              <w:t>1.</w:t>
            </w:r>
            <w:r>
              <w:tab/>
            </w:r>
            <w:r>
              <w:t xml:space="preserve">Sa fejn dan ikun għadu ma sarx matul l-applikazzjoni tal-Artikolu 8 tar-Regolament (UE) 2016/399, l-identità ta' ċittadini ta' pajjiżi terzi soġġetti għall-iskrinjar skont l-Artikolu 3 għandha tiġi vverifikata jew stabbilita, billi </w:t>
            </w:r>
            <w:r>
              <w:rPr>
                <w:b/>
                <w:i/>
                <w:strike w:val="0"/>
                <w:color w:val="auto"/>
                <w:highlight w:val="none"/>
                <w:u w:val="none" w:color="auto"/>
                <w:vertAlign w:val="baseline"/>
              </w:rPr>
              <w:t>fejn applikabbli jintuża</w:t>
            </w:r>
            <w:r>
              <w:t xml:space="preserve"> dan li ġej: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Sa fejn dan ikun għadu ma sarx matul l-applikazzjoni tal-Artikolu 8 tar-Regolament (UE) 2016/399, l-identità ta’ ċittadini ta’ pajjiżi terzi soġġetti għall-iskrinjar skont l-Artikolu 3 </w:t>
            </w:r>
            <w:r>
              <w:rPr>
                <w:b/>
                <w:i/>
                <w:strike w:val="0"/>
                <w:color w:val="auto"/>
                <w:highlight w:val="none"/>
                <w:u w:val="none" w:color="auto"/>
                <w:vertAlign w:val="baseline"/>
              </w:rPr>
              <w:t>jew l-Artikolu 5</w:t>
            </w:r>
            <w:r>
              <w:t xml:space="preserve"> għandha tiġi vverifikata </w:t>
            </w:r>
            <w:r>
              <w:rPr>
                <w:b/>
                <w:i/>
                <w:strike w:val="0"/>
                <w:color w:val="auto"/>
                <w:highlight w:val="none"/>
                <w:u w:val="none" w:color="auto"/>
                <w:vertAlign w:val="baseline"/>
              </w:rPr>
              <w:t>jew stabbilita</w:t>
            </w:r>
            <w:r>
              <w:t xml:space="preserve">, billi </w:t>
            </w:r>
            <w:r>
              <w:rPr>
                <w:b/>
                <w:i/>
                <w:strike w:val="0"/>
                <w:color w:val="auto"/>
                <w:highlight w:val="none"/>
                <w:u w:val="none" w:color="auto"/>
                <w:vertAlign w:val="baseline"/>
              </w:rPr>
              <w:t>jintużaw</w:t>
            </w:r>
            <w:r>
              <w:t xml:space="preserve"> b’mod partikolari dan li ġej</w:t>
            </w:r>
            <w:r>
              <w:rPr>
                <w:b/>
                <w:i/>
                <w:strike w:val="0"/>
                <w:color w:val="auto"/>
                <w:highlight w:val="none"/>
                <w:u w:val="none" w:color="auto"/>
                <w:vertAlign w:val="baseline"/>
              </w:rPr>
              <w:t>, flimkien ma’ bażijiet tad-data nazzjonali u Ewropej</w:t>
            </w:r>
            <w:r>
              <w:t>:</w:t>
            </w:r>
          </w:p>
        </w:tc>
        <w:tc>
          <w:tcPr>
            <w:tcW w:w="4876" w:type="dxa"/>
            <w:vAlign w:val="top"/>
          </w:tcPr>
          <w:p>
            <w:pPr>
              <w:pStyle w:val="Normal6a"/>
            </w:pPr>
            <w:r>
              <w:t>1.</w:t>
            </w:r>
            <w:r>
              <w:tab/>
            </w:r>
            <w:r>
              <w:t xml:space="preserve">Sa fejn dan ikun għadu ma sarx matul l-applikazzjoni tal-Artikolu 8 tar-Regolament (UE) 2016/399, l-identità ta' ċittadini ta' pajjiżi terzi soġġetti għall-iskrinjar skont l-Artikolu 3 għandha tiġi vverifikata, billi </w:t>
            </w:r>
            <w:r>
              <w:rPr>
                <w:b/>
                <w:i/>
                <w:strike w:val="0"/>
                <w:color w:val="auto"/>
                <w:highlight w:val="none"/>
                <w:u w:val="none" w:color="auto"/>
                <w:vertAlign w:val="baseline"/>
              </w:rPr>
              <w:t>jintuża</w:t>
            </w:r>
            <w:r>
              <w:t xml:space="preserve"> b'mod partikolari dan li ġej: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rPr>
                <w:b/>
                <w:i/>
                <w:strike w:val="0"/>
                <w:color w:val="auto"/>
                <w:highlight w:val="none"/>
                <w:u w:val="none" w:color="auto"/>
                <w:vertAlign w:val="baseline"/>
              </w:rPr>
              <w:t>dokumenti</w:t>
            </w:r>
            <w:r>
              <w:t xml:space="preserve"> tal-identità, tal-ivvjaġġar jew </w:t>
            </w:r>
            <w:r>
              <w:rPr>
                <w:b/>
                <w:i/>
                <w:strike w:val="0"/>
                <w:color w:val="auto"/>
                <w:highlight w:val="none"/>
                <w:u w:val="none" w:color="auto"/>
                <w:vertAlign w:val="baseline"/>
              </w:rPr>
              <w:t>oħrajn</w:t>
            </w:r>
            <w:r>
              <w:t>;</w:t>
            </w:r>
          </w:p>
        </w:tc>
        <w:tc>
          <w:tcPr>
            <w:tcW w:w="4876" w:type="dxa"/>
            <w:vAlign w:val="top"/>
          </w:tcPr>
          <w:p>
            <w:pPr>
              <w:pStyle w:val="Normal6a"/>
            </w:pPr>
            <w:r>
              <w:t>(a)</w:t>
            </w:r>
            <w:r>
              <w:tab/>
            </w:r>
            <w:r>
              <w:rPr>
                <w:b/>
                <w:i/>
                <w:strike w:val="0"/>
                <w:color w:val="auto"/>
                <w:highlight w:val="none"/>
                <w:u w:val="none" w:color="auto"/>
                <w:vertAlign w:val="baseline"/>
              </w:rPr>
              <w:t>dokument</w:t>
            </w:r>
            <w:r>
              <w:t xml:space="preserve"> tal-identità, tal-ivvjaġġar jew </w:t>
            </w:r>
            <w:r>
              <w:rPr>
                <w:b/>
                <w:i/>
                <w:strike w:val="0"/>
                <w:color w:val="auto"/>
                <w:highlight w:val="none"/>
                <w:u w:val="none" w:color="auto"/>
                <w:vertAlign w:val="baseline"/>
              </w:rPr>
              <w:t>kwalunkwe dokument ieħor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id-data jew l-informazzjoni pprovduta miċ-ċittadin ta’ pajjiż terz ikkonċernat </w:t>
            </w:r>
            <w:r>
              <w:rPr>
                <w:b/>
                <w:i/>
                <w:strike w:val="0"/>
                <w:color w:val="auto"/>
                <w:highlight w:val="none"/>
                <w:u w:val="none" w:color="auto"/>
                <w:vertAlign w:val="baseline"/>
              </w:rPr>
              <w:t>jew miksuba mingħandu</w:t>
            </w:r>
            <w:r>
              <w:t>; u</w:t>
            </w:r>
          </w:p>
        </w:tc>
        <w:tc>
          <w:tcPr>
            <w:tcW w:w="4876" w:type="dxa"/>
            <w:vAlign w:val="top"/>
          </w:tcPr>
          <w:p>
            <w:pPr>
              <w:pStyle w:val="Normal6a"/>
            </w:pPr>
            <w:r>
              <w:t>(b)</w:t>
            </w:r>
            <w:r>
              <w:tab/>
            </w:r>
            <w:r>
              <w:t>id-data jew l-informazzjoni pprovduta miċ-ċittadin ta' pajjiż terz ikkonċernat; 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id-data jew l-informazzjoni pprovduta miċ-ċittadin ta’ pajjiż terz ikkonċernat </w:t>
            </w:r>
            <w:r>
              <w:rPr>
                <w:b/>
                <w:i/>
                <w:strike w:val="0"/>
                <w:color w:val="auto"/>
                <w:highlight w:val="none"/>
                <w:u w:val="none" w:color="auto"/>
                <w:vertAlign w:val="baseline"/>
              </w:rPr>
              <w:t>jew miksuba mingħandu</w:t>
            </w:r>
            <w:r>
              <w:t>; u</w:t>
            </w:r>
          </w:p>
        </w:tc>
        <w:tc>
          <w:tcPr>
            <w:tcW w:w="4876" w:type="dxa"/>
            <w:vAlign w:val="top"/>
          </w:tcPr>
          <w:p>
            <w:pPr>
              <w:pStyle w:val="Normal6a"/>
            </w:pPr>
            <w:r>
              <w:t>(b)</w:t>
            </w:r>
            <w:r>
              <w:tab/>
            </w:r>
            <w:r>
              <w:t>id-data jew l-informazzjoni pprovduta miċ-ċittadin ta' pajjiż terz ikkonċernat; 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id-data jew l-informazzjoni pprovduta miċ-ċittadin ta’ pajjiż terz ikkonċernat </w:t>
            </w:r>
            <w:r>
              <w:rPr>
                <w:b/>
                <w:i/>
                <w:strike w:val="0"/>
                <w:color w:val="auto"/>
                <w:highlight w:val="none"/>
                <w:u w:val="none" w:color="auto"/>
                <w:vertAlign w:val="baseline"/>
              </w:rPr>
              <w:t>jew miksuba mingħandu</w:t>
            </w:r>
            <w:r>
              <w:t>; u</w:t>
            </w:r>
          </w:p>
        </w:tc>
        <w:tc>
          <w:tcPr>
            <w:tcW w:w="4876" w:type="dxa"/>
            <w:vAlign w:val="top"/>
          </w:tcPr>
          <w:p>
            <w:pPr>
              <w:pStyle w:val="Normal6a"/>
            </w:pPr>
            <w:r>
              <w:t>(b)</w:t>
            </w:r>
            <w:r>
              <w:tab/>
            </w:r>
            <w:r>
              <w:t>id-data jew l-informazzjoni pprovduta miċ-ċittadin ta' pajjiż terz ikkonċernat; 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data </w:t>
            </w:r>
            <w:r>
              <w:rPr>
                <w:b/>
                <w:i/>
                <w:strike w:val="0"/>
                <w:color w:val="auto"/>
                <w:highlight w:val="none"/>
                <w:u w:val="none" w:color="auto"/>
                <w:vertAlign w:val="baseline"/>
              </w:rPr>
              <w:t>bijometrika</w:t>
            </w:r>
            <w:r>
              <w:t>;</w:t>
            </w:r>
          </w:p>
        </w:tc>
        <w:tc>
          <w:tcPr>
            <w:tcW w:w="4876" w:type="dxa"/>
            <w:vAlign w:val="top"/>
          </w:tcPr>
          <w:p>
            <w:pPr>
              <w:pStyle w:val="Normal6a"/>
            </w:pPr>
            <w:r>
              <w:t>(c)</w:t>
            </w:r>
            <w:r>
              <w:tab/>
            </w:r>
            <w:r>
              <w:t xml:space="preserve">data </w:t>
            </w:r>
            <w:r>
              <w:rPr>
                <w:b/>
                <w:i/>
                <w:strike w:val="0"/>
                <w:color w:val="auto"/>
                <w:highlight w:val="none"/>
                <w:u w:val="none" w:color="auto"/>
                <w:vertAlign w:val="baseline"/>
              </w:rPr>
              <w:t>bijometrikakif definita fir-Regolament (UE) XXX/XXX [ir-Regolament Eurodac]</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data bijometrika;</w:t>
            </w:r>
          </w:p>
        </w:tc>
        <w:tc>
          <w:tcPr>
            <w:tcW w:w="4876" w:type="dxa"/>
            <w:vAlign w:val="top"/>
          </w:tcPr>
          <w:p>
            <w:pPr>
              <w:pStyle w:val="Normal6a"/>
            </w:pPr>
            <w:r>
              <w:t>(c)</w:t>
            </w:r>
            <w:r>
              <w:tab/>
            </w:r>
            <w:r>
              <w:t>data bijometrika</w:t>
            </w:r>
            <w:r>
              <w:rPr>
                <w:b/>
                <w:i/>
                <w:strike w:val="0"/>
                <w:color w:val="auto"/>
                <w:highlight w:val="none"/>
                <w:u w:val="none" w:color="auto"/>
                <w:vertAlign w:val="baseline"/>
              </w:rPr>
              <w:t>, inkluż ittestjar tad-DNA għall-età</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data bijometrika;</w:t>
            </w:r>
          </w:p>
        </w:tc>
        <w:tc>
          <w:tcPr>
            <w:tcW w:w="4876" w:type="dxa"/>
            <w:vAlign w:val="top"/>
          </w:tcPr>
          <w:p>
            <w:pPr>
              <w:pStyle w:val="Normal6a"/>
            </w:pPr>
            <w:r>
              <w:t>(c)</w:t>
            </w:r>
            <w:r>
              <w:tab/>
            </w:r>
            <w:r>
              <w:t xml:space="preserve">data bijometrika </w:t>
            </w:r>
            <w:r>
              <w:rPr>
                <w:b/>
                <w:i/>
                <w:strike w:val="0"/>
                <w:color w:val="auto"/>
                <w:highlight w:val="none"/>
                <w:u w:val="none" w:color="auto"/>
                <w:vertAlign w:val="baseline"/>
              </w:rPr>
              <w:t>u dwar id-DNA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ittestjar tal-għadam fil-każ ta' kwalunkwe dubju dwar l-istatus ta' minorenni ta' migrant.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Għall-fini tal-identifikazzjoni msemmija fil-paragrafu 1, l-awtoritajiet kompetenti għandhom ifittxu </w:t>
            </w:r>
            <w:r>
              <w:rPr>
                <w:b/>
                <w:i/>
                <w:strike w:val="0"/>
                <w:color w:val="auto"/>
                <w:highlight w:val="none"/>
                <w:u w:val="none" w:color="auto"/>
                <w:vertAlign w:val="baseline"/>
              </w:rPr>
              <w:t>fi kwalunkwe bażi tad-data nazzjonali rilevanti kif ukoll</w:t>
            </w:r>
            <w:r>
              <w:t xml:space="preserve"> fir-Repożitorju Komuni ta’ Informazzjoni dwar l-Identità (CIR) imsemmi fl-Artikolu 17 tar-Regolament (UE) 2019/817. Id-data bijometrika ta’ ċittadin ta’ pajjiż terz </w:t>
            </w:r>
            <w:r>
              <w:rPr>
                <w:b/>
                <w:i/>
                <w:strike w:val="0"/>
                <w:color w:val="auto"/>
                <w:highlight w:val="none"/>
                <w:u w:val="none" w:color="auto"/>
                <w:vertAlign w:val="baseline"/>
              </w:rPr>
              <w:t>li tkun ittieħdet dak il-ħin</w:t>
            </w:r>
            <w:r>
              <w:t xml:space="preserve"> matul l-iskrinjar</w:t>
            </w:r>
            <w:r>
              <w:rPr>
                <w:b/>
                <w:i/>
                <w:strike w:val="0"/>
                <w:color w:val="auto"/>
                <w:highlight w:val="none"/>
                <w:u w:val="none" w:color="auto"/>
                <w:vertAlign w:val="baseline"/>
              </w:rPr>
              <w:t>, kif ukoll id-data dwar l-identità u, fejn disponibbli, id-data dwar id-dokumenti tal-ivvjaġġar, għandhom jintużaw għal dak il-għan</w:t>
            </w:r>
            <w:r>
              <w:t>.</w:t>
            </w:r>
          </w:p>
        </w:tc>
        <w:tc>
          <w:tcPr>
            <w:tcW w:w="4876" w:type="dxa"/>
            <w:vAlign w:val="top"/>
          </w:tcPr>
          <w:p>
            <w:pPr>
              <w:pStyle w:val="Normal6a"/>
            </w:pPr>
            <w:r>
              <w:t>2.</w:t>
            </w:r>
            <w:r>
              <w:tab/>
            </w:r>
            <w:r>
              <w:t xml:space="preserve">Għall-fini tal-identifikazzjoni msemmija fil-paragrafu 1, l-awtoritajiet kompetenti għandhom ifittxu fir-Repożitorju Komuni ta' Informazzjoni dwar l-Identità (CIR) imsemmi fl-Artikolu 17 tar-Regolament (UE) 2019/817. Id-data bijometrika ta' ċittadin ta' pajjiż terz </w:t>
            </w:r>
            <w:r>
              <w:rPr>
                <w:b/>
                <w:i/>
                <w:strike w:val="0"/>
                <w:color w:val="auto"/>
                <w:highlight w:val="none"/>
                <w:u w:val="none" w:color="auto"/>
                <w:vertAlign w:val="baseline"/>
              </w:rPr>
              <w:t>għandha tittieħed darba biss għall-finijiet ta' dan ir-Regolament u tar-Regolament xxxx/xxxx [ir-Regolament Eurodac].</w:t>
            </w:r>
            <w:r>
              <w:t xml:space="preserve"> </w:t>
            </w:r>
            <w:r>
              <w:rPr>
                <w:b/>
                <w:i/>
                <w:strike w:val="0"/>
                <w:color w:val="auto"/>
                <w:highlight w:val="none"/>
                <w:u w:val="none" w:color="auto"/>
                <w:vertAlign w:val="baseline"/>
              </w:rPr>
              <w:t>Ma għandha tintuża l-ebda forza jew koerċizzjoni biex jiġi żgurat it-teħid ta' data personali ta' ċittadini ta' pajjiżi terzi, inkluża data bijometrika.</w:t>
            </w:r>
            <w:r>
              <w:t xml:space="preserve"> </w:t>
            </w:r>
            <w:r>
              <w:rPr>
                <w:b/>
                <w:i/>
                <w:strike w:val="0"/>
                <w:color w:val="auto"/>
                <w:highlight w:val="none"/>
                <w:u w:val="none" w:color="auto"/>
                <w:vertAlign w:val="baseline"/>
              </w:rPr>
              <w:t>L-użu ta' data bijometrika pprovduta</w:t>
            </w:r>
            <w:r>
              <w:t xml:space="preserve"> matul l-iskrinjar </w:t>
            </w:r>
            <w:r>
              <w:rPr>
                <w:b/>
                <w:i/>
                <w:strike w:val="0"/>
                <w:color w:val="auto"/>
                <w:highlight w:val="none"/>
                <w:u w:val="none" w:color="auto"/>
                <w:vertAlign w:val="baseline"/>
              </w:rPr>
              <w:t>għall-finijiet ta' taħriġ, skjerament jew użu ta' sistemi ta' identifikazzjoni bijometrika f'postijiet aċċessibbli għall-pubbliku, fil-fruntieri jew madwarhom jew ġewwa u fil-faċilitajiet ta' akkoljenza għandu jkun ipprojbit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Għall-fini </w:t>
            </w:r>
            <w:r>
              <w:rPr>
                <w:b/>
                <w:i/>
                <w:strike w:val="0"/>
                <w:color w:val="auto"/>
                <w:highlight w:val="none"/>
                <w:u w:val="none" w:color="auto"/>
                <w:vertAlign w:val="baseline"/>
              </w:rPr>
              <w:t>tal-identifikazzjoni</w:t>
            </w:r>
            <w:r>
              <w:t xml:space="preserve"> msemmija fil-paragrafu 1, l-awtoritajiet kompetenti għandhom ifittxu </w:t>
            </w:r>
            <w:r>
              <w:rPr>
                <w:b/>
                <w:i/>
                <w:strike w:val="0"/>
                <w:color w:val="auto"/>
                <w:highlight w:val="none"/>
                <w:u w:val="none" w:color="auto"/>
                <w:vertAlign w:val="baseline"/>
              </w:rPr>
              <w:t>fi kwalunkwe bażi tad-data nazzjonali rilevanti kif ukoll</w:t>
            </w:r>
            <w:r>
              <w:t xml:space="preserve"> fir-Repożitorju Komuni ta’ Informazzjoni dwar l-Identità (CIR) imsemmi fl-Artikolu 17 tar-Regolament (UE) 2019/817. Id-data bijometrika ta’ ċittadin ta’ pajjiż terz </w:t>
            </w:r>
            <w:r>
              <w:rPr>
                <w:b/>
                <w:i/>
                <w:strike w:val="0"/>
                <w:color w:val="auto"/>
                <w:highlight w:val="none"/>
                <w:u w:val="none" w:color="auto"/>
                <w:vertAlign w:val="baseline"/>
              </w:rPr>
              <w:t>li tkun ittieħdet dak il-ħin matul l-iskrinjar, kif ukoll id-data dwar l-identità u, fejn disponibbli, id-data dwar id-dokumenti tal-ivvjaġġar, għandhom jintużaw għal dak il-għan</w:t>
            </w:r>
            <w:r>
              <w:t>.</w:t>
            </w:r>
          </w:p>
        </w:tc>
        <w:tc>
          <w:tcPr>
            <w:tcW w:w="4876" w:type="dxa"/>
            <w:vAlign w:val="top"/>
          </w:tcPr>
          <w:p>
            <w:pPr>
              <w:pStyle w:val="Normal6a"/>
            </w:pPr>
            <w:r>
              <w:t>2.</w:t>
            </w:r>
            <w:r>
              <w:tab/>
            </w:r>
            <w:r>
              <w:t xml:space="preserve">Għall-fini </w:t>
            </w:r>
            <w:r>
              <w:rPr>
                <w:b/>
                <w:i/>
                <w:strike w:val="0"/>
                <w:color w:val="auto"/>
                <w:highlight w:val="none"/>
                <w:u w:val="none" w:color="auto"/>
                <w:vertAlign w:val="baseline"/>
              </w:rPr>
              <w:t>tal-verifika jew l-identifikazzjoni</w:t>
            </w:r>
            <w:r>
              <w:t xml:space="preserve"> msemmija fil-paragrafu 1, l-awtoritajiet kompetenti għandhom ifittxu fir-Repożitorju Komuni ta' Informazzjoni dwar l-Identità (CIR) imsemmi fl-Artikolu 17 tar-Regolament (UE) 2019/817. Id-data bijometrika ta' ċittadin ta' pajjiż terz </w:t>
            </w:r>
            <w:r>
              <w:rPr>
                <w:b/>
                <w:i/>
                <w:strike w:val="0"/>
                <w:color w:val="auto"/>
                <w:highlight w:val="none"/>
                <w:u w:val="none" w:color="auto"/>
                <w:vertAlign w:val="baseline"/>
              </w:rPr>
              <w:t>meħud live matul l-iskrinjar għandha tittieħed darba biss għall-finijiet ta' dan ir-Regolament u tar-reġistrazzjoni tagħha fil-Eurodac.</w:t>
            </w:r>
            <w:r>
              <w:t xml:space="preserve"> </w:t>
            </w:r>
            <w:r>
              <w:rPr>
                <w:b/>
                <w:i/>
                <w:strike w:val="0"/>
                <w:color w:val="auto"/>
                <w:highlight w:val="none"/>
                <w:u w:val="none" w:color="auto"/>
                <w:vertAlign w:val="baseline"/>
              </w:rPr>
              <w:t>Ma għandha tintuża l-ebda forza jew koerċizzjoni biex jiġi żgurat it-teħid ta' data personali ta' ċittadini ta' pajjiżi terzi, inkluża data bijometrika.</w:t>
            </w:r>
            <w:r>
              <w:t xml:space="preserve"> </w:t>
            </w:r>
            <w:r>
              <w:rPr>
                <w:b/>
                <w:i/>
                <w:strike w:val="0"/>
                <w:color w:val="auto"/>
                <w:highlight w:val="none"/>
                <w:u w:val="none" w:color="auto"/>
                <w:vertAlign w:val="baseline"/>
              </w:rPr>
              <w:t>L-użu ta' data bijometrika pprovduta matul l-iskrinjar għall-finijiet ta' taħriġ, skjerament jew użu ta' sistemi ta' identifikazzjoni bijometrika f'postijiet aċċessibbli għall-pubbliku, fil-fruntieri jew madwarhom jew ġewwa u fil-faċilitajiet ta' akkoljenza għandu jkun ipprojbit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Għall-fini tal-identifikazzjoni msemmija fil-paragrafu 1, l-awtoritajiet kompetenti għandhom </w:t>
            </w:r>
            <w:r>
              <w:rPr>
                <w:b/>
                <w:i/>
                <w:strike w:val="0"/>
                <w:color w:val="auto"/>
                <w:highlight w:val="none"/>
                <w:u w:val="none" w:color="auto"/>
                <w:vertAlign w:val="baseline"/>
              </w:rPr>
              <w:t>ifittxu</w:t>
            </w:r>
            <w:r>
              <w:t xml:space="preserve"> fi kwalunkwe bażi tad-data nazzjonali rilevanti kif ukoll fir-Repożitorju Komuni ta’ Informazzjoni dwar l-Identità (CIR) imsemmi fl-Artikolu 17 tar-Regolament (UE) 2019/817. Id-data bijometrika ta’ ċittadin ta’ pajjiż terz li tkun ittieħdet dak il-ħin matul l-iskrinjar, kif ukoll id-data dwar l-identità u, fejn disponibbli, id-data dwar id-dokumenti tal-ivvjaġġar, għandhom jintużaw għal dak il-għan.</w:t>
            </w:r>
          </w:p>
        </w:tc>
        <w:tc>
          <w:tcPr>
            <w:tcW w:w="4876" w:type="dxa"/>
            <w:vAlign w:val="top"/>
          </w:tcPr>
          <w:p>
            <w:pPr>
              <w:pStyle w:val="Normal6a"/>
            </w:pPr>
            <w:r>
              <w:t>2.</w:t>
            </w:r>
            <w:r>
              <w:tab/>
            </w:r>
            <w:r>
              <w:t xml:space="preserve">Għall-fini tal-identifikazzjoni msemmija fil-paragrafu 1, l-awtoritajiet kompetenti għandhom </w:t>
            </w:r>
            <w:r>
              <w:rPr>
                <w:b/>
                <w:i/>
                <w:strike w:val="0"/>
                <w:color w:val="auto"/>
                <w:highlight w:val="none"/>
                <w:u w:val="none" w:color="auto"/>
                <w:vertAlign w:val="baseline"/>
              </w:rPr>
              <w:t>jagħmlu użu mill-għodod tas-Sistema tal-Ġestjoni tal-Identitajiet (IDMS) u jfittxu</w:t>
            </w:r>
            <w:r>
              <w:t xml:space="preserve"> fi kwalunkwe bażi tad-data nazzjonali </w:t>
            </w:r>
            <w:r>
              <w:rPr>
                <w:b/>
                <w:i/>
                <w:strike w:val="0"/>
                <w:color w:val="auto"/>
                <w:highlight w:val="none"/>
                <w:u w:val="none" w:color="auto"/>
                <w:vertAlign w:val="baseline"/>
              </w:rPr>
              <w:t>u internazzjonali</w:t>
            </w:r>
            <w:r>
              <w:t xml:space="preserve"> rilevanti</w:t>
            </w:r>
            <w:r>
              <w:rPr>
                <w:b/>
                <w:i/>
                <w:strike w:val="0"/>
                <w:color w:val="auto"/>
                <w:highlight w:val="none"/>
                <w:u w:val="none" w:color="auto"/>
                <w:vertAlign w:val="baseline"/>
              </w:rPr>
              <w:t>,</w:t>
            </w:r>
            <w:r>
              <w:t xml:space="preserve"> kif ukoll fir-Repożitorju Komuni ta' Informazzjoni dwar l-Identità (CIR) imsemmi fl-Artikolu 17 tar-Regolament (UE) 2019/817. Id-data bijometrika ta' ċittadin ta' pajjiż terz li tkun ittieħdet dak il-ħin matul l-iskrinjar, kif ukoll id-data dwar l-identità u, fejn disponibbli, id-data dwar id-dokumenti tal-ivvjaġġar, għandhom jintużaw għal dak il-għan.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Għall-fini tal-identifikazzjoni msemmija fil-paragrafu 1, l-awtoritajiet kompetenti għandhom ifittxu fi kwalunkwe bażi tad-data nazzjonali rilevanti kif ukoll fir-Repożitorju Komuni ta’ Informazzjoni dwar l-Identità (CIR) imsemmi fl-Artikolu 17 tar-Regolament (UE) 2019/817. Id-data bijometrika ta’ ċittadin ta’ pajjiż terz li tkun ittieħdet dak il-ħin matul l-iskrinjar, kif ukoll id-data dwar l-identità u, fejn disponibbli, id-data dwar id-dokumenti tal-ivvjaġġar, għandhom jintużaw għal dak il-għan.</w:t>
            </w:r>
          </w:p>
        </w:tc>
        <w:tc>
          <w:tcPr>
            <w:tcW w:w="4876" w:type="dxa"/>
            <w:vAlign w:val="top"/>
          </w:tcPr>
          <w:p>
            <w:pPr>
              <w:pStyle w:val="Normal6a"/>
            </w:pPr>
            <w:r>
              <w:t>2.</w:t>
            </w:r>
            <w:r>
              <w:tab/>
            </w:r>
            <w:r>
              <w:t xml:space="preserve">Għall-fini tal-identifikazzjoni msemmija fil-paragrafu 1, l-awtoritajiet kompetenti għandhom ifittxu fi kwalunkwe bażi tad-data nazzjonali rilevanti kif ukoll fir-Repożitorju Komuni ta' Informazzjoni dwar l-Identità (CIR) imsemmi fl-Artikolu 17 tar-Regolament (UE) 2019/817. Id-data bijometrika </w:t>
            </w:r>
            <w:r>
              <w:rPr>
                <w:b/>
                <w:i/>
                <w:strike w:val="0"/>
                <w:color w:val="auto"/>
                <w:highlight w:val="none"/>
                <w:u w:val="none" w:color="auto"/>
                <w:vertAlign w:val="baseline"/>
              </w:rPr>
              <w:t>u dwar l-ittestjar tal-għadam</w:t>
            </w:r>
            <w:r>
              <w:t xml:space="preserve"> ta' ċittadin ta' pajjiż terz li tkun ittieħdet dak il-ħin matul l-iskrinjar, kif ukoll id-data dwar l-identità u, fejn disponibbli, id-data dwar id-dokumenti tal-ivvjaġġar, għandhom jintużaw għal dak il-għan.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Għall-fini tal-identifikazzjoni msemmija fil-paragrafu 1, l-awtoritajiet kompetenti għandhom ifittxu fi kwalunkwe bażi tad-data nazzjonali rilevanti kif ukoll fir-Repożitorju Komuni ta’ Informazzjoni dwar l-Identità (CIR) imsemmi fl-Artikolu 17 tar-Regolament (UE) 2019/817. Id-data bijometrika ta’ ċittadin ta’ pajjiż terz li tkun ittieħdet dak il-ħin matul l-iskrinjar, kif ukoll id-data dwar l-identità u, fejn disponibbli, id-data dwar id-dokumenti tal-ivvjaġġar, għandhom jintużaw għal dak il-għan.</w:t>
            </w:r>
          </w:p>
        </w:tc>
        <w:tc>
          <w:tcPr>
            <w:tcW w:w="4876" w:type="dxa"/>
            <w:vAlign w:val="top"/>
          </w:tcPr>
          <w:p>
            <w:pPr>
              <w:pStyle w:val="Normal6a"/>
            </w:pPr>
            <w:r>
              <w:t>2.</w:t>
            </w:r>
            <w:r>
              <w:tab/>
            </w:r>
            <w:r>
              <w:t xml:space="preserve">Għall-fini tal-identifikazzjoni msemmija fil-paragrafu 1, l-awtoritajiet kompetenti </w:t>
            </w:r>
            <w:r>
              <w:rPr>
                <w:b/>
                <w:i/>
                <w:strike w:val="0"/>
                <w:color w:val="auto"/>
                <w:highlight w:val="none"/>
                <w:u w:val="none" w:color="auto"/>
                <w:vertAlign w:val="baseline"/>
              </w:rPr>
              <w:t>ddeżinjati</w:t>
            </w:r>
            <w:r>
              <w:t xml:space="preserve"> għandhom ifittxu fi kwalunkwe bażi tad-data nazzjonali rilevanti kif ukoll fir-Repożitorju Komuni ta' Informazzjoni dwar l-Identità (CIR) imsemmi fl-Artikolu 17 tar-Regolament (UE) 2019/817. Id-data bijometrika ta' ċittadin ta' pajjiż terz li tkun ittieħdet dak il-ħin matul l-iskrinjar, kif ukoll id-data dwar l-identità u, fejn disponibbli, id-data dwar id-dokumenti tal-ivvjaġġar, għandhom jintużaw għal dak il-għan.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Għall-finijiet tal-paragrafu 1(a), l-Istati Membri jistgħu, f'konformità mad-dispożizzjonijiet fil-leġiżlazzjoni nazzjonali, ifittxu l-proprjetà, l-oġġetti personali u l-apparat elettroniku ta' ċittadini ta' pajjiżi terzi.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Il-mekkaniżmu ta' monitoraġġ indipendenti għandu jiżgura li l-leġiżlazzjoni nazzjonali u l-applikazzjoni ta' tali dispożizzjonijiet ikunu kompatibbli mad-dritt tal-Unjoni, b'mod partikolari l-Karta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L-awtoritajiet kompetenti għandhom ikunu appoġġati mill-Korp Permanenti tal-Gwardja Ewropea tal-Fruntiera u tal-Kosta għall-identifikazzjoni ta' ċittadini ta' pajjiżi terzi sottomessi għall-iskrinjar skont l-Artikolu 40(4)(a) u l-Artikolu 55(7)(a) tar-Regolament (UE) 2019/1896.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It-tfittxija fir-repożitorju komuni ta' informazzjoni dwar l-identità (CIR) għandha tkun limitata għal konsultazzjoni pura.</w:t>
            </w:r>
            <w:r>
              <w:t xml:space="preserve"> </w:t>
            </w:r>
            <w:r>
              <w:rPr>
                <w:b/>
                <w:i/>
                <w:strike w:val="0"/>
                <w:color w:val="auto"/>
                <w:highlight w:val="none"/>
                <w:u w:val="none" w:color="auto"/>
                <w:vertAlign w:val="baseline"/>
              </w:rPr>
              <w:t>Il-ħżin jew l-użu ta' data għal skopijiet oħra għajr l-identifikazzjoni tal-individwu għandu jkun strettament ipprojbit.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Iċ-ċittadini ta’ pajjiżi terzi li jiġu soġġetti għall-iskrinjar skont l-Artikolu 3 </w:t>
            </w:r>
            <w:r>
              <w:rPr>
                <w:b/>
                <w:i/>
                <w:strike w:val="0"/>
                <w:color w:val="auto"/>
                <w:highlight w:val="none"/>
                <w:u w:val="none" w:color="auto"/>
                <w:vertAlign w:val="baseline"/>
              </w:rPr>
              <w:t>jew l-Artikolu 5</w:t>
            </w:r>
            <w:r>
              <w:t xml:space="preserve"> għandha ssirilhom verifika </w:t>
            </w:r>
            <w:r>
              <w:rPr>
                <w:b/>
                <w:i/>
                <w:strike w:val="0"/>
                <w:color w:val="auto"/>
                <w:highlight w:val="none"/>
                <w:u w:val="none" w:color="auto"/>
                <w:vertAlign w:val="baseline"/>
              </w:rPr>
              <w:t>tas-sigurtà biex jiġi vverifikat li ma jikkostitwixxux theddida għas-sigurtà interna</w:t>
            </w:r>
            <w:r>
              <w:t xml:space="preserve">. Il-verifika tas-sigurtà tista’ tkopri kemm iċ-ċittadini ta’ pajjiżi terzi kif ukoll l-oġġetti fil-pussess tagħhom. Il-liġi tal-Istat Membru kkonċernat </w:t>
            </w:r>
            <w:r>
              <w:rPr>
                <w:b/>
                <w:i/>
                <w:strike w:val="0"/>
                <w:color w:val="auto"/>
                <w:highlight w:val="none"/>
                <w:u w:val="none" w:color="auto"/>
                <w:vertAlign w:val="baseline"/>
              </w:rPr>
              <w:t>għandha tapplika</w:t>
            </w:r>
            <w:r>
              <w:t xml:space="preserve"> għal kwalunkwe tiftix li jsir.</w:t>
            </w:r>
          </w:p>
        </w:tc>
        <w:tc>
          <w:tcPr>
            <w:tcW w:w="4876" w:type="dxa"/>
            <w:vAlign w:val="top"/>
          </w:tcPr>
          <w:p>
            <w:pPr>
              <w:pStyle w:val="Normal6a"/>
            </w:pPr>
            <w:r>
              <w:t>1.</w:t>
            </w:r>
            <w:r>
              <w:tab/>
            </w:r>
            <w:r>
              <w:t xml:space="preserve">Iċ-ċittadini ta' pajjiżi terzi li jiġu soġġetti għall-iskrinjar skont l-Artikolu 3 għandha ssirilhom verifika </w:t>
            </w:r>
            <w:r>
              <w:rPr>
                <w:b/>
                <w:i/>
                <w:strike w:val="0"/>
                <w:color w:val="auto"/>
                <w:highlight w:val="none"/>
                <w:u w:val="none" w:color="auto"/>
                <w:vertAlign w:val="baseline"/>
              </w:rPr>
              <w:t>dwar jekk humiex irreġistrati wkoll f'xi waħda mill-bażijiet tad-data rilevanti</w:t>
            </w:r>
            <w:r>
              <w:t xml:space="preserve">. Il-verifika tas-sigurtà tista' tkopri kemm iċ-ċittadini ta' pajjiżi terzi kif ukoll l-oġġetti fil-pussess tagħhom. Il-liġi tal-Istat Membru kkonċernat </w:t>
            </w:r>
            <w:r>
              <w:rPr>
                <w:b/>
                <w:i/>
                <w:strike w:val="0"/>
                <w:color w:val="auto"/>
                <w:highlight w:val="none"/>
                <w:u w:val="none" w:color="auto"/>
                <w:vertAlign w:val="baseline"/>
              </w:rPr>
              <w:t>kif ukoll il-prinċipji tan-neċessità u tal-proporzjonalità għandhom japplikaw</w:t>
            </w:r>
            <w:r>
              <w:t xml:space="preserve"> għal kwalunkwe tiftix li jsir. </w:t>
            </w:r>
            <w:r>
              <w:rPr>
                <w:b/>
                <w:i/>
                <w:strike w:val="0"/>
                <w:color w:val="auto"/>
                <w:highlight w:val="none"/>
                <w:u w:val="none" w:color="auto"/>
                <w:vertAlign w:val="baseline"/>
              </w:rPr>
              <w:t>Il-kontroll tas-sigurtà ma għandux jinkludi aċċess għal apparati elettroniċi fil-pussess ta’ ċittadini ta’ pajjiżi terzi u lanqas aċċess għall-komunikazzjonijiet privati jew għall-kontijiet tal-midja soċjali tagħhom.</w:t>
            </w:r>
            <w:r>
              <w:t xml:space="preserve"> </w:t>
            </w:r>
            <w:r>
              <w:rPr>
                <w:b/>
                <w:i/>
                <w:strike w:val="0"/>
                <w:color w:val="auto"/>
                <w:highlight w:val="none"/>
                <w:u w:val="none" w:color="auto"/>
                <w:vertAlign w:val="baseline"/>
              </w:rPr>
              <w:t>Il-kontroll tas-sigurtà għandu jkun ukoll parti mill-elementi u l-azzjonijiet possibbli li jiġu skrutinizzati mill-mekkaniżmu ta' monitoraġġ imsemmi fl-Artikolu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li jiġu soġġetti għall-iskrinjar skont l-Artikolu 3 jew l-Artikolu 5 għandha ssirilhom verifika tas-sigurtà biex jiġi vverifikat li ma jikkostitwixxux theddida għas-sigurtà interna</w:t>
            </w:r>
            <w:r>
              <w:rPr>
                <w:b/>
                <w:i/>
                <w:strike w:val="0"/>
                <w:color w:val="auto"/>
                <w:highlight w:val="none"/>
                <w:u w:val="none" w:color="auto"/>
                <w:vertAlign w:val="baseline"/>
              </w:rPr>
              <w:t>. Il-verifika</w:t>
            </w:r>
            <w:r>
              <w:t xml:space="preserve"> tas-sigurtà </w:t>
            </w:r>
            <w:r>
              <w:rPr>
                <w:b/>
                <w:i/>
                <w:strike w:val="0"/>
                <w:color w:val="auto"/>
                <w:highlight w:val="none"/>
                <w:u w:val="none" w:color="auto"/>
                <w:vertAlign w:val="baseline"/>
              </w:rPr>
              <w:t>tista’ tkopri</w:t>
            </w:r>
            <w:r>
              <w:t xml:space="preserve"> kemm iċ-ċittadini ta’ pajjiżi terzi kif ukoll </w:t>
            </w:r>
            <w:r>
              <w:rPr>
                <w:b/>
                <w:i/>
                <w:strike w:val="0"/>
                <w:color w:val="auto"/>
                <w:highlight w:val="none"/>
                <w:u w:val="none" w:color="auto"/>
                <w:vertAlign w:val="baseline"/>
              </w:rPr>
              <w:t>l-oġġetti fil-pussess tagħhom</w:t>
            </w:r>
            <w:r>
              <w:t>. Il-liġi tal-Istat Membru kkonċernat għandha tapplika għal kwalunkwe tiftix li jsir.</w:t>
            </w:r>
          </w:p>
        </w:tc>
        <w:tc>
          <w:tcPr>
            <w:tcW w:w="4876" w:type="dxa"/>
            <w:vAlign w:val="top"/>
          </w:tcPr>
          <w:p>
            <w:pPr>
              <w:pStyle w:val="Normal6a"/>
            </w:pPr>
            <w:r>
              <w:t>1.</w:t>
            </w:r>
            <w:r>
              <w:tab/>
            </w:r>
            <w:r>
              <w:t xml:space="preserve">Iċ-ċittadini ta' pajjiżi terzi li jiġu soġġetti għall-iskrinjar skont l-Artikolu 3 jew l-Artikolu 5 għandha ssirilhom verifika tas-sigurtà biex jiġi vverifikat li ma jikkostitwixxux theddida għas-sigurtà interna </w:t>
            </w:r>
            <w:r>
              <w:rPr>
                <w:b/>
                <w:i/>
                <w:strike w:val="0"/>
                <w:color w:val="auto"/>
                <w:highlight w:val="none"/>
                <w:u w:val="none" w:color="auto"/>
                <w:vertAlign w:val="baseline"/>
              </w:rPr>
              <w:t>jew il-koeżjoni soċjali.</w:t>
            </w:r>
            <w:r>
              <w:t xml:space="preserve"> </w:t>
            </w:r>
            <w:r>
              <w:rPr>
                <w:b/>
                <w:i/>
                <w:strike w:val="0"/>
                <w:color w:val="auto"/>
                <w:highlight w:val="none"/>
                <w:u w:val="none" w:color="auto"/>
                <w:vertAlign w:val="baseline"/>
              </w:rPr>
              <w:t>Il-kontroll</w:t>
            </w:r>
            <w:r>
              <w:t xml:space="preserve"> tas-sigurtà </w:t>
            </w:r>
            <w:r>
              <w:rPr>
                <w:b/>
                <w:i/>
                <w:strike w:val="0"/>
                <w:color w:val="auto"/>
                <w:highlight w:val="none"/>
                <w:u w:val="none" w:color="auto"/>
                <w:vertAlign w:val="baseline"/>
              </w:rPr>
              <w:t>jista' jkopri</w:t>
            </w:r>
            <w:r>
              <w:t xml:space="preserve"> kemm iċ-ċittadini ta' pajjiżi terzi</w:t>
            </w:r>
            <w:r>
              <w:rPr>
                <w:b/>
                <w:i/>
                <w:strike w:val="0"/>
                <w:color w:val="auto"/>
                <w:highlight w:val="none"/>
                <w:u w:val="none" w:color="auto"/>
                <w:vertAlign w:val="baseline"/>
              </w:rPr>
              <w:t>, l-oġġetti fil-pussess tagħhom, it-tagħmir elettroniku li jrid jinfetaħ fuq talba tal-awtoritajiet, inkluż l-għoti ta' aċċess għal kwalunkwe applikazzjoni ta' messaġġi, preżenza online</w:t>
            </w:r>
            <w:r>
              <w:t xml:space="preserve"> kif ukoll </w:t>
            </w:r>
            <w:r>
              <w:rPr>
                <w:b/>
                <w:i/>
                <w:strike w:val="0"/>
                <w:color w:val="auto"/>
                <w:highlight w:val="none"/>
                <w:u w:val="none" w:color="auto"/>
                <w:vertAlign w:val="baseline"/>
              </w:rPr>
              <w:t>kwalunkwe pubblikazzjoni, midja jew reġistrazzjoni</w:t>
            </w:r>
            <w:r>
              <w:t>. Il-liġi tal-Istat Membru kkonċernat għandha tapplika għal kwalunkwe tiftix li jsir.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Iċ-ċittadini ta’ pajjiżi terzi li jiġu soġġetti għall-iskrinjar skont l-Artikolu 3 </w:t>
            </w:r>
            <w:r>
              <w:rPr>
                <w:b/>
                <w:i/>
                <w:strike w:val="0"/>
                <w:color w:val="auto"/>
                <w:highlight w:val="none"/>
                <w:u w:val="none" w:color="auto"/>
                <w:vertAlign w:val="baseline"/>
              </w:rPr>
              <w:t>jew l-Artikolu 5</w:t>
            </w:r>
            <w:r>
              <w:t xml:space="preserve"> għandha ssirilhom verifika tas-sigurtà biex jiġi vverifikat li ma jikkostitwixxux theddida għas-sigurtà interna. Il-verifika tas-sigurtà tista’ tkopri kemm iċ-ċittadini ta’ pajjiżi terzi kif ukoll l-oġġetti fil-pussess tagħhom. Il-liġi tal-Istat Membru kkonċernat għandha tapplika għal kwalunkwe tiftix li jsir.</w:t>
            </w:r>
          </w:p>
        </w:tc>
        <w:tc>
          <w:tcPr>
            <w:tcW w:w="4876" w:type="dxa"/>
            <w:vAlign w:val="top"/>
          </w:tcPr>
          <w:p>
            <w:pPr>
              <w:pStyle w:val="Normal6a"/>
            </w:pPr>
            <w:r>
              <w:t>1.</w:t>
            </w:r>
            <w:r>
              <w:tab/>
            </w:r>
            <w:r>
              <w:t>Iċ-ċittadini ta' pajjiżi terzi li jiġu soġġetti għall-iskrinjar skont l-Artikolu 3 għandha ssirilhom verifika tas-sigurtà</w:t>
            </w:r>
            <w:r>
              <w:rPr>
                <w:b/>
                <w:i/>
                <w:strike w:val="0"/>
                <w:color w:val="auto"/>
                <w:highlight w:val="none"/>
                <w:u w:val="none" w:color="auto"/>
                <w:vertAlign w:val="baseline"/>
              </w:rPr>
              <w:t>, skont it-tifsira tal-paragrafu 2,</w:t>
            </w:r>
            <w:r>
              <w:t xml:space="preserve"> biex jiġi vverifikat li ma jikkostitwixxux theddida għas-sigurtà interna. Il-verifika tas-sigurtà tista' tkopri kemm iċ-ċittadini ta' pajjiżi terzi kif ukoll l-oġġetti fil-pussess tagħhom. Il-liġi tal-Istat Membru kkonċernat għandha tapplika għal kwalunkwe tiftix li jsir. </w:t>
            </w:r>
            <w:r>
              <w:rPr>
                <w:b/>
                <w:i/>
                <w:strike w:val="0"/>
                <w:color w:val="auto"/>
                <w:highlight w:val="none"/>
                <w:u w:val="none" w:color="auto"/>
                <w:vertAlign w:val="baseline"/>
              </w:rPr>
              <w:t>Il-kontroll tas-sigurtà ma għandux jinkludi aċċess għal apparati elettroniċi fil-pussess ta' ċittadini ta' pajjiżi terzi u lanqas aċċess għall-komunikazzjonijiet privati jew għall-kontijiet tal-media soċjali tagħhom.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Iċ-ċittadini ta’ pajjiżi terzi li jiġu soġġetti għall-iskrinjar skont l-Artikolu 3 </w:t>
            </w:r>
            <w:r>
              <w:rPr>
                <w:b/>
                <w:i/>
                <w:strike w:val="0"/>
                <w:color w:val="auto"/>
                <w:highlight w:val="none"/>
                <w:u w:val="none" w:color="auto"/>
                <w:vertAlign w:val="baseline"/>
              </w:rPr>
              <w:t>jew l-Artikolu 5</w:t>
            </w:r>
            <w:r>
              <w:t xml:space="preserve"> għandha ssirilhom verifika tas-sigurtà biex jiġi vverifikat li ma jikkostitwixxux theddida għas-sigurtà interna. Il-verifika tas-sigurtà tista’ tkopri kemm iċ-ċittadini ta’ pajjiżi terzi kif ukoll l-oġġetti fil-pussess tagħhom. Il-liġi tal-Istat Membru kkonċernat </w:t>
            </w:r>
            <w:r>
              <w:rPr>
                <w:b/>
                <w:i/>
                <w:strike w:val="0"/>
                <w:color w:val="auto"/>
                <w:highlight w:val="none"/>
                <w:u w:val="none" w:color="auto"/>
                <w:vertAlign w:val="baseline"/>
              </w:rPr>
              <w:t>għandha tapplika</w:t>
            </w:r>
            <w:r>
              <w:t xml:space="preserve"> għal kwalunkwe tiftix li jsir.</w:t>
            </w:r>
          </w:p>
        </w:tc>
        <w:tc>
          <w:tcPr>
            <w:tcW w:w="4876" w:type="dxa"/>
            <w:vAlign w:val="top"/>
          </w:tcPr>
          <w:p>
            <w:pPr>
              <w:pStyle w:val="Normal6a"/>
            </w:pPr>
            <w:r>
              <w:t>1.</w:t>
            </w:r>
            <w:r>
              <w:tab/>
            </w:r>
            <w:r>
              <w:t>Iċ-ċittadini ta' pajjiżi terzi li jiġu soġġetti għall-iskrinjar skont l-Artikolu 3 għandha ssirilhom verifika tas-sigurtà biex jiġi vverifikat li ma jikkostitwixxux theddida għas-sigurtà interna. Il-verifika tas-sigurtà tista' tkopri kemm iċ-ċittadini ta' pajjiżi terzi kif ukoll l-oġġetti fil-pussess tagħhom. Il-liġi tal-Istat Membru kkonċernat</w:t>
            </w:r>
            <w:r>
              <w:rPr>
                <w:b/>
                <w:i/>
                <w:strike w:val="0"/>
                <w:color w:val="auto"/>
                <w:highlight w:val="none"/>
                <w:u w:val="none" w:color="auto"/>
                <w:vertAlign w:val="baseline"/>
              </w:rPr>
              <w:t>, il-prinċipji tan-neċessità u tal-proporzjonalità kif ukoll il-GDPR għandhom japplikaw</w:t>
            </w:r>
            <w:r>
              <w:t xml:space="preserve"> għal kwalunkwe tiftix li jsir </w:t>
            </w:r>
            <w:r>
              <w:rPr>
                <w:b/>
                <w:i/>
                <w:strike w:val="0"/>
                <w:color w:val="auto"/>
                <w:highlight w:val="none"/>
                <w:u w:val="none" w:color="auto"/>
                <w:vertAlign w:val="baseline"/>
              </w:rPr>
              <w:t>u għandhom jiġu skrutinizzati mill-mekkaniżmu ta' monitoraġġ tad-drittijiet fundamentali stabbilit skont l-Artikolu 7 ta' dan ir-Regolament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Iċ-ċittadini ta’ pajjiżi terzi li jiġu soġġetti għall-iskrinjar skont l-Artikolu 3 jew l-Artikolu 5 għandha ssirilhom verifika tas-sigurtà biex jiġi vverifikat li ma jikkostitwixxux theddida għas-sigurtà interna. Il-verifika tas-sigurtà tista’ tkopri kemm iċ-ċittadini ta’ pajjiżi terzi kif ukoll l-oġġetti fil-pussess tagħhom. Il-liġi tal-Istat Membru kkonċernat għandha tapplika għal kwalunkwe tiftix li jsir.</w:t>
            </w:r>
          </w:p>
        </w:tc>
        <w:tc>
          <w:tcPr>
            <w:tcW w:w="4876" w:type="dxa"/>
            <w:vAlign w:val="top"/>
          </w:tcPr>
          <w:p>
            <w:pPr>
              <w:pStyle w:val="Normal6a"/>
            </w:pPr>
            <w:r>
              <w:t>1.</w:t>
            </w:r>
            <w:r>
              <w:tab/>
            </w:r>
            <w:r>
              <w:t xml:space="preserve">Iċ-ċittadini ta' pajjiżi terzi li jiġu soġġetti għall-iskrinjar skont l-Artikolu 3 jew l-Artikolu 5 għandha ssirilhom verifika tas-sigurtà biex jiġi vverifikat li ma jikkostitwixxux theddida għas-sigurtà interna </w:t>
            </w:r>
            <w:r>
              <w:rPr>
                <w:b/>
                <w:i/>
                <w:strike w:val="0"/>
                <w:color w:val="auto"/>
                <w:highlight w:val="none"/>
                <w:u w:val="none" w:color="auto"/>
                <w:vertAlign w:val="baseline"/>
              </w:rPr>
              <w:t>jew nazzjonali, għall-ordni pubbliku jew għall-koeżjoni soċjali</w:t>
            </w:r>
            <w:r>
              <w:t>. Il-verifika tas-sigurtà tista' tkopri kemm iċ-ċittadini ta' pajjiżi terzi kif ukoll l-oġġetti fil-pussess tagħhom. Il-liġi tal-Istat Membru kkonċernat għandha tapplika għal kwalunkwe tiftix li jsir.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Bil-għan li titwettaq il-verifika tas-sigurtà msemmija fil-paragrafu 1, u sa fejn ma jkunux diġà għamlu dan f’konformità mal-Artikolu 8(3), il-punt (a)(vi), tar-Regolament (UE) 2016/399, l-awtoritajiet kompetenti għandhom </w:t>
            </w:r>
            <w:r>
              <w:rPr>
                <w:b/>
                <w:i/>
                <w:strike w:val="0"/>
                <w:color w:val="auto"/>
                <w:highlight w:val="none"/>
                <w:u w:val="none" w:color="auto"/>
                <w:vertAlign w:val="baseline"/>
              </w:rPr>
              <w:t>ifittxu fil-bażijiet tad-data nazzjonali u tal-Unjoni rilevanti, b’mod partikolari fis-Sistema ta’ Informazzjoni ta’ Schengen (SIS)</w:t>
            </w:r>
            <w:r>
              <w:t>.</w:t>
            </w:r>
          </w:p>
        </w:tc>
        <w:tc>
          <w:tcPr>
            <w:tcW w:w="4876" w:type="dxa"/>
            <w:vAlign w:val="top"/>
          </w:tcPr>
          <w:p>
            <w:pPr>
              <w:pStyle w:val="Normal6a"/>
            </w:pPr>
            <w:r>
              <w:t>2.</w:t>
            </w:r>
            <w:r>
              <w:tab/>
            </w:r>
            <w:r>
              <w:t xml:space="preserve">Bil-għan li titwettaq il-verifika tas-sigurtà msemmija fil-paragrafu 1, u sa fejn ma jkunux diġà għamlu dan f'konformità mal-Artikolu 8(3), il-punt (a)(vi), tar-Regolament (UE) 2016/399, l-awtoritajiet kompetenti għandhom </w:t>
            </w:r>
            <w:r>
              <w:rPr>
                <w:b/>
                <w:i/>
                <w:strike w:val="0"/>
                <w:color w:val="auto"/>
                <w:highlight w:val="none"/>
                <w:u w:val="none" w:color="auto"/>
                <w:vertAlign w:val="baseline"/>
              </w:rPr>
              <w:t>ivaraw tiftix bi qbil mal-Artikolu 12</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Bil-għan li titwettaq il-verifika tas-sigurtà msemmija fil-paragrafu 1, u sa fejn ma jkunux diġà </w:t>
            </w:r>
            <w:r>
              <w:rPr>
                <w:b/>
                <w:i/>
                <w:strike w:val="0"/>
                <w:color w:val="auto"/>
                <w:highlight w:val="none"/>
                <w:u w:val="none" w:color="auto"/>
                <w:vertAlign w:val="baseline"/>
              </w:rPr>
              <w:t>għamlu dan</w:t>
            </w:r>
            <w:r>
              <w:t xml:space="preserve"> f’konformità mal-Artikolu 8(3), il-punt (a)(vi), tar-Regolament (UE) 2016/399, l-awtoritajiet kompetenti għandhom ifittxu </w:t>
            </w:r>
            <w:r>
              <w:rPr>
                <w:b/>
                <w:i/>
                <w:strike w:val="0"/>
                <w:color w:val="auto"/>
                <w:highlight w:val="none"/>
                <w:u w:val="none" w:color="auto"/>
                <w:vertAlign w:val="baseline"/>
              </w:rPr>
              <w:t>fil-bażijiet tad-data nazzjonali u tal-Unjoni rilevanti, b’mod partikolari</w:t>
            </w:r>
            <w:r>
              <w:t xml:space="preserve"> fis-Sistema ta’ Informazzjoni ta’ Schengen (SIS).</w:t>
            </w:r>
          </w:p>
        </w:tc>
        <w:tc>
          <w:tcPr>
            <w:tcW w:w="4876" w:type="dxa"/>
            <w:vAlign w:val="top"/>
          </w:tcPr>
          <w:p>
            <w:pPr>
              <w:pStyle w:val="Normal6a"/>
            </w:pPr>
            <w:r>
              <w:t>2.</w:t>
            </w:r>
            <w:r>
              <w:tab/>
            </w:r>
            <w:r>
              <w:t xml:space="preserve">Bil-għan li titwettaq il-verifika tas-sigurtà msemmija fil-paragrafu 1, u sa fejn </w:t>
            </w:r>
            <w:r>
              <w:rPr>
                <w:b/>
                <w:i/>
                <w:strike w:val="0"/>
                <w:color w:val="auto"/>
                <w:highlight w:val="none"/>
                <w:u w:val="none" w:color="auto"/>
                <w:vertAlign w:val="baseline"/>
              </w:rPr>
              <w:t>dawn il-verifiki</w:t>
            </w:r>
            <w:r>
              <w:t xml:space="preserve"> ma jkunux diġà </w:t>
            </w:r>
            <w:r>
              <w:rPr>
                <w:b/>
                <w:i/>
                <w:strike w:val="0"/>
                <w:color w:val="auto"/>
                <w:highlight w:val="none"/>
                <w:u w:val="none" w:color="auto"/>
                <w:vertAlign w:val="baseline"/>
              </w:rPr>
              <w:t>seħħew</w:t>
            </w:r>
            <w:r>
              <w:t xml:space="preserve"> f'konformità mal-Artikolu 8(3), il-punt (a)(vi), tar-Regolament (UE) 2016/399, l-awtoritajiet kompetenti għandhom ifittxu fis-Sistema ta' Informazzjoni ta' Schengen (SIS).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Bil-għan li titwettaq il-verifika tas-sigurtà msemmija fil-paragrafu 1, u sa fejn ma jkunux diġà għamlu dan f’konformità mal-Artikolu 8(3), il-punt (a)(vi), tar-Regolament (UE) 2016/399, l-awtoritajiet kompetenti għandhom ifittxu fil-bażijiet tad-data nazzjonali u tal-Unjoni rilevanti, b’mod partikolari fis-Sistema ta’ Informazzjoni ta’ Schengen (SIS).</w:t>
            </w:r>
          </w:p>
        </w:tc>
        <w:tc>
          <w:tcPr>
            <w:tcW w:w="4876" w:type="dxa"/>
            <w:vAlign w:val="top"/>
          </w:tcPr>
          <w:p>
            <w:pPr>
              <w:pStyle w:val="Normal6a"/>
            </w:pPr>
            <w:r>
              <w:t>2.</w:t>
            </w:r>
            <w:r>
              <w:tab/>
            </w:r>
            <w:r>
              <w:t xml:space="preserve">Bil-għan li titwettaq il-verifika tas-sigurtà msemmija fil-paragrafu 1, u sa fejn ma jkunux diġà għamlu dan f'konformità mal-Artikolu 8(3), il-punt (a)(vi), tar-Regolament (UE) 2016/399, l-awtoritajiet kompetenti </w:t>
            </w:r>
            <w:r>
              <w:rPr>
                <w:b/>
                <w:i/>
                <w:strike w:val="0"/>
                <w:color w:val="auto"/>
                <w:highlight w:val="none"/>
                <w:u w:val="none" w:color="auto"/>
                <w:vertAlign w:val="baseline"/>
              </w:rPr>
              <w:t>ddeżinjati biex iwettqu l-iskrinjar</w:t>
            </w:r>
            <w:r>
              <w:t xml:space="preserve"> għandhom ifittxu fil-bażijiet tad-data nazzjonali u tal-Unjoni rilevanti, b'mod partikolari fis-Sistema ta' Informazzjoni ta' Schengen (SIS).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Sa fejn ma jkunx diġà sar dan matul il-kontrolli msemmija fl-Artikolu 8 tar-Regolament (UE) 2016/399, l-awtorità kompetenti għandha tfittex fis-Sistema ta’ Dħul/Ħruġ (EES), fis-Sistema Ewropea ta’ Informazzjoni u ta’ Awtorizzazzjoni għall-Ivvjaġġar (ETIAS), inkluża l-lista ta’ sorveljanza tal-ETIAS imsemmija fl-Artikolu 29 tar-Regolament (UE) 2018/1240, is-Sistema ta’ Informazzjoni dwar il-Viża (VIS), is-sistema ECRIS-TCN sa fejn huma kkonċernati l-kundanni relatati ma’ reati terroristiċi u forom oħra ta’ reati kriminali serji, id-data tal-Europol ipproċessata għall-fini msemmi fil-punt (a) tal-Artikolu 18(2) tar-Regolament (UE) 2016/794, u l-bażi tad-data tad-Dokumenti tal-Ivvjaġġar Assoċjati ma’ Avviżi (Interpol TDAWN) tal-Interpol bid-data msemmija fl-Artikolu 10(1) u bl-użu mill-inqas tad-data msemmija fil-punt (c) tiegħu.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Sa fejn ma jkunx diġà sar dan matul il-kontrolli msemmija fl-Artikolu 8 tar-Regolament (UE) 2016/399, l-awtorità kompetenti għandha tfittex fis-Sistema ta’ Dħul/Ħruġ (EES), fis-Sistema Ewropea ta’ Informazzjoni u ta’ Awtorizzazzjoni għall-Ivvjaġġar (ETIAS), inkluża l-lista ta’ sorveljanza tal-ETIAS imsemmija fl-Artikolu 29 tar-Regolament (UE) 2018/1240, is-Sistema ta’ Informazzjoni dwar il-Viża (VIS), is-sistema ECRIS-TCN sa fejn huma kkonċernati l-kundanni relatati ma’ reati terroristiċi u forom oħra ta’ reati kriminali serji, id-data tal-Europol ipproċessata għall-fini msemmi fil-punt (a) tal-Artikolu 18(2) tar-Regolament (UE) 2016/794, u l-bażi tad-data tad-Dokumenti tal-Ivvjaġġar Assoċjati ma’ Avviżi (Interpol TDAWN) tal-Interpol bid-data msemmija fl-Artikolu 10(1) u bl-użu mill-inqas tad-data msemmija fil-punt (c) tiegħu.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Sa fejn ma jkunx diġà sar dan matul il-kontrolli msemmija fl-Artikolu 8 tar-Regolament (UE) 2016/399, l-awtorità kompetenti għandha tfittex fis-Sistema ta’ Dħul/Ħruġ (EES), fis-Sistema Ewropea ta’ Informazzjoni u ta’ Awtorizzazzjoni għall-Ivvjaġġar (ETIAS), inkluża l-lista ta’ sorveljanza tal-ETIAS imsemmija fl-Artikolu 29 tar-Regolament (UE) 2018/1240, is-Sistema ta’ Informazzjoni dwar il-Viża (VIS), is-sistema ECRIS-TCN sa fejn huma kkonċernati l-kundanni relatati ma’ reati terroristiċi u forom oħra ta’ reati kriminali serji, id-data tal-Europol ipproċessata għall-fini msemmi fil-punt (a) tal-Artikolu 18(2) tar-Regolament (UE) 2016/794, u l-bażi tad-data tad-Dokumenti tal-Ivvjaġġar Assoċjati ma’ Avviżi (Interpol TDAWN) tal-Interpol bid-data msemmija fl-Artikolu 10(1) u bl-użu mill-inqas tad-data msemmija fil-punt (c) tiegħu.</w:t>
            </w:r>
          </w:p>
        </w:tc>
        <w:tc>
          <w:tcPr>
            <w:tcW w:w="4876" w:type="dxa"/>
            <w:vAlign w:val="top"/>
          </w:tcPr>
          <w:p>
            <w:pPr>
              <w:pStyle w:val="Normal6a"/>
            </w:pPr>
            <w:r>
              <w:t>3.</w:t>
            </w:r>
            <w:r>
              <w:tab/>
            </w:r>
            <w:r>
              <w:t xml:space="preserve">Sa fejn ma jkunx diġà sar dan matul il-kontrolli msemmija fl-Artikolu 8 tar-Regolament (UE) 2016/399, l-awtorità kompetenti </w:t>
            </w:r>
            <w:r>
              <w:rPr>
                <w:b/>
                <w:i/>
                <w:strike w:val="0"/>
                <w:color w:val="auto"/>
                <w:highlight w:val="none"/>
                <w:u w:val="none" w:color="auto"/>
                <w:vertAlign w:val="baseline"/>
              </w:rPr>
              <w:t>ddeżinjata</w:t>
            </w:r>
            <w:r>
              <w:t xml:space="preserve"> għandha tfittex fis-Sistema ta' Dħul/Ħruġ (EES), fis-Sistema Ewropea ta' Informazzjoni u ta' Awtorizzazzjoni għall-Ivvjaġġar (ETIAS), inkluża l-lista ta' sorveljanza tal-ETIAS imsemmija fl-Artikolu 29 tar-Regolament (UE) 2018/1240, is-Sistema ta' Informazzjoni dwar il-Viża (VIS), is-sistema ECRIS-TCN sa fejn huma kkonċernati l-kundanni relatati ma' reati terroristiċi u forom oħra ta' reati kriminali serji, id-data tal-Europol ipproċessata għall-fini msemmi fil-punt (a) tal-Artikolu 18(2) tar-Regolament (UE) 2016/794, u l-bażi tad-data tad-Dokumenti tal-Ivvjaġġar Assoċjati ma' Avviżi (Interpol TDAWN) tal-Interpol bid-data msemmija fl-Artikolu 10(1) u bl-użu mill-inqas tad-data msemmija fil-punt (c)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Fir-rigward tal-konsultazzjoni tal-EES, l-ETIAS u l-VIS skont il-paragrafu 3, id-data miksuba għandha tkun limitata għall-indikazzjoni ta’ rifjuti ta’ awtorizzazzjoni għall-ivvjaġġar, rifjuti ta’ dħul, jew deċiżjonijiet ta’ rifjut, annullament jew revoka ta’ viża jew permess ta’ residenza, li huma bbażati fuq raġunijiet ta’ sigurtà.</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Fir-rigward tal-konsultazzjoni tal-EES</w:t>
            </w:r>
            <w:r>
              <w:rPr>
                <w:b/>
                <w:i/>
                <w:strike w:val="0"/>
                <w:color w:val="auto"/>
                <w:highlight w:val="none"/>
                <w:u w:val="none" w:color="auto"/>
                <w:vertAlign w:val="baseline"/>
              </w:rPr>
              <w:t>, l-ETIAS</w:t>
            </w:r>
            <w:r>
              <w:t xml:space="preserve"> u l-VIS skont il-paragrafu 3, id-data miksuba għandha tkun limitata għall-indikazzjoni ta’ rifjuti ta’ awtorizzazzjoni għall-ivvjaġġar, rifjuti ta’ dħul, jew deċiżjonijiet ta’ rifjut, annullament jew revoka ta’ viża jew permess ta’ residenza, li huma bbażati fuq raġunijiet ta’ sigurtà.</w:t>
            </w:r>
          </w:p>
        </w:tc>
        <w:tc>
          <w:tcPr>
            <w:tcW w:w="4876" w:type="dxa"/>
            <w:vAlign w:val="top"/>
          </w:tcPr>
          <w:p>
            <w:pPr>
              <w:pStyle w:val="Normal6a"/>
            </w:pPr>
            <w:r>
              <w:t>4.</w:t>
            </w:r>
            <w:r>
              <w:tab/>
            </w:r>
            <w:r>
              <w:t xml:space="preserve">Fir-rigward tal-konsultazzjoni tal-EES u l-VIS skont il-paragrafu 3, id-data miksuba għandha tkun limitata għall-indikazzjoni ta' rifjuti ta' awtorizzazzjoni għall-ivvjaġġar, rifjuti ta' dħul, jew deċiżjonijiet ta' rifjut, annullament jew revoka ta' viża jew permess ta' residenza, li huma bbażati fuq raġunijiet ta' sigurtà. </w:t>
            </w:r>
            <w:r>
              <w:rPr>
                <w:b/>
                <w:i/>
                <w:strike w:val="0"/>
                <w:color w:val="auto"/>
                <w:highlight w:val="none"/>
                <w:u w:val="none" w:color="auto"/>
                <w:vertAlign w:val="baseline"/>
              </w:rPr>
              <w:t>L-aċċess għas-CIR u l-użu tal-ESP mill-awtoritajiet kompetenti għandhom ikunu limitati sal-punt li dan ikun strettament meħtieġ għat-twettiq tal-kompiti speċifiċi tagħhom f'konformità ma' dawk il-finijiet, u għandhom ikunu proporzjonati għall-objettivi li jridu jintlaħqu.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Il-Kummissjoni għandha tadotta atti ta’ implimentazzjoni li jistabbilixxu l-proċedura u l-ispeċifikazzjonijiet dettaljati għall-ksib tad-data. Dawk l-atti ta’ implimentazzjoni għandhom jiġu adottati skont il-proċedura ta’ eżami msemmija fl-Artikolu 15(2).</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11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ta’ implimentazzjoni</w:t>
            </w:r>
            <w:r>
              <w:t xml:space="preserve"> li jistabbilixxu l-proċedura u l-ispeċifikazzjonijiet dettaljati għall-ksib tad-data. Dawk l-atti </w:t>
            </w:r>
            <w:r>
              <w:rPr>
                <w:b/>
                <w:i/>
                <w:strike w:val="0"/>
                <w:color w:val="auto"/>
                <w:highlight w:val="none"/>
                <w:u w:val="none" w:color="auto"/>
                <w:vertAlign w:val="baseline"/>
              </w:rPr>
              <w:t>ta’ implimentazzjoni</w:t>
            </w:r>
            <w:r>
              <w:t xml:space="preserve"> għandhom jiġu adottati skont il-proċedura ta’ eżami msemmija fl-Artikolu 15(2).</w:t>
            </w:r>
          </w:p>
        </w:tc>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delegati</w:t>
            </w:r>
            <w:r>
              <w:t xml:space="preserve"> li jistabbilixxu l-proċedura u l-ispeċifikazzjonijiet dettaljati għall-ksib tad-data</w:t>
            </w:r>
            <w:r>
              <w:rPr>
                <w:b/>
                <w:i/>
                <w:strike w:val="0"/>
                <w:color w:val="auto"/>
                <w:highlight w:val="none"/>
                <w:u w:val="none" w:color="auto"/>
                <w:vertAlign w:val="baseline"/>
              </w:rPr>
              <w:t>, l-ipproċessar u l-użu tad-data</w:t>
            </w:r>
            <w:r>
              <w:t xml:space="preserve">. Dawk l-atti </w:t>
            </w:r>
            <w:r>
              <w:rPr>
                <w:b/>
                <w:i/>
                <w:strike w:val="0"/>
                <w:color w:val="auto"/>
                <w:highlight w:val="none"/>
                <w:u w:val="none" w:color="auto"/>
                <w:vertAlign w:val="baseline"/>
              </w:rPr>
              <w:t>delegati</w:t>
            </w:r>
            <w:r>
              <w:t xml:space="preserve"> għandhom jiġu adottati skont il-proċedura ta' eżami msemmija fl-Artikolu 15(2).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It-tiftixiet previsti fl-Artikolu 10(2) u fl-Artikolu 11(2) </w:t>
            </w:r>
            <w:r>
              <w:rPr>
                <w:b/>
                <w:i/>
                <w:strike w:val="0"/>
                <w:color w:val="auto"/>
                <w:highlight w:val="none"/>
                <w:u w:val="none" w:color="auto"/>
                <w:vertAlign w:val="baseline"/>
              </w:rPr>
              <w:t>jistgħu</w:t>
            </w:r>
            <w:r>
              <w:t xml:space="preserve"> jiġu mnedija, għal tiftixiet relatati mas-sistemi ta’ informazzjoni tal-UE u s-CIR, bl-użu tal-Portal Ewropew tat-Tfittxija skont il-Kapitolu II tar-Regolament (UE) 2019/817 u l-Kapitolu II tar-Regolament (UE) 2019/818</w:t>
            </w:r>
            <w:r>
              <w:rPr>
                <w:rStyle w:val="Sup"/>
              </w:rPr>
              <w:t>36</w:t>
            </w:r>
            <w:r>
              <w:t>.</w:t>
            </w:r>
          </w:p>
        </w:tc>
        <w:tc>
          <w:tcPr>
            <w:tcW w:w="4876" w:type="dxa"/>
            <w:vAlign w:val="top"/>
          </w:tcPr>
          <w:p>
            <w:pPr>
              <w:pStyle w:val="Normal6a"/>
            </w:pPr>
            <w:r>
              <w:t>1.</w:t>
            </w:r>
            <w:r>
              <w:tab/>
            </w:r>
            <w:r>
              <w:t xml:space="preserve">It-tiftixiet previsti fl-Artikolu 10(2) u fl-Artikolu 11(2) </w:t>
            </w:r>
            <w:r>
              <w:rPr>
                <w:b/>
                <w:i/>
                <w:strike w:val="0"/>
                <w:color w:val="auto"/>
                <w:highlight w:val="none"/>
                <w:u w:val="none" w:color="auto"/>
                <w:vertAlign w:val="baseline"/>
              </w:rPr>
              <w:t>ta' dan ir-Regolament għandhom</w:t>
            </w:r>
            <w:r>
              <w:t xml:space="preserve"> jiġu mnedija, għal tiftixiet relatati mas-sistemi ta' informazzjoni tal-UE u s-CIR, bl-użu tal-Portal Ewropew tat-Tfittxija skont il-Kapitolu II tar-Regolament (UE) 2019/817 u l-Kapitolu II tar-Regolament (UE) 2019/818</w:t>
            </w:r>
            <w:r>
              <w:rPr>
                <w:rStyle w:val="Sup"/>
              </w:rPr>
              <w:t>36</w:t>
            </w:r>
            <w:r>
              <w:t xml:space="preserve">. </w:t>
            </w:r>
            <w:r>
              <w:rPr>
                <w:b/>
                <w:i/>
                <w:strike w:val="0"/>
                <w:color w:val="auto"/>
                <w:highlight w:val="none"/>
                <w:u w:val="none" w:color="auto"/>
                <w:vertAlign w:val="baseline"/>
              </w:rPr>
              <w:t>L-aċċess għas-CIR u l-użu tal-ESP mill-awtoritajiet kompetenti għandhom ikunu limitati sal-punt li d-data tkun meħtieġa għat-twettiq tal-kompiti tagħhom f'konformità ma' dawk il-finijiet, u għandhom ikunu proporzjonati għall-objettivi li jridu jintlaħqu.</w:t>
            </w:r>
            <w:r>
              <w:t xml:space="preserve"> </w:t>
            </w:r>
            <w:r>
              <w:rPr>
                <w:b/>
                <w:i/>
                <w:strike w:val="0"/>
                <w:color w:val="auto"/>
                <w:highlight w:val="none"/>
                <w:u w:val="none" w:color="auto"/>
                <w:vertAlign w:val="baseline"/>
              </w:rPr>
              <w:t>Ma għandha tintuża ebda forza jew koerċizzjoni biex jiġi żgurat it-teħid ta' data personali ta' ċittadini ta' pajjiżi terzi, inkluża data bijometrika.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Ir-Regolament (UE) 2019/818 tal-Parlament Ewropew u tal-Kunsill tal-20 ta’ Mejju 2019 dwar l-istabbiliment ta’ qafas għall-interoperabbiltà bejn sistemi ta’ informazzjoni tal-UE fil-qasam tal-kooperazzjoni tal-pulizija u ġudizzjarja, l-ażil u l-migrazzjoni, ĠU L 135, 22.5.2019, p. 85.</w:t>
            </w:r>
          </w:p>
        </w:tc>
        <w:tc>
          <w:tcPr>
            <w:tcW w:w="4876" w:type="dxa"/>
            <w:vAlign w:val="top"/>
          </w:tcPr>
          <w:p>
            <w:pPr>
              <w:pStyle w:val="Normal6a"/>
            </w:pPr>
            <w:r>
              <w:rPr>
                <w:rStyle w:val="Sup"/>
              </w:rPr>
              <w:t>36</w:t>
            </w:r>
            <w:r>
              <w:t xml:space="preserve"> </w:t>
            </w:r>
            <w:r>
              <w:t>Ir-Regolament (UE) 2019/818 tal-Parlament Ewropew u tal-Kunsill tal-20 ta' Mejju 2019 dwar l-istabbiliment ta' qafas għall-interoperabbiltà bejn sistemi ta' informazzjoni tal-UE fil-qasam tal-kooperazzjoni tal-pulizija u ġudizzjarja, l-ażil u l-migrazzjoni, ĠU L 135, 22.5.2019, p. 85.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It-tiftixiet previsti fl-Artikolu 10(2) u fl-Artikolu 11(2) </w:t>
            </w:r>
            <w:r>
              <w:rPr>
                <w:b/>
                <w:i/>
                <w:strike w:val="0"/>
                <w:color w:val="auto"/>
                <w:highlight w:val="none"/>
                <w:u w:val="none" w:color="auto"/>
                <w:vertAlign w:val="baseline"/>
              </w:rPr>
              <w:t>jistgħu</w:t>
            </w:r>
            <w:r>
              <w:t xml:space="preserve"> jiġu mnedija, għal tiftixiet relatati mas-sistemi ta’ informazzjoni tal-UE u s-CIR, bl-użu tal-Portal Ewropew tat-Tfittxija skont il-Kapitolu II tar-Regolament (UE) 2019/817 u l-Kapitolu II tar-Regolament (UE) 2019/818</w:t>
            </w:r>
            <w:r>
              <w:rPr>
                <w:rStyle w:val="Sup"/>
              </w:rPr>
              <w:t>36</w:t>
            </w:r>
            <w:r>
              <w:t>.</w:t>
            </w:r>
          </w:p>
        </w:tc>
        <w:tc>
          <w:tcPr>
            <w:tcW w:w="4876" w:type="dxa"/>
            <w:vAlign w:val="top"/>
          </w:tcPr>
          <w:p>
            <w:pPr>
              <w:pStyle w:val="Normal6a"/>
            </w:pPr>
            <w:r>
              <w:t>1.</w:t>
            </w:r>
            <w:r>
              <w:tab/>
            </w:r>
            <w:r>
              <w:t xml:space="preserve">It-tiftixiet previsti fl-Artikolu 10(2) u fl-Artikolu 11(2) </w:t>
            </w:r>
            <w:r>
              <w:rPr>
                <w:b/>
                <w:i/>
                <w:strike w:val="0"/>
                <w:color w:val="auto"/>
                <w:highlight w:val="none"/>
                <w:u w:val="none" w:color="auto"/>
                <w:vertAlign w:val="baseline"/>
              </w:rPr>
              <w:t>għandhom</w:t>
            </w:r>
            <w:r>
              <w:t xml:space="preserve"> jiġu mnedija, għal tiftixiet relatati mas-sistemi ta' informazzjoni tal-UE u s-CIR, bl-użu tal-Portal Ewropew tat-Tfittxija skont il-Kapitolu II tar-Regolament (UE) 2019/817 u l-Kapitolu II tar-Regolament (UE) 2019/818</w:t>
            </w:r>
            <w:r>
              <w:rPr>
                <w:rStyle w:val="Sup"/>
              </w:rPr>
              <w:t>36</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Ir-Regolament (UE) 2019/818 tal-Parlament Ewropew u tal-Kunsill tal-20 ta’ Mejju 2019 dwar l-istabbiliment ta’ qafas għall-interoperabbiltà bejn sistemi ta’ informazzjoni tal-UE fil-qasam tal-kooperazzjoni tal-pulizija u ġudizzjarja, l-ażil u l-migrazzjoni, ĠU L 135, 22.5.2019, p. 85.</w:t>
            </w:r>
          </w:p>
        </w:tc>
        <w:tc>
          <w:tcPr>
            <w:tcW w:w="4876" w:type="dxa"/>
            <w:vAlign w:val="top"/>
          </w:tcPr>
          <w:p>
            <w:pPr>
              <w:pStyle w:val="Normal6a"/>
            </w:pPr>
            <w:r>
              <w:rPr>
                <w:rStyle w:val="Sup"/>
              </w:rPr>
              <w:t>36</w:t>
            </w:r>
            <w:r>
              <w:t xml:space="preserve"> </w:t>
            </w:r>
            <w:r>
              <w:t>Ir-Regolament (UE) 2019/818 tal-Parlament Ewropew u tal-Kunsill tal-20 ta' Mejju 2019 dwar l-istabbiliment ta' qafas għall-interoperabbiltà bejn sistemi ta' informazzjoni tal-UE fil-qasam tal-kooperazzjoni tal-pulizija u ġudizzjarja, l-ażil u l-migrazzjoni, ĠU L 135, 22.5.2019, p. 85.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Meta jinkiseb qbil wara tiftixa kif previst fl-Artikolu 11(3) mad-data f’waħda mis-sistemi ta’ informazzjoni, l-awtorità kompetenti għandu jkollha aċċess biex tikkonsulta l-fajl li jikkorrispondi għal dak il-qbil fis-sistema ta’ informazzjoni rispettiva sabiex tiddetermina r-riskju għas-sigurtà interna kif imsemmi fl-Artikolu 11(1).</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Meta jinkiseb qbil wara tiftixa kif previst fl-Artikolu 11(3) mad-data f’waħda mis-sistemi ta’ informazzjoni, l-awtorità kompetenti għandu jkollha aċċess biex tikkonsulta l-fajl li jikkorrispondi għal dak il-qbil fis-sistema ta’ informazzjoni rispettiva sabiex tiddetermina r-riskju għas-sigurtà interna kif imsemmi fl-Artikolu 11(1).</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Meta jinkiseb qbil wara tiftixa kif previst fl-Artikolu 11(3) mad-data f’waħda mis-sistemi ta’ informazzjoni, l-awtorità kompetenti għandu jkollha aċċess biex tikkonsulta l-fajl li jikkorrispondi għal dak il-qbil fis-sistema ta’ informazzjoni rispettiva sabiex tiddetermina r-riskju għas-sigurtà interna kif imsemmi fl-Artikolu 11(1).</w:t>
            </w:r>
          </w:p>
        </w:tc>
        <w:tc>
          <w:tcPr>
            <w:tcW w:w="4876" w:type="dxa"/>
            <w:vAlign w:val="top"/>
          </w:tcPr>
          <w:p>
            <w:pPr>
              <w:pStyle w:val="Normal6a"/>
            </w:pPr>
            <w:r>
              <w:t>2.</w:t>
            </w:r>
            <w:r>
              <w:tab/>
            </w:r>
            <w:r>
              <w:t xml:space="preserve">Meta jinkiseb qbil wara tiftixa kif previst fl-Artikolu 11(3) mad-data f'waħda mis-sistemi ta' informazzjoni, l-awtorità kompetenti għandu jkollha aċċess biex tikkonsulta l-fajl li jikkorrispondi għal dak il-qbil fis-sistema ta' informazzjoni rispettiva sabiex tiddetermina r-riskju għas-sigurtà interna </w:t>
            </w:r>
            <w:r>
              <w:rPr>
                <w:b/>
                <w:i/>
                <w:strike w:val="0"/>
                <w:color w:val="auto"/>
                <w:highlight w:val="none"/>
                <w:u w:val="none" w:color="auto"/>
                <w:vertAlign w:val="baseline"/>
              </w:rPr>
              <w:t>jew nazzjonali jew l-ordni pubbliku jew il-politika pubblika</w:t>
            </w:r>
            <w:r>
              <w:t xml:space="preserve"> kif imsemmi fl-Artikolu 11(1).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Fejn tiftixa kif prevista fl-Artikolu 11(3) tirrapporta qbil mad-data tal-Europol, l-awtorità kompetenti tal-Istat Membru għandha tinforma lill-Europol sabiex tieħu, jekk ikun meħtieġ, kwalunkwe azzjoni ta’ segwitu xierqa skont il-leġiżlazzjoni rilevanti.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Fejn tiftixa kif prevista fl-Artikolu 11(3) tirrapporta qbil mad-data tal-Europol, l-awtorità kompetenti tal-Istat Membru għandha tinforma lill-Europol sabiex tieħu, jekk ikun meħtieġ, kwalunkwe azzjoni ta’ segwitu xierqa skont il-leġiżlazzjoni rilevanti.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Fejn tiftixa kif prevista fl-Artikolu 11(3) tirrapporta qbil mal-bażi tad-data tad-Dokumenti tal-Ivvjaġġar Assoċjati ma’ Avviżi (Interpol TDAWN) tal-Interpol, l-awtorità kompetenti tal-Istat Membru għandha tinforma lill-Uffiċċju Ċentrali Nazzjonali tal-Interpol tal-Istat Membru li nieda t-tiftixa sabiex jieħu, jekk ikun meħtieġ, kwalunkwe azzjoni ta’ segwitu xierqa skont il-leġiżlazzjoni rilevanti.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Fejn tiftixa kif prevista fl-Artikolu 11(3) tirrapporta qbil mal-bażi tad-data tad-Dokumenti tal-Ivvjaġġar Assoċjati ma’ Avviżi (Interpol TDAWN) tal-Interpol, l-awtorità kompetenti tal-Istat Membru għandha tinforma lill-Uffiċċju Ċentrali Nazzjonali tal-Interpol tal-Istat Membru li nieda t-tiftixa sabiex jieħu, jekk ikun meħtieġ, kwalunkwe azzjoni ta’ segwitu xierqa skont il-leġiżlazzjoni rilevanti.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Il-Kummissjoni għandha tadotta atti ta’ implimentazzjoni biex tispeċifika l-proċedura għall-kooperazzjoni bejn l-awtoritajiet responsabbli għat-twettiq tal-iskrinjar, l-Uffiċċji Ċentrali Nazzjonali tal-Interpol, l-unità nazzjonali tal-Europol, u l-awtoritajiet ċentrali ta’ ECRIS-TCN, rispettivament, biex jiġi ddeterminat ir-riskju għas-sigurtà interna. Dawk l-atti ta’ implimentazzjoni għandhom jiġu adottati skont il-proċedura ta’ eżami msemmija fl-Artikolu 15(2).</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ta’ implimentazzjoni</w:t>
            </w:r>
            <w:r>
              <w:t xml:space="preserve"> biex tispeċifika l-proċedura għall-kooperazzjoni bejn l-awtoritajiet responsabbli għat-twettiq tal-iskrinjar</w:t>
            </w:r>
            <w:r>
              <w:rPr>
                <w:b/>
                <w:i/>
                <w:strike w:val="0"/>
                <w:color w:val="auto"/>
                <w:highlight w:val="none"/>
                <w:u w:val="none" w:color="auto"/>
                <w:vertAlign w:val="baseline"/>
              </w:rPr>
              <w:t>, l-Uffiċċji Ċentrali Nazzjonali tal-Interpol, l-unità nazzjonali tal-Europol, u l-awtoritajiet ċentrali ta’ ECRIS-TCN, rispettivament,</w:t>
            </w:r>
            <w:r>
              <w:t xml:space="preserve"> biex jiġi ddeterminat </w:t>
            </w:r>
            <w:r>
              <w:rPr>
                <w:b/>
                <w:i/>
                <w:strike w:val="0"/>
                <w:color w:val="auto"/>
                <w:highlight w:val="none"/>
                <w:u w:val="none" w:color="auto"/>
                <w:vertAlign w:val="baseline"/>
              </w:rPr>
              <w:t>ir-riskju</w:t>
            </w:r>
            <w:r>
              <w:t xml:space="preserve"> għas-sigurtà interna. </w:t>
            </w:r>
            <w:r>
              <w:rPr>
                <w:b/>
                <w:i/>
                <w:strike w:val="0"/>
                <w:color w:val="auto"/>
                <w:highlight w:val="none"/>
                <w:u w:val="none" w:color="auto"/>
                <w:vertAlign w:val="baseline"/>
              </w:rPr>
              <w:t>Dawk l-atti ta’ implimentazzjoni għandhom jiġu adottati skont il-proċedura ta’ eżami msemmija fl-Artikolu 15(2).</w:t>
            </w:r>
          </w:p>
        </w:tc>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delegati</w:t>
            </w:r>
            <w:r>
              <w:t xml:space="preserve"> biex tispeċifika l-proċedura għall-kooperazzjoni bejn l-awtoritajiet responsabbli għat-twettiq tal-iskrinjar biex jiġi ddeterminat </w:t>
            </w:r>
            <w:r>
              <w:rPr>
                <w:b/>
                <w:i/>
                <w:strike w:val="0"/>
                <w:color w:val="auto"/>
                <w:highlight w:val="none"/>
                <w:u w:val="none" w:color="auto"/>
                <w:vertAlign w:val="baseline"/>
              </w:rPr>
              <w:t>it-theddid</w:t>
            </w:r>
            <w:r>
              <w:t xml:space="preserve"> għas-sigurtà interna.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ta’ implimentazzjoni</w:t>
            </w:r>
            <w:r>
              <w:t xml:space="preserve"> biex tispeċifika l-proċedura għall-kooperazzjoni bejn l-awtoritajiet responsabbli għat-twettiq tal-iskrinjar, l-Uffiċċji Ċentrali Nazzjonali tal-Interpol, l-unità nazzjonali tal-Europol, u l-awtoritajiet ċentrali ta’ ECRIS-TCN, rispettivament, biex jiġi ddeterminat ir-riskju għas-sigurtà interna. Dawk l-atti </w:t>
            </w:r>
            <w:r>
              <w:rPr>
                <w:b/>
                <w:i/>
                <w:strike w:val="0"/>
                <w:color w:val="auto"/>
                <w:highlight w:val="none"/>
                <w:u w:val="none" w:color="auto"/>
                <w:vertAlign w:val="baseline"/>
              </w:rPr>
              <w:t>ta’ implimentazzjoni</w:t>
            </w:r>
            <w:r>
              <w:t xml:space="preserve"> għandhom jiġu adottati skont il-proċedura ta’ eżami msemmija fl-Artikolu 15(2).</w:t>
            </w:r>
          </w:p>
        </w:tc>
        <w:tc>
          <w:tcPr>
            <w:tcW w:w="4876" w:type="dxa"/>
            <w:vAlign w:val="top"/>
          </w:tcPr>
          <w:p>
            <w:pPr>
              <w:pStyle w:val="Normal6a"/>
            </w:pPr>
            <w:r>
              <w:t>5.</w:t>
            </w:r>
            <w:r>
              <w:tab/>
            </w:r>
            <w:r>
              <w:t xml:space="preserve">Il-Kummissjoni għandha tadotta atti </w:t>
            </w:r>
            <w:r>
              <w:rPr>
                <w:b/>
                <w:i/>
                <w:strike w:val="0"/>
                <w:color w:val="auto"/>
                <w:highlight w:val="none"/>
                <w:u w:val="none" w:color="auto"/>
                <w:vertAlign w:val="baseline"/>
              </w:rPr>
              <w:t>delegati</w:t>
            </w:r>
            <w:r>
              <w:t xml:space="preserve"> biex tispeċifika l-proċedura għall-kooperazzjoni bejn l-awtoritajiet responsabbli għat-twettiq tal-iskrinjar, l-Uffiċċji Ċentrali Nazzjonali tal-Interpol, l-unità nazzjonali tal-Europol, u l-awtoritajiet ċentrali ta' ECRIS-TCN, rispettivament, biex jiġi ddeterminat ir-riskju għas-sigurtà interna. Dawk l-atti </w:t>
            </w:r>
            <w:r>
              <w:rPr>
                <w:b/>
                <w:i/>
                <w:strike w:val="0"/>
                <w:color w:val="auto"/>
                <w:highlight w:val="none"/>
                <w:u w:val="none" w:color="auto"/>
                <w:vertAlign w:val="baseline"/>
              </w:rPr>
              <w:t>delegati</w:t>
            </w:r>
            <w:r>
              <w:t xml:space="preserve"> għandhom jiġu adottati skont il-proċedura ta' eżami msemmija fl-Artikolu 15(2).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Il-Kummissjoni għandha tadotta atti ta’ implimentazzjoni biex tispeċifika l-proċedura għall-kooperazzjoni bejn l-awtoritajiet responsabbli għat-twettiq tal-iskrinjar, l-Uffiċċji Ċentrali Nazzjonali tal-Interpol, l-unità nazzjonali tal-Europol, u l-awtoritajiet ċentrali ta’ ECRIS-TCN, rispettivament, biex jiġi ddeterminat ir-riskju għas-sigurtà interna. Dawk l-atti ta’ implimentazzjoni għandhom jiġu adottati skont il-proċedura ta’ eżami msemmija fl-Artikolu 15(2).</w:t>
            </w:r>
          </w:p>
        </w:tc>
        <w:tc>
          <w:tcPr>
            <w:tcW w:w="4876" w:type="dxa"/>
            <w:vAlign w:val="top"/>
          </w:tcPr>
          <w:p>
            <w:pPr>
              <w:pStyle w:val="Normal6a"/>
            </w:pPr>
            <w:r>
              <w:t>5.</w:t>
            </w:r>
            <w:r>
              <w:tab/>
            </w:r>
            <w:r>
              <w:t xml:space="preserve">Il-Kummissjoni għandha tadotta atti ta' implimentazzjoni biex tispeċifika l-proċedura għall-kooperazzjoni bejn l-awtoritajiet responsabbli għat-twettiq tal-iskrinjar, l-Uffiċċji Ċentrali Nazzjonali tal-Interpol, l-unità nazzjonali tal-Europol, u l-awtoritajiet ċentrali ta' ECRIS-TCN, rispettivament, biex jiġi ddeterminat ir-riskju għas-sigurtà interna </w:t>
            </w:r>
            <w:r>
              <w:rPr>
                <w:b/>
                <w:i/>
                <w:strike w:val="0"/>
                <w:color w:val="auto"/>
                <w:highlight w:val="none"/>
                <w:u w:val="none" w:color="auto"/>
                <w:vertAlign w:val="baseline"/>
              </w:rPr>
              <w:t>jew nazzjonali jew għall-ordni pubbliku jew il-politika pubblika</w:t>
            </w:r>
            <w:r>
              <w:t>. Dawk l-atti ta' implimentazzjoni għandhom jiġu adottati skont il-proċedura ta' eżami msemmija fl-Artikolu 15(2).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rPr>
                <w:b/>
                <w:i/>
                <w:strike w:val="0"/>
                <w:color w:val="auto"/>
                <w:highlight w:val="none"/>
                <w:u w:val="none" w:color="auto"/>
                <w:vertAlign w:val="baseline"/>
              </w:rPr>
              <w:t>Malli jitlesta l-iskrinjar, l-awtoritajiet kompetenti għandhom, fir-rigward tal-persuni msemmija fl-Artikolu 3 u fl-Artikolu 5, jimlew</w:t>
            </w:r>
            <w:r>
              <w:t xml:space="preserve"> il-formola </w:t>
            </w:r>
            <w:r>
              <w:rPr>
                <w:b/>
                <w:i/>
                <w:strike w:val="0"/>
                <w:color w:val="auto"/>
                <w:highlight w:val="none"/>
                <w:u w:val="none" w:color="auto"/>
                <w:vertAlign w:val="baseline"/>
              </w:rPr>
              <w:t>fl-Anness I li jkun fiha:</w:t>
            </w:r>
          </w:p>
        </w:tc>
        <w:tc>
          <w:tcPr>
            <w:tcW w:w="4876" w:type="dxa"/>
            <w:vAlign w:val="top"/>
          </w:tcPr>
          <w:p>
            <w:pPr>
              <w:pStyle w:val="Normal6a"/>
            </w:pPr>
            <w:r>
              <w:t>13</w:t>
            </w:r>
            <w:r>
              <w:tab/>
            </w:r>
            <w:r>
              <w:t xml:space="preserve">Il-formola </w:t>
            </w:r>
            <w:r>
              <w:rPr>
                <w:b/>
                <w:i/>
                <w:strike w:val="0"/>
                <w:color w:val="auto"/>
                <w:highlight w:val="none"/>
                <w:u w:val="none" w:color="auto"/>
                <w:vertAlign w:val="baseline"/>
              </w:rPr>
              <w:t>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Malli jitlesta l-iskrinjar, l-awtoritajiet kompetenti għandhom</w:t>
            </w:r>
            <w:r>
              <w:rPr>
                <w:b/>
                <w:i/>
                <w:strike w:val="0"/>
                <w:color w:val="auto"/>
                <w:highlight w:val="none"/>
                <w:u w:val="none" w:color="auto"/>
                <w:vertAlign w:val="baseline"/>
              </w:rPr>
              <w:t>, fir-rigward tal-persuni msemmija fl-Artikolu 3 u fl-Artikolu 5,</w:t>
            </w:r>
            <w:r>
              <w:t xml:space="preserve"> jimlew il-formola fl-Anness I li jkun fiha:</w:t>
            </w:r>
          </w:p>
        </w:tc>
        <w:tc>
          <w:tcPr>
            <w:tcW w:w="4876" w:type="dxa"/>
            <w:vAlign w:val="top"/>
          </w:tcPr>
          <w:p>
            <w:pPr>
              <w:pStyle w:val="Normal6a"/>
            </w:pPr>
            <w:r>
              <w:t xml:space="preserve">Malli jitlesta l-iskrinjar, l-awtoritajiet kompetenti għandhom jimlew il-formola fl-Anness I li jkun fiha </w:t>
            </w:r>
            <w:r>
              <w:rPr>
                <w:b/>
                <w:i/>
                <w:strike w:val="0"/>
                <w:color w:val="auto"/>
                <w:highlight w:val="none"/>
                <w:u w:val="none" w:color="auto"/>
                <w:vertAlign w:val="baseline"/>
              </w:rPr>
              <w:t>l-informazzjoni li ġejja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Malli jitlesta l-iskrinjar, l-awtoritajiet kompetenti għandhom, fir-rigward tal-persuni msemmija fl-Artikolu 3 </w:t>
            </w:r>
            <w:r>
              <w:rPr>
                <w:b/>
                <w:i/>
                <w:strike w:val="0"/>
                <w:color w:val="auto"/>
                <w:highlight w:val="none"/>
                <w:u w:val="none" w:color="auto"/>
                <w:vertAlign w:val="baseline"/>
              </w:rPr>
              <w:t>u fl-Artikolu 5</w:t>
            </w:r>
            <w:r>
              <w:t>, jimlew il-formola fl-Anness I li jkun fiha:</w:t>
            </w:r>
          </w:p>
        </w:tc>
        <w:tc>
          <w:tcPr>
            <w:tcW w:w="4876" w:type="dxa"/>
            <w:vAlign w:val="top"/>
          </w:tcPr>
          <w:p>
            <w:pPr>
              <w:pStyle w:val="Normal6a"/>
            </w:pPr>
            <w:r>
              <w:t>Malli jitlesta l-iskrinjar, l-awtoritajiet kompetenti għandhom, fir-rigward tal-persuni msemmija fl-Artikolu 3, jimlew il-formola fl-Anness I li jkun fiha: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Malli jitlesta l-iskrinjar, l-awtoritajiet kompetenti għandhom, fir-rigward tal-persuni msemmija fl-Artikolu 3 </w:t>
            </w:r>
            <w:r>
              <w:rPr>
                <w:b/>
                <w:i/>
                <w:strike w:val="0"/>
                <w:color w:val="auto"/>
                <w:highlight w:val="none"/>
                <w:u w:val="none" w:color="auto"/>
                <w:vertAlign w:val="baseline"/>
              </w:rPr>
              <w:t>u fl-Artikolu 5</w:t>
            </w:r>
            <w:r>
              <w:t>, jimlew il-formola fl-Anness I li jkun fiha:</w:t>
            </w:r>
          </w:p>
        </w:tc>
        <w:tc>
          <w:tcPr>
            <w:tcW w:w="4876" w:type="dxa"/>
            <w:vAlign w:val="top"/>
          </w:tcPr>
          <w:p>
            <w:pPr>
              <w:pStyle w:val="Normal6a"/>
            </w:pPr>
            <w:r>
              <w:t>Malli jitlesta l-iskrinjar, l-awtoritajiet kompetenti għandhom, fir-rigward tal-persuni msemmija fl-Artikolu 3, jimlew il-formola fl-Anness I li jkun fiha: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l-isem, id-data u l-post tat-twelid u s-sess;</w:t>
            </w:r>
          </w:p>
        </w:tc>
        <w:tc>
          <w:tcPr>
            <w:tcW w:w="4876" w:type="dxa"/>
            <w:vAlign w:val="top"/>
          </w:tcPr>
          <w:p>
            <w:pPr>
              <w:pStyle w:val="Normal6a"/>
            </w:pPr>
            <w:r>
              <w:t>(a)</w:t>
            </w:r>
            <w:r>
              <w:tab/>
            </w:r>
            <w:r>
              <w:t>l-isem, id-data u l-post tat-twelid u s-sess</w:t>
            </w:r>
            <w:r>
              <w:rPr>
                <w:b/>
                <w:i/>
                <w:strike w:val="0"/>
                <w:color w:val="auto"/>
                <w:highlight w:val="none"/>
                <w:u w:val="none" w:color="auto"/>
                <w:vertAlign w:val="baseline"/>
              </w:rPr>
              <w:t>/ġeneru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l-isem, id-data u l-post tat-twelid u s-sess;</w:t>
            </w:r>
          </w:p>
        </w:tc>
        <w:tc>
          <w:tcPr>
            <w:tcW w:w="4876" w:type="dxa"/>
            <w:vAlign w:val="top"/>
          </w:tcPr>
          <w:p>
            <w:pPr>
              <w:pStyle w:val="Normal6a"/>
            </w:pPr>
            <w:r>
              <w:t>(a)</w:t>
            </w:r>
            <w:r>
              <w:tab/>
            </w:r>
            <w:r>
              <w:t>l-isem, id-data u l-post tat-twelid u s-sess</w:t>
            </w:r>
            <w:r>
              <w:rPr>
                <w:b/>
                <w:i/>
                <w:strike w:val="0"/>
                <w:color w:val="auto"/>
                <w:highlight w:val="none"/>
                <w:u w:val="none" w:color="auto"/>
                <w:vertAlign w:val="baseline"/>
              </w:rPr>
              <w:t>/ġeneru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aa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(aa)</w:t>
            </w:r>
            <w:r>
              <w:tab/>
            </w:r>
            <w:r>
              <w:rPr>
                <w:b/>
                <w:i/>
                <w:strike w:val="0"/>
                <w:color w:val="auto"/>
                <w:highlight w:val="none"/>
                <w:u w:val="none" w:color="auto"/>
                <w:vertAlign w:val="baseline"/>
              </w:rPr>
              <w:t>meta rilevanti, it-twettiq ta' test tal-għadam u l-konklużjonijiet ta' dak it-test;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aa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(aa)</w:t>
            </w:r>
            <w:r>
              <w:tab/>
            </w:r>
            <w:r>
              <w:rPr>
                <w:b/>
                <w:i/>
                <w:strike w:val="0"/>
                <w:color w:val="auto"/>
                <w:highlight w:val="none"/>
                <w:u w:val="none" w:color="auto"/>
                <w:vertAlign w:val="baseline"/>
              </w:rPr>
              <w:t>ir-riżultat tal-proċedura għad-determinazzjoni tal-età;</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l-indikazzjoni inizjali taċ-ċittadinanzi, il-pajjiżi ta’ residenza qabel il-wasla u l-lingwi mitkellma;</w:t>
            </w:r>
          </w:p>
        </w:tc>
        <w:tc>
          <w:tcPr>
            <w:tcW w:w="4876" w:type="dxa"/>
            <w:vAlign w:val="top"/>
          </w:tcPr>
          <w:p>
            <w:pPr>
              <w:pStyle w:val="Normal6a"/>
            </w:pPr>
            <w:r>
              <w:t>(b)</w:t>
            </w:r>
            <w:r>
              <w:tab/>
            </w:r>
            <w:r>
              <w:t xml:space="preserve">l-indikazzjoni inizjali taċ-ċittadinanzi </w:t>
            </w:r>
            <w:r>
              <w:rPr>
                <w:b/>
                <w:i/>
                <w:strike w:val="0"/>
                <w:color w:val="auto"/>
                <w:highlight w:val="none"/>
                <w:u w:val="none" w:color="auto"/>
                <w:vertAlign w:val="baseline"/>
              </w:rPr>
              <w:t>jew l-apolidija tagħhom</w:t>
            </w:r>
            <w:r>
              <w:t>, il-pajjiżi ta' residenza qabel il-wasla u l-lingwi mitkellma;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l-indikazzjoni inizjali taċ-ċittadinanzi, il-pajjiżi ta’ residenza qabel il-wasla u l-lingwi mitkellma;</w:t>
            </w:r>
          </w:p>
        </w:tc>
        <w:tc>
          <w:tcPr>
            <w:tcW w:w="4876" w:type="dxa"/>
            <w:vAlign w:val="top"/>
          </w:tcPr>
          <w:p>
            <w:pPr>
              <w:pStyle w:val="Normal6a"/>
            </w:pPr>
            <w:r>
              <w:t>(b)</w:t>
            </w:r>
            <w:r>
              <w:tab/>
            </w:r>
            <w:r>
              <w:t xml:space="preserve">l-indikazzjoni inizjali </w:t>
            </w:r>
            <w:r>
              <w:rPr>
                <w:b/>
                <w:i/>
                <w:strike w:val="0"/>
                <w:color w:val="auto"/>
                <w:highlight w:val="none"/>
                <w:u w:val="none" w:color="auto"/>
                <w:vertAlign w:val="baseline"/>
              </w:rPr>
              <w:t>tagħhom</w:t>
            </w:r>
            <w:r>
              <w:t xml:space="preserve"> taċ-ċittadinanzi </w:t>
            </w:r>
            <w:r>
              <w:rPr>
                <w:b/>
                <w:i/>
                <w:strike w:val="0"/>
                <w:color w:val="auto"/>
                <w:highlight w:val="none"/>
                <w:u w:val="none" w:color="auto"/>
                <w:vertAlign w:val="baseline"/>
              </w:rPr>
              <w:t>jew tal-apolidija</w:t>
            </w:r>
            <w:r>
              <w:t>, il-pajjiżi ta' residenza qabel il-wasla u l-lingwi mitkellma;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l-indikazzjoni inizjali taċ-ċittadinanzi, il-pajjiżi ta’ residenza qabel il-wasla u l-lingwi mitkellma;</w:t>
            </w:r>
          </w:p>
        </w:tc>
        <w:tc>
          <w:tcPr>
            <w:tcW w:w="4876" w:type="dxa"/>
            <w:vAlign w:val="top"/>
          </w:tcPr>
          <w:p>
            <w:pPr>
              <w:pStyle w:val="Normal6a"/>
            </w:pPr>
            <w:r>
              <w:t>(b)</w:t>
            </w:r>
            <w:r>
              <w:tab/>
            </w:r>
            <w:r>
              <w:t xml:space="preserve">l-indikazzjoni inizjali taċ-ċittadinanzi </w:t>
            </w:r>
            <w:r>
              <w:rPr>
                <w:b/>
                <w:i/>
                <w:strike w:val="0"/>
                <w:color w:val="auto"/>
                <w:highlight w:val="none"/>
                <w:u w:val="none" w:color="auto"/>
                <w:vertAlign w:val="baseline"/>
              </w:rPr>
              <w:t>jew tal-apolidija</w:t>
            </w:r>
            <w:r>
              <w:t>, il-pajjiżi ta' residenza qabel il-wasla u l-lingwi mitkellma;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l-informazzjoni dwar il-verifiki tas-saħħa u tal-vulnerabbiltà mwettqa f'konformità mal-Artikolu 9 u jekk dawn jinvolvux ħtiġijiet speċifiċi ta' akkoljenza jew proċedurali u, fejn xieraq, il-fatt li dawk il-verifiki ma jkunux tlestew matul il-proċedura ta' 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l-informazzjoni rilevanti dwar il-verifiki preliminari tas-saħħa, f'konformità mal-GDPR;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bb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l-informazzjoni rilevanti dwar il-verifika preliminari tal-vulnerabbiltajiet kif ukoll il-ħtiġijiet speċifiċi ta' akkoljenza jew proċedurali identifikati u/jew il-verifiki li ma tlestewx matul il-proċedura ta' 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ir-raġuni</w:t>
            </w:r>
            <w:r>
              <w:t xml:space="preserve"> għall-wasla </w:t>
            </w:r>
            <w:r>
              <w:rPr>
                <w:b/>
                <w:i/>
                <w:strike w:val="0"/>
                <w:color w:val="auto"/>
                <w:highlight w:val="none"/>
                <w:u w:val="none" w:color="auto"/>
                <w:vertAlign w:val="baseline"/>
              </w:rPr>
              <w:t>mhux awtorizzata, id-dħul, u, fejn xieraq, ir-residenza jew is-soġġorn illegali, inkluża informazzjoni dwar jekk il-persuna tkunx għamlet applikazzjoni għall-protezzjoni internazzjonali</w:t>
            </w:r>
            <w:r>
              <w:t>;</w:t>
            </w:r>
          </w:p>
        </w:tc>
        <w:tc>
          <w:tcPr>
            <w:tcW w:w="4876" w:type="dxa"/>
            <w:vAlign w:val="top"/>
          </w:tcPr>
          <w:p>
            <w:pPr>
              <w:pStyle w:val="Normal6a"/>
            </w:pPr>
            <w:r>
              <w:t>(c)</w:t>
            </w:r>
            <w:r>
              <w:tab/>
            </w:r>
            <w:r>
              <w:rPr>
                <w:b/>
                <w:i/>
                <w:strike w:val="0"/>
                <w:color w:val="auto"/>
                <w:highlight w:val="none"/>
                <w:u w:val="none" w:color="auto"/>
                <w:vertAlign w:val="baseline"/>
              </w:rPr>
              <w:t>ir-raġunijiet</w:t>
            </w:r>
            <w:r>
              <w:t xml:space="preserve"> għall-wasla;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ir-raġuni </w:t>
            </w:r>
            <w:r>
              <w:rPr>
                <w:b/>
                <w:i/>
                <w:strike w:val="0"/>
                <w:color w:val="auto"/>
                <w:highlight w:val="none"/>
                <w:u w:val="none" w:color="auto"/>
                <w:vertAlign w:val="baseline"/>
              </w:rPr>
              <w:t>għall-wasla mhux awtorizzata, id-dħul, u, fejn xieraq, ir-residenza jew is-soġġorn illegali, inkluża</w:t>
            </w:r>
            <w:r>
              <w:t xml:space="preserve"> informazzjoni dwar jekk il-persuna tkunx għamlet applikazzjoni għall-protezzjoni internazzjonali;</w:t>
            </w:r>
          </w:p>
        </w:tc>
        <w:tc>
          <w:tcPr>
            <w:tcW w:w="4876" w:type="dxa"/>
            <w:vAlign w:val="top"/>
          </w:tcPr>
          <w:p>
            <w:pPr>
              <w:pStyle w:val="Normal6a"/>
            </w:pPr>
            <w:r>
              <w:t>(c)</w:t>
            </w:r>
            <w:r>
              <w:tab/>
            </w:r>
            <w:r>
              <w:t xml:space="preserve">ir-raġuni </w:t>
            </w:r>
            <w:r>
              <w:rPr>
                <w:b/>
                <w:i/>
                <w:strike w:val="0"/>
                <w:color w:val="auto"/>
                <w:highlight w:val="none"/>
                <w:u w:val="none" w:color="auto"/>
                <w:vertAlign w:val="baseline"/>
              </w:rPr>
              <w:t>li għaliha twettaq l-iskrinjar u</w:t>
            </w:r>
            <w:r>
              <w:t xml:space="preserve"> informazzjoni dwar jekk il-persuna tkunx għamlet applikazzjoni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ir-raġuni għall-wasla mhux awtorizzata</w:t>
            </w:r>
            <w:r>
              <w:t>, id-dħul</w:t>
            </w:r>
            <w:r>
              <w:rPr>
                <w:b/>
                <w:i/>
                <w:strike w:val="0"/>
                <w:color w:val="auto"/>
                <w:highlight w:val="none"/>
                <w:u w:val="none" w:color="auto"/>
                <w:vertAlign w:val="baseline"/>
              </w:rPr>
              <w:t>, u, fejn xieraq, ir-residenza jew is-soġġorn illegali</w:t>
            </w:r>
            <w:r>
              <w:t>, inkluża informazzjoni dwar jekk il-persuna tkunx għamlet applikazzjoni għall-protezzjoni internazzjonali;</w:t>
            </w:r>
          </w:p>
        </w:tc>
        <w:tc>
          <w:tcPr>
            <w:tcW w:w="4876" w:type="dxa"/>
            <w:vAlign w:val="top"/>
          </w:tcPr>
          <w:p>
            <w:pPr>
              <w:pStyle w:val="Normal6a"/>
            </w:pPr>
            <w:r>
              <w:t>(c)</w:t>
            </w:r>
            <w:r>
              <w:tab/>
            </w:r>
            <w:r>
              <w:rPr>
                <w:b/>
                <w:i/>
                <w:strike w:val="0"/>
                <w:color w:val="auto"/>
                <w:highlight w:val="none"/>
                <w:u w:val="none" w:color="auto"/>
                <w:vertAlign w:val="baseline"/>
              </w:rPr>
              <w:t>iċ-ċirkostanzi tal-wasla</w:t>
            </w:r>
            <w:r>
              <w:t>, id-dħul, inkluża informazzjoni dwar jekk il-persuna tkunx għamlet applikazzjoni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l-informazzjoni dwar jekk iċ-ċittadin ta' pajjiż terz għandux membri tal-familja jew qraba li jinsabu fit-territorju ta' xi wieħed mill-Istati Membri;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l-informazzjoni dwar jekk iċ-ċittadin ta' pajjiż terz applikax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ir-riżultati tal-verifiki tas-saħħa u tal-vulnerabbiltajiet skont l-Artikolu 9 ta' dan ir-Regolament, inkluża informazzjoni li tindika jekk iċ-ċittadin ta' pajjiż terz huwiex f'sitwazzjoni vulnerabbli, huwiex vittma ta' tortura jew għandux ħtiġijiet speċjali ta' akkoljenza jew proċedurali, jew ir-raġunijiet għaliex dawk il-verifiki ma tlestewx matul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cc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(cc)</w:t>
            </w:r>
            <w:r>
              <w:tab/>
            </w:r>
            <w:r>
              <w:rPr>
                <w:b/>
                <w:i/>
                <w:strike w:val="0"/>
                <w:color w:val="auto"/>
                <w:highlight w:val="none"/>
                <w:u w:val="none" w:color="auto"/>
                <w:vertAlign w:val="baseline"/>
              </w:rPr>
              <w:t>l-informazzjoni dwar jekk iċ-ċittadin ta' pajjiż terz għandux relazzjonijiet familjali fit-territorju ta' xi wieħed mill-Istati Membri.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l-informazzjoni miksuba dwar ir-rotot ivvjaġġati, inkluż il-punt tat-tluq, il-postijiet ta’ residenza preċedenti, il-pajjiżi terzi ta’ tranżitu u dawk fejn setgħet ġiet mitluba jew mogħtija l-protezzjoni kif ukoll id-destinazzjoni maħsuba fl-Unjoni;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l-informazzjoni miksuba dwar ir-rotot ivvjaġġati, inkluż il-punt tat-tluq, il-postijiet ta’ residenza preċedenti, il-pajjiżi terzi ta’ tranżitu u dawk fejn setgħet ġiet mitluba jew mogħtija l-protezzjoni kif ukoll id-destinazzjoni maħsuba fl-Unjoni;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l-informazzjoni dwar l-assistenza pprovduta minn persuna jew organizzazzjoni kriminali fir-rigward ta’ qsim mhux awtorizzat tal-fruntiera, u kwalunkwe informazzjoni relatata f’każijiet ta’ suspett ta’ faċilitazzjoni ta’ immigrazzjoni illegali.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l-informazzjoni dwar l-assistenza pprovduta minn persuna jew organizzazzjoni kriminali fir-rigward ta’ qsim mhux awtorizzat tal-fruntiera, u kwalunkwe informazzjoni relatata f’każijiet ta’ suspett ta’ faċilitazzjoni ta’ immigrazzjoni illegali.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l-informazzjoni dwar l-assistenza pprovduta minn persuna jew organizzazzjoni kriminali fir-rigward ta’ qsim mhux awtorizzat tal-fruntiera, u kwalunkwe informazzjoni relatata f’każijiet ta’ suspett ta’ faċilitazzjoni ta’ immigrazzjoni illegali.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l-informazzjoni dwar l-assistenza pprovduta minn persuna jew organizzazzjoni </w:t>
            </w:r>
            <w:r>
              <w:rPr>
                <w:b/>
                <w:i/>
                <w:strike w:val="0"/>
                <w:color w:val="auto"/>
                <w:highlight w:val="none"/>
                <w:u w:val="none" w:color="auto"/>
                <w:vertAlign w:val="baseline"/>
              </w:rPr>
              <w:t>kriminali</w:t>
            </w:r>
            <w:r>
              <w:t xml:space="preserve"> fir-rigward ta’ qsim mhux awtorizzat tal-fruntiera, u kwalunkwe informazzjoni relatata f’każijiet ta’ suspett ta’ faċilitazzjoni ta’ immigrazzjoni illegali.</w:t>
            </w:r>
          </w:p>
        </w:tc>
        <w:tc>
          <w:tcPr>
            <w:tcW w:w="4876" w:type="dxa"/>
            <w:vAlign w:val="top"/>
          </w:tcPr>
          <w:p>
            <w:pPr>
              <w:pStyle w:val="Normal6a"/>
            </w:pPr>
            <w:r>
              <w:t>(e)</w:t>
            </w:r>
            <w:r>
              <w:tab/>
            </w:r>
            <w:r>
              <w:t>l-informazzjoni dwar l-assistenza pprovduta minn persuna jew organizzazzjoni fir-rigward ta' qsim mhux awtorizzat tal-fruntiera, u kwalunkwe informazzjoni relatata f'każijiet ta' suspett ta' faċilitazzjoni ta' immigrazzjoni illegali.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 – punt ea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(ea)</w:t>
            </w:r>
            <w:r>
              <w:tab/>
            </w:r>
            <w:r>
              <w:rPr>
                <w:b/>
                <w:i/>
                <w:strike w:val="0"/>
                <w:color w:val="auto"/>
                <w:highlight w:val="none"/>
                <w:u w:val="none" w:color="auto"/>
                <w:vertAlign w:val="baseline"/>
              </w:rPr>
              <w:t>l-informazzjoni dwar membri tal-familja jew qraba adulti preżenti fl-UE kif definit fid-Direttiva (UE) XXX/XXX [riformulazzjoni tad-Direttiva dwar il-Kondizzjonijiet tal-Akkoljenza];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Il-formola għandha tiġi abbozzata b'lingwa li ċ-ċittadin ta' pajjiż terz jifhem u tingħata lill-persuna kkonċernata qabel ma tiġi trażmessa lill-awtoritajiet rilevanti msemmija fl-Artikolu 14, sabiex iċ-ċittadin ta' pajjiż terz ikun jista' jirribatti r-rappreżentazzjoni tal-fatti inklużi fil-formola u jeżerċita b'mod effettiv id-drittijiet minquxa fl-Artikoli 15, 16, 22 u 77 tal-GDPR.</w:t>
            </w:r>
            <w:r>
              <w:t xml:space="preserve"> </w:t>
            </w:r>
            <w:r>
              <w:rPr>
                <w:b/>
                <w:i/>
                <w:strike w:val="0"/>
                <w:color w:val="auto"/>
                <w:highlight w:val="none"/>
                <w:u w:val="none" w:color="auto"/>
                <w:vertAlign w:val="baseline"/>
              </w:rPr>
              <w:t>L-awtoritajiet kompetenti għandhom jirreġistraw fil-formola kwalunkwe rimarka jew oġġezzjoni miċ-ċittadin ta' pajjiż terz dwar l-eżattezza tad-data u tal-informazzjoni inklużi fiha.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Il-proċedura għandha tiżgura li l-persuna teżerċita d-dritt tagħha li tinstema' u għal rimedju adegwat.</w:t>
            </w:r>
            <w:r>
              <w:t xml:space="preserve"> </w:t>
            </w:r>
            <w:r>
              <w:rPr>
                <w:b/>
                <w:i/>
                <w:strike w:val="0"/>
                <w:color w:val="auto"/>
                <w:highlight w:val="none"/>
                <w:u w:val="none" w:color="auto"/>
                <w:vertAlign w:val="baseline"/>
              </w:rPr>
              <w:t>Il-formola ta' debriefing għandha tkun deċiżjoni amministrattiva li tista' tiġi appellata.</w:t>
            </w:r>
            <w:r>
              <w:t xml:space="preserve"> </w:t>
            </w:r>
            <w:r>
              <w:rPr>
                <w:b/>
                <w:i/>
                <w:strike w:val="0"/>
                <w:color w:val="auto"/>
                <w:highlight w:val="none"/>
                <w:u w:val="none" w:color="auto"/>
                <w:vertAlign w:val="baseline"/>
              </w:rPr>
              <w:t>Il-persuna għandha tirċievi kopja tal-formola ta' debriefing f'lingwa li tifhem u tkun tista' tikkummenta dwar l-informazzjoni li tinsab fiha.</w:t>
            </w:r>
            <w:r>
              <w:t xml:space="preserve"> </w:t>
            </w:r>
            <w:r>
              <w:rPr>
                <w:b/>
                <w:i/>
                <w:strike w:val="0"/>
                <w:color w:val="auto"/>
                <w:highlight w:val="none"/>
                <w:u w:val="none" w:color="auto"/>
                <w:vertAlign w:val="baseline"/>
              </w:rPr>
              <w:t>Il-persuna għandha tkun assistita minn interpretu.</w:t>
            </w:r>
            <w:r>
              <w:t xml:space="preserve"> </w:t>
            </w:r>
            <w:r>
              <w:rPr>
                <w:b/>
                <w:i/>
                <w:strike w:val="0"/>
                <w:color w:val="auto"/>
                <w:highlight w:val="none"/>
                <w:u w:val="none" w:color="auto"/>
                <w:vertAlign w:val="baseline"/>
              </w:rPr>
              <w:t>Il-persuna għandu jkollha wkoll aċċess għal proċedura ta' appell biex tikkontesta kwalunkwe informazzjoni pprovduta fil-formola u għandha tingħata parir dwar il-mezzi ta' appell.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Il-formola ta' debriefing hija deċiżjoni amministrattiva li tista' tiġi appellata.</w:t>
            </w:r>
            <w:r>
              <w:t xml:space="preserve"> </w:t>
            </w:r>
            <w:r>
              <w:rPr>
                <w:b/>
                <w:i/>
                <w:strike w:val="0"/>
                <w:color w:val="auto"/>
                <w:highlight w:val="none"/>
                <w:u w:val="none" w:color="auto"/>
                <w:vertAlign w:val="baseline"/>
              </w:rPr>
              <w:t>Il-persuna għandha tingħata parir dwar il-mezzi ta' appell u tirċievi kopja tal-formola ta' debriefing qabel ma l-formola tiġi trażmessa lill-awtoritajiet u tkun tista' tirrieżamina, tirrettifika u tikkontesta l-informazzjoni pprovduta fil-formola ta' debriefing.</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L-awtoritajiet kompetenti għandhom jittrażmettu elettronikament id-data mhux personali miġbura fil-formola fl-Anness I lill-Frontex sabiex jagħtu l-istampa tas-sitwazzjoni kif imsemmi fl-Artikolu 24(1)(a) tar-Regolament (UE) 2019/1896.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Il-formola għandha tiġi abbozzata b'lingwa li ċ-ċittadin ta' pajjiż terz jifhem u tingħata lill-persuna kkonċernata qabel ma tiġi trażmessa lill-awtoritajiet rilevanti msemmija fl-Artikolu 14, sabiex iċ-ċittadin ta' pajjiż terz ikun jista' jirribatti r-rappreżentazzjoni tal-fatti inklużi fil-formola u jeżerċita b'mod effettiv id-drittijiet minquxa fl-Artikoli 15, 16, 22 u 77 tal-GDPR.</w:t>
            </w:r>
            <w:r>
              <w:rPr>
                <w:b/>
                <w:i/>
                <w:strike w:val="0"/>
                <w:color w:val="auto"/>
                <w:highlight w:val="none"/>
                <w:u w:val="none" w:color="auto"/>
                <w:vertAlign w:val="baseline"/>
              </w:rPr>
              <w:t>L-awtoritajiet kompetenti għandhom jirreġistraw fil-formola kwalunkwe rimarka jew oġġezzjoni miċ-ċittadin ta' pajjiż terz dwar l-eżattezza tad-data u tal-informazzjoni inklużi fiha.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L-informazzjoni inkluża fil-formola għandha tingħata wkoll bil-fomm, bl-għajnuna ta' interpretu fejn meħtieġ.</w:t>
            </w:r>
            <w:r>
              <w:t xml:space="preserve"> </w:t>
            </w:r>
            <w:r>
              <w:rPr>
                <w:b/>
                <w:i/>
                <w:strike w:val="0"/>
                <w:color w:val="auto"/>
                <w:highlight w:val="none"/>
                <w:u w:val="none" w:color="auto"/>
                <w:vertAlign w:val="baseline"/>
              </w:rPr>
              <w:t>Fil-każ ta' minorenni mhux akkumpanjati, għandha tingħata informazzjoni u l-formola għandha tingħata fil-preżenza tar-rappreżentant maħtur skont l-Artikolu 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13 – paragrafu 1b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L-informazzjoni inkluża fil-formola għandha tingħata wkoll bil-fomm, bl-għajnuna ta' interpretu fejn meħtieġ.</w:t>
            </w:r>
            <w:r>
              <w:t xml:space="preserve"> </w:t>
            </w:r>
            <w:r>
              <w:rPr>
                <w:b/>
                <w:i/>
                <w:strike w:val="0"/>
                <w:color w:val="auto"/>
                <w:highlight w:val="none"/>
                <w:u w:val="none" w:color="auto"/>
                <w:vertAlign w:val="baseline"/>
              </w:rPr>
              <w:t>Fil-każ ta' minorenni mhux akkumpanjati, għandha tingħata informazzjoni u l-formola għandha tingħata fil-preżenza tar-rappreżentant maħtur skont l-Artikolu 9a.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Iċ-ċittadini ta’ pajjiżi terzi msemmija fil-punt (a) u (b) tal-Artikolu 3(1) ta’ dan ir-Regolament li</w:t>
            </w:r>
          </w:p>
        </w:tc>
        <w:tc>
          <w:tcPr>
            <w:tcW w:w="4876" w:type="dxa"/>
            <w:vAlign w:val="top"/>
          </w:tcPr>
          <w:p>
            <w:pPr>
              <w:pStyle w:val="Normal6a"/>
            </w:pPr>
            <w:r>
              <w:t>14</w:t>
            </w:r>
            <w:r>
              <w:tab/>
            </w:r>
            <w:r>
              <w:rPr>
                <w:b/>
                <w:i/>
                <w:strike w:val="0"/>
                <w:color w:val="auto"/>
                <w:highlight w:val="none"/>
                <w:u w:val="none" w:color="auto"/>
                <w:vertAlign w:val="baseline"/>
              </w:rPr>
              <w:t>Tlestija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Iċ-ċittadini ta’ pajjiżi terzi msemmija fil-punt (a) u (b) tal-Artikolu 3(1) ta’ dan ir-Regolament li</w:t>
            </w:r>
          </w:p>
        </w:tc>
        <w:tc>
          <w:tcPr>
            <w:tcW w:w="4876" w:type="dxa"/>
            <w:vAlign w:val="top"/>
          </w:tcPr>
          <w:p>
            <w:pPr>
              <w:pStyle w:val="Normal6a"/>
            </w:pPr>
            <w:r>
              <w:t>14</w:t>
            </w:r>
            <w:r>
              <w:tab/>
            </w:r>
            <w:r>
              <w:rPr>
                <w:b/>
                <w:i/>
                <w:strike w:val="0"/>
                <w:color w:val="auto"/>
                <w:highlight w:val="none"/>
                <w:u w:val="none" w:color="auto"/>
                <w:vertAlign w:val="baseline"/>
              </w:rPr>
              <w:t>Finalizzazzjoni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Malli jitlesta l-iskrinjar jew, mhux aktar tard minn meta jiskadu l-limiti ta' żmien msemmija fl-Artikolu 6, għandhom japplikaw ir-regoli li ġejjin.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Ladarba jitlesta l-iskrinjar jew, mhux aktar tard minn meta jiskadu l-limiti ta' żmien stabbiliti fl-Artikolu 6, japplikaw ir-regoli li ġejjin: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Iċ-ċittadini ta’ pajjiżi terzi msemmija fil-punt (a) u (b) tal-Artikolu 3(1) ta’ dan ir-Regolament li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ma applikawx għall-protezzjoni internazzjonali 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fir-rigward tagħhom l-iskrinjar ma jkunx żvela li jissodisfaw il-kundizzjonijiet tad-dħul stabbiliti fl-Artikolu 6 tar-Regolament (UE) 2016/399,</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għandhom jiġu rriferuti lill-awtoritajiet kompetenti biex japplikaw proċeduri li jirrispettaw id-Direttiva (UE) 2008/115/KE (id-Direttiva dwar ir-Ritorn).</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Iċ-ċittadini ta’ pajjiżi terzi msemmija </w:t>
            </w:r>
            <w:r>
              <w:rPr>
                <w:b/>
                <w:i/>
                <w:strike w:val="0"/>
                <w:color w:val="auto"/>
                <w:highlight w:val="none"/>
                <w:u w:val="none" w:color="auto"/>
                <w:vertAlign w:val="baseline"/>
              </w:rPr>
              <w:t>fil-punt (a) u (b) tal-Artikolu</w:t>
            </w:r>
            <w:r>
              <w:t xml:space="preserve"> 3(1) ta’ dan ir-Regolament li</w:t>
            </w:r>
          </w:p>
        </w:tc>
        <w:tc>
          <w:tcPr>
            <w:tcW w:w="4876" w:type="dxa"/>
            <w:vAlign w:val="top"/>
          </w:tcPr>
          <w:p>
            <w:pPr>
              <w:pStyle w:val="Normal6a"/>
            </w:pPr>
            <w:r>
              <w:t xml:space="preserve">Iċ-ċittadini ta' pajjiżi terzi msemmija </w:t>
            </w:r>
            <w:r>
              <w:rPr>
                <w:b/>
                <w:i/>
                <w:strike w:val="0"/>
                <w:color w:val="auto"/>
                <w:highlight w:val="none"/>
                <w:u w:val="none" w:color="auto"/>
                <w:vertAlign w:val="baseline"/>
              </w:rPr>
              <w:t>fl-Artikolu</w:t>
            </w:r>
            <w:r>
              <w:t> 3(1) ta' dan ir-Regolament 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Iċ-ċittadini ta’ pajjiżi terzi msemmija </w:t>
            </w:r>
            <w:r>
              <w:rPr>
                <w:b/>
                <w:i/>
                <w:strike w:val="0"/>
                <w:color w:val="auto"/>
                <w:highlight w:val="none"/>
                <w:u w:val="none" w:color="auto"/>
                <w:vertAlign w:val="baseline"/>
              </w:rPr>
              <w:t>fil-punt (a) u (b) tal-Artikolu</w:t>
            </w:r>
            <w:r>
              <w:t xml:space="preserve"> 3(1) ta’ dan ir-Regolament li</w:t>
            </w:r>
          </w:p>
        </w:tc>
        <w:tc>
          <w:tcPr>
            <w:tcW w:w="4876" w:type="dxa"/>
            <w:vAlign w:val="top"/>
          </w:tcPr>
          <w:p>
            <w:pPr>
              <w:pStyle w:val="Normal6a"/>
            </w:pPr>
            <w:r>
              <w:t xml:space="preserve">Iċ-ċittadini ta' pajjiżi terzi msemmija </w:t>
            </w:r>
            <w:r>
              <w:rPr>
                <w:b/>
                <w:i/>
                <w:strike w:val="0"/>
                <w:color w:val="auto"/>
                <w:highlight w:val="none"/>
                <w:u w:val="none" w:color="auto"/>
                <w:vertAlign w:val="baseline"/>
              </w:rPr>
              <w:t>fl-Artikolu</w:t>
            </w:r>
            <w:r>
              <w:t> 3(1) ta' dan ir-Regolament 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Iċ-ċittadini ta’ pajjiżi terzi msemmija fil-punt (a) u (b) tal-Artikolu 3(1) ta’ dan ir-Regolament li</w:t>
            </w:r>
          </w:p>
        </w:tc>
        <w:tc>
          <w:tcPr>
            <w:tcW w:w="4876" w:type="dxa"/>
            <w:vAlign w:val="top"/>
          </w:tcPr>
          <w:p>
            <w:pPr>
              <w:pStyle w:val="Normal6a"/>
            </w:pPr>
            <w:r>
              <w:t xml:space="preserve">Iċ-ċittadini ta' pajjiżi terzi msemmija fil-punt (a) u (b) tal-Artikolu 3(1) </w:t>
            </w:r>
            <w:r>
              <w:rPr>
                <w:b/>
                <w:i/>
                <w:strike w:val="0"/>
                <w:color w:val="auto"/>
                <w:highlight w:val="none"/>
                <w:u w:val="none" w:color="auto"/>
                <w:vertAlign w:val="baseline"/>
              </w:rPr>
              <w:t>u fl-Artikolu 5</w:t>
            </w:r>
            <w:r>
              <w:t xml:space="preserve"> ta' dan ir-Regolament 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rPr>
                <w:b/>
                <w:i/>
                <w:strike w:val="0"/>
                <w:color w:val="auto"/>
                <w:highlight w:val="none"/>
                <w:u w:val="none" w:color="auto"/>
                <w:vertAlign w:val="baseline"/>
              </w:rPr>
              <w:t>ma applikawx għall-protezzjoni internazzjonali u</w:t>
            </w:r>
          </w:p>
        </w:tc>
        <w:tc>
          <w:tcPr>
            <w:tcW w:w="4876" w:type="dxa"/>
            <w:vAlign w:val="top"/>
          </w:tcPr>
          <w:p>
            <w:pPr>
              <w:pStyle w:val="Normal6a"/>
            </w:pPr>
            <w:r>
              <w:t>—</w:t>
            </w:r>
            <w:r>
              <w:tab/>
            </w: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 xml:space="preserve">ma </w:t>
            </w:r>
            <w:r>
              <w:rPr>
                <w:b/>
                <w:i/>
                <w:strike w:val="0"/>
                <w:color w:val="auto"/>
                <w:highlight w:val="none"/>
                <w:u w:val="none" w:color="auto"/>
                <w:vertAlign w:val="baseline"/>
              </w:rPr>
              <w:t>applikawx</w:t>
            </w:r>
            <w:r>
              <w:t xml:space="preserve"> għall-protezzjoni internazzjonali </w:t>
            </w:r>
            <w:r>
              <w:rPr>
                <w:b/>
                <w:i/>
                <w:strike w:val="0"/>
                <w:color w:val="auto"/>
                <w:highlight w:val="none"/>
                <w:u w:val="none" w:color="auto"/>
                <w:vertAlign w:val="baseline"/>
              </w:rPr>
              <w:t>u</w:t>
            </w:r>
          </w:p>
        </w:tc>
        <w:tc>
          <w:tcPr>
            <w:tcW w:w="4876" w:type="dxa"/>
            <w:vAlign w:val="top"/>
          </w:tcPr>
          <w:p>
            <w:pPr>
              <w:pStyle w:val="Normal6a"/>
            </w:pPr>
            <w:r>
              <w:t>—</w:t>
            </w:r>
            <w:r>
              <w:tab/>
            </w:r>
            <w:r>
              <w:t xml:space="preserve">ma </w:t>
            </w:r>
            <w:r>
              <w:rPr>
                <w:b/>
                <w:i/>
                <w:strike w:val="0"/>
                <w:color w:val="auto"/>
                <w:highlight w:val="none"/>
                <w:u w:val="none" w:color="auto"/>
                <w:vertAlign w:val="baseline"/>
              </w:rPr>
              <w:t>ppreżentawx applikazzjoni</w:t>
            </w:r>
            <w:r>
              <w:t xml:space="preserve">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 xml:space="preserve">ma </w:t>
            </w:r>
            <w:r>
              <w:rPr>
                <w:b/>
                <w:i/>
                <w:strike w:val="0"/>
                <w:color w:val="auto"/>
                <w:highlight w:val="none"/>
                <w:u w:val="none" w:color="auto"/>
                <w:vertAlign w:val="baseline"/>
              </w:rPr>
              <w:t>applikawx</w:t>
            </w:r>
            <w:r>
              <w:t xml:space="preserve"> għall-protezzjoni internazzjonali u</w:t>
            </w:r>
          </w:p>
        </w:tc>
        <w:tc>
          <w:tcPr>
            <w:tcW w:w="4876" w:type="dxa"/>
            <w:vAlign w:val="top"/>
          </w:tcPr>
          <w:p>
            <w:pPr>
              <w:pStyle w:val="Normal6a"/>
            </w:pPr>
            <w:r>
              <w:t>—</w:t>
            </w:r>
            <w:r>
              <w:tab/>
            </w:r>
            <w:r>
              <w:t xml:space="preserve">ma </w:t>
            </w:r>
            <w:r>
              <w:rPr>
                <w:b/>
                <w:i/>
                <w:strike w:val="0"/>
                <w:color w:val="auto"/>
                <w:highlight w:val="none"/>
                <w:u w:val="none" w:color="auto"/>
                <w:vertAlign w:val="baseline"/>
              </w:rPr>
              <w:t>esprimewx ix-xewqa tagħhom li japplikaw</w:t>
            </w:r>
            <w:r>
              <w:t xml:space="preserve"> għall-protezzjoni internazzjonali 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ma jaqgħux fil-kamp ta' applikazzjoni tal-paragrafi 2 u 3 ta' dan l-Artikolu, 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fir-rigward tagħhom l-iskrinjar ma jkunx żvela li jissodisfaw il-kundizzjonijiet tad-dħul stabbiliti fl-Artikolu 6 tar-Regolament (UE)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fir-rigward tagħhom l-iskrinjar ma jkunx żvela li jissodisfaw il-kundizzjonijiet tad-dħul stabbiliti fl-Artikolu 6 tar-Regolament (UE)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fir-rigward tagħhom l-iskrinjar ma jkunx żvela li jissodisfaw il-kundizzjonijiet tad-dħul stabbiliti fl-Artikolu 6 tar-Regolament (UE) 2016/399,</w:t>
            </w:r>
          </w:p>
        </w:tc>
        <w:tc>
          <w:tcPr>
            <w:tcW w:w="4876" w:type="dxa"/>
            <w:vAlign w:val="top"/>
          </w:tcPr>
          <w:p>
            <w:pPr>
              <w:pStyle w:val="Normal6a"/>
            </w:pPr>
            <w:r>
              <w:t>—</w:t>
            </w:r>
            <w:r>
              <w:tab/>
            </w:r>
            <w:r>
              <w:t xml:space="preserve">fir-rigward tagħhom l-iskrinjar ma jkunx żvela li jissodisfaw il-kundizzjonijiet tad-dħul stabbiliti fl-Artikolu 6 tar-Regolament (UE) 2016/399, </w:t>
            </w:r>
            <w:r>
              <w:rPr>
                <w:b/>
                <w:i/>
                <w:strike w:val="0"/>
                <w:color w:val="auto"/>
                <w:highlight w:val="none"/>
                <w:u w:val="none" w:color="auto"/>
                <w:vertAlign w:val="baseline"/>
              </w:rPr>
              <w: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2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mhumiex eliġibbli biex japplikaw għal permess ta' residenza jew awtorizzazzjoni oħra li toffri dritt ta' soġġorn għal raġunijiet ta' kompassjoni, umanitarji jew raġunijiet oħra skont il-leġiżlazzjoni ta' Stat Membru jew dispożizzjonijiet oħra tad-dritt tal-Unjoni jew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inċiż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mhumiex eliġibbli li jidħlu jew jibqgħu fit-territorju għal kwalunkwe raġuni oħra skont il-leġiżlazzjoni ta' Stat Membru, id-dritt tal-Unjoni jew id-dritt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għandhom jiġu rriferuti lill-awtoritajiet kompetenti biex japplikaw </w:t>
            </w:r>
            <w:r>
              <w:rPr>
                <w:b/>
                <w:i/>
                <w:strike w:val="0"/>
                <w:color w:val="auto"/>
                <w:highlight w:val="none"/>
                <w:u w:val="none" w:color="auto"/>
                <w:vertAlign w:val="baseline"/>
              </w:rPr>
              <w:t>proċeduri li jirrispettaw id-Direttiva</w:t>
            </w:r>
            <w:r>
              <w:t xml:space="preserve"> (UE) 2008/115/KE (id-Direttiva dwar ir-Ritorn).</w:t>
            </w:r>
          </w:p>
        </w:tc>
        <w:tc>
          <w:tcPr>
            <w:tcW w:w="4876" w:type="dxa"/>
            <w:vAlign w:val="top"/>
          </w:tcPr>
          <w:p>
            <w:pPr>
              <w:pStyle w:val="Normal6a"/>
            </w:pPr>
            <w:r>
              <w:t xml:space="preserve">għandhom jiġu rriferuti lill-awtoritajiet kompetenti biex japplikaw </w:t>
            </w:r>
            <w:r>
              <w:rPr>
                <w:b/>
                <w:i/>
                <w:strike w:val="0"/>
                <w:color w:val="auto"/>
                <w:highlight w:val="none"/>
                <w:u w:val="none" w:color="auto"/>
                <w:vertAlign w:val="baseline"/>
              </w:rPr>
              <w:t>il-proċeduri previsti fid-Direttiva</w:t>
            </w:r>
            <w:r>
              <w:t xml:space="preserve"> (UE) 2008/115/KE (id-Direttiva dwar ir-Ritorn)</w:t>
            </w:r>
            <w:r>
              <w:rPr>
                <w:b/>
                <w:i/>
                <w:strike w:val="0"/>
                <w:color w:val="auto"/>
                <w:highlight w:val="none"/>
                <w:u w:val="none" w:color="auto"/>
                <w:vertAlign w:val="baseline"/>
              </w:rPr>
              <w:t>, mingħajr preġudizzju għall-applikazzjoni tal-Artikolu 6(5) tar-Regolament (UE)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għandhom jiġu rriferuti lill-awtoritajiet kompetenti biex japplikaw </w:t>
            </w:r>
            <w:r>
              <w:rPr>
                <w:b/>
                <w:i/>
                <w:strike w:val="0"/>
                <w:color w:val="auto"/>
                <w:highlight w:val="none"/>
                <w:u w:val="none" w:color="auto"/>
                <w:vertAlign w:val="baseline"/>
              </w:rPr>
              <w:t>proċeduri li jirrispettaw id-Direttiva</w:t>
            </w:r>
            <w:r>
              <w:t xml:space="preserve"> (UE) 2008/115/KE (id-Direttiva dwar ir-Ritorn).</w:t>
            </w:r>
          </w:p>
        </w:tc>
        <w:tc>
          <w:tcPr>
            <w:tcW w:w="4876" w:type="dxa"/>
            <w:vAlign w:val="top"/>
          </w:tcPr>
          <w:p>
            <w:pPr>
              <w:pStyle w:val="Normal6a"/>
            </w:pPr>
            <w:r>
              <w:t xml:space="preserve">għandhom jiġu rriferuti lill-awtoritajiet kompetenti biex japplikaw </w:t>
            </w:r>
            <w:r>
              <w:rPr>
                <w:b/>
                <w:i/>
                <w:strike w:val="0"/>
                <w:color w:val="auto"/>
                <w:highlight w:val="none"/>
                <w:u w:val="none" w:color="auto"/>
                <w:vertAlign w:val="baseline"/>
              </w:rPr>
              <w:t>malajr proċeduri f'konformità mad-Direttiva</w:t>
            </w:r>
            <w:r>
              <w:t xml:space="preserve"> (UE) 2008/115/KE (id-Direttiva dwar ir-Ritorn).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għandhom jiġu rriferuti lill-awtoritajiet kompetenti biex japplikaw proċeduri li jirrispettaw id-Direttiva (UE) 2008/115/KE (id-Direttiva dwar ir-Ritorn).</w:t>
            </w:r>
          </w:p>
        </w:tc>
        <w:tc>
          <w:tcPr>
            <w:tcW w:w="4876" w:type="dxa"/>
            <w:vAlign w:val="top"/>
          </w:tcPr>
          <w:p>
            <w:pPr>
              <w:pStyle w:val="Normal6a"/>
            </w:pPr>
            <w:r>
              <w:t xml:space="preserve">għandhom jiġu rriferuti lill-awtoritajiet kompetenti biex japplikaw proċeduri li jirrispettaw id-Direttiva (UE) 2008/115/KE (id-Direttiva dwar ir-Ritorn) </w:t>
            </w:r>
            <w:r>
              <w:rPr>
                <w:b/>
                <w:i/>
                <w:strike w:val="0"/>
                <w:color w:val="auto"/>
                <w:highlight w:val="none"/>
                <w:u w:val="none" w:color="auto"/>
                <w:vertAlign w:val="baseline"/>
              </w:rPr>
              <w:t>inkluż, fejn applikabbli, l-Artikolu 2(2)(a) ta' dik id-Direttiva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F’każijiet mhux relatati ma’ operazzjonijiet ta’ tfittxija u salvataġġ, id-dħul jista’ jiġi rrifjutat skont l-Artikolu 14 tar-Regolament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F’każijiet mhux relatati ma’ operazzjonijiet ta’ tfittxija u salvataġġ</w:t>
            </w:r>
            <w:r>
              <w:t xml:space="preserve">, id-dħul </w:t>
            </w:r>
            <w:r>
              <w:rPr>
                <w:b/>
                <w:i/>
                <w:strike w:val="0"/>
                <w:color w:val="auto"/>
                <w:highlight w:val="none"/>
                <w:u w:val="none" w:color="auto"/>
                <w:vertAlign w:val="baseline"/>
              </w:rPr>
              <w:t>jista’</w:t>
            </w:r>
            <w:r>
              <w:t xml:space="preserve"> jiġi rrifjutat </w:t>
            </w:r>
            <w:r>
              <w:rPr>
                <w:b/>
                <w:i/>
                <w:strike w:val="0"/>
                <w:color w:val="auto"/>
                <w:highlight w:val="none"/>
                <w:u w:val="none" w:color="auto"/>
                <w:vertAlign w:val="baseline"/>
              </w:rPr>
              <w:t>skont l-Artikolu</w:t>
            </w:r>
            <w:r>
              <w:t xml:space="preserve"> 14 tar-Regolament 2016/399.</w:t>
            </w:r>
          </w:p>
        </w:tc>
        <w:tc>
          <w:tcPr>
            <w:tcW w:w="4876" w:type="dxa"/>
            <w:vAlign w:val="top"/>
          </w:tcPr>
          <w:p>
            <w:pPr>
              <w:pStyle w:val="Normal6a"/>
            </w:pPr>
            <w:r>
              <w:rPr>
                <w:b/>
                <w:i/>
                <w:strike w:val="0"/>
                <w:color w:val="auto"/>
                <w:highlight w:val="none"/>
                <w:u w:val="none" w:color="auto"/>
                <w:vertAlign w:val="baseline"/>
              </w:rPr>
              <w:t>Fil-każijiet kollha</w:t>
            </w:r>
            <w:r>
              <w:t xml:space="preserve">, id-dħul </w:t>
            </w:r>
            <w:r>
              <w:rPr>
                <w:b/>
                <w:i/>
                <w:strike w:val="0"/>
                <w:color w:val="auto"/>
                <w:highlight w:val="none"/>
                <w:u w:val="none" w:color="auto"/>
                <w:vertAlign w:val="baseline"/>
              </w:rPr>
              <w:t>għandu</w:t>
            </w:r>
            <w:r>
              <w:t xml:space="preserve"> jiġi rrifjutat </w:t>
            </w:r>
            <w:r>
              <w:rPr>
                <w:b/>
                <w:i/>
                <w:strike w:val="0"/>
                <w:color w:val="auto"/>
                <w:highlight w:val="none"/>
                <w:u w:val="none" w:color="auto"/>
                <w:vertAlign w:val="baseline"/>
              </w:rPr>
              <w:t>jekk jiġu ssodisfati l-kundizzjonijiet fl-Artikolu</w:t>
            </w:r>
            <w:r>
              <w:t> 14 tar-Regolament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F’każijiet </w:t>
            </w:r>
            <w:r>
              <w:rPr>
                <w:b/>
                <w:i/>
                <w:strike w:val="0"/>
                <w:color w:val="auto"/>
                <w:highlight w:val="none"/>
                <w:u w:val="none" w:color="auto"/>
                <w:vertAlign w:val="baseline"/>
              </w:rPr>
              <w:t>mhux</w:t>
            </w:r>
            <w:r>
              <w:t xml:space="preserve"> relatati ma’ operazzjonijiet ta’ tfittxija u salvataġġ, id-dħul jista’ jiġi rrifjutat skont l-Artikolu 14 tar-Regolament 2016/399.</w:t>
            </w:r>
          </w:p>
        </w:tc>
        <w:tc>
          <w:tcPr>
            <w:tcW w:w="4876" w:type="dxa"/>
            <w:vAlign w:val="top"/>
          </w:tcPr>
          <w:p>
            <w:pPr>
              <w:pStyle w:val="Normal6a"/>
            </w:pPr>
            <w:r>
              <w:t>F'każijiet relatati ma' operazzjonijiet ta' tfittxija u salvataġġ, id-dħul jista' jiġi rrifjutat skont l-Artikolu 14 tar-Regolament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F’każijiet mhux</w:t>
            </w:r>
            <w:r>
              <w:t xml:space="preserve"> relatati ma’ operazzjonijiet ta’ tfittxija u salvataġġ, id-dħul jista’ jiġi rrifjutat skont l-Artikolu 14 tar-Regolament 2016/399.</w:t>
            </w:r>
          </w:p>
        </w:tc>
        <w:tc>
          <w:tcPr>
            <w:tcW w:w="4876" w:type="dxa"/>
            <w:vAlign w:val="top"/>
          </w:tcPr>
          <w:p>
            <w:pPr>
              <w:pStyle w:val="Normal6a"/>
            </w:pPr>
            <w:r>
              <w:rPr>
                <w:b/>
                <w:i/>
                <w:strike w:val="0"/>
                <w:color w:val="auto"/>
                <w:highlight w:val="none"/>
                <w:u w:val="none" w:color="auto"/>
                <w:vertAlign w:val="baseline"/>
              </w:rPr>
              <w:t>Anki f'każijiet</w:t>
            </w:r>
            <w:r>
              <w:t xml:space="preserve"> relatati ma' operazzjonijiet </w:t>
            </w:r>
            <w:r>
              <w:rPr>
                <w:b/>
                <w:i/>
                <w:strike w:val="0"/>
                <w:color w:val="auto"/>
                <w:highlight w:val="none"/>
                <w:u w:val="none" w:color="auto"/>
                <w:vertAlign w:val="baseline"/>
              </w:rPr>
              <w:t>minn NGOs</w:t>
            </w:r>
            <w:r>
              <w:t xml:space="preserve"> ta' tfittxija u salvataġġ </w:t>
            </w:r>
            <w:r>
              <w:rPr>
                <w:b/>
                <w:i/>
                <w:strike w:val="0"/>
                <w:color w:val="auto"/>
                <w:highlight w:val="none"/>
                <w:u w:val="none" w:color="auto"/>
                <w:vertAlign w:val="baseline"/>
              </w:rPr>
              <w:t>ta' migranti</w:t>
            </w:r>
            <w:r>
              <w:t>, id-dħul jista' jiġi rrifjutat skont l-Artikolu 14 tar-Regolament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F’każijiet mhux relatati ma’ operazzjonijiet ta’ tfittxija u salvataġġ, id-dħul jista’ jiġi rrifjutat skont l-Artikolu 14 tar-Regolament 2016/399.</w:t>
            </w:r>
          </w:p>
        </w:tc>
        <w:tc>
          <w:tcPr>
            <w:tcW w:w="4876" w:type="dxa"/>
            <w:vAlign w:val="top"/>
          </w:tcPr>
          <w:p>
            <w:pPr>
              <w:pStyle w:val="Normal6a"/>
            </w:pPr>
            <w:r>
              <w:t xml:space="preserve">F'każijiet mhux relatati ma' operazzjonijiet ta' tfittxija u salvataġġ </w:t>
            </w:r>
            <w:r>
              <w:rPr>
                <w:b/>
                <w:i/>
                <w:strike w:val="0"/>
                <w:color w:val="auto"/>
                <w:highlight w:val="none"/>
                <w:u w:val="none" w:color="auto"/>
                <w:vertAlign w:val="baseline"/>
              </w:rPr>
              <w:t>u biss għal ċittadini ta' pajjiżi terzi li jkunu għadhom ma daħlux fit-territorju tal-Istat Membru u li jkunu f'punt uffiċjali ta' qsim tal-fruntiera fuq l-art jew fl-ajru</w:t>
            </w:r>
            <w:r>
              <w:t xml:space="preserve">, id-dħul jista' jiġi rrifjutat skont l-Artikolu 14 tar-Regolament 2016/399 </w:t>
            </w:r>
            <w:r>
              <w:rPr>
                <w:b/>
                <w:i/>
                <w:strike w:val="0"/>
                <w:color w:val="auto"/>
                <w:highlight w:val="none"/>
                <w:u w:val="none" w:color="auto"/>
                <w:vertAlign w:val="baseline"/>
              </w:rPr>
              <w:t>li jinvolvi, fost affarijiet oħra, li ċ-ċittadin ta' pajjiż terz għandu jirċievi deċiżjoni sostanzjata li tiddikjara r-raġunijiet eżatti għar-rifjut tad-dħul u għandu jkollu d-dritt li jappella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F’każijiet mhux relatati ma’ operazzjonijiet ta’ tfittxija u salvataġġ, id-dħul jista’ jiġi rrifjutat skont </w:t>
            </w:r>
            <w:r>
              <w:rPr>
                <w:b/>
                <w:i/>
                <w:strike w:val="0"/>
                <w:color w:val="auto"/>
                <w:highlight w:val="none"/>
                <w:u w:val="none" w:color="auto"/>
                <w:vertAlign w:val="baseline"/>
              </w:rPr>
              <w:t>l-Artikolu</w:t>
            </w:r>
            <w:r>
              <w:t xml:space="preserve"> 14 tar-Regolament 2016/399.</w:t>
            </w:r>
          </w:p>
        </w:tc>
        <w:tc>
          <w:tcPr>
            <w:tcW w:w="4876" w:type="dxa"/>
            <w:vAlign w:val="top"/>
          </w:tcPr>
          <w:p>
            <w:pPr>
              <w:pStyle w:val="Normal6a"/>
            </w:pPr>
            <w:r>
              <w:t xml:space="preserve">F'każijiet mhux relatati ma' operazzjonijiet ta' tfittxija u salvataġġ, id-dħul jista' jiġi rrifjutat skont </w:t>
            </w:r>
            <w:r>
              <w:rPr>
                <w:b/>
                <w:i/>
                <w:strike w:val="0"/>
                <w:color w:val="auto"/>
                <w:highlight w:val="none"/>
                <w:u w:val="none" w:color="auto"/>
                <w:vertAlign w:val="baseline"/>
              </w:rPr>
              <w:t>il-proċedura sħiħa stabbilita fl-Artikolu</w:t>
            </w:r>
            <w:r>
              <w:t> 14 tar-Regolament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F’każijiet mhux relatati ma’ operazzjonijiet ta’ tfittxija u salvataġġ, id-dħul jista’ jiġi rrifjutat skont </w:t>
            </w:r>
            <w:r>
              <w:rPr>
                <w:b/>
                <w:i/>
                <w:strike w:val="0"/>
                <w:color w:val="auto"/>
                <w:highlight w:val="none"/>
                <w:u w:val="none" w:color="auto"/>
                <w:vertAlign w:val="baseline"/>
              </w:rPr>
              <w:t>l-Artikolu</w:t>
            </w:r>
            <w:r>
              <w:t xml:space="preserve"> 14 tar-Regolament 2016/399.</w:t>
            </w:r>
          </w:p>
        </w:tc>
        <w:tc>
          <w:tcPr>
            <w:tcW w:w="4876" w:type="dxa"/>
            <w:vAlign w:val="top"/>
          </w:tcPr>
          <w:p>
            <w:pPr>
              <w:pStyle w:val="Normal6a"/>
            </w:pPr>
            <w:r>
              <w:t xml:space="preserve">F'każijiet mhux relatati ma' operazzjonijiet ta' tfittxija u salvataġġ, id-dħul jista' jiġi rrifjutat skont </w:t>
            </w:r>
            <w:r>
              <w:rPr>
                <w:b/>
                <w:i/>
                <w:strike w:val="0"/>
                <w:color w:val="auto"/>
                <w:highlight w:val="none"/>
                <w:u w:val="none" w:color="auto"/>
                <w:vertAlign w:val="baseline"/>
              </w:rPr>
              <w:t>il-proċedura stabbilita fl-Artikolu</w:t>
            </w:r>
            <w:r>
              <w:t> 14 tar-Regolament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Il-formola msemmija fl-Artikolu 13 għandha tintbagħat lill-awtoritajiet rilevanti li ċ-ċittadin ta’ pajjiż terz jiġi rriferut għandhom.</w:t>
            </w:r>
          </w:p>
        </w:tc>
        <w:tc>
          <w:tcPr>
            <w:tcW w:w="4876" w:type="dxa"/>
            <w:vAlign w:val="top"/>
          </w:tcPr>
          <w:p>
            <w:pPr>
              <w:pStyle w:val="Normal6a"/>
            </w:pPr>
            <w:r>
              <w:t>Il-formola msemmija fl-Artikolu 13 għandha tintbagħat lill-awtoritajiet rilevanti li ċ-ċittadin ta' pajjiż terz jiġi rriferut għandhom</w:t>
            </w:r>
            <w:r>
              <w:rPr>
                <w:b/>
                <w:i/>
                <w:strike w:val="0"/>
                <w:color w:val="auto"/>
                <w:highlight w:val="none"/>
                <w:u w:val="none" w:color="auto"/>
                <w:vertAlign w:val="baseline"/>
              </w:rPr>
              <w:t>, flimkien mar-raġunijiet fil-liġi u l-fatti li jispjegaw l-għażla għar-riferiment għall-proċedura speċifika.</w:t>
            </w:r>
            <w:r>
              <w:t xml:space="preserve"> </w:t>
            </w:r>
            <w:r>
              <w:rPr>
                <w:b/>
                <w:i/>
                <w:strike w:val="0"/>
                <w:color w:val="auto"/>
                <w:highlight w:val="none"/>
                <w:u w:val="none" w:color="auto"/>
                <w:vertAlign w:val="baseline"/>
              </w:rPr>
              <w:t>Kemm l-informazzjoni inkluża fil-formola kif ukoll ir-raġunijiet li jakkumpanjaw it-trażmissjoni tal-formola lill-awtoritajiet rilevanti jistgħu jikkostitwixxu raġunijiet għal appelli u jiġu kkontestati fil-proċedura xierqa rigward l-ażil jew ir-ritorn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1 – subparagrafu 3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F'każijiet li jinvolvu l-minorenni, l-aħjar interessi tat-tfal għandhom ikunu l-kunsiderazzjoni primarja.</w:t>
            </w:r>
            <w:r>
              <w:t xml:space="preserve"> </w:t>
            </w:r>
            <w:r>
              <w:rPr>
                <w:b/>
                <w:i/>
                <w:strike w:val="0"/>
                <w:color w:val="auto"/>
                <w:highlight w:val="none"/>
                <w:u w:val="none" w:color="auto"/>
                <w:vertAlign w:val="baseline"/>
              </w:rPr>
              <w:t>Dan jirrikjedi li l-proċeduri li jirrispettaw id-Direttiva 2008/115/KE (id-Direttiva dwar ir-Ritorn) jistgħu jiġu applikati biss wara li titwettaq proċedura ddokumentata tal-aħjar interessi tat-tfal minn tim multidixxiplinari li jivvaluta u jidentifika soluzzjoni dejjiema.</w:t>
            </w:r>
            <w:r>
              <w:t xml:space="preserve"> </w:t>
            </w:r>
            <w:r>
              <w:rPr>
                <w:b/>
                <w:i/>
                <w:strike w:val="0"/>
                <w:color w:val="auto"/>
                <w:highlight w:val="none"/>
                <w:u w:val="none" w:color="auto"/>
                <w:vertAlign w:val="baseline"/>
              </w:rPr>
              <w:t>Jekk il-proċedura tikkonkludi li r-ritorn jitqies li huwa fl-aħjar interessi tat-tfal, għandha tingħata prijorità lill-implimentazzjoni permezz ta' tluq volontarju b'assistenza speċifika għat-tfal.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Iċ-ċittadini ta’ pajjiżi terzi li </w:t>
            </w:r>
            <w:r>
              <w:rPr>
                <w:b/>
                <w:i/>
                <w:strike w:val="0"/>
                <w:color w:val="auto"/>
                <w:highlight w:val="none"/>
                <w:u w:val="none" w:color="auto"/>
                <w:vertAlign w:val="baseline"/>
              </w:rPr>
              <w:t>jkunu għamlu</w:t>
            </w:r>
            <w:r>
              <w:t xml:space="preserve"> applikazzjoni għall-protezzjoni internazzjonali għandhom jiġu rriferuti lill-awtoritajiet imsemmija fl-Artikolu XY tar-Regolament (UE) Nru XXX/XXX [ir-Regolament dwar il-Proċeduri tal-Ażil], flimkien mal-formola msemmija fl-Artikolu 13 ta’ dan ir-Regolament. </w:t>
            </w:r>
            <w:r>
              <w:rPr>
                <w:b/>
                <w:i/>
                <w:strike w:val="0"/>
                <w:color w:val="auto"/>
                <w:highlight w:val="none"/>
                <w:u w:val="none" w:color="auto"/>
                <w:vertAlign w:val="baseline"/>
              </w:rPr>
              <w:t>F’dik l-okkażjoni, l-awtoritajiet li jwettqu l-iskrinjar għandhom jindikaw fil-formola ta’ debriefing kwalunkwe element li, mal-ewwel daqqa ta’ għajn, ikun jidher li huwa rilevanti biex iċ-ċittadini ta’ pajjiżi terzi kkonċernati jiġu rriferuti għall-proċedura ta’ eżami aċċellerata jew għall-proċedura fuq il-fruntiera.</w:t>
            </w:r>
          </w:p>
        </w:tc>
        <w:tc>
          <w:tcPr>
            <w:tcW w:w="4876" w:type="dxa"/>
            <w:vAlign w:val="top"/>
          </w:tcPr>
          <w:p>
            <w:pPr>
              <w:pStyle w:val="Normal6a"/>
            </w:pPr>
            <w:r>
              <w:t>2.</w:t>
            </w:r>
            <w:r>
              <w:tab/>
            </w:r>
            <w:r>
              <w:t xml:space="preserve">Iċ-ċittadini ta' pajjiżi terzi li </w:t>
            </w:r>
            <w:r>
              <w:rPr>
                <w:b/>
                <w:i/>
                <w:strike w:val="0"/>
                <w:color w:val="auto"/>
                <w:highlight w:val="none"/>
                <w:u w:val="none" w:color="auto"/>
                <w:vertAlign w:val="baseline"/>
              </w:rPr>
              <w:t>jippreżentaw, ippreżentaw jew esprimew ix-xewqa li jippreżentaw</w:t>
            </w:r>
            <w:r>
              <w:t xml:space="preserve"> applikazzjoni għall-protezzjoni internazzjonali għandhom jiġu rriferuti lill-awtoritajiet </w:t>
            </w:r>
            <w:r>
              <w:rPr>
                <w:b/>
                <w:i/>
                <w:strike w:val="0"/>
                <w:color w:val="auto"/>
                <w:highlight w:val="none"/>
                <w:u w:val="none" w:color="auto"/>
                <w:vertAlign w:val="baseline"/>
              </w:rPr>
              <w:t>kompetenti biex japplikaw il-proċeduri tal-ażil</w:t>
            </w:r>
            <w:r>
              <w:t xml:space="preserve"> imsemmija fl-Artikolu XY tar-Regolament (UE) Nru XXX/XXX [ir-Regolament dwar il-Proċeduri tal-Ażil], flimkien mal-formola msemmija fl-Artikolu 13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Iċ-ċittadini ta’ pajjiżi terzi li </w:t>
            </w:r>
            <w:r>
              <w:rPr>
                <w:b/>
                <w:i/>
                <w:strike w:val="0"/>
                <w:color w:val="auto"/>
                <w:highlight w:val="none"/>
                <w:u w:val="none" w:color="auto"/>
                <w:vertAlign w:val="baseline"/>
              </w:rPr>
              <w:t>jkunu għamlu</w:t>
            </w:r>
            <w:r>
              <w:t xml:space="preserve"> applikazzjoni għall-protezzjoni internazzjonali għandhom jiġu rriferuti lill-awtoritajiet </w:t>
            </w:r>
            <w:r>
              <w:rPr>
                <w:b/>
                <w:i/>
                <w:strike w:val="0"/>
                <w:color w:val="auto"/>
                <w:highlight w:val="none"/>
                <w:u w:val="none" w:color="auto"/>
                <w:vertAlign w:val="baseline"/>
              </w:rPr>
              <w:t>imsemmija</w:t>
            </w:r>
            <w:r>
              <w:t xml:space="preserve"> fl-Artikolu XY tar-Regolament (UE) Nru XXX/XXX [ir-Regolament dwar il-Proċeduri tal-Ażil]</w:t>
            </w:r>
            <w:r>
              <w:rPr>
                <w:b/>
                <w:i/>
                <w:strike w:val="0"/>
                <w:color w:val="auto"/>
                <w:highlight w:val="none"/>
                <w:u w:val="none" w:color="auto"/>
                <w:vertAlign w:val="baseline"/>
              </w:rPr>
              <w:t>, flimkien mal-formola msemmija fl-Artikolu 13 ta’ dan</w:t>
            </w:r>
            <w:r>
              <w:t xml:space="preserve"> ir-Regolament. </w:t>
            </w:r>
            <w:r>
              <w:rPr>
                <w:b/>
                <w:i/>
                <w:strike w:val="0"/>
                <w:color w:val="auto"/>
                <w:highlight w:val="none"/>
                <w:u w:val="none" w:color="auto"/>
                <w:vertAlign w:val="baseline"/>
              </w:rPr>
              <w:t>F’dik l-okkażjoni, l-awtoritajiet li jwettqu l-iskrinjar għandhom jindikaw fil-formola ta’ debriefing kwalunkwe element li, mal-ewwel daqqa ta’ għajn, ikun jidher li huwa rilevanti biex iċ-ċittadini ta’ pajjiżi terzi kkonċernati jiġu rriferuti għall-proċedura ta’ eżami aċċellerata jew għall-proċedura fuq il-fruntiera.</w:t>
            </w:r>
          </w:p>
        </w:tc>
        <w:tc>
          <w:tcPr>
            <w:tcW w:w="4876" w:type="dxa"/>
            <w:vAlign w:val="top"/>
          </w:tcPr>
          <w:p>
            <w:pPr>
              <w:pStyle w:val="Normal6a"/>
            </w:pPr>
            <w:r>
              <w:t>2.</w:t>
            </w:r>
            <w:r>
              <w:tab/>
            </w:r>
            <w:r>
              <w:t xml:space="preserve">Iċ-ċittadini ta' pajjiżi terzi li </w:t>
            </w:r>
            <w:r>
              <w:rPr>
                <w:b/>
                <w:i/>
                <w:strike w:val="0"/>
                <w:color w:val="auto"/>
                <w:highlight w:val="none"/>
                <w:u w:val="none" w:color="auto"/>
                <w:vertAlign w:val="baseline"/>
              </w:rPr>
              <w:t>esprimew ix-xewqa li jippreżentaw, li jippreżentaw jew li ppreżentaw</w:t>
            </w:r>
            <w:r>
              <w:t xml:space="preserve"> applikazzjoni għall-protezzjoni internazzjonali għandhom jiġu rriferuti lill-awtoritajiet </w:t>
            </w:r>
            <w:r>
              <w:rPr>
                <w:b/>
                <w:i/>
                <w:strike w:val="0"/>
                <w:color w:val="auto"/>
                <w:highlight w:val="none"/>
                <w:u w:val="none" w:color="auto"/>
                <w:vertAlign w:val="baseline"/>
              </w:rPr>
              <w:t>kompetenti msemmija</w:t>
            </w:r>
            <w:r>
              <w:t xml:space="preserve"> fl-Artikolu XY tar-Regolament (UE) Nru XXX/XXX [ir-Regolament dwar il-Proċeduri tal-Ażil] </w:t>
            </w:r>
            <w:r>
              <w:rPr>
                <w:b/>
                <w:i/>
                <w:strike w:val="0"/>
                <w:color w:val="auto"/>
                <w:highlight w:val="none"/>
                <w:u w:val="none" w:color="auto"/>
                <w:vertAlign w:val="baseline"/>
              </w:rPr>
              <w:t>sabiex jiġu applikalti l-proċeduri tal-ażil previsti f'dak</w:t>
            </w:r>
            <w:r>
              <w:t xml:space="preserve">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Iċ-ċittadini ta’ pajjiżi terzi li jkunu għamlu applikazzjoni għall-protezzjoni internazzjonali għandhom jiġu rriferuti lill-awtoritajiet imsemmija fl-Artikolu XY tar-Regolament (UE) </w:t>
            </w:r>
            <w:r>
              <w:rPr>
                <w:b/>
                <w:i/>
                <w:strike w:val="0"/>
                <w:color w:val="auto"/>
                <w:highlight w:val="none"/>
                <w:u w:val="none" w:color="auto"/>
                <w:vertAlign w:val="baseline"/>
              </w:rPr>
              <w:t>Nru</w:t>
            </w:r>
            <w:r>
              <w:t xml:space="preserve"> XXX/XXX [ir-Regolament dwar il-Proċeduri tal-Ażil], flimkien mal-formola msemmija fl-Artikolu 13 ta’ dan ir-Regolament. </w:t>
            </w:r>
            <w:r>
              <w:rPr>
                <w:b/>
                <w:i/>
                <w:strike w:val="0"/>
                <w:color w:val="auto"/>
                <w:highlight w:val="none"/>
                <w:u w:val="none" w:color="auto"/>
                <w:vertAlign w:val="baseline"/>
              </w:rPr>
              <w:t>F’dik l-okkażjoni, l-awtoritajiet li jwettqu l-iskrinjar għandhom jindikaw fil-formola ta’ debriefing kwalunkwe element li, mal-ewwel daqqa ta’ għajn, ikun jidher li huwa rilevanti biex iċ-ċittadini ta’ pajjiżi terzi kkonċernati jiġu rriferuti għall-proċedura ta’ eżami aċċellerata jew għall-proċedura fuq il-fruntiera.</w:t>
            </w:r>
          </w:p>
        </w:tc>
        <w:tc>
          <w:tcPr>
            <w:tcW w:w="4876" w:type="dxa"/>
            <w:vAlign w:val="top"/>
          </w:tcPr>
          <w:p>
            <w:pPr>
              <w:pStyle w:val="Normal6a"/>
            </w:pPr>
            <w:r>
              <w:t>2.</w:t>
            </w:r>
            <w:r>
              <w:tab/>
            </w:r>
            <w:r>
              <w:t xml:space="preserve">Iċ-ċittadini ta' pajjiżi terzi li jkunu għamlu applikazzjoni għall-protezzjoni internazzjonali għandhom jiġu rriferuti lill-awtoritajiet </w:t>
            </w:r>
            <w:r>
              <w:rPr>
                <w:b/>
                <w:i/>
                <w:strike w:val="0"/>
                <w:color w:val="auto"/>
                <w:highlight w:val="none"/>
                <w:u w:val="none" w:color="auto"/>
                <w:vertAlign w:val="baseline"/>
              </w:rPr>
              <w:t>tal-ażil</w:t>
            </w:r>
            <w:r>
              <w:t xml:space="preserve"> imsemmija fl-Artikolu XY tar-Regolament (UE) XXX/XXX [ir-Regolament dwar il-Proċeduri tal-Ażil], flimkien mal-formola msemmija fl-Artikolu 13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Iċ-ċittadini ta’ pajjiżi terzi li jkunu għamlu applikazzjoni għall-protezzjoni internazzjonali għandhom jiġu rriferuti lill-awtoritajiet imsemmija fl-Artikolu XY tar-Regolament (UE) Nru XXX/XXX [ir-Regolament dwar il-Proċeduri tal-Ażil], flimkien mal-formola msemmija fl-Artikolu 13 ta’ dan ir-Regolament. F’dik l-okkażjoni, l-awtoritajiet li jwettqu l-iskrinjar għandhom jindikaw fil-formola </w:t>
            </w:r>
            <w:r>
              <w:rPr>
                <w:b/>
                <w:i/>
                <w:strike w:val="0"/>
                <w:color w:val="auto"/>
                <w:highlight w:val="none"/>
                <w:u w:val="none" w:color="auto"/>
                <w:vertAlign w:val="baseline"/>
              </w:rPr>
              <w:t>ta’ debriefing</w:t>
            </w:r>
            <w:r>
              <w:t xml:space="preserve"> kwalunkwe element li, mal-ewwel daqqa ta’ għajn, ikun jidher li huwa rilevanti biex iċ-ċittadini ta’ pajjiżi terzi kkonċernati jiġu rriferuti għall-proċedura ta’ eżami aċċellerata jew għall-proċedura fuq il-fruntiera.</w:t>
            </w:r>
          </w:p>
        </w:tc>
        <w:tc>
          <w:tcPr>
            <w:tcW w:w="4876" w:type="dxa"/>
            <w:vAlign w:val="top"/>
          </w:tcPr>
          <w:p>
            <w:pPr>
              <w:pStyle w:val="Normal6a"/>
            </w:pPr>
            <w:r>
              <w:t>2.</w:t>
            </w:r>
            <w:r>
              <w:tab/>
            </w:r>
            <w:r>
              <w:t xml:space="preserve">Iċ-ċittadini ta' pajjiżi terzi li jkunu għamlu applikazzjoni għall-protezzjoni internazzjonali għandhom jiġu rriferuti lill-awtoritajiet imsemmija fl-Artikolu XY tar-Regolament (UE) Nru XXX/XXX [ir-Regolament dwar il-Proċeduri tal-Ażil], flimkien mal-formola msemmija fl-Artikolu 13 ta' dan ir-Regolament. F'dik l-okkażjoni, l-awtoritajiet li jwettqu l-iskrinjar għandhom jindikaw fil-formola </w:t>
            </w:r>
            <w:r>
              <w:rPr>
                <w:b/>
                <w:i/>
                <w:strike w:val="0"/>
                <w:color w:val="auto"/>
                <w:highlight w:val="none"/>
                <w:u w:val="none" w:color="auto"/>
                <w:vertAlign w:val="baseline"/>
              </w:rPr>
              <w:t>tal-iskrinjar</w:t>
            </w:r>
            <w:r>
              <w:t xml:space="preserve"> kwalunkwe element li, mal-ewwel daqqa ta' għajn, ikun jidher li huwa rilevanti biex iċ-ċittadini ta' pajjiżi terzi kkonċernati jiġu rriferuti għall-proċedura ta' eżami aċċellerata jew għall-proċedura fuq il-fruntiera.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Iċ-ċittadini ta’ pajjiżi terzi li jkunu għamlu applikazzjoni għall-protezzjoni internazzjonali għandhom jiġu rriferuti lill-awtoritajiet imsemmija fl-Artikolu XY tar-Regolament (UE) Nru XXX/XXX [ir-Regolament dwar il-Proċeduri tal-Ażil], flimkien mal-formola msemmija fl-Artikolu 13 ta’ dan ir-Regolament. F’dik l-okkażjoni, l-awtoritajiet li jwettqu l-iskrinjar għandhom jindikaw fil-formola ta’ debriefing kwalunkwe element li, mal-ewwel daqqa ta’ għajn, ikun jidher li huwa rilevanti biex iċ-ċittadini ta’ pajjiżi terzi kkonċernati jiġu rriferuti għall-proċedura ta’ eżami aċċellerata jew għall-proċedura fuq il-fruntiera.</w:t>
            </w:r>
          </w:p>
        </w:tc>
        <w:tc>
          <w:tcPr>
            <w:tcW w:w="4876" w:type="dxa"/>
            <w:vAlign w:val="top"/>
          </w:tcPr>
          <w:p>
            <w:pPr>
              <w:pStyle w:val="Normal6a"/>
            </w:pPr>
            <w:r>
              <w:t>2.</w:t>
            </w:r>
            <w:r>
              <w:tab/>
            </w:r>
            <w:r>
              <w:t xml:space="preserve">Iċ-ċittadini ta' pajjiżi terzi li jkunu għamlu applikazzjoni għall-protezzjoni internazzjonali għandhom jiġu rriferuti lill-awtoritajiet imsemmija fl-Artikolu XY tar-Regolament (UE) Nru XXX/XXX [ir-Regolament dwar il-Proċeduri tal-Ażil], flimkien mal-formola msemmija fl-Artikolu 13 ta' dan ir-Regolament. F'dik l-okkażjoni, l-awtoritajiet li jwettqu l-iskrinjar għandhom jindikaw fil-formola ta' debriefing kwalunkwe element li, mal-ewwel daqqa ta' għajn, ikun jidher li huwa rilevanti biex iċ-ċittadini ta' pajjiżi terzi kkonċernati jiġu rriferuti għall-proċedura ta' eżami aċċellerata jew għall-proċedura fuq il-fruntiera. </w:t>
            </w:r>
            <w:r>
              <w:rPr>
                <w:b/>
                <w:i/>
                <w:strike w:val="0"/>
                <w:color w:val="auto"/>
                <w:highlight w:val="none"/>
                <w:u w:val="none" w:color="auto"/>
                <w:vertAlign w:val="baseline"/>
              </w:rPr>
              <w:t>Ċittadin ta' pajjiż terz li jkun theddida għas-sigurtà interna tal-Unjoni jew għall-ordni pubbliku u s-sigurtà tal-Istat Membru jew li jqarraq dwar l-identità tiegħu għandu jibqa' fil-proċedura fuq il-fruntiera sakemm tiġi konkluża deċiżjoni li tingħata protezzjoni internazzjonali jew proċedura ta' ritorn fuq il-fruntiera.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Iċ-ċittadini ta’ pajjiżi terzi msemmija fl-Artikolu 5, li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ma applikawx għall-protezzjoni internazzjonali 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fir-rigward tagħhom l-iskrinjar ma jkunx żvela li jissodisfaw il-kundizzjonijiet tad-dħul u s-soġġorn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għandhom ikunu soġġetti għal proċeduri ta’ ritorn li jirrispettaw id-Direttiva 2008/115/KE.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Iċ-ċittadini ta’ pajjiżi terzi msemmija fl-Artikolu 5, li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ma applikawx għall-protezzjoni internazzjonali 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fir-rigward tagħhom l-iskrinjar ma jkunx żvela li jissodisfaw il-kundizzjonijiet tad-dħul u s-soġġorn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għandhom ikunu soġġetti għal proċeduri ta’ ritorn li jirrispettaw id-Direttiva 2008/115/KE.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Iċ-ċittadini ta’ pajjiżi terzi msemmija fl-Artikolu 5, li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ma applikawx għall-protezzjoni internazzjonali 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fir-rigward tagħhom l-iskrinjar ma jkunx żvela li jissodisfaw il-kundizzjonijiet tad-dħul u s-soġġorn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għandhom ikunu soġġetti għal proċeduri ta’ ritorn li jirrispettaw id-Direttiva 2008/115/KE.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Iċ-ċittadini ta’ pajjiżi terzi msemmija fl-Artikolu 5, li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ma applikawx għall-protezzjoni internazzjonali 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fir-rigward tagħhom l-iskrinjar ma jkunx żvela li jissodisfaw il-kundizzjonijiet tad-dħul u s-soġġorn</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għandhom ikunu soġġetti għal proċeduri ta’ ritorn li jirrispettaw id-Direttiva 2008/115/KE.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Billi l-każijiet fl-Artikolu 5 għandhom jiġu koperti mill-paragrafu 1 tal-Artikolu 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Meta ċittadini ta’ pajjiżi terzi soġġetti għall-iskrinjar skont l-Artikolu 5 jagħmlu applikazzjoni għall-protezzjoni internazzjonali kif imsemmi fl-Artikolu 25 tar-Regolament (UE) Nru XXX/XXX (ir-Regolament dwar il-Proċeduri tal-Ażil), il-paragrafu 2 ta’ dan l-Artikolu għandu japplika kif meħtieġ.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Meta ċittadini ta’ pajjiżi terzi soġġetti għall-iskrinjar skont l-Artikolu 5 jagħmlu applikazzjoni għall-protezzjoni internazzjonali kif imsemmi fl-Artikolu 25 tar-Regolament (UE) Nru XXX/XXX (ir-Regolament dwar il-Proċeduri tal-Ażil), il-paragrafu 2 ta’ dan l-Artikolu għandu japplika kif meħtieġ.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Meta ċittadini ta’ pajjiżi terzi soġġetti għall-iskrinjar skont l-Artikolu 5 jagħmlu applikazzjoni għall-protezzjoni internazzjonali kif imsemmi fl-Artikolu 25 tar-Regolament (UE) Nru XXX/XXX (ir-Regolament dwar il-Proċeduri tal-Ażil), il-paragrafu 2 ta’ dan l-Artikolu għandu japplika kif meħtieġ.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Id-deċiżjoni dwar ir-riferiment, kif irregolata skont dan l-Artikolu, għandha tiġi pprovduta f'dokument bil-miktub, li miegħu għandha tiġi mehmuża l-formola ta' debriefing.</w:t>
            </w:r>
            <w:r>
              <w:rPr>
                <w:b/>
                <w:i/>
                <w:strike w:val="0"/>
                <w:color w:val="auto"/>
                <w:highlight w:val="none"/>
                <w:u w:val="none" w:color="auto"/>
                <w:vertAlign w:val="baseline"/>
              </w:rPr>
              <w:t>Id-deċiżjoni ta' riferiment bil-miktub għandu jkun fiha r-raġunijiet bil-fatti u fil-liġi għall-għażla tal-proċedura u għandha tkun soġġetta għal appell.</w:t>
            </w:r>
            <w:r>
              <w:rPr>
                <w:b/>
                <w:i/>
                <w:strike w:val="0"/>
                <w:color w:val="auto"/>
                <w:highlight w:val="none"/>
                <w:u w:val="none" w:color="auto"/>
                <w:vertAlign w:val="baseline"/>
              </w:rPr>
              <w:t>Il-persuna kkonċernata għandu jkollha aċċess għal assistenza legali biex tkun tista' tfittex rimedju.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Minbarra li ntqal hawn fuq, u sabiex il-persuna tkun f'pożizzjoni li teżerċita b'mod effettiv id-drittijiet imsemmija fl-Artikolu 13 tar-Regolament (UE) 2016/679 [GDPR], fl-Artikolu 13 tad-Direttiva (UE) 2016/680 [id-Direttiva dwar il-Pulizija] u fl-Artikolu 15 tar-Regolament (UE) 2018/1725, b'mod partikolari d-dritt li titlob mingħand il-kontrollur tad-data aċċess għal data personali, u rettifika jew tħassir tagħha, u d-dritt li tressaq ilment ma' awtorità superviżorja, il-persuna kkonċernata għandha tingħata kopja tal-formola fl-istess ħin li tiġi trażmessa lill-awtoritajiet rilevanti kif imsemmi fil-paragrafi 1, 2 u 3 ta' dan l-Artikolu.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w:t>
            </w:r>
            <w:r>
              <w:tab/>
            </w:r>
            <w:r>
              <w:rPr>
                <w:b/>
                <w:i/>
                <w:strike w:val="0"/>
                <w:color w:val="auto"/>
                <w:highlight w:val="none"/>
                <w:u w:val="none" w:color="auto"/>
                <w:vertAlign w:val="baseline"/>
              </w:rPr>
              <w:t>Fir-rigward ta’ ċittadini ta’ pajjiżi terzi li għalihom japplika r-Regolament UE Nru XXX/XXX [ir-Regolament Eurodac], l-awtoritajiet kompetenti għandhom jieħdu d-data bijometrika msemmija fl-Artikoli [10, 13, 14 u 14a] ta’ dak ir-Regolament (UE) u jittrażmettuha skont 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w:t>
            </w:r>
            <w:r>
              <w:tab/>
            </w:r>
            <w:r>
              <w:rPr>
                <w:b/>
                <w:i/>
                <w:strike w:val="0"/>
                <w:color w:val="auto"/>
                <w:highlight w:val="none"/>
                <w:u w:val="none" w:color="auto"/>
                <w:vertAlign w:val="baseline"/>
              </w:rPr>
              <w:t>Fir-rigward ta’ ċittadini ta’ pajjiżi terzi li għalihom japplika r-Regolament UE Nru XXX/XXX [ir-Regolament Eurodac], l-awtoritajiet kompetenti għandhom jieħdu d-data bijometrika msemmija fl-Artikoli [10, 13, 14 u 14a] ta’ dak ir-Regolament (UE) u jittrażmettuha skont 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Meta ċ-ċittadini ta’ pajjiżi terzi </w:t>
            </w:r>
            <w:r>
              <w:rPr>
                <w:b/>
                <w:i/>
                <w:strike w:val="0"/>
                <w:color w:val="auto"/>
                <w:highlight w:val="none"/>
                <w:u w:val="none" w:color="auto"/>
                <w:vertAlign w:val="baseline"/>
              </w:rPr>
              <w:t>msemmija fl-Artikolu 3(1) u l-Artikolu 5</w:t>
            </w:r>
            <w:r>
              <w:t xml:space="preserve"> jiġu rriferuti </w:t>
            </w:r>
            <w:r>
              <w:rPr>
                <w:b/>
                <w:i/>
                <w:strike w:val="0"/>
                <w:color w:val="auto"/>
                <w:highlight w:val="none"/>
                <w:u w:val="none" w:color="auto"/>
                <w:vertAlign w:val="baseline"/>
              </w:rPr>
              <w:t>għal proċedura</w:t>
            </w:r>
            <w:r>
              <w:t xml:space="preserve"> xierqa </w:t>
            </w:r>
            <w:r>
              <w:rPr>
                <w:b/>
                <w:i/>
                <w:strike w:val="0"/>
                <w:color w:val="auto"/>
                <w:highlight w:val="none"/>
                <w:u w:val="none" w:color="auto"/>
                <w:vertAlign w:val="baseline"/>
              </w:rPr>
              <w:t>rigward l-ażil jew ir-ritorn</w:t>
            </w:r>
            <w:r>
              <w:t xml:space="preserve">, l-iskrinjar jintemm. Meta ma jkunux tlestew il-kontrolli kollha sad-dati ta’ skadenza msemmija fl-Artikolu 6(3) </w:t>
            </w:r>
            <w:r>
              <w:rPr>
                <w:b/>
                <w:i/>
                <w:strike w:val="0"/>
                <w:color w:val="auto"/>
                <w:highlight w:val="none"/>
                <w:u w:val="none" w:color="auto"/>
                <w:vertAlign w:val="baseline"/>
              </w:rPr>
              <w:t>u (5)</w:t>
            </w:r>
            <w:r>
              <w:t>, l-iskrinjar għandu madankollu jintemm fir-rigward ta’ dik il-persuna, li għandha tiġi rriferuta għal proċedura rilevanti.</w:t>
            </w:r>
          </w:p>
        </w:tc>
        <w:tc>
          <w:tcPr>
            <w:tcW w:w="4876" w:type="dxa"/>
            <w:vAlign w:val="top"/>
          </w:tcPr>
          <w:p>
            <w:pPr>
              <w:pStyle w:val="Normal6a"/>
            </w:pPr>
            <w:r>
              <w:t>7.</w:t>
            </w:r>
            <w:r>
              <w:tab/>
            </w:r>
            <w:r>
              <w:t xml:space="preserve">Meta ċ-ċittadini ta' pajjiżi terzi </w:t>
            </w:r>
            <w:r>
              <w:rPr>
                <w:b/>
                <w:i/>
                <w:strike w:val="0"/>
                <w:color w:val="auto"/>
                <w:highlight w:val="none"/>
                <w:u w:val="none" w:color="auto"/>
                <w:vertAlign w:val="baseline"/>
              </w:rPr>
              <w:t>soġġetti għal proċeduri tal-iskrinjar</w:t>
            </w:r>
            <w:r>
              <w:t xml:space="preserve"> jiġu rriferuti </w:t>
            </w:r>
            <w:r>
              <w:rPr>
                <w:b/>
                <w:i/>
                <w:strike w:val="0"/>
                <w:color w:val="auto"/>
                <w:highlight w:val="none"/>
                <w:u w:val="none" w:color="auto"/>
                <w:vertAlign w:val="baseline"/>
              </w:rPr>
              <w:t>għall-proċedura</w:t>
            </w:r>
            <w:r>
              <w:t xml:space="preserve"> xierqa, l-iskrinjar jintemm. Meta ma jkunux tlestew il-kontrolli kollha sad-dati ta' skadenza msemmija fl-Artikolu 6(3), l-iskrinjar għandu madankollu jintemm fir-rigward ta' dik il-persuna, li għandha tiġi rriferuta għal proċedura rilevanti. </w:t>
            </w:r>
            <w:r>
              <w:rPr>
                <w:b/>
                <w:i/>
                <w:strike w:val="0"/>
                <w:color w:val="auto"/>
                <w:highlight w:val="none"/>
                <w:u w:val="none" w:color="auto"/>
                <w:vertAlign w:val="baseline"/>
              </w:rPr>
              <w:t>Meta jsir evidenti matul l-iskrinjar li ċ-ċittadin ta' pajjiż terz ikkonċernat jissodisfa l-kundizzjonijiet tad-dħul stabbiliti fl-Artikolu 6 tar-Regolament (UE) 2016/399, l-iskrinjar għandu jintemm. Il-verifiki tas-saħħa u tal-vulnerabbiltajiet li ma setgħux jitlestew għandhom jissuktaw minnufih fil-proċedura li jmiss biex ikun żgurat li l-ħtiġijiet speċifiċi ta' akkoljenza jew proċedurali tal-persuni jiġu kkunsidrati.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Meta ċ-ċittadini ta’ pajjiżi terzi msemmija fl-Artikolu 3(1) </w:t>
            </w:r>
            <w:r>
              <w:rPr>
                <w:b/>
                <w:i/>
                <w:strike w:val="0"/>
                <w:color w:val="auto"/>
                <w:highlight w:val="none"/>
                <w:u w:val="none" w:color="auto"/>
                <w:vertAlign w:val="baseline"/>
              </w:rPr>
              <w:t>u l-Artikolu 5</w:t>
            </w:r>
            <w:r>
              <w:t xml:space="preserve"> jiġu rriferuti għal proċedura xierqa rigward </w:t>
            </w:r>
            <w:r>
              <w:rPr>
                <w:b/>
                <w:i/>
                <w:strike w:val="0"/>
                <w:color w:val="auto"/>
                <w:highlight w:val="none"/>
                <w:u w:val="none" w:color="auto"/>
                <w:vertAlign w:val="baseline"/>
              </w:rPr>
              <w:t>l-ażil</w:t>
            </w:r>
            <w:r>
              <w:t xml:space="preserve"> jew ir-ritorn, l-iskrinjar jintemm. Meta ma jkunux tlestew </w:t>
            </w:r>
            <w:r>
              <w:rPr>
                <w:b/>
                <w:i/>
                <w:strike w:val="0"/>
                <w:color w:val="auto"/>
                <w:highlight w:val="none"/>
                <w:u w:val="none" w:color="auto"/>
                <w:vertAlign w:val="baseline"/>
              </w:rPr>
              <w:t>il-kontrolli</w:t>
            </w:r>
            <w:r>
              <w:t xml:space="preserve"> kollha sad-dati ta’ skadenza msemmija fl-Artikolu 6(3) </w:t>
            </w:r>
            <w:r>
              <w:rPr>
                <w:b/>
                <w:i/>
                <w:strike w:val="0"/>
                <w:color w:val="auto"/>
                <w:highlight w:val="none"/>
                <w:u w:val="none" w:color="auto"/>
                <w:vertAlign w:val="baseline"/>
              </w:rPr>
              <w:t>u (5)</w:t>
            </w:r>
            <w:r>
              <w:t>, l-iskrinjar għandu madankollu jintemm fir-rigward ta’ dik il-persuna, li għandha tiġi rriferuta għal proċedura rilevanti.</w:t>
            </w:r>
          </w:p>
        </w:tc>
        <w:tc>
          <w:tcPr>
            <w:tcW w:w="4876" w:type="dxa"/>
            <w:vAlign w:val="top"/>
          </w:tcPr>
          <w:p>
            <w:pPr>
              <w:pStyle w:val="Normal6a"/>
            </w:pPr>
            <w:r>
              <w:t>7.</w:t>
            </w:r>
            <w:r>
              <w:tab/>
            </w:r>
            <w:r>
              <w:t xml:space="preserve">Meta ċ-ċittadini ta' pajjiżi terzi msemmija fl-Artikolu 3(1) jiġu rriferuti għal proċedura xierqa rigward </w:t>
            </w:r>
            <w:r>
              <w:rPr>
                <w:b/>
                <w:i/>
                <w:strike w:val="0"/>
                <w:color w:val="auto"/>
                <w:highlight w:val="none"/>
                <w:u w:val="none" w:color="auto"/>
                <w:vertAlign w:val="baseline"/>
              </w:rPr>
              <w:t>il-protezzjoni internazzjonali, ir-rilokazzjoni</w:t>
            </w:r>
            <w:r>
              <w:t xml:space="preserve"> jew ir-ritorn, </w:t>
            </w:r>
            <w:r>
              <w:rPr>
                <w:b/>
                <w:i/>
                <w:strike w:val="0"/>
                <w:color w:val="auto"/>
                <w:highlight w:val="none"/>
                <w:u w:val="none" w:color="auto"/>
                <w:vertAlign w:val="baseline"/>
              </w:rPr>
              <w:t>jew meta l-formola msemmija fl-Artikolu 13 tkun intbagħtet lil dawn l-awtoritajiet rigward iċ-ċittadini ta' pajjiżi terzi msemmija fl-Artikolu 3(2),</w:t>
            </w:r>
            <w:r>
              <w:t xml:space="preserve"> l-iskrinjar jintemm. Meta ma jkunux tlestew </w:t>
            </w:r>
            <w:r>
              <w:rPr>
                <w:b/>
                <w:i/>
                <w:strike w:val="0"/>
                <w:color w:val="auto"/>
                <w:highlight w:val="none"/>
                <w:u w:val="none" w:color="auto"/>
                <w:vertAlign w:val="baseline"/>
              </w:rPr>
              <w:t>il-verifiki</w:t>
            </w:r>
            <w:r>
              <w:t xml:space="preserve"> kollha sad-dati ta' skadenza msemmija fl-Artikolu 6(3), l-iskrinjar għandu madankollu jintemm fir-rigward ta' dik il-persuna, li għandha tiġi rriferuta għal proċedura rilevanti.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Meta ċ-ċittadini ta’ pajjiżi terzi msemmija fl-Artikolu 3(1) </w:t>
            </w:r>
            <w:r>
              <w:rPr>
                <w:b/>
                <w:i/>
                <w:strike w:val="0"/>
                <w:color w:val="auto"/>
                <w:highlight w:val="none"/>
                <w:u w:val="none" w:color="auto"/>
                <w:vertAlign w:val="baseline"/>
              </w:rPr>
              <w:t>u l-Artikolu 5</w:t>
            </w:r>
            <w:r>
              <w:t xml:space="preserve"> jiġu rriferuti għal proċedura xierqa rigward l-ażil </w:t>
            </w:r>
            <w:r>
              <w:rPr>
                <w:b/>
                <w:i/>
                <w:strike w:val="0"/>
                <w:color w:val="auto"/>
                <w:highlight w:val="none"/>
                <w:u w:val="none" w:color="auto"/>
                <w:vertAlign w:val="baseline"/>
              </w:rPr>
              <w:t>jew ir-ritorn</w:t>
            </w:r>
            <w:r>
              <w:t xml:space="preserve">, l-iskrinjar jintemm. Meta ma jkunux tlestew </w:t>
            </w:r>
            <w:r>
              <w:rPr>
                <w:b/>
                <w:i/>
                <w:strike w:val="0"/>
                <w:color w:val="auto"/>
                <w:highlight w:val="none"/>
                <w:u w:val="none" w:color="auto"/>
                <w:vertAlign w:val="baseline"/>
              </w:rPr>
              <w:t>il-kontrolli</w:t>
            </w:r>
            <w:r>
              <w:t xml:space="preserve"> kollha sad-dati ta’ skadenza msemmija fl-Artikolu 6(3) u (5), l-iskrinjar għandu madankollu jintemm fir-rigward ta’ dik il-persuna, li għandha tiġi rriferuta </w:t>
            </w:r>
            <w:r>
              <w:rPr>
                <w:b/>
                <w:i/>
                <w:strike w:val="0"/>
                <w:color w:val="auto"/>
                <w:highlight w:val="none"/>
                <w:u w:val="none" w:color="auto"/>
                <w:vertAlign w:val="baseline"/>
              </w:rPr>
              <w:t>għal proċedura rilevanti</w:t>
            </w:r>
            <w:r>
              <w:t>.</w:t>
            </w:r>
          </w:p>
        </w:tc>
        <w:tc>
          <w:tcPr>
            <w:tcW w:w="4876" w:type="dxa"/>
            <w:vAlign w:val="top"/>
          </w:tcPr>
          <w:p>
            <w:pPr>
              <w:pStyle w:val="Normal6a"/>
            </w:pPr>
            <w:r>
              <w:t>7.</w:t>
            </w:r>
            <w:r>
              <w:tab/>
            </w:r>
            <w:r>
              <w:t>Meta ċ-ċittadini ta' pajjiżi terzi msemmija fl-Artikolu 3(1) jiġu rriferuti għal proċedura xierqa rigward l-ażil</w:t>
            </w:r>
            <w:r>
              <w:rPr>
                <w:b/>
                <w:i/>
                <w:strike w:val="0"/>
                <w:color w:val="auto"/>
                <w:highlight w:val="none"/>
                <w:u w:val="none" w:color="auto"/>
                <w:vertAlign w:val="baseline"/>
              </w:rPr>
              <w:t>, ir-ritorn jew ir-rifjut tad-dħul</w:t>
            </w:r>
            <w:r>
              <w:t xml:space="preserve">, l-iskrinjar jintemm. Meta ma jkunux tlestew </w:t>
            </w:r>
            <w:r>
              <w:rPr>
                <w:b/>
                <w:i/>
                <w:strike w:val="0"/>
                <w:color w:val="auto"/>
                <w:highlight w:val="none"/>
                <w:u w:val="none" w:color="auto"/>
                <w:vertAlign w:val="baseline"/>
              </w:rPr>
              <w:t>il-verifiki</w:t>
            </w:r>
            <w:r>
              <w:t xml:space="preserve"> kollha sad-dati ta' skadenza msemmija fl-Artikolu 6(3) u (5), l-iskrinjar għandu madankollu jintemm fir-rigward ta' dik il-persuna, li </w:t>
            </w:r>
            <w:r>
              <w:rPr>
                <w:b/>
                <w:i/>
                <w:strike w:val="0"/>
                <w:color w:val="auto"/>
                <w:highlight w:val="none"/>
                <w:u w:val="none" w:color="auto"/>
                <w:vertAlign w:val="baseline"/>
              </w:rPr>
              <w:t>mbagħad</w:t>
            </w:r>
            <w:r>
              <w:t xml:space="preserve"> għandha tiġi rriferuta </w:t>
            </w:r>
            <w:r>
              <w:rPr>
                <w:b/>
                <w:i/>
                <w:strike w:val="0"/>
                <w:color w:val="auto"/>
                <w:highlight w:val="none"/>
                <w:u w:val="none" w:color="auto"/>
                <w:vertAlign w:val="baseline"/>
              </w:rPr>
              <w:t>awtomatikament għall-proċedura ordinarja tal-ażil stabbilita fir-Regolament (UE) XXX/202X (ir-Regolament dwar il-Proċeduri tal-Ażil)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Meta ċ-ċittadini ta’ pajjiżi terzi msemmija fl-Artikolu 3(1) </w:t>
            </w:r>
            <w:r>
              <w:rPr>
                <w:b/>
                <w:i/>
                <w:strike w:val="0"/>
                <w:color w:val="auto"/>
                <w:highlight w:val="none"/>
                <w:u w:val="none" w:color="auto"/>
                <w:vertAlign w:val="baseline"/>
              </w:rPr>
              <w:t>u l-Artikolu 5</w:t>
            </w:r>
            <w:r>
              <w:t xml:space="preserve"> jiġu rriferuti għal proċedura xierqa rigward l-ażil jew ir-ritorn, l-iskrinjar jintemm. Meta ma jkunux tlestew </w:t>
            </w:r>
            <w:r>
              <w:rPr>
                <w:b/>
                <w:i/>
                <w:strike w:val="0"/>
                <w:color w:val="auto"/>
                <w:highlight w:val="none"/>
                <w:u w:val="none" w:color="auto"/>
                <w:vertAlign w:val="baseline"/>
              </w:rPr>
              <w:t>il-kontrolli</w:t>
            </w:r>
            <w:r>
              <w:t xml:space="preserve"> kollha sad-dati ta’ skadenza msemmija fl-Artikolu 6(3) </w:t>
            </w:r>
            <w:r>
              <w:rPr>
                <w:b/>
                <w:i/>
                <w:strike w:val="0"/>
                <w:color w:val="auto"/>
                <w:highlight w:val="none"/>
                <w:u w:val="none" w:color="auto"/>
                <w:vertAlign w:val="baseline"/>
              </w:rPr>
              <w:t>u (5)</w:t>
            </w:r>
            <w:r>
              <w:t>, l-iskrinjar għandu madankollu jintemm fir-rigward ta’ dik il-persuna, li għandha tiġi rriferuta għal proċedura rilevanti.</w:t>
            </w:r>
          </w:p>
        </w:tc>
        <w:tc>
          <w:tcPr>
            <w:tcW w:w="4876" w:type="dxa"/>
            <w:vAlign w:val="top"/>
          </w:tcPr>
          <w:p>
            <w:pPr>
              <w:pStyle w:val="Normal6a"/>
            </w:pPr>
            <w:r>
              <w:t>7.</w:t>
            </w:r>
            <w:r>
              <w:tab/>
            </w:r>
            <w:r>
              <w:t xml:space="preserve">Meta ċ-ċittadini ta' pajjiżi terzi msemmija fl-Artikolu 3(1) jiġu rriferuti għal proċedura xierqa rigward l-ażil jew ir-ritorn, l-iskrinjar jintemm. Meta </w:t>
            </w:r>
            <w:r>
              <w:rPr>
                <w:b/>
                <w:i/>
                <w:strike w:val="0"/>
                <w:color w:val="auto"/>
                <w:highlight w:val="none"/>
                <w:u w:val="none" w:color="auto"/>
                <w:vertAlign w:val="baseline"/>
              </w:rPr>
              <w:t>jsir evidenti matul l-iskrinjar li ċ-ċittadin ta' pajjiż terz jissodisfa l-kundizzjonijiet tad-dħul stabbiliti fl-Artikolu 6 tar-Regolament (UE) 2016/399, l-iskrinjar għandu jintemm. Meta</w:t>
            </w:r>
            <w:r>
              <w:t xml:space="preserve"> ma jkunux tlestew </w:t>
            </w:r>
            <w:r>
              <w:rPr>
                <w:b/>
                <w:i/>
                <w:strike w:val="0"/>
                <w:color w:val="auto"/>
                <w:highlight w:val="none"/>
                <w:u w:val="none" w:color="auto"/>
                <w:vertAlign w:val="baseline"/>
              </w:rPr>
              <w:t>il-verifiki</w:t>
            </w:r>
            <w:r>
              <w:t xml:space="preserve"> kollha sad-dati ta' skadenza msemmija fl-Artikolu 6(3), l-iskrinjar għandu madankollu jintemm fir-rigward ta' dik il-persuna, li għandha tiġi rriferuta għal proċedura rilevanti. </w:t>
            </w:r>
            <w:r>
              <w:rPr>
                <w:b/>
                <w:i/>
                <w:strike w:val="0"/>
                <w:color w:val="auto"/>
                <w:highlight w:val="none"/>
                <w:u w:val="none" w:color="auto"/>
                <w:vertAlign w:val="baseline"/>
              </w:rPr>
              <w:t>Meta l-verifiki tas-saħħa u tal-vulnerabbiltajiet skont l-Artikolu 9 ta' dan ir-Regolament ma jkunux tlestew matul l-iskrinjar, il-proċeduri fuq il-fruntiera ma għandhomx jiġu applikati u l-verifiki għandhom jitkomplew minnufih fil-proċedura regolari tal-ażil jew tar-ritorn regolari.</w:t>
            </w:r>
            <w:r>
              <w:t xml:space="preserve"> </w:t>
            </w:r>
            <w:r>
              <w:rPr>
                <w:b/>
                <w:i/>
                <w:strike w:val="0"/>
                <w:color w:val="auto"/>
                <w:highlight w:val="none"/>
                <w:u w:val="none" w:color="auto"/>
                <w:vertAlign w:val="baseline"/>
              </w:rPr>
              <w:t>Meta l-eżitu tal-verifiki tas-saħħa u tal-vulnerabbiltajiet skont l-Artikolu 9 ta' dan ir-Regolament jindika li ċ-ċittadin ta' pajjiż terz ikun f'sitwazzjoni vulnerabbli, ikun vittma ta' tortura jew ikollu ħtiġijiet speċjali ta' akkoljenza jew proċedurali, dik il-persuna għandha tiġi diretta immedjatament fil-proċedura regolari tal-ażil jew tar-ritorn regolari jekk dan ma jkunx diġà l-każ.</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Meta ċ-ċittadini ta’ pajjiżi terzi msemmija fl-Artikolu 3(1) </w:t>
            </w:r>
            <w:r>
              <w:rPr>
                <w:b/>
                <w:i/>
                <w:strike w:val="0"/>
                <w:color w:val="auto"/>
                <w:highlight w:val="none"/>
                <w:u w:val="none" w:color="auto"/>
                <w:vertAlign w:val="baseline"/>
              </w:rPr>
              <w:t>u l-Artikolu 5</w:t>
            </w:r>
            <w:r>
              <w:t xml:space="preserve"> jiġu rriferuti għal proċedura xierqa rigward l-ażil jew ir-ritorn, l-iskrinjar jintemm. Meta ma jkunux tlestew </w:t>
            </w:r>
            <w:r>
              <w:rPr>
                <w:b/>
                <w:i/>
                <w:strike w:val="0"/>
                <w:color w:val="auto"/>
                <w:highlight w:val="none"/>
                <w:u w:val="none" w:color="auto"/>
                <w:vertAlign w:val="baseline"/>
              </w:rPr>
              <w:t>il-kontrolli</w:t>
            </w:r>
            <w:r>
              <w:t xml:space="preserve"> kollha sad-dati ta’ skadenza msemmija fl-Artikolu 6(3) </w:t>
            </w:r>
            <w:r>
              <w:rPr>
                <w:b/>
                <w:i/>
                <w:strike w:val="0"/>
                <w:color w:val="auto"/>
                <w:highlight w:val="none"/>
                <w:u w:val="none" w:color="auto"/>
                <w:vertAlign w:val="baseline"/>
              </w:rPr>
              <w:t>u (5)</w:t>
            </w:r>
            <w:r>
              <w:t>, l-iskrinjar għandu madankollu jintemm fir-rigward ta’ dik il-persuna, li għandha tiġi rriferuta għal proċedura rilevanti.</w:t>
            </w:r>
          </w:p>
        </w:tc>
        <w:tc>
          <w:tcPr>
            <w:tcW w:w="4876" w:type="dxa"/>
            <w:vAlign w:val="top"/>
          </w:tcPr>
          <w:p>
            <w:pPr>
              <w:pStyle w:val="Normal6a"/>
            </w:pPr>
            <w:r>
              <w:t>7.</w:t>
            </w:r>
            <w:r>
              <w:tab/>
            </w:r>
            <w:r>
              <w:t xml:space="preserve">Meta ċ-ċittadini ta' pajjiżi terzi msemmija fl-Artikolu 3(1) jiġu rriferuti għal proċedura xierqa rigward l-ażil jew ir-ritorn, l-iskrinjar jintemm. Meta ma jkunux tlestew </w:t>
            </w:r>
            <w:r>
              <w:rPr>
                <w:b/>
                <w:i/>
                <w:strike w:val="0"/>
                <w:color w:val="auto"/>
                <w:highlight w:val="none"/>
                <w:u w:val="none" w:color="auto"/>
                <w:vertAlign w:val="baseline"/>
              </w:rPr>
              <w:t>il-verifiki</w:t>
            </w:r>
            <w:r>
              <w:t xml:space="preserve"> kollha sad-dati ta' skadenza msemmija fl-Artikolu 6(3), l-iskrinjar għandu madankollu jintemm fir-rigward ta' dik il-persuna, li għandha tiġi rriferuta għal proċedura rilevanti.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Iċ-ċittadin ta' pajjiż terz ikkonċernat għandu jingħata rimedju effettiv biex jappella kontra l-eżitu tal-iskrinjar, jew jitlob rieżami tiegħu, quddiem awtorità ġudizzjarja jew amministrattiva kompetenti jew korp kompetenti magħmul minn membri imparzjali u li jgawdu minn salvagwardji ta' indipendenza.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Minkejja d-dispożizzjonijiet imsemmija hawn fuq, il-persuni identifikati bħala mingħajr Stat jew f'riskju ta' apolidija matul l-iskrinjar, għandhom jiġu rriferuti lill-awtoritajiet kompetenti biex iwettqu determinazzjoni sħiħa ta' jekk l-individwu huwiex mingħajr Stat u joffru protezzjoni adegwata, f'konformità mad-dritt nazzjonali.</w:t>
            </w:r>
            <w:r>
              <w:t xml:space="preserve"> </w:t>
            </w:r>
            <w:r>
              <w:rPr>
                <w:b/>
                <w:i/>
                <w:strike w:val="0"/>
                <w:color w:val="auto"/>
                <w:highlight w:val="none"/>
                <w:u w:val="none" w:color="auto"/>
                <w:vertAlign w:val="baseline"/>
              </w:rPr>
              <w:t>Jekk l-individwu jkun ippreżenta applikazzjoni għall-protezzjoni internazzjonali, id-determinazzjoni tal-apolidija għandha ssir jew b'mod parallel mal-kunsiderazzjoni tal-applikazzjoni għall-protezzjoni internazzjonali, jew warajha, mingħajr preġudizzju għall-preċedenza tal-istatus ta' protezzjoni internazzjonali u b'rispett sħiħ tal-prinċipju ta' kunfidenzjalità.</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Iċ-ċittadin ta' pajjiż terz ikkonċernat għandu jingħata rimedju effettiv biex jappella kontra l-eżitu tal-iskrinjar, jew jitlob rieżami tiegħu, f'konformità mad-dritt nazzjonali.</w:t>
            </w:r>
            <w:r>
              <w:t xml:space="preserve"> </w:t>
            </w:r>
            <w:r>
              <w:rPr>
                <w:b/>
                <w:i/>
                <w:strike w:val="0"/>
                <w:color w:val="auto"/>
                <w:highlight w:val="none"/>
                <w:u w:val="none" w:color="auto"/>
                <w:vertAlign w:val="baseline"/>
              </w:rPr>
              <w:t>Indikazzjoni bil-miktub tal-punti ta' kuntatt li kapaċi jipprovdu informazzjoni dwar rappreżentanti kompetenti biex jaġixxu f'isem iċ-ċittadin ta' pajjiż terz f'konformità mad-dritt nazzjonali għandha tingħata wkoll liċ-ċittadin ta' pajiż terz b'lingwa li jifhem.</w:t>
            </w:r>
            <w:r>
              <w:t xml:space="preserve"> </w:t>
            </w:r>
            <w:r>
              <w:rPr>
                <w:b/>
                <w:i/>
                <w:strike w:val="0"/>
                <w:color w:val="auto"/>
                <w:highlight w:val="none"/>
                <w:u w:val="none" w:color="auto"/>
                <w:vertAlign w:val="baseline"/>
              </w:rPr>
              <w:t>L-appell għandu jiġi ppreżentat immedjatament wara li r-riferiment ikun ġie kkomunikat liċ-ċittadin ta' pajjiż terz.</w:t>
            </w:r>
            <w:r>
              <w:t xml:space="preserve"> </w:t>
            </w:r>
            <w:r>
              <w:rPr>
                <w:b/>
                <w:i/>
                <w:strike w:val="0"/>
                <w:color w:val="auto"/>
                <w:highlight w:val="none"/>
                <w:u w:val="none" w:color="auto"/>
                <w:vertAlign w:val="baseline"/>
              </w:rPr>
              <w:t>It-tressiq ta' tali appell ma għandux ikollu effett sospensiv fuq ir-riferiment taċ-ċittadin ta' pajjiż terz għall-proċedura sussegwenti.</w:t>
            </w:r>
            <w:r>
              <w:t xml:space="preserve"> </w:t>
            </w:r>
            <w:r>
              <w:rPr>
                <w:b/>
                <w:i/>
                <w:strike w:val="0"/>
                <w:color w:val="auto"/>
                <w:highlight w:val="none"/>
                <w:u w:val="none" w:color="auto"/>
                <w:vertAlign w:val="baseline"/>
              </w:rPr>
              <w:t>L-appell għandu jiġi pproċessat malajr u l-eżitu tiegħu għandu jiġi kkomunikat bil-miktub liċ-ċittadin ta' pajjiż terz.</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Birgit Sippel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L-Istati Membri li jwettqu l-proċedura tal-iskrinjar għandhom jiżguraw li d-data personali kollha miġbura fil-kuntest ta' dik il-proċedura, b'mod partikolari d-data personali inkluża fil-formola ta' debriefing, titħassar malli: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 tkun ittieħdet deċiżjoni finali dwar l-applikazzjoni għall-protezzjoni internazzjonali, inkluż kwalunkwe appell u l-livelli kollha tal-appell;</w:t>
            </w:r>
            <w:r>
              <w:rPr>
                <w:b/>
                <w:i/>
                <w:strike w:val="0"/>
                <w:color w:val="auto"/>
                <w:highlight w:val="none"/>
                <w:u w:val="none" w:color="auto"/>
                <w:vertAlign w:val="baseline"/>
              </w:rPr>
              <w:t>jew</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(ii) tkun ittieħdet deċiżjoni finali fir-rigward tal-proċedura ta' ritorn, inkluż kwalunkwe appell u l-livelli kollha tal-appell;</w:t>
            </w:r>
            <w:r>
              <w:rPr>
                <w:b/>
                <w:i/>
                <w:strike w:val="0"/>
                <w:color w:val="auto"/>
                <w:highlight w:val="none"/>
                <w:u w:val="none" w:color="auto"/>
                <w:vertAlign w:val="baseline"/>
              </w:rPr>
              <w:t>jew</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(iii) ikun inħareġ rifjut tad-dħul, inkluż kwalunkwe appell u l-livelli kollha tal-appell;</w:t>
            </w:r>
            <w:r>
              <w:rPr>
                <w:b/>
                <w:i/>
                <w:strike w:val="0"/>
                <w:color w:val="auto"/>
                <w:highlight w:val="none"/>
                <w:u w:val="none" w:color="auto"/>
                <w:vertAlign w:val="baseline"/>
              </w:rPr>
              <w:t>jew</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(iv) il-persuna tkun ingħatat id-dħul fl-Istat Membru kkonċernat skont l-Artikolu 6(5) tar-Regolament 2016/399 [il-Kodiċi tal-Fruntieri ta' Schengen].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 – 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Ir-riferiment għal proċedura skont dan l-Artikolu ma għandux ikun soġġett għal rimedju.</w:t>
            </w:r>
            <w:r>
              <w:t xml:space="preserve"> </w:t>
            </w:r>
            <w:r>
              <w:rPr>
                <w:b/>
                <w:i/>
                <w:strike w:val="0"/>
                <w:color w:val="auto"/>
                <w:highlight w:val="none"/>
                <w:u w:val="none" w:color="auto"/>
                <w:vertAlign w:val="baseline"/>
              </w:rPr>
              <w:t>L-Istati Membri għandhom jiżguraw li l-applikant ikollu d-dritt għal rimedju effettiv fil-proċedura li jiġi rriferut għaliha.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14a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Wara l-Iskrinjar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Ladarba l-proċedura tal-iskrinjar tintemm, l-awtoritajiet kompetenti tal-Istati Membri jistgħu jiddeċiedu li jirritornaw ċittadin ta' pajjiż terz jekk ikun irrifjuta b'mod ċar li japplika għall-protezzjoni internazzjonali u ma jkunx eliġibbli biex japplika għal permess ta' residenza jew awtorizzazzjoni oħra li toffri dritt ta' soġġorn għal raġunijiet ta' kompassjoni, umanitarji jew raġunijiet oħra skont il-leġiżlazzjoni tal-Istat Membru jew dispożizzjonijiet oħra tad-dritt tal-Unjoni jew internazzjonali.</w:t>
            </w:r>
            <w:r>
              <w:t xml:space="preserve"> </w:t>
            </w:r>
            <w:r>
              <w:rPr>
                <w:b/>
                <w:i/>
                <w:strike w:val="0"/>
                <w:color w:val="auto"/>
                <w:highlight w:val="none"/>
                <w:u w:val="none" w:color="auto"/>
                <w:vertAlign w:val="baseline"/>
              </w:rPr>
              <w:t>F'dawn il-każijiet, id-Direttiva 2008/115/KE (id-Direttiva dwar ir-Ritorn) għandha tapplika u tinvolvi l-obbligi rilevanti kollha għall-Istati Membri u s-salvagwardji għaċ-ċittadini ta' pajjiżi terzi.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L-applikazzjoni tad-Direttiva 2008/115/KE (id-Direttiva dwar ir-Ritorn) għandha ssir mingħajr preġudizzju għall-Artikolu 6(5) tar-Regolament (UE) 2016/399 u l-paragrafu 7(a) ta' dan l-Artikolu u l-prinċipju ta' non-refoulement u obbligi oħra tad-drittijiet fundamentali skont il-Karta tad-Drittijiet Fundamentali u obbligi oħra tal-UE u internazzjonali, u mingħajr preġudizzju għall-Artikolu 6(4) tad-Direttiva 2008/115.</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F'każijiet li jinvolvu l-minorenni, l-aħjar interessi tat-tfal għandhom ikunu kunsiderazzjoni primarja.</w:t>
            </w:r>
            <w:r>
              <w:t xml:space="preserve"> </w:t>
            </w:r>
            <w:r>
              <w:rPr>
                <w:b/>
                <w:i/>
                <w:strike w:val="0"/>
                <w:color w:val="auto"/>
                <w:highlight w:val="none"/>
                <w:u w:val="none" w:color="auto"/>
                <w:vertAlign w:val="baseline"/>
              </w:rPr>
              <w:t>Dan jirrikjedi li l-proċeduri li jirrispettaw id-Direttiva 2008/115/KE (id-Direttiva dwar ir-Ritorn) jistgħu jiġu applikati biss wara li titwettaq proċedura ddokumentata tal-aħjar interessi tat-tfal minn tim multidixxiplinari li jivvaluta u jidentifika soluzzjoni dejjiema.</w:t>
            </w:r>
            <w:r>
              <w:t xml:space="preserve"> </w:t>
            </w:r>
            <w:r>
              <w:rPr>
                <w:b/>
                <w:i/>
                <w:strike w:val="0"/>
                <w:color w:val="auto"/>
                <w:highlight w:val="none"/>
                <w:u w:val="none" w:color="auto"/>
                <w:vertAlign w:val="baseline"/>
              </w:rPr>
              <w:t>Jekk il-proċedura tikkonkludi li r-ritorn jitqies li huwa fl-aħjar interessi tat-tfal, għandha tingħata prijorità lill-implimentazzjoni permezz ta' tluq volontarju b'assistenza speċifika għat-tfal.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Rasa Juknevičienė</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Artikolu 14a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Appoġġ finanzjarju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In-nefqa relatata mal-implimentazzjoni ta' dan ir-Regolament għandha tkun koperta mill-finanzjament tal-politiki tal-affarijiet interni, fl-ambitu tal-qafas finanzjarju pluriennali 2021-2027 tal-Fond għall-Ġestjoni tal-Ażil u l-Migrazzjoni.</w:t>
            </w:r>
            <w:r>
              <w:t xml:space="preserve"> </w:t>
            </w:r>
            <w:r>
              <w:rPr>
                <w:b/>
                <w:i/>
                <w:strike w:val="0"/>
                <w:color w:val="auto"/>
                <w:highlight w:val="none"/>
                <w:u w:val="none" w:color="auto"/>
                <w:vertAlign w:val="baseline"/>
              </w:rPr>
              <w:t>Dan jinkludi l-installazzjoni ta' infrastruttura ta' verifika (ħolqien u użu/tiġdid ta' bini eżistenti f'punti ta' qsim tal-fruntiera, ċentri ta' akkoljenza, eċċ.), il-ħolqien ta' aċċess għal bażijiet ta' data rilevanti f'postijiet ġodda, ir-reklutaġġ ta' persunal addizzjonali, it-taħriġ ta' gwardji tal-fruntiera u persunal ieħor, ir-reklutaġġ ta' persunal mediku, ix-xiri ta' tagħmir mediku u l-installazzjoni ta' bini għal eżamijiet mediċi (fejn meħtieġ), l-istabbiliment ta' mekkaniżmu indipendenti għall-monitoraġġ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16</w:t>
      </w:r>
      <w:r>
        <w:rPr>
          <w:rStyle w:val="HideTWBExt"/>
        </w:rPr>
        <w:t>&lt;/</w:t>
      </w:r>
      <w:r>
        <w:rPr>
          <w:rStyle w:val="HideTWBExt"/>
        </w:rPr>
        <w:t>Article</w:t>
      </w:r>
      <w:r>
        <w:rPr>
          <w:rStyle w:val="HideTWBExt"/>
        </w:rPr>
        <w:t>&gt;</w:t>
      </w:r>
    </w:p>
    <w:p>
      <w:r>
        <w:t>Regolament (KE) Nru 767/2008</w:t>
      </w:r>
    </w:p>
    <w:p>
      <w:r>
        <w:rPr>
          <w:rStyle w:val="HideTWBExt"/>
        </w:rPr>
        <w:t>&lt;</w:t>
      </w:r>
      <w:r>
        <w:rPr>
          <w:rStyle w:val="HideTWBExt"/>
        </w:rPr>
        <w:t>Article2</w:t>
      </w:r>
      <w:r>
        <w:rPr>
          <w:rStyle w:val="HideTWBExt"/>
        </w:rPr>
        <w:t>&gt;</w:t>
      </w:r>
      <w:r>
        <w:t>Artikolu 6 – paragrafu 2</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16</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(KE) Nru 767/2008</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(KE) Nru 767/2008 għandu jiġi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6, il-paragrafu 2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L-aċċess għall-VIS għall-finijiet tal-konsultazzjoni tad-data għandu jkun riżervat esklużivament għall-persunal debitament awtorizzat tal-Unità Ċentrali tal-ETIAS, tal-awtoritajiet nazzjonali ta’ kull Stat Membru, inkluż għal persunal debitament awtorizzat tal-Unitajiet Nazzjonali tal-ETIAS, maħtura skont l-Artikolu 8 tar-Regolament (UE) 2018/1240 tal-Parlament Ewropew u tal-Kunsill, li huwa kompetenti għall-finijiet stabbiliti fl-Artikoli 15 sa 22, għall-persunal debitament awtorizzat tal-awtoritajiet nazzjonali ta’ kull Stat Membru u tal-aġenziji tal-Unjoni, li huwa kompetenti għall-finijiet stabbiliti fl-Artikoli 20 u 21 tar-Regolament 2019/817, u għall-awtoritajiet kompetenti previsti fl-Artikolu 6(6) tar-Regolament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 Tali aċċess għandu jkun limitat skont sa fejn tkun meħtieġa d-data għat-twettiq tal-kompiti tagħhom għal dawk il-finijiet, u għandu jkun proporzjonat għall-għanijiet li jridu jintlaħqu.;37 . Such access shall be limited according to the extent that the data are required for the performance of their tasks for those purposes, and proportionate to the objectives pursued.;</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16</w:t>
      </w:r>
      <w:r>
        <w:rPr>
          <w:rStyle w:val="HideTWBExt"/>
        </w:rPr>
        <w:t>&lt;/</w:t>
      </w:r>
      <w:r>
        <w:rPr>
          <w:rStyle w:val="HideTWBExt"/>
        </w:rPr>
        <w:t>Article</w:t>
      </w:r>
      <w:r>
        <w:rPr>
          <w:rStyle w:val="HideTWBExt"/>
        </w:rPr>
        <w:t>&gt;</w:t>
      </w:r>
    </w:p>
    <w:p>
      <w:r>
        <w:t>Regolament (KE) Nru 767/2008</w:t>
      </w:r>
    </w:p>
    <w:p>
      <w:r>
        <w:rPr>
          <w:rStyle w:val="HideTWBExt"/>
        </w:rPr>
        <w:t>&lt;</w:t>
      </w:r>
      <w:r>
        <w:rPr>
          <w:rStyle w:val="HideTWBExt"/>
        </w:rPr>
        <w:t>Article2</w:t>
      </w:r>
      <w:r>
        <w:rPr>
          <w:rStyle w:val="HideTWBExt"/>
        </w:rPr>
        <w:t>&gt;</w:t>
      </w:r>
      <w:r>
        <w:t>Artikolu 6 – paragrafu 2</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16</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(KE) Nru 767/2008</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(KE) Nru 767/2008 għandu jiġi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6, il-paragrafu 2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L-aċċess għall-VIS għall-finijiet tal-konsultazzjoni tad-data għandu jkun riżervat esklużivament għall-persunal debitament awtorizzat tal-Unità Ċentrali tal-ETIAS, tal-awtoritajiet nazzjonali ta’ kull Stat Membru, inkluż għal persunal debitament awtorizzat tal-Unitajiet Nazzjonali tal-ETIAS, maħtura skont l-Artikolu 8 tar-Regolament (UE) 2018/1240 tal-Parlament Ewropew u tal-Kunsill, li huwa kompetenti għall-finijiet stabbiliti fl-Artikoli 15 sa 22, għall-persunal debitament awtorizzat tal-awtoritajiet nazzjonali ta’ kull Stat Membru u tal-aġenziji tal-Unjoni, li huwa kompetenti għall-finijiet stabbiliti fl-Artikoli 20 u 21 tar-Regolament 2019/817, u għall-awtoritajiet kompetenti previsti fl-Artikolu 6(6) tar-Regolament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 Tali aċċess għandu jkun limitat skont sa fejn tkun meħtieġa d-data għat-twettiq tal-kompiti tagħhom għal dawk il-finijiet, u għandu jkun proporzjonat għall-għanijiet li jridu jintlaħqu.;37 . Such access shall be limited according to the extent that the data are required for the performance of their tasks for those purposes, and proportionate to the objectives pursued.;</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17</w:t>
      </w:r>
      <w:r>
        <w:rPr>
          <w:rStyle w:val="HideTWBExt"/>
        </w:rPr>
        <w:t>&lt;/</w:t>
      </w:r>
      <w:r>
        <w:rPr>
          <w:rStyle w:val="HideTWBExt"/>
        </w:rPr>
        <w:t>Article</w:t>
      </w:r>
      <w:r>
        <w:rPr>
          <w:rStyle w:val="HideTWBExt"/>
        </w:rPr>
        <w:t>&gt;</w:t>
      </w:r>
    </w:p>
    <w:p>
      <w:r>
        <w:t>Regolament (UE) 2017/2226</w:t>
      </w:r>
    </w:p>
    <w:p>
      <w:r>
        <w:rPr>
          <w:rStyle w:val="HideTWBExt"/>
        </w:rPr>
        <w:t>&lt;</w:t>
      </w:r>
      <w:r>
        <w:rPr>
          <w:rStyle w:val="HideTWBExt"/>
        </w:rPr>
        <w:t>Article2</w:t>
      </w:r>
      <w:r>
        <w:rPr>
          <w:rStyle w:val="HideTWBExt"/>
        </w:rPr>
        <w:t>&gt;</w:t>
      </w:r>
      <w:r>
        <w:t>Artikolu 6(1) –Artikolu 9(1) – Artikolu 9(4)</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17</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(UE) 2017/2226</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(UE) 2017/2226 huwa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6(1), jiżdied il-punt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tappoġġa l-għanijiet tal-iskrinjar stabbilit mir-Regolament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 b’mod partikolari għall-kontrolli previsti fl-Artikolu 10 tiegħu.38 , in particular for the checks provided under Article 10 thereof.</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il-paragrafu (1)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L-awtoritajiet kompetenti msemmija fl-Artikolu 5(6) tar-Regolament (UE) 2020/XXX għandu jkollhom aċċess għall-EES biex jikkonsultaw id-data.;</w:t>
            </w:r>
            <w:r>
              <w:rPr>
                <w:b/>
                <w:i/>
                <w:strike w:val="0"/>
                <w:color w:val="auto"/>
                <w:highlight w:val="none"/>
                <w:u w:val="none" w:color="auto"/>
                <w:vertAlign w:val="baseline"/>
              </w:rPr>
              <w:t>2a. The competent authorities referred to in Article 5(6) of Regulation (EU) 2020/XXX shall have access to the EES to consult data.;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L-aċċess għad-data tal-EES maħżuna fis-CIR għandu jiġi rriżervat b’mod esklużiv għall-persunal debitament awtorizzat tal-awtoritajiet nazzjonali ta’ kull Stat Membru u għall-persunal awtorizzat kif xieraq tal-aġenziji tal-Unjoni li jkunu kompetenti għall-finijiet stabbiliti fl-Artikolu 20, fl-Artikolu 20a u fl-Artikolu 21 tar-Regolament (UE) 2019/817. Tali aċċess għandu jkun limitat sal-punt li tkun meħtieġa d-data għat-twettiq tal-kompiti tagħhom għal dawk il-finijiet, u għandu jkun proporzjonat għall-għanijiet li jridu jintlaħqu.</w:t>
            </w:r>
            <w:r>
              <w:rPr>
                <w:b/>
                <w:i/>
                <w:strike w:val="0"/>
                <w:color w:val="auto"/>
                <w:highlight w:val="none"/>
                <w:u w:val="none" w:color="auto"/>
                <w:vertAlign w:val="baseline"/>
              </w:rPr>
              <w:t>L-aċċess għad-data tal-EES maħżuna fis-CIR għandu jiġi rriżervat b’mod esklużiv għall-persunal debitament awtorizzat tal-awtoritajiet nazzjonali ta’ kull Stat Membru u għall-persunal awtorizzat kif xieraq tal-aġenziji tal-Unjoni li jkunu kompetenti għall-finijiet stabbiliti fl-Artikolu 20, fl-Artikolu 20a u fl-Artikolu 21 tar-Regolament (UE) 2019/817. Tali aċċess għandu jkun limitat sal-punt li tkun meħtieġa d-data għat-twettiq tal-kompiti tagħhom għal dawk il-finijiet, u għandu jkun proporzjonat għall-għanijiet li jridu jintlaħqu.</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17</w:t>
      </w:r>
      <w:r>
        <w:rPr>
          <w:rStyle w:val="HideTWBExt"/>
        </w:rPr>
        <w:t>&lt;/</w:t>
      </w:r>
      <w:r>
        <w:rPr>
          <w:rStyle w:val="HideTWBExt"/>
        </w:rPr>
        <w:t>Article</w:t>
      </w:r>
      <w:r>
        <w:rPr>
          <w:rStyle w:val="HideTWBExt"/>
        </w:rPr>
        <w:t>&gt;</w:t>
      </w:r>
    </w:p>
    <w:p>
      <w:r>
        <w:t>Regolament (UE) 2017/2226</w:t>
      </w:r>
    </w:p>
    <w:p>
      <w:r>
        <w:rPr>
          <w:rStyle w:val="HideTWBExt"/>
        </w:rPr>
        <w:t>&lt;</w:t>
      </w:r>
      <w:r>
        <w:rPr>
          <w:rStyle w:val="HideTWBExt"/>
        </w:rPr>
        <w:t>Article2</w:t>
      </w:r>
      <w:r>
        <w:rPr>
          <w:rStyle w:val="HideTWBExt"/>
        </w:rPr>
        <w:t>&gt;</w:t>
      </w:r>
      <w:r>
        <w:t>Article 6 – paragrafu 1 – punt l, Artikolu 9 – paragrafi 1 u 4</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17</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(UE) 2017/2226</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(UE) 2017/2226 huwa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6(1), jiżdied il-punt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tappoġġa l-għanijiet tal-iskrinjar stabbilit mir-Regolament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 b’mod partikolari għall-kontrolli previsti fl-Artikolu 10 tiegħu.38 , in particular for the checks provided under Article 10 thereof.</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il-paragrafu (1)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L-awtoritajiet kompetenti msemmija fl-Artikolu 5(6) tar-Regolament (UE) 2020/XXX għandu jkollhom aċċess għall-EES biex jikkonsultaw id-data.;</w:t>
            </w:r>
            <w:r>
              <w:rPr>
                <w:b/>
                <w:i/>
                <w:strike w:val="0"/>
                <w:color w:val="auto"/>
                <w:highlight w:val="none"/>
                <w:u w:val="none" w:color="auto"/>
                <w:vertAlign w:val="baseline"/>
              </w:rPr>
              <w:t>2a. The competent authorities referred to in Article 5(6) of Regulation (EU) 2020/XXX shall have access to the EES to consult data.;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L-aċċess għad-data tal-EES maħżuna fis-CIR għandu jiġi rriżervat b’mod esklużiv għall-persunal debitament awtorizzat tal-awtoritajiet nazzjonali ta’ kull Stat Membru u għall-persunal awtorizzat kif xieraq tal-aġenziji tal-Unjoni li jkunu kompetenti għall-finijiet stabbiliti fl-Artikolu 20, fl-Artikolu 20a u fl-Artikolu 21 tar-Regolament (UE) 2019/817. Tali aċċess għandu jkun limitat sal-punt li tkun meħtieġa d-data għat-twettiq tal-kompiti tagħhom għal dawk il-finijiet, u għandu jkun proporzjonat għall-għanijiet li jridu jintlaħqu.</w:t>
            </w:r>
            <w:r>
              <w:rPr>
                <w:b/>
                <w:i/>
                <w:strike w:val="0"/>
                <w:color w:val="auto"/>
                <w:highlight w:val="none"/>
                <w:u w:val="none" w:color="auto"/>
                <w:vertAlign w:val="baseline"/>
              </w:rPr>
              <w:t>L-aċċess għad-data tal-EES maħżuna fis-CIR għandu jiġi rriżervat b’mod esklużiv għall-persunal debitament awtorizzat tal-awtoritajiet nazzjonali ta’ kull Stat Membru u għall-persunal awtorizzat kif xieraq tal-aġenziji tal-Unjoni li jkunu kompetenti għall-finijiet stabbiliti fl-Artikolu 20, fl-Artikolu 20a u fl-Artikolu 21 tar-Regolament (UE) 2019/817. Tali aċċess għandu jkun limitat sal-punt li tkun meħtieġa d-data għat-twettiq tal-kompiti tagħhom għal dawk il-finijiet, u għandu jkun proporzjonat għall-għanijiet li jridu jintlaħqu.</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18</w:t>
      </w:r>
      <w:r>
        <w:rPr>
          <w:rStyle w:val="HideTWBExt"/>
        </w:rPr>
        <w:t>&lt;/</w:t>
      </w:r>
      <w:r>
        <w:rPr>
          <w:rStyle w:val="HideTWBExt"/>
        </w:rPr>
        <w:t>Article</w:t>
      </w:r>
      <w:r>
        <w:rPr>
          <w:rStyle w:val="HideTWBExt"/>
        </w:rPr>
        <w:t>&gt;</w:t>
      </w:r>
    </w:p>
    <w:p>
      <w:r>
        <w:t>Regolament (UE) 2018/1240</w:t>
      </w:r>
    </w:p>
    <w:p>
      <w:r>
        <w:rPr>
          <w:rStyle w:val="HideTWBExt"/>
        </w:rPr>
        <w:t>&lt;</w:t>
      </w:r>
      <w:r>
        <w:rPr>
          <w:rStyle w:val="HideTWBExt"/>
        </w:rPr>
        <w:t>Article2</w:t>
      </w:r>
      <w:r>
        <w:rPr>
          <w:rStyle w:val="HideTWBExt"/>
        </w:rPr>
        <w:t>&gt;</w:t>
      </w:r>
      <w:r>
        <w:t>Artikolu 4 – punt a, Artikolu 13 – paragrafu 5</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18</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(UE) 2018/1240</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(UE) 2018/1240 huwa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4, il-punt a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tikkontribwixxi għal livell għoli ta’ sigurtà billi tipprovdi valutazzjoni bir-reqqa tar-riskju għas-sigurtà interna li joħolqu l-applikanti qabel ma jaslu fil-punti ta’ qsim tal-fruntiera esterna, u persuni soġġetti għall-iskrinjar imsemmi fir-Regolament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[ir-Regolament dwar l-Iskrinjar], biex jiġi ddeterminat jekk ikunx hemm indikazzjonijiet fattwali jew raġunijiet validi bbażati fuq indikazzjonijiet fattwali biex jiġi konkluż li l-preżenza tal-persuna fit-territorju tal-Istati Membri tista’ toħloq riskju għas-sigurtà;39 [Screening Regulation], in order to determine whether there are factual indications or reasonable grounds based on factual indications to conclude that the presence of the person on the territory of the Member States poses a security risk;</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Kull Stat Membru għandu jaħtar l-awtoritajiet nazzjonali kompetenti msemmija fil-paragrafi 1, 2 u 4 ta’ dan l-Artikolu, u l-awtorità kompetenti msemmija fl-Artikolu 5(6) tar-Regolament (UE) 2020/XXX, u għandu jibgħat lista ta’ dawk l-awtoritajiet lil eu-LISA mingħajr dewmien, f’konformità mal-Artikolu 87(2) ta’ dan ir-Regolament. Dik il-lista għandha tispeċifika għal liema skop il-persunal debitament awtorizzat ta’ kull awtorità għandu jkollu aċċess għad-data fis-Sistema ta’ Informazzjoni tal-ETIAS f’konformità mal-paragrafi 1, 2 u 4 ta’ dan l-Artikolu.</w:t>
            </w:r>
            <w:r>
              <w:rPr>
                <w:b/>
                <w:i/>
                <w:strike w:val="0"/>
                <w:color w:val="auto"/>
                <w:highlight w:val="none"/>
                <w:u w:val="none" w:color="auto"/>
                <w:vertAlign w:val="baseline"/>
              </w:rPr>
              <w:t>5. Each Member State shall designate the competent national authorities referred to in paragraphs 1, 2 and 4 of this Article, and the competent authority referred to in Article 5(6) of Regulation (EU) 2020/XXX, and shall communicate a list of those authorities to eu-LISA without delay, in accordance with Article 87(2) of this Regulation. That list shall specify for which purpose the duly authorised staff of each authority shall have access to the data in the ETIAS Information System in accordance with paragraphs 1, 2 and 4 of this Article.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18</w:t>
      </w:r>
      <w:r>
        <w:rPr>
          <w:rStyle w:val="HideTWBExt"/>
        </w:rPr>
        <w:t>&lt;/</w:t>
      </w:r>
      <w:r>
        <w:rPr>
          <w:rStyle w:val="HideTWBExt"/>
        </w:rPr>
        <w:t>Article</w:t>
      </w:r>
      <w:r>
        <w:rPr>
          <w:rStyle w:val="HideTWBExt"/>
        </w:rPr>
        <w:t>&gt;</w:t>
      </w:r>
    </w:p>
    <w:p>
      <w:r>
        <w:t>Regolament (UE) 2018/1240</w:t>
      </w:r>
    </w:p>
    <w:p>
      <w:r>
        <w:rPr>
          <w:rStyle w:val="HideTWBExt"/>
        </w:rPr>
        <w:t>&lt;</w:t>
      </w:r>
      <w:r>
        <w:rPr>
          <w:rStyle w:val="HideTWBExt"/>
        </w:rPr>
        <w:t>Article2</w:t>
      </w:r>
      <w:r>
        <w:rPr>
          <w:rStyle w:val="HideTWBExt"/>
        </w:rPr>
        <w:t>&gt;</w:t>
      </w:r>
      <w:r>
        <w:t>Artikolu 4(a) – Artikolu 13(5)</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18</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Emendi għar-Regolament (UE) 2018/1240</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Ir-Regolament (UE) 2018/1240 huwa emendat kif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Fl-Artikolu 4, il-punt a huwa ssostitwit b’dan li ġej:</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tikkontribwixxi għal livell għoli ta’ sigurtà billi tipprovdi valutazzjoni bir-reqqa tar-riskju għas-sigurtà interna li joħolqu l-applikanti qabel ma jaslu fil-punti ta’ qsim tal-fruntiera esterna, u persuni soġġetti għall-iskrinjar imsemmi fir-Regolament (UE) 2020/XXX tal-Parlament Ewropew u tal-Kunsill</w:t>
            </w:r>
            <w:r>
              <w:rPr>
                <w:b/>
                <w:i/>
                <w:strike w:val="0"/>
                <w:color w:val="auto"/>
                <w:highlight w:val="none"/>
                <w:u w:val="none" w:color="auto"/>
                <w:vertAlign w:val="baseline"/>
              </w:rPr>
              <w:t>Ir-Regolament (UE) Nru XXX tal-Parlament Ewropew u tal-Kunsill ta’ [...] li jintroduċi skrinjar ta’ ċittadini ta’ pajjiżi terzi fil-fruntieri esterni u li jemenda r-Regolamenti (KE) Nru 767/2008, (UE) 2017/2226, (UE) 2018/1240 u (UE) 2019/817].</w:t>
            </w:r>
            <w:r>
              <w:rPr>
                <w:b/>
                <w:i/>
                <w:strike w:val="0"/>
                <w:color w:val="auto"/>
                <w:highlight w:val="none"/>
                <w:u w:val="none" w:color="auto"/>
                <w:vertAlign w:val="baseline"/>
              </w:rPr>
              <w:t>[ir-Regolament dwar l-Iskrinjar], biex jiġi ddeterminat jekk ikunx hemm indikazzjonijiet fattwali jew raġunijiet validi bbażati fuq indikazzjonijiet fattwali biex jiġi konkluż li l-preżenza tal-persuna fit-territorju tal-Istati Membri tista’ toħloq riskju għas-sigurtà;39 [Screening Regulation], in order to determine whether there are factual indications or reasonable grounds based on factual indications to conclude that the presence of the person on the territory of the Member States poses a security risk;</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Kull Stat Membru għandu jaħtar l-awtoritajiet nazzjonali kompetenti msemmija fil-paragrafi 1, 2 u 4 ta’ dan l-Artikolu, u l-awtorità kompetenti msemmija fl-Artikolu 5(6) tar-Regolament (UE) 2020/XXX, u għandu jibgħat lista ta’ dawk l-awtoritajiet lil eu-LISA mingħajr dewmien, f’konformità mal-Artikolu 87(2) ta’ dan ir-Regolament. Dik il-lista għandha tispeċifika għal liema skop il-persunal debitament awtorizzat ta’ kull awtorità għandu jkollu aċċess għad-data fis-Sistema ta’ Informazzjoni tal-ETIAS f’konformità mal-paragrafi 1, 2 u 4 ta’ dan l-Artikolu.</w:t>
            </w:r>
            <w:r>
              <w:rPr>
                <w:b/>
                <w:i/>
                <w:strike w:val="0"/>
                <w:color w:val="auto"/>
                <w:highlight w:val="none"/>
                <w:u w:val="none" w:color="auto"/>
                <w:vertAlign w:val="baseline"/>
              </w:rPr>
              <w:t>5. Each Member State shall designate the competent national authorities referred to in paragraphs 1, 2 and 4 of this Article, and the competent authority referred to in Article 5(6) of Regulation (EU) 2020/XXX, and shall communicate a list of those authorities to eu-LISA without delay, in accordance with Article 87(2) of this Regulation. That list shall specify for which purpose the duly authorised staff of each authority shall have access to the data in the ETIAS Information System in accordance with paragraphs 1, 2 and 4 of this Article.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19 – paragrafu 1 – punt 1</w:t>
      </w:r>
      <w:r>
        <w:rPr>
          <w:rStyle w:val="HideTWBExt"/>
        </w:rPr>
        <w:t>&lt;/</w:t>
      </w:r>
      <w:r>
        <w:rPr>
          <w:rStyle w:val="HideTWBExt"/>
        </w:rPr>
        <w:t>Article</w:t>
      </w:r>
      <w:r>
        <w:rPr>
          <w:rStyle w:val="HideTWBExt"/>
        </w:rPr>
        <w:t>&gt;</w:t>
      </w:r>
    </w:p>
    <w:p>
      <w:r>
        <w:t>Regolament (UE) 2019/817</w:t>
      </w:r>
    </w:p>
    <w:p>
      <w:r>
        <w:rPr>
          <w:rStyle w:val="HideTWBExt"/>
        </w:rPr>
        <w:t>&lt;</w:t>
      </w:r>
      <w:r>
        <w:rPr>
          <w:rStyle w:val="HideTWBExt"/>
        </w:rPr>
        <w:t>Article2</w:t>
      </w:r>
      <w:r>
        <w:rPr>
          <w:rStyle w:val="HideTWBExt"/>
        </w:rPr>
        <w:t>&gt;</w:t>
      </w:r>
      <w:r>
        <w:t>Artikolu 17</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Hu stabbilit repożitorju komuni ta’ informazzjoni dwar l-identità (CIR), li joħloq fajl individwali għal kull persuna li tiġi rreġistrata fl-EES, il-VIS, l-ETIAS, il-Eurodac jew l-ECRIS-TCN li fiha d-data msemmija fl-Artikolu 18, għall-fini ta’ ffaċilitar u ta’ assistenza għall-identifikazzjoni korretta tal-persuni rreġistrati fl-EES, il-VIS, l-ETIAS, il-Eurodac u l-ECRIS-TCN f’konformità mal-Artikolu 20 u 20a, biex jiġi appoġġat il-funzjonament tal-MID f’konformità mal-Artikolu 21 u għall-faċilitazzjoni u l-issimplifikar tal-aċċess mill-awtoritajiet maħtura u mill-Europol għall-EES, il-VIS, l-ETIAS u l-Eurodac, fejn dan ikun meħtieġ għall-prevenzjoni, għad-detezzjoni jew għall-investigazzjoni ta’ reati terroristiċi jew reati kriminali serji oħra skont l-Artikolu 22.</w:t>
            </w:r>
          </w:p>
        </w:tc>
        <w:tc>
          <w:tcPr>
            <w:tcW w:w="4876" w:type="dxa"/>
            <w:vAlign w:val="top"/>
          </w:tcPr>
          <w:p>
            <w:pPr>
              <w:pStyle w:val="Normal6a"/>
            </w:pPr>
            <w:r>
              <w:t xml:space="preserve">Hu stabbilit repożitorju komuni ta' informazzjoni dwar l-identità (CIR), li joħloq fajl individwali għal kull persuna li tiġi rreġistrata fl-EES, il-VIS, l-ETIAS, il-Eurodac jew l-ECRIS-TCN li fiha d-data msemmija fl-Artikolu 18, għall-fini ta' ffaċilitar u ta' assistenza għall-identifikazzjoni korretta tal-persuni rreġistrati fl-EES, il-VIS, l-ETIAS, il-Eurodac u l-ECRIS-TCN f'konformità mal-Artikolu 20 u 20a, biex jiġi appoġġat il-funzjonament tal-MID f'konformità mal-Artikolu 21 u għall-faċilitazzjoni u l-issimplifikar tal-aċċess mill-awtoritajiet maħtura u mill-Europol għall-EES, il-VIS, l-ETIAS u l-Eurodac, fejn dan ikun meħtieġ għall-prevenzjoni, għad-detezzjoni jew għall-investigazzjoni ta' reati terroristiċi jew reati kriminali serji oħra skont l-Artikolu 22. </w:t>
            </w:r>
            <w:r>
              <w:rPr>
                <w:b/>
                <w:i/>
                <w:strike w:val="0"/>
                <w:color w:val="auto"/>
                <w:highlight w:val="none"/>
                <w:u w:val="none" w:color="auto"/>
                <w:vertAlign w:val="baseline"/>
              </w:rPr>
              <w:t>Għall-finijiet tar-Regolament (UE) Nru XXX/XXX [ir-Regolament dwar l-Iskrinjar] it-tiftixa fis-CIR għandha tivverifika biss mal-EES, mal-VIS u mal-Eurodac.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19 – paragrafu 1 – punt 2</w:t>
      </w:r>
      <w:r>
        <w:rPr>
          <w:rStyle w:val="HideTWBExt"/>
        </w:rPr>
        <w:t>&lt;/</w:t>
      </w:r>
      <w:r>
        <w:rPr>
          <w:rStyle w:val="HideTWBExt"/>
        </w:rPr>
        <w:t>Article</w:t>
      </w:r>
      <w:r>
        <w:rPr>
          <w:rStyle w:val="HideTWBExt"/>
        </w:rPr>
        <w:t>&gt;</w:t>
      </w:r>
    </w:p>
    <w:p>
      <w:r>
        <w:t>Regolament (UE) 2019/817</w:t>
      </w:r>
    </w:p>
    <w:p>
      <w:r>
        <w:rPr>
          <w:rStyle w:val="HideTWBExt"/>
        </w:rPr>
        <w:t>&lt;</w:t>
      </w:r>
      <w:r>
        <w:rPr>
          <w:rStyle w:val="HideTWBExt"/>
        </w:rPr>
        <w:t>Article2</w:t>
      </w:r>
      <w:r>
        <w:rPr>
          <w:rStyle w:val="HideTWBExt"/>
        </w:rPr>
        <w:t>&gt;</w:t>
      </w:r>
      <w:r>
        <w:t>Artikolu 20a – parti introduttorja</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L-aċċess għar-repożitorju komuni ta’ informazzjoni dwar l-identità għall-identifikazzjoni skont </w:t>
            </w:r>
            <w:r>
              <w:rPr>
                <w:b/>
                <w:i/>
                <w:strike w:val="0"/>
                <w:color w:val="auto"/>
                <w:highlight w:val="none"/>
                <w:u w:val="none" w:color="auto"/>
                <w:vertAlign w:val="baseline"/>
              </w:rPr>
              <w:t>dan</w:t>
            </w:r>
            <w:r>
              <w:t xml:space="preserve"> ir-Regolament (UE) 2020/XXX</w:t>
            </w:r>
          </w:p>
        </w:tc>
        <w:tc>
          <w:tcPr>
            <w:tcW w:w="4876" w:type="dxa"/>
            <w:vAlign w:val="top"/>
          </w:tcPr>
          <w:p>
            <w:pPr>
              <w:pStyle w:val="Normal6a"/>
            </w:pPr>
            <w:r>
              <w:t xml:space="preserve">L-aċċess għar-repożitorju komuni ta' informazzjoni dwar l-identità għall-identifikazzjoni skont ir-Regolament (UE) 2020/XXX </w:t>
            </w:r>
            <w:r>
              <w:rPr>
                <w:b/>
                <w:i/>
                <w:strike w:val="0"/>
                <w:color w:val="auto"/>
                <w:highlight w:val="none"/>
                <w:u w:val="none" w:color="auto"/>
                <w:vertAlign w:val="baseline"/>
              </w:rPr>
              <w:t>[ir-Regolament dwar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19 – paragrafu 1 – punt 2</w:t>
      </w:r>
      <w:r>
        <w:rPr>
          <w:rStyle w:val="HideTWBExt"/>
        </w:rPr>
        <w:t>&lt;/</w:t>
      </w:r>
      <w:r>
        <w:rPr>
          <w:rStyle w:val="HideTWBExt"/>
        </w:rPr>
        <w:t>Article</w:t>
      </w:r>
      <w:r>
        <w:rPr>
          <w:rStyle w:val="HideTWBExt"/>
        </w:rPr>
        <w:t>&gt;</w:t>
      </w:r>
    </w:p>
    <w:p>
      <w:r>
        <w:t>Regolament (UE) 2019/817</w:t>
      </w:r>
    </w:p>
    <w:p>
      <w:r>
        <w:rPr>
          <w:rStyle w:val="HideTWBExt"/>
        </w:rPr>
        <w:t>&lt;</w:t>
      </w:r>
      <w:r>
        <w:rPr>
          <w:rStyle w:val="HideTWBExt"/>
        </w:rPr>
        <w:t>Article2</w:t>
      </w:r>
      <w:r>
        <w:rPr>
          <w:rStyle w:val="HideTWBExt"/>
        </w:rPr>
        <w:t>&gt;</w:t>
      </w:r>
      <w:r>
        <w:t>Artikolu 20a – paragrafu 1</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It-tiftix fis-CIR għandu jitwettaq mill-awtorità kompetenti maħtura kif iddefinit fl-Artikolu 6(7) tar-Regolament (UE) 2020/XXX, għall-fini biss li tiġi identifikata persuna skont l-Artikolu 10 ta’ dak ir-Regolament, sakemm il-proċedura tkun inbdiet fil-preżenza ta’ dik il-persuna.</w:t>
            </w:r>
          </w:p>
        </w:tc>
        <w:tc>
          <w:tcPr>
            <w:tcW w:w="4876" w:type="dxa"/>
            <w:vAlign w:val="top"/>
          </w:tcPr>
          <w:p>
            <w:pPr>
              <w:pStyle w:val="Normal6a"/>
            </w:pPr>
            <w:r>
              <w:t>1.</w:t>
            </w:r>
            <w:r>
              <w:tab/>
            </w:r>
            <w:r>
              <w:t xml:space="preserve">It-tiftix fis-CIR għandu jitwettaq mill-awtorità kompetenti maħtura kif iddefinit fl-Artikolu 6(7) tar-Regolament (UE) 2020/XXX </w:t>
            </w:r>
            <w:r>
              <w:rPr>
                <w:b/>
                <w:i/>
                <w:strike w:val="0"/>
                <w:color w:val="auto"/>
                <w:highlight w:val="none"/>
                <w:u w:val="none" w:color="auto"/>
                <w:vertAlign w:val="baseline"/>
              </w:rPr>
              <w:t>[ir-Regolament dwar l-Iskrinjar]</w:t>
            </w:r>
            <w:r>
              <w:t>, għall-fini biss li tiġi identifikata persuna skont l-Artikolu 10 ta' dak ir-Regolament, sakemm il-proċedura tkun inbdiet fil-preżenza ta' dik il-persuna.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Tliet snin</w:t>
            </w:r>
            <w:r>
              <w:t xml:space="preserve"> wara d-dħul fis-seħħ, il-Kummissjoni għandha tirrapporta dwar l-implimentazzjoni tal-miżuri stabbiliti f’dan ir-Regolament.]</w:t>
            </w:r>
          </w:p>
        </w:tc>
        <w:tc>
          <w:tcPr>
            <w:tcW w:w="4876" w:type="dxa"/>
            <w:vAlign w:val="top"/>
          </w:tcPr>
          <w:p>
            <w:pPr>
              <w:pStyle w:val="Normal6a"/>
            </w:pPr>
            <w:r>
              <w:t xml:space="preserve">[Wara d-dħul fis-seħħ, il-Kummissjoni għandha tirrapporta </w:t>
            </w:r>
            <w:r>
              <w:rPr>
                <w:b/>
                <w:i/>
                <w:strike w:val="0"/>
                <w:color w:val="auto"/>
                <w:highlight w:val="none"/>
                <w:u w:val="none" w:color="auto"/>
                <w:vertAlign w:val="baseline"/>
              </w:rPr>
              <w:t>kull sena</w:t>
            </w:r>
            <w:r>
              <w:t xml:space="preserve"> dwar l-implimentazzjoni tal-miżuri stabbiliti f'dan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Tliet snin</w:t>
            </w:r>
            <w:r>
              <w:t xml:space="preserve"> wara d-dħul fis-seħħ, il-Kummissjoni għandha tirrapporta dwar l-implimentazzjoni tal-miżuri stabbiliti f’dan ir-Regolament.]</w:t>
            </w:r>
          </w:p>
        </w:tc>
        <w:tc>
          <w:tcPr>
            <w:tcW w:w="4876" w:type="dxa"/>
            <w:vAlign w:val="top"/>
          </w:tcPr>
          <w:p>
            <w:pPr>
              <w:pStyle w:val="Normal6a"/>
            </w:pPr>
            <w:r>
              <w:t>[</w:t>
            </w:r>
            <w:r>
              <w:rPr>
                <w:b/>
                <w:i/>
                <w:strike w:val="0"/>
                <w:color w:val="auto"/>
                <w:highlight w:val="none"/>
                <w:u w:val="none" w:color="auto"/>
                <w:vertAlign w:val="baseline"/>
              </w:rPr>
              <w:t>Sena</w:t>
            </w:r>
            <w:r>
              <w:t xml:space="preserve"> wara d-dħul fis-seħħ, il-Kummissjoni għandha tirrapporta dwar l-implimentazzjoni tal-miżuri stabbiliti f'dan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Tliet snin wara</w:t>
            </w:r>
            <w:r>
              <w:t xml:space="preserve"> d-dħul fis-seħħ, il-Kummissjoni għandha tirrapporta dwar l-implimentazzjoni tal-miżuri stabbiliti f’dan ir-Regolament.]</w:t>
            </w:r>
          </w:p>
        </w:tc>
        <w:tc>
          <w:tcPr>
            <w:tcW w:w="4876" w:type="dxa"/>
            <w:vAlign w:val="top"/>
          </w:tcPr>
          <w:p>
            <w:pPr>
              <w:pStyle w:val="Normal6a"/>
            </w:pPr>
            <w:r>
              <w:t>[</w:t>
            </w:r>
            <w:r>
              <w:rPr>
                <w:b/>
                <w:i/>
                <w:strike w:val="0"/>
                <w:color w:val="auto"/>
                <w:highlight w:val="none"/>
                <w:u w:val="none" w:color="auto"/>
                <w:vertAlign w:val="baseline"/>
              </w:rPr>
              <w:t>18-il xahar</w:t>
            </w:r>
            <w:r>
              <w:t xml:space="preserve"> d-dħul fis-seħħ, il-Kummissjoni għandha tirrapporta dwar l-implimentazzjoni tal-miżuri stabbiliti f'dan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Tliet snin</w:t>
            </w:r>
            <w:r>
              <w:t xml:space="preserve"> wara d-dħul fis-seħħ, il-Kummissjoni għandha tirrapporta dwar l-implimentazzjoni tal-miżuri stabbiliti f’dan ir-Regolament.]</w:t>
            </w:r>
          </w:p>
        </w:tc>
        <w:tc>
          <w:tcPr>
            <w:tcW w:w="4876" w:type="dxa"/>
            <w:vAlign w:val="top"/>
          </w:tcPr>
          <w:p>
            <w:pPr>
              <w:pStyle w:val="Normal6a"/>
            </w:pPr>
            <w:r>
              <w:t>[</w:t>
            </w:r>
            <w:r>
              <w:rPr>
                <w:b/>
                <w:i/>
                <w:strike w:val="0"/>
                <w:color w:val="auto"/>
                <w:highlight w:val="none"/>
                <w:u w:val="none" w:color="auto"/>
                <w:vertAlign w:val="baseline"/>
              </w:rPr>
              <w:t>Sentejn</w:t>
            </w:r>
            <w:r>
              <w:t xml:space="preserve"> wara d-dħul fis-seħħ, il-Kummissjoni għandha tirrapporta dwar l-implimentazzjoni tal-miżuri stabbiliti f'dan ir-Regolament</w:t>
            </w:r>
            <w:r>
              <w:rPr>
                <w:b/>
                <w:i/>
                <w:strike w:val="0"/>
                <w:color w:val="auto"/>
                <w:highlight w:val="none"/>
                <w:u w:val="none" w:color="auto"/>
                <w:vertAlign w:val="baseline"/>
              </w:rPr>
              <w:t>.</w:t>
            </w:r>
            <w:r>
              <w:t xml:space="preserve"> </w:t>
            </w:r>
            <w:r>
              <w:rPr>
                <w:b/>
                <w:i/>
                <w:strike w:val="0"/>
                <w:color w:val="auto"/>
                <w:highlight w:val="none"/>
                <w:u w:val="none" w:color="auto"/>
                <w:vertAlign w:val="baseline"/>
              </w:rPr>
              <w:t>Ir-rapport għandu jiġi ppreżentat ukoll lill-Parlament Ewropew u għandu jkun pubbliku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Mhux aktar kmieni minn [</w:t>
            </w:r>
            <w:r>
              <w:rPr>
                <w:b/>
                <w:i/>
                <w:strike w:val="0"/>
                <w:color w:val="auto"/>
                <w:highlight w:val="none"/>
                <w:u w:val="none" w:color="auto"/>
                <w:vertAlign w:val="baseline"/>
              </w:rPr>
              <w:t>ħames</w:t>
            </w:r>
            <w:r>
              <w:t xml:space="preserve">] </w:t>
            </w:r>
            <w:r>
              <w:rPr>
                <w:b/>
                <w:i/>
                <w:strike w:val="0"/>
                <w:color w:val="auto"/>
                <w:highlight w:val="none"/>
                <w:u w:val="none" w:color="auto"/>
                <w:vertAlign w:val="baseline"/>
              </w:rPr>
              <w:t>snin</w:t>
            </w:r>
            <w:r>
              <w:t xml:space="preserve"> wara d-data tal-applikazzjoni ta’ dan ir-Regolament, u kull </w:t>
            </w:r>
            <w:r>
              <w:rPr>
                <w:b/>
                <w:i/>
                <w:strike w:val="0"/>
                <w:color w:val="auto"/>
                <w:highlight w:val="none"/>
                <w:u w:val="none" w:color="auto"/>
                <w:vertAlign w:val="baseline"/>
              </w:rPr>
              <w:t>ħames snin</w:t>
            </w:r>
            <w:r>
              <w:t xml:space="preserve"> wara dan, il-Kummissjoni għandha twettaq evalwazzjoni ta’ dan ir-Regolament. Il-Kummissjoni għandha tippreżenta Rapport </w:t>
            </w:r>
            <w:r>
              <w:rPr>
                <w:b/>
                <w:i/>
                <w:strike w:val="0"/>
                <w:color w:val="auto"/>
                <w:highlight w:val="none"/>
                <w:u w:val="none" w:color="auto"/>
                <w:vertAlign w:val="baseline"/>
              </w:rPr>
              <w:t>dwar is-sejbiet ewlenin</w:t>
            </w:r>
            <w:r>
              <w:t xml:space="preserve"> lill-Parlament Ewropew, lill-Kunsill u lill-Kumitat Ekonomiku u Soċjali Ewropew. L-Istati Membri għandhom jipprovdu lill-Kummissjoni l-informazzjoni kollha neċessarja għall-preparazzjoni ta’ dak ir-rapport, mhux aktar tard minn sitt xhur qabel jiskadi l-limitu ta’ żmien </w:t>
            </w:r>
            <w:r>
              <w:rPr>
                <w:b/>
                <w:i/>
                <w:strike w:val="0"/>
                <w:color w:val="auto"/>
                <w:highlight w:val="none"/>
                <w:u w:val="none" w:color="auto"/>
                <w:vertAlign w:val="baseline"/>
              </w:rPr>
              <w:t>ta’ [ħames] snin</w:t>
            </w:r>
            <w:r>
              <w:t>.</w:t>
            </w:r>
          </w:p>
        </w:tc>
        <w:tc>
          <w:tcPr>
            <w:tcW w:w="4876" w:type="dxa"/>
            <w:vAlign w:val="top"/>
          </w:tcPr>
          <w:p>
            <w:pPr>
              <w:pStyle w:val="Normal6a"/>
            </w:pPr>
            <w:r>
              <w:t>Mhux aktar kmieni minn [</w:t>
            </w:r>
            <w:r>
              <w:rPr>
                <w:b/>
                <w:i/>
                <w:strike w:val="0"/>
                <w:color w:val="auto"/>
                <w:highlight w:val="none"/>
                <w:u w:val="none" w:color="auto"/>
                <w:vertAlign w:val="baseline"/>
              </w:rPr>
              <w:t>sentejn</w:t>
            </w:r>
            <w:r>
              <w:t xml:space="preserve">] wara d-data tal-applikazzjoni ta' dan ir-Regolament, u kull </w:t>
            </w:r>
            <w:r>
              <w:rPr>
                <w:b/>
                <w:i/>
                <w:strike w:val="0"/>
                <w:color w:val="auto"/>
                <w:highlight w:val="none"/>
                <w:u w:val="none" w:color="auto"/>
                <w:vertAlign w:val="baseline"/>
              </w:rPr>
              <w:t>sentejn</w:t>
            </w:r>
            <w:r>
              <w:t xml:space="preserve"> wara dan, il-Kummissjoni għandha twettaq evalwazzjoni ta' dan ir-Regolament. Il-Kummissjoni għandha tippreżenta Rapport lill-Parlament Ewropew, lill-Kunsill u lill-Kumitat Ekonomiku u Soċjali Ewropew </w:t>
            </w:r>
            <w:r>
              <w:rPr>
                <w:b/>
                <w:i/>
                <w:strike w:val="0"/>
                <w:color w:val="auto"/>
                <w:highlight w:val="none"/>
                <w:u w:val="none" w:color="auto"/>
                <w:vertAlign w:val="baseline"/>
              </w:rPr>
              <w:t>dwar is-sejbiet ewlenin tagħha, inkluż l-impatt tad-dispożizzjonijiet ta' dan ir-Regolament fuq id-drittijiet u l-libertajiet fundamentali minquxa fil-Karta tad-Drittijiet Fundamentali tal-UE, kif ukoll il-valur miżjud tagħhom vis-à-vis l-acquis tal-UE dwar l-ażil u l-acquis ta' Schengen kollu kemm hu</w:t>
            </w:r>
            <w:r>
              <w:t>. L-Istati Membri għandhom jipprovdu lill-Kummissjoni l-informazzjoni kollha neċessarja għall-preparazzjoni ta' dak ir-rapport, mhux aktar tard minn sitt xhur qabel jiskadi l-limitu ta' żmien.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Mhux aktar kmieni minn [</w:t>
            </w:r>
            <w:r>
              <w:rPr>
                <w:b/>
                <w:i/>
                <w:strike w:val="0"/>
                <w:color w:val="auto"/>
                <w:highlight w:val="none"/>
                <w:u w:val="none" w:color="auto"/>
                <w:vertAlign w:val="baseline"/>
              </w:rPr>
              <w:t>ħames</w:t>
            </w:r>
            <w:r>
              <w:t xml:space="preserve">] </w:t>
            </w:r>
            <w:r>
              <w:rPr>
                <w:b/>
                <w:i/>
                <w:strike w:val="0"/>
                <w:color w:val="auto"/>
                <w:highlight w:val="none"/>
                <w:u w:val="none" w:color="auto"/>
                <w:vertAlign w:val="baseline"/>
              </w:rPr>
              <w:t>snin</w:t>
            </w:r>
            <w:r>
              <w:t xml:space="preserve"> wara d-data tal-applikazzjoni ta’ dan ir-Regolament, u kull </w:t>
            </w:r>
            <w:r>
              <w:rPr>
                <w:b/>
                <w:i/>
                <w:strike w:val="0"/>
                <w:color w:val="auto"/>
                <w:highlight w:val="none"/>
                <w:u w:val="none" w:color="auto"/>
                <w:vertAlign w:val="baseline"/>
              </w:rPr>
              <w:t>ħames snin</w:t>
            </w:r>
            <w:r>
              <w:t xml:space="preserve"> wara dan, il-Kummissjoni għandha twettaq evalwazzjoni ta’ dan ir-Regolament. Il-Kummissjoni għandha tippreżenta Rapport </w:t>
            </w:r>
            <w:r>
              <w:rPr>
                <w:b/>
                <w:i/>
                <w:strike w:val="0"/>
                <w:color w:val="auto"/>
                <w:highlight w:val="none"/>
                <w:u w:val="none" w:color="auto"/>
                <w:vertAlign w:val="baseline"/>
              </w:rPr>
              <w:t>dwar is-sejbiet ewlenin</w:t>
            </w:r>
            <w:r>
              <w:t xml:space="preserve"> lill-Parlament Ewropew, lill-Kunsill u lill-Kumitat Ekonomiku u Soċjali Ewropew. L-Istati Membri għandhom jipprovdu lill-Kummissjoni l-informazzjoni kollha neċessarja għall-preparazzjoni ta’ dak ir-rapport, mhux aktar tard minn sitt xhur qabel jiskadi l-limitu ta’ żmien ta’ </w:t>
            </w:r>
            <w:r>
              <w:rPr>
                <w:b/>
                <w:i/>
                <w:strike w:val="0"/>
                <w:color w:val="auto"/>
                <w:highlight w:val="none"/>
                <w:u w:val="none" w:color="auto"/>
                <w:vertAlign w:val="baseline"/>
              </w:rPr>
              <w:t>[ħames] snin</w:t>
            </w:r>
            <w:r>
              <w:t>.</w:t>
            </w:r>
          </w:p>
        </w:tc>
        <w:tc>
          <w:tcPr>
            <w:tcW w:w="4876" w:type="dxa"/>
            <w:vAlign w:val="top"/>
          </w:tcPr>
          <w:p>
            <w:pPr>
              <w:pStyle w:val="Normal6a"/>
            </w:pPr>
            <w:r>
              <w:t>Mhux aktar kmieni minn [</w:t>
            </w:r>
            <w:r>
              <w:rPr>
                <w:b/>
                <w:i/>
                <w:strike w:val="0"/>
                <w:color w:val="auto"/>
                <w:highlight w:val="none"/>
                <w:u w:val="none" w:color="auto"/>
                <w:vertAlign w:val="baseline"/>
              </w:rPr>
              <w:t>sentejn</w:t>
            </w:r>
            <w:r>
              <w:t xml:space="preserve">] wara d-data tal-applikazzjoni ta' dan ir-Regolament, u kull </w:t>
            </w:r>
            <w:r>
              <w:rPr>
                <w:b/>
                <w:i/>
                <w:strike w:val="0"/>
                <w:color w:val="auto"/>
                <w:highlight w:val="none"/>
                <w:u w:val="none" w:color="auto"/>
                <w:vertAlign w:val="baseline"/>
              </w:rPr>
              <w:t>sentejn</w:t>
            </w:r>
            <w:r>
              <w:t xml:space="preserve"> wara dan, il-Kummissjoni għandha twettaq evalwazzjoni ta' dan ir-Regolament. Il-Kummissjoni għandha tippreżenta Rapport lill-Parlament Ewropew, lill-Kunsill u lill-Kumitat Ekonomiku u Soċjali Ewropew </w:t>
            </w:r>
            <w:r>
              <w:rPr>
                <w:b/>
                <w:i/>
                <w:strike w:val="0"/>
                <w:color w:val="auto"/>
                <w:highlight w:val="none"/>
                <w:u w:val="none" w:color="auto"/>
                <w:vertAlign w:val="baseline"/>
              </w:rPr>
              <w:t>dwar is-sejbiet ewlenin tagħha, inkluż l-impatt tad-dispożizzjonijiet ta' dan ir-Regolament fuq id-drittijiet u l-libertajiet fundamentali minquxa fil-Karta tad-Drittijiet Fundamentali tal-UE, kif ukoll il-valur miżjud tagħhom vis-à-vis l-acquis tal-UE dwar l-ażil u l-acquis ta' Schengen kollu kemm hu</w:t>
            </w:r>
            <w:r>
              <w:t xml:space="preserve">. L-Istati Membri għandhom jipprovdu lill-Kummissjoni l-informazzjoni kollha neċessarja għall-preparazzjoni ta' dak ir-rapport, mhux aktar tard minn sitt xhur qabel jiskadi l-limitu ta' żmien ta' </w:t>
            </w:r>
            <w:r>
              <w:rPr>
                <w:b/>
                <w:i/>
                <w:strike w:val="0"/>
                <w:color w:val="auto"/>
                <w:highlight w:val="none"/>
                <w:u w:val="none" w:color="auto"/>
                <w:vertAlign w:val="baseline"/>
              </w:rPr>
              <w:t>sentejn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20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Mhux aktar kmieni minn [</w:t>
            </w:r>
            <w:r>
              <w:rPr>
                <w:b/>
                <w:i/>
                <w:strike w:val="0"/>
                <w:color w:val="auto"/>
                <w:highlight w:val="none"/>
                <w:u w:val="none" w:color="auto"/>
                <w:vertAlign w:val="baseline"/>
              </w:rPr>
              <w:t>ħames</w:t>
            </w:r>
            <w:r>
              <w:t>] snin wara d-data tal-applikazzjoni ta’ dan ir-Regolament, u kull ħames snin wara dan, il-Kummissjoni għandha twettaq evalwazzjoni ta’ dan ir-Regolament. Il-Kummissjoni għandha tippreżenta Rapport dwar is-sejbiet ewlenin lill-Parlament Ewropew, lill-Kunsill u lill-Kumitat Ekonomiku u Soċjali Ewropew. L-Istati Membri għandhom jipprovdu lill-Kummissjoni l-informazzjoni kollha neċessarja għall-preparazzjoni ta’ dak ir-rapport, mhux aktar tard minn sitt xhur qabel jiskadi l-limitu ta’ żmien ta’ [ħames] snin.</w:t>
            </w:r>
          </w:p>
        </w:tc>
        <w:tc>
          <w:tcPr>
            <w:tcW w:w="4876" w:type="dxa"/>
            <w:vAlign w:val="top"/>
          </w:tcPr>
          <w:p>
            <w:pPr>
              <w:pStyle w:val="Normal6a"/>
            </w:pPr>
            <w:r>
              <w:t>Mhux aktar kmieni minn [</w:t>
            </w:r>
            <w:r>
              <w:rPr>
                <w:b/>
                <w:i/>
                <w:strike w:val="0"/>
                <w:color w:val="auto"/>
                <w:highlight w:val="none"/>
                <w:u w:val="none" w:color="auto"/>
                <w:vertAlign w:val="baseline"/>
              </w:rPr>
              <w:t>tliet</w:t>
            </w:r>
            <w:r>
              <w:t>] snin wara d-data tal-applikazzjoni ta' dan ir-Regolament, u kull ħames snin wara dan, il-Kummissjoni għandha twettaq evalwazzjoni ta' dan ir-Regolament. Il-Kummissjoni għandha tippreżenta Rapport dwar is-sejbiet ewlenin lill-Parlament Ewropew, lill-Kunsill u lill-Kumitat Ekonomiku u Soċjali Ewropew. L-Istati Membri għandhom jipprovdu lill-Kummissjoni l-informazzjoni kollha neċessarja għall-preparazzjoni ta' dak ir-rapport, mhux aktar tard minn sitt xhur qabel jiskadi l-limitu ta' żmien ta' [ħames] snin.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190</w:t>
    </w:r>
    <w:r>
      <w:fldChar w:fldCharType="end"/>
    </w:r>
    <w:r>
      <w:t>/</w:t>
    </w:r>
    <w:r>
      <w:fldChar w:fldCharType="begin"/>
    </w:r>
    <w:r>
      <w:instrText>NUMPAGES</w:instrText>
    </w:r>
    <w:r>
      <w:fldChar w:fldCharType="separate"/>
    </w:r>
    <w:r>
      <w:t>190</w:t>
    </w:r>
    <w:r>
      <w:fldChar w:fldCharType="end"/>
    </w:r>
    <w:r>
      <w:tab/>
    </w:r>
    <w:r>
      <w:rPr>
        <w:rStyle w:val="HideTWBExt"/>
      </w:rPr>
      <w:t>&lt;</w:t>
    </w:r>
    <w:r>
      <w:rPr>
        <w:rStyle w:val="HideTWBExt"/>
      </w:rPr>
      <w:t>PathFdR</w:t>
    </w:r>
    <w:r>
      <w:rPr>
        <w:rStyle w:val="HideTWBExt"/>
      </w:rPr>
      <w:t>&gt;</w:t>
    </w:r>
    <w:r>
      <w:t>AM\1247119MT.docx</w:t>
    </w:r>
    <w:r>
      <w:rPr>
        <w:rStyle w:val="HideTWBExt"/>
      </w:rPr>
      <w:t>&lt;/</w:t>
    </w:r>
    <w:r>
      <w:rPr>
        <w:rStyle w:val="HideTWBExt"/>
      </w:rPr>
      <w:t>PathFdR</w:t>
    </w:r>
    <w:r>
      <w:rPr>
        <w:rStyle w:val="HideTWBExt"/>
      </w:rPr>
      <w:t>&gt;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AM\1247119MT.docx</w:t>
    </w:r>
    <w:r>
      <w:rPr>
        <w:rStyle w:val="HideTWBExt"/>
      </w:rPr>
      <w:t>&lt;/</w:t>
    </w:r>
    <w:r>
      <w:rPr>
        <w:rStyle w:val="HideTWBExt"/>
      </w:rPr>
      <w:t>PathFdR</w:t>
    </w:r>
    <w:r>
      <w:rPr>
        <w:rStyle w:val="HideTWBExt"/>
      </w:rPr>
      <w:t>&gt;</w:t>
    </w:r>
    <w:r>
      <w:tab/>
    </w:r>
    <w:r>
      <w:fldChar w:fldCharType="begin"/>
    </w:r>
    <w:r>
      <w:instrText>PAGE</w:instrText>
    </w:r>
    <w:r>
      <w:fldChar w:fldCharType="separate"/>
    </w:r>
    <w:r>
      <w:t>189</w:t>
    </w:r>
    <w:r>
      <w:fldChar w:fldCharType="end"/>
    </w:r>
    <w:r>
      <w:t>/</w:t>
    </w:r>
    <w:r>
      <w:fldChar w:fldCharType="begin"/>
    </w:r>
    <w:r>
      <w:instrText>NUMPAGES</w:instrText>
    </w:r>
    <w:r>
      <w:fldChar w:fldCharType="separate"/>
    </w:r>
    <w:r>
      <w:t>190</w:t>
    </w:r>
    <w:r>
      <w:fldChar w:fldCharType="end"/>
    </w:r>
    <w:r>
      <w:tab/>
    </w: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AM\1247119MT.docx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190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20220211-120834-191513-710106</vt:lpwstr>
  </property>
  <property fmtid="{D5CDD505-2E9C-101B-9397-08002B2CF9AE}" pid="7" name="FooterPath">
    <vt:lpwstr>AM\1247119MT.docx</vt:lpwstr>
  </property>
  <property fmtid="{D5CDD505-2E9C-101B-9397-08002B2CF9AE}" pid="8" name="PE Number">
    <vt:lpwstr>703.277</vt:lpwstr>
  </property>
  <property fmtid="{D5CDD505-2E9C-101B-9397-08002B2CF9AE}" pid="9" name="UID">
    <vt:lpwstr>eu.europa.europarl-DIN1-2022-0000008732_02.00-mt-01.00_text-xml</vt:lpwstr>
  </property>
</Properties>
</file>