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4993" w:rsidRPr="00EC013E" w:rsidTr="002B59CE">
        <w:trPr>
          <w:trHeight w:hRule="exact" w:val="1418"/>
        </w:trPr>
        <w:tc>
          <w:tcPr>
            <w:tcW w:w="6804" w:type="dxa"/>
            <w:shd w:val="clear" w:color="auto" w:fill="auto"/>
            <w:vAlign w:val="center"/>
          </w:tcPr>
          <w:p w:rsidR="00BE5062" w:rsidRPr="00EC013E" w:rsidRDefault="000C264D" w:rsidP="002B59CE">
            <w:pPr>
              <w:pStyle w:val="EPName"/>
            </w:pPr>
            <w:r w:rsidRPr="00EC013E">
              <w:t>Europa-Parlamentet</w:t>
            </w:r>
          </w:p>
          <w:p w:rsidR="00BE5062" w:rsidRPr="00EC013E" w:rsidRDefault="000C264D" w:rsidP="00510E3A">
            <w:pPr>
              <w:pStyle w:val="EPTerm"/>
            </w:pPr>
            <w:r w:rsidRPr="00EC013E">
              <w:t>2019-2024</w:t>
            </w:r>
          </w:p>
        </w:tc>
        <w:tc>
          <w:tcPr>
            <w:tcW w:w="2268" w:type="dxa"/>
            <w:shd w:val="clear" w:color="auto" w:fill="auto"/>
          </w:tcPr>
          <w:p w:rsidR="00BE5062" w:rsidRPr="00EC013E" w:rsidRDefault="000C264D" w:rsidP="002B59CE">
            <w:pPr>
              <w:pStyle w:val="EPLogo"/>
            </w:pPr>
            <w:r w:rsidRPr="00EC013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C013E" w:rsidRDefault="000E7234" w:rsidP="000E7234">
      <w:pPr>
        <w:pStyle w:val="LineTop"/>
      </w:pPr>
    </w:p>
    <w:p w:rsidR="000E7234" w:rsidRPr="00EC013E" w:rsidRDefault="000C264D" w:rsidP="000E7234">
      <w:pPr>
        <w:pStyle w:val="EPBody"/>
      </w:pPr>
      <w:r w:rsidRPr="00EC013E">
        <w:rPr>
          <w:rStyle w:val="HideTWBExt"/>
        </w:rPr>
        <w:t>&lt;</w:t>
      </w:r>
      <w:r w:rsidRPr="00EC013E">
        <w:rPr>
          <w:rStyle w:val="HideTWBExt"/>
          <w:i w:val="0"/>
        </w:rPr>
        <w:t>Commission</w:t>
      </w:r>
      <w:r w:rsidRPr="00EC013E">
        <w:rPr>
          <w:rStyle w:val="HideTWBExt"/>
        </w:rPr>
        <w:t>&gt;</w:t>
      </w:r>
      <w:r w:rsidRPr="00EC013E">
        <w:rPr>
          <w:rStyle w:val="HideTWBInt"/>
          <w:color w:val="auto"/>
        </w:rPr>
        <w:t>{LIBE}</w:t>
      </w:r>
      <w:r w:rsidRPr="00EC013E">
        <w:t>Udvalget om Borgernes Rettigheder og Retlige og Indre Anliggender</w:t>
      </w:r>
      <w:r w:rsidRPr="00EC013E">
        <w:rPr>
          <w:rStyle w:val="HideTWBExt"/>
        </w:rPr>
        <w:t>&lt;/</w:t>
      </w:r>
      <w:r w:rsidRPr="00EC013E">
        <w:rPr>
          <w:rStyle w:val="HideTWBExt"/>
          <w:i w:val="0"/>
        </w:rPr>
        <w:t>Commission</w:t>
      </w:r>
      <w:r w:rsidRPr="00EC013E">
        <w:rPr>
          <w:rStyle w:val="HideTWBExt"/>
        </w:rPr>
        <w:t>&gt;</w:t>
      </w:r>
    </w:p>
    <w:p w:rsidR="000E7234" w:rsidRPr="00EC013E" w:rsidRDefault="000E7234" w:rsidP="000E7234">
      <w:pPr>
        <w:pStyle w:val="LineBottom"/>
      </w:pPr>
    </w:p>
    <w:p w:rsidR="00B85286" w:rsidRPr="00EC013E" w:rsidRDefault="000C264D">
      <w:pPr>
        <w:pStyle w:val="CoverReference"/>
      </w:pPr>
      <w:r w:rsidRPr="00EC013E">
        <w:rPr>
          <w:rStyle w:val="HideTWBExt"/>
          <w:b w:val="0"/>
        </w:rPr>
        <w:t>&lt;RefProc&gt;</w:t>
      </w:r>
      <w:r w:rsidRPr="00EC013E">
        <w:t>2016/0132</w:t>
      </w:r>
      <w:r w:rsidRPr="00EC013E">
        <w:rPr>
          <w:rStyle w:val="HideTWBExt"/>
          <w:b w:val="0"/>
        </w:rPr>
        <w:t>&lt;/RefProc&gt;&lt;RefTypeProc&gt;</w:t>
      </w:r>
      <w:r w:rsidRPr="00EC013E">
        <w:t>(COD)</w:t>
      </w:r>
      <w:r w:rsidRPr="00EC013E">
        <w:rPr>
          <w:rStyle w:val="HideTWBExt"/>
          <w:b w:val="0"/>
        </w:rPr>
        <w:t>&lt;/RefTypeProc&gt;</w:t>
      </w:r>
    </w:p>
    <w:p w:rsidR="00B85286" w:rsidRPr="00EC013E" w:rsidRDefault="000C264D">
      <w:pPr>
        <w:pStyle w:val="CoverDate"/>
      </w:pPr>
      <w:r w:rsidRPr="00EC013E">
        <w:rPr>
          <w:rStyle w:val="HideTWBExt"/>
        </w:rPr>
        <w:t>&lt;Date&gt;</w:t>
      </w:r>
      <w:r w:rsidRPr="00EC013E">
        <w:rPr>
          <w:rStyle w:val="HideTWBInt"/>
          <w:color w:val="auto"/>
        </w:rPr>
        <w:t>{10/2/2023}</w:t>
      </w:r>
      <w:r w:rsidRPr="00EC013E">
        <w:t>10.2.2023</w:t>
      </w:r>
      <w:r w:rsidRPr="00EC013E">
        <w:rPr>
          <w:rStyle w:val="HideTWBExt"/>
        </w:rPr>
        <w:t>&lt;/Date&gt;</w:t>
      </w:r>
    </w:p>
    <w:p w:rsidR="009B0305" w:rsidRPr="00EC013E" w:rsidRDefault="000C264D" w:rsidP="009B0305">
      <w:pPr>
        <w:pStyle w:val="CoverDocType"/>
      </w:pPr>
      <w:r w:rsidRPr="00EC013E">
        <w:rPr>
          <w:rStyle w:val="HideTWBExt"/>
          <w:b w:val="0"/>
        </w:rPr>
        <w:t>&lt;TypeAM&gt;</w:t>
      </w:r>
      <w:r w:rsidRPr="00EC013E">
        <w:t>ÆNDRINGSFORSLAG</w:t>
      </w:r>
      <w:r w:rsidRPr="00EC013E">
        <w:rPr>
          <w:rStyle w:val="HideTWBExt"/>
          <w:b w:val="0"/>
        </w:rPr>
        <w:t>&lt;/TypeAM&gt;</w:t>
      </w:r>
    </w:p>
    <w:p w:rsidR="00A64FB9" w:rsidRPr="00EC013E" w:rsidRDefault="000C264D" w:rsidP="00A64FB9">
      <w:pPr>
        <w:pStyle w:val="CoverDocType24a"/>
      </w:pPr>
      <w:r w:rsidRPr="00EC013E">
        <w:rPr>
          <w:rStyle w:val="HideTWBExt"/>
          <w:b w:val="0"/>
        </w:rPr>
        <w:t>&lt;RangeAM&gt;</w:t>
      </w:r>
      <w:r w:rsidRPr="00EC013E">
        <w:t>1 - 90</w:t>
      </w:r>
      <w:r w:rsidRPr="00EC013E">
        <w:rPr>
          <w:rStyle w:val="HideTWBExt"/>
          <w:b w:val="0"/>
        </w:rPr>
        <w:t>&lt;/RangeAM&gt;</w:t>
      </w:r>
    </w:p>
    <w:p w:rsidR="001C2054" w:rsidRPr="00EC013E" w:rsidRDefault="000C264D" w:rsidP="00A93F8C">
      <w:pPr>
        <w:pStyle w:val="CoverBold"/>
      </w:pPr>
      <w:r w:rsidRPr="00EC013E">
        <w:rPr>
          <w:rStyle w:val="HideTWBExt"/>
          <w:b w:val="0"/>
        </w:rPr>
        <w:t>&lt;TitreType&gt;</w:t>
      </w:r>
      <w:r w:rsidRPr="00EC013E">
        <w:t>Ajourført mandat</w:t>
      </w:r>
      <w:r w:rsidRPr="00EC013E">
        <w:rPr>
          <w:rStyle w:val="HideTWBExt"/>
          <w:b w:val="0"/>
        </w:rPr>
        <w:t>&lt;/TitreType&gt;</w:t>
      </w:r>
    </w:p>
    <w:p w:rsidR="00B85286" w:rsidRPr="00EC013E" w:rsidRDefault="000C264D" w:rsidP="00A93F8C">
      <w:pPr>
        <w:pStyle w:val="CoverBold"/>
      </w:pPr>
      <w:r w:rsidRPr="00EC013E">
        <w:rPr>
          <w:rStyle w:val="HideTWBExt"/>
          <w:b w:val="0"/>
        </w:rPr>
        <w:t>&lt;Rapporteur&gt;</w:t>
      </w:r>
      <w:r w:rsidRPr="00EC013E">
        <w:t>Jorge Buxadé Villalba</w:t>
      </w:r>
      <w:r w:rsidRPr="00EC013E">
        <w:rPr>
          <w:rStyle w:val="HideTWBExt"/>
          <w:b w:val="0"/>
        </w:rPr>
        <w:t>&lt;/Rapporteur&gt;</w:t>
      </w:r>
    </w:p>
    <w:p w:rsidR="00B85286" w:rsidRPr="00EC013E" w:rsidRDefault="000C264D">
      <w:pPr>
        <w:pStyle w:val="CoverNormal24a"/>
      </w:pPr>
      <w:r w:rsidRPr="00EC013E">
        <w:rPr>
          <w:rStyle w:val="HideTWBExt"/>
        </w:rPr>
        <w:t>&lt;DocRefPE&gt;</w:t>
      </w:r>
      <w:r w:rsidRPr="00EC013E">
        <w:t>(PE661.979v01-00)</w:t>
      </w:r>
      <w:r w:rsidRPr="00EC013E">
        <w:rPr>
          <w:rStyle w:val="HideTWBExt"/>
        </w:rPr>
        <w:t>&lt;/DocRefPE&gt;</w:t>
      </w:r>
    </w:p>
    <w:p w:rsidR="00B85286" w:rsidRPr="00EC013E" w:rsidRDefault="000C264D">
      <w:pPr>
        <w:pStyle w:val="CoverNormal24a"/>
      </w:pPr>
      <w:r w:rsidRPr="00EC013E">
        <w:rPr>
          <w:rStyle w:val="HideTWBExt"/>
        </w:rPr>
        <w:t>&lt;Titre&gt;</w:t>
      </w:r>
      <w:r w:rsidRPr="00EC013E">
        <w:t xml:space="preserve">Ændret forslag til EUROPA-PARLAMENTETS OG RÅDETS FORORDNING om oprettelse af "Eurodac" </w:t>
      </w:r>
      <w:r w:rsidRPr="00EC013E">
        <w:t>til sammenligning af biometriske oplysninger med henblik på en effektiv anvendelse af forordning (EU) XXX/XXX [forordningen om asylforvaltning og migrationsstyring] og forordning (EU) XXX/XXX [genbosætningsforordningen], identificering af en tredjelandssta</w:t>
      </w:r>
      <w:r w:rsidRPr="00EC013E">
        <w:t>tsborger eller en statsløs person med ulovligt ophold og om medlemsstaternes retshåndhævende myndigheders og Europols adgang til at indgive anmodning om sammenligning med Eurodacoplysninger med henblik på retshåndhævelse og om ændring af forordning (EU) 20</w:t>
      </w:r>
      <w:r w:rsidRPr="00EC013E">
        <w:t>18/1240 og (EU) 2019/818</w:t>
      </w:r>
      <w:r w:rsidRPr="00EC013E">
        <w:rPr>
          <w:rStyle w:val="HideTWBExt"/>
        </w:rPr>
        <w:t>&lt;/Titre&gt;</w:t>
      </w:r>
    </w:p>
    <w:p w:rsidR="006337D4" w:rsidRPr="00EC013E" w:rsidRDefault="000C264D" w:rsidP="006337D4">
      <w:pPr>
        <w:pStyle w:val="CoverNormal"/>
      </w:pPr>
      <w:r w:rsidRPr="00EC013E">
        <w:rPr>
          <w:rStyle w:val="HideTWBExt"/>
        </w:rPr>
        <w:t>&lt;DocAmend&gt;</w:t>
      </w:r>
      <w:r w:rsidRPr="00EC013E">
        <w:t>Forslag til forordning</w:t>
      </w:r>
      <w:r w:rsidRPr="00EC013E">
        <w:rPr>
          <w:rStyle w:val="HideTWBExt"/>
        </w:rPr>
        <w:t>&lt;/DocAmend&gt;</w:t>
      </w:r>
    </w:p>
    <w:p w:rsidR="00B85286" w:rsidRPr="00EC013E" w:rsidRDefault="000C264D">
      <w:pPr>
        <w:pStyle w:val="CoverNormal24a"/>
      </w:pPr>
      <w:r w:rsidRPr="00EC013E">
        <w:rPr>
          <w:rStyle w:val="HideTWBExt"/>
        </w:rPr>
        <w:t>&lt;DocRef&gt;</w:t>
      </w:r>
      <w:r w:rsidRPr="00EC013E">
        <w:t>(COM(2020)0614 – C9</w:t>
      </w:r>
      <w:r w:rsidRPr="00EC013E">
        <w:noBreakHyphen/>
        <w:t>0131/2020 – 2016/0132(COD))</w:t>
      </w:r>
      <w:r w:rsidRPr="00EC013E">
        <w:rPr>
          <w:rStyle w:val="HideTWBExt"/>
        </w:rPr>
        <w:t>&lt;/DocRef&gt;</w:t>
      </w:r>
    </w:p>
    <w:p w:rsidR="00B85286" w:rsidRPr="00EC013E" w:rsidRDefault="000C264D" w:rsidP="00E660E2">
      <w:pPr>
        <w:widowControl/>
        <w:tabs>
          <w:tab w:val="center" w:pos="4677"/>
        </w:tabs>
      </w:pPr>
      <w:r w:rsidRPr="00EC013E">
        <w:br w:type="page"/>
      </w:r>
      <w:r w:rsidRPr="00EC013E">
        <w:lastRenderedPageBreak/>
        <w:t>AM_Com_LegReport</w:t>
      </w:r>
    </w:p>
    <w:p w:rsidR="007605D8" w:rsidRPr="00EC013E" w:rsidRDefault="000C264D" w:rsidP="007605D8">
      <w:pPr>
        <w:pStyle w:val="AMNumberTabs0"/>
        <w:keepNext/>
      </w:pPr>
      <w:r w:rsidRPr="00EC013E">
        <w:br w:type="page"/>
      </w:r>
      <w:bookmarkStart w:id="0" w:name="IntroB"/>
      <w:r w:rsidRPr="00EC013E">
        <w:rPr>
          <w:rStyle w:val="HideTWBExt"/>
        </w:rPr>
        <w:lastRenderedPageBreak/>
        <w:t>&lt;RepeatBlock-Amend&gt;&lt;Amend&gt;</w:t>
      </w:r>
      <w:r w:rsidRPr="00EC013E">
        <w:t>Ændringsforslag</w:t>
      </w:r>
      <w:r w:rsidRPr="00EC013E">
        <w:tab/>
      </w:r>
      <w:r w:rsidRPr="00EC013E">
        <w:tab/>
      </w:r>
      <w:r w:rsidRPr="00EC013E">
        <w:rPr>
          <w:rStyle w:val="HideTWBExt"/>
        </w:rPr>
        <w:t>&lt;NumAm&gt;</w:t>
      </w:r>
      <w:r w:rsidRPr="00EC013E">
        <w:t>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 xml:space="preserve">Jorge </w:t>
      </w:r>
      <w:r w:rsidRPr="00EC013E">
        <w:t>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Afsnit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Ændret forslag til EUROPA-PARLAMENTETS OG RÅDETS FORORDNING om oprettelse af "Eurodac" til sammenligning af biometriske oplysninger med henblik på en effektiv anvendelse af forordning (EU) XXX/XXX [forordningen om asylforvaltning og migrationsstyring] og f</w:t>
            </w:r>
            <w:r w:rsidRPr="00EC013E">
              <w:t xml:space="preserve">orordning (EU) XXX/XXX [genbosætningsforordningen], identificering af en tredjelandsstatsborger eller en statsløs person med </w:t>
            </w:r>
            <w:r w:rsidRPr="00EC013E">
              <w:rPr>
                <w:b/>
                <w:bCs/>
                <w:i/>
                <w:iCs/>
              </w:rPr>
              <w:t>ulovligt</w:t>
            </w:r>
            <w:r w:rsidRPr="00EC013E">
              <w:t xml:space="preserve"> ophold og om medlemsstaternes retshåndhævende myndigheders og Europols adgang til at indgive anmodning om sammenligning me</w:t>
            </w:r>
            <w:r w:rsidRPr="00EC013E">
              <w:t>d Eurodacoplysninger med henblik på retshåndhævelse og om ændring af forordning (EU) 2018/1240 og (EU) 2019/818</w:t>
            </w:r>
          </w:p>
        </w:tc>
        <w:tc>
          <w:tcPr>
            <w:tcW w:w="4876" w:type="dxa"/>
            <w:hideMark/>
          </w:tcPr>
          <w:p w:rsidR="007605D8" w:rsidRPr="00EC013E" w:rsidRDefault="000C264D" w:rsidP="007605D8">
            <w:pPr>
              <w:pStyle w:val="Normal6"/>
              <w:rPr>
                <w:szCs w:val="24"/>
              </w:rPr>
            </w:pPr>
            <w:r w:rsidRPr="00EC013E">
              <w:t xml:space="preserve">Ændret forslag til EUROPA-PARLAMENTETS OG RÅDETS FORORDNING om oprettelse af "Eurodac" til sammenligning af biometriske oplysninger med henblik </w:t>
            </w:r>
            <w:r w:rsidRPr="00EC013E">
              <w:t xml:space="preserve">på en effektiv anvendelse af forordning (EU) XXX/XXX [forordningen om asylforvaltning og migrationsstyring] og forordning (EU) XXX/XXX [genbosætningsforordningen], identificering af en tredjelandsstatsborger eller en statsløs person med </w:t>
            </w:r>
            <w:r w:rsidRPr="00EC013E">
              <w:rPr>
                <w:b/>
                <w:bCs/>
                <w:i/>
                <w:iCs/>
              </w:rPr>
              <w:t>irregulært</w:t>
            </w:r>
            <w:r w:rsidRPr="00EC013E">
              <w:t xml:space="preserve"> ophold o</w:t>
            </w:r>
            <w:r w:rsidRPr="00EC013E">
              <w:t>g om medlemsstaternes retshåndhævende myndigheders og Europols adgang til at indgive anmodning om sammenligning med Eurodacoplysninger med henblik på retshåndhævelse og om ændring af forordning (EU) 2018/1240 og (EU) 2019/818</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w:t>
      </w:r>
      <w:r w:rsidRPr="00EC013E">
        <w:rPr>
          <w:rStyle w:val="HideTWBExt"/>
          <w:noProof w:val="0"/>
        </w:rPr>
        <w:t>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keepNext/>
      </w:pPr>
      <w:r w:rsidRPr="00EC013E">
        <w:rPr>
          <w:rStyle w:val="HideTWBExt"/>
        </w:rPr>
        <w:t>&lt;Article&gt;</w:t>
      </w:r>
      <w:r w:rsidRPr="00EC013E">
        <w:t>Præambel – nr. 1 – betragtning 4 a</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"(4a)</w:t>
            </w:r>
            <w:r w:rsidRPr="00EC013E">
              <w:tab/>
              <w:t>Med henblik på en effektiv anvendelse af forordning (EU) XXX/XXX [forordningen om asylforvaltning og migrationsstyring] og i overensstemmelse med reglerne i nævnte forordning er det desuden nødvendigt at markere tydeligt i Eurodac, n</w:t>
            </w:r>
            <w:r w:rsidRPr="00EC013E">
              <w:t xml:space="preserve">år ansvaret overdrages mellem medlemsstaterne, herunder i tilfælde af </w:t>
            </w:r>
            <w:r w:rsidRPr="00EC013E">
              <w:lastRenderedPageBreak/>
              <w:t xml:space="preserve">omfordeling. </w:t>
            </w:r>
            <w:r w:rsidRPr="00EC013E">
              <w:rPr>
                <w:b/>
                <w:i/>
              </w:rPr>
              <w:t>For at afspejle medlemsstaternes forpligtelse til at udføre eftersøgnings- og redningsoperationer nøjagtigt og hjælpe disse medlemsstater med de særlige udfordringer, de stå</w:t>
            </w:r>
            <w:r w:rsidRPr="00EC013E">
              <w:rPr>
                <w:b/>
                <w:i/>
              </w:rPr>
              <w:t>r over for, fordi de ikke kan anvende de samme værktøjer på personer, der ilandsættes efter sådanne operationer, som anvendes i forbindelse med irregulære passager ad land- eller luftvejen, er det desuden nødvendigt at registrere tredjelandsstatsborgere el</w:t>
            </w:r>
            <w:r w:rsidRPr="00EC013E">
              <w:rPr>
                <w:b/>
                <w:i/>
              </w:rPr>
              <w:t>ler statsløse personer, der ilandsættes efter eftersøgnings- og redningsoperationer, som en særskilt kategori i Eurodac.</w:t>
            </w:r>
          </w:p>
        </w:tc>
        <w:tc>
          <w:tcPr>
            <w:tcW w:w="4876" w:type="dxa"/>
            <w:hideMark/>
          </w:tcPr>
          <w:p w:rsidR="007605D8" w:rsidRPr="00EC013E" w:rsidRDefault="000C264D" w:rsidP="007605D8">
            <w:pPr>
              <w:pStyle w:val="Normal6"/>
              <w:rPr>
                <w:szCs w:val="24"/>
              </w:rPr>
            </w:pPr>
            <w:r w:rsidRPr="00EC013E">
              <w:lastRenderedPageBreak/>
              <w:t>"(4a)</w:t>
            </w:r>
            <w:r w:rsidRPr="00EC013E">
              <w:tab/>
              <w:t>Med henblik på en effektiv anvendelse af forordning (EU) XXX/XXX [forordningen om asylforvaltning og migrationsstyring] og i over</w:t>
            </w:r>
            <w:r w:rsidRPr="00EC013E">
              <w:t xml:space="preserve">ensstemmelse med reglerne i nævnte forordning er det desuden nødvendigt at markere tydeligt i Eurodac, når ansvaret overdrages mellem medlemsstaterne, herunder i tilfælde af </w:t>
            </w:r>
            <w:r w:rsidRPr="00EC013E">
              <w:lastRenderedPageBreak/>
              <w:t>omfordeling.</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w:t>
      </w:r>
      <w:r w:rsidRPr="00EC013E">
        <w:rPr>
          <w:rStyle w:val="HideTWBExt"/>
        </w:rPr>
        <w:t>mAm&gt;</w:t>
      </w:r>
      <w:r w:rsidRPr="00EC013E">
        <w:t>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2 – betragtning 5a</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"(5a)</w:t>
            </w:r>
            <w:r w:rsidRPr="00EC013E">
              <w:tab/>
            </w:r>
            <w:r w:rsidRPr="00EC013E">
              <w:t xml:space="preserve">Det er også nødvendigt at </w:t>
            </w:r>
            <w:r w:rsidRPr="00EC013E">
              <w:rPr>
                <w:b/>
                <w:bCs/>
                <w:i/>
                <w:iCs/>
              </w:rPr>
              <w:t>indføre bestemmelser, der</w:t>
            </w:r>
            <w:r w:rsidRPr="00EC013E">
              <w:t xml:space="preserve"> </w:t>
            </w:r>
            <w:r w:rsidRPr="00EC013E">
              <w:rPr>
                <w:b/>
                <w:bCs/>
                <w:i/>
                <w:iCs/>
              </w:rPr>
              <w:t>sikrer</w:t>
            </w:r>
            <w:r w:rsidRPr="00EC013E">
              <w:t xml:space="preserve">, at </w:t>
            </w:r>
            <w:r w:rsidRPr="00EC013E">
              <w:rPr>
                <w:b/>
                <w:bCs/>
                <w:i/>
                <w:iCs/>
              </w:rPr>
              <w:t>nævnte system</w:t>
            </w:r>
            <w:r w:rsidRPr="00EC013E">
              <w:t xml:space="preserve"> fungerer inden for den interoperabilitetsramme, der er oprettet ved Europa-Parlamentets og Rådets forordning (EU) 2019/817</w:t>
            </w:r>
            <w:r w:rsidRPr="00EC013E">
              <w:rPr>
                <w:vertAlign w:val="superscript"/>
              </w:rPr>
              <w:t>25</w:t>
            </w:r>
            <w:r w:rsidRPr="00EC013E">
              <w:t xml:space="preserve"> og 2019/818</w:t>
            </w:r>
            <w:r w:rsidRPr="00EC013E">
              <w:rPr>
                <w:vertAlign w:val="superscript"/>
              </w:rPr>
              <w:t>26</w:t>
            </w:r>
            <w:r w:rsidRPr="00EC013E">
              <w:t>.</w:t>
            </w:r>
          </w:p>
        </w:tc>
        <w:tc>
          <w:tcPr>
            <w:tcW w:w="4876" w:type="dxa"/>
            <w:hideMark/>
          </w:tcPr>
          <w:p w:rsidR="007605D8" w:rsidRPr="00EC013E" w:rsidRDefault="000C264D" w:rsidP="00F10CF9">
            <w:pPr>
              <w:pStyle w:val="Normal6"/>
              <w:rPr>
                <w:szCs w:val="24"/>
              </w:rPr>
            </w:pPr>
            <w:r w:rsidRPr="00EC013E">
              <w:t>"(5a)</w:t>
            </w:r>
            <w:r w:rsidRPr="00EC013E">
              <w:tab/>
              <w:t xml:space="preserve">Det er også nødvendigt at </w:t>
            </w:r>
            <w:r w:rsidRPr="00EC013E">
              <w:rPr>
                <w:b/>
                <w:bCs/>
                <w:i/>
                <w:iCs/>
              </w:rPr>
              <w:t>sikre</w:t>
            </w:r>
            <w:r w:rsidRPr="00EC013E">
              <w:t xml:space="preserve">, at </w:t>
            </w:r>
            <w:r w:rsidRPr="00EC013E">
              <w:rPr>
                <w:b/>
                <w:bCs/>
                <w:i/>
                <w:iCs/>
              </w:rPr>
              <w:t>systemet</w:t>
            </w:r>
            <w:r w:rsidRPr="00EC013E">
              <w:t xml:space="preserve"> fungerer inden for den interoperabilitetsramme, der er oprettet ved Europa-Parlamentets og Rådets forordning (EU) 2019/817</w:t>
            </w:r>
            <w:r w:rsidRPr="00EC013E">
              <w:rPr>
                <w:vertAlign w:val="superscript"/>
              </w:rPr>
              <w:t>25</w:t>
            </w:r>
            <w:r w:rsidRPr="00EC013E">
              <w:t xml:space="preserve"> og 2019/818</w:t>
            </w:r>
            <w:r w:rsidRPr="00EC013E">
              <w:rPr>
                <w:vertAlign w:val="superscript"/>
              </w:rPr>
              <w:t>26</w:t>
            </w:r>
            <w:r w:rsidRPr="00EC013E">
              <w:rPr>
                <w:b/>
                <w:bCs/>
                <w:i/>
                <w:iCs/>
              </w:rPr>
              <w:t>,</w:t>
            </w:r>
            <w:r w:rsidRPr="00EC013E">
              <w:t xml:space="preserve"> </w:t>
            </w:r>
            <w:r w:rsidRPr="00EC013E">
              <w:rPr>
                <w:b/>
                <w:bCs/>
                <w:i/>
                <w:iCs/>
              </w:rPr>
              <w:t>i henhold til den nuværende forordning og i overensstemmelse med Europa-Parlamentets og Rådets forordn</w:t>
            </w:r>
            <w:r w:rsidRPr="00EC013E">
              <w:rPr>
                <w:b/>
                <w:bCs/>
                <w:i/>
                <w:iCs/>
              </w:rPr>
              <w:t>ing (EU) 2016/679</w:t>
            </w:r>
            <w:r w:rsidRPr="00EC013E">
              <w:rPr>
                <w:b/>
                <w:bCs/>
                <w:i/>
                <w:iCs/>
                <w:vertAlign w:val="superscript"/>
              </w:rPr>
              <w:t>26a</w:t>
            </w:r>
            <w:r w:rsidRPr="00EC013E">
              <w:rPr>
                <w:b/>
                <w:bCs/>
                <w:i/>
                <w:iCs/>
              </w:rPr>
              <w:t>, navnlig de heri fastsatte principper om nødvendighed, proportionalitet og formålsbegrænsning</w:t>
            </w:r>
            <w:r w:rsidRPr="00EC013E">
              <w:t xml:space="preserve">. </w:t>
            </w:r>
            <w:r w:rsidRPr="00EC013E">
              <w:rPr>
                <w:b/>
                <w:i/>
              </w:rPr>
              <w:t>Endvidere er det nødvendigt at indføre klare bestemmelser, hvorved de udpegede myndigheder i medlemsstaterne og de EU-organer, der har adgan</w:t>
            </w:r>
            <w:r w:rsidRPr="00EC013E">
              <w:rPr>
                <w:b/>
                <w:i/>
              </w:rPr>
              <w:t>g til Eurodac, kun vil kunne tilgå de oplysninger, der er strengt nødvendige for at kunne udføre deres specifikke opgaver.</w:t>
            </w:r>
          </w:p>
        </w:tc>
      </w:tr>
      <w:tr w:rsidR="00DE4993" w:rsidRPr="00EC013E" w:rsidTr="007605D8">
        <w:trPr>
          <w:jc w:val="center"/>
        </w:trPr>
        <w:tc>
          <w:tcPr>
            <w:tcW w:w="4876" w:type="dxa"/>
            <w:hideMark/>
          </w:tcPr>
          <w:p w:rsidR="007605D8" w:rsidRPr="00EC013E" w:rsidRDefault="000C264D" w:rsidP="007605D8">
            <w:pPr>
              <w:pStyle w:val="Normal6"/>
            </w:pPr>
            <w:r w:rsidRPr="00EC013E">
              <w:t>__________________</w:t>
            </w:r>
          </w:p>
        </w:tc>
        <w:tc>
          <w:tcPr>
            <w:tcW w:w="4876" w:type="dxa"/>
            <w:hideMark/>
          </w:tcPr>
          <w:p w:rsidR="007605D8" w:rsidRPr="00EC013E" w:rsidRDefault="000C264D" w:rsidP="007605D8">
            <w:pPr>
              <w:pStyle w:val="Normal6"/>
              <w:rPr>
                <w:szCs w:val="24"/>
              </w:rPr>
            </w:pPr>
            <w:r w:rsidRPr="00EC013E">
              <w:t>__________________</w:t>
            </w:r>
          </w:p>
        </w:tc>
      </w:tr>
      <w:tr w:rsidR="00DE4993" w:rsidRPr="00EC013E" w:rsidTr="007605D8">
        <w:trPr>
          <w:jc w:val="center"/>
        </w:trPr>
        <w:tc>
          <w:tcPr>
            <w:tcW w:w="4876" w:type="dxa"/>
            <w:hideMark/>
          </w:tcPr>
          <w:p w:rsidR="007605D8" w:rsidRPr="00EC013E" w:rsidRDefault="000C264D" w:rsidP="007605D8">
            <w:pPr>
              <w:pStyle w:val="Normal6"/>
            </w:pPr>
            <w:r w:rsidRPr="00EC013E">
              <w:rPr>
                <w:vertAlign w:val="superscript"/>
              </w:rPr>
              <w:t>25</w:t>
            </w:r>
            <w:r w:rsidRPr="00EC013E">
              <w:t xml:space="preserve"> Europa-Parlamentets og Rådets </w:t>
            </w:r>
            <w:r w:rsidRPr="00EC013E">
              <w:lastRenderedPageBreak/>
              <w:t xml:space="preserve">forordning (EU) 2019/817 af 20. maj 2019 om fastsættelse af </w:t>
            </w:r>
            <w:r w:rsidRPr="00EC013E">
              <w:t>en ramme for interoperabilitet mellem EU-informationssystemer vedrørende grænser og visum og om ændring af Europa-Parlamentets og Rådets forordning (EF) nr. 767/2008, (EU) 2016/399, (EU) 2017/2226, (EU) 2018/1240, (EU) 2018/1726 og (EU) 2018/1861, Rådets b</w:t>
            </w:r>
            <w:r w:rsidRPr="00EC013E">
              <w:t>eslutning 2004/512/EF og Rådets afgørelse 2008/633/RIA (EUT L 135 af 22.5.2019, s. 27-84).</w:t>
            </w:r>
          </w:p>
        </w:tc>
        <w:tc>
          <w:tcPr>
            <w:tcW w:w="4876" w:type="dxa"/>
            <w:hideMark/>
          </w:tcPr>
          <w:p w:rsidR="007605D8" w:rsidRPr="00EC013E" w:rsidRDefault="000C264D" w:rsidP="007605D8">
            <w:pPr>
              <w:pStyle w:val="Normal6"/>
              <w:rPr>
                <w:szCs w:val="24"/>
              </w:rPr>
            </w:pPr>
            <w:r w:rsidRPr="00EC013E">
              <w:rPr>
                <w:vertAlign w:val="superscript"/>
              </w:rPr>
              <w:lastRenderedPageBreak/>
              <w:t>25</w:t>
            </w:r>
            <w:r w:rsidRPr="00EC013E">
              <w:t xml:space="preserve"> Europa-Parlamentets og Rådets </w:t>
            </w:r>
            <w:r w:rsidRPr="00EC013E">
              <w:lastRenderedPageBreak/>
              <w:t>forordning (EU) 2019/817 af 20. maj 2019 om fastsættelse af en ramme for interoperabilitet mellem EU-informationssystemer vedrørende</w:t>
            </w:r>
            <w:r w:rsidRPr="00EC013E">
              <w:t xml:space="preserve"> grænser og visum og om ændring af Europa-Parlamentets og Rådets forordning (EF) nr. 767/2008, (EU) 2016/399, (EU) 2017/2226, (EU) 2018/1240, (EU) 2018/1726 og (EU) 2018/1861, Rådets beslutning 2004/512/EF og Rådets afgørelse 2008/633/RIA (EUT L 135 af 22.</w:t>
            </w:r>
            <w:r w:rsidRPr="00EC013E">
              <w:t>5.2019, s. 27-84).</w:t>
            </w:r>
          </w:p>
        </w:tc>
      </w:tr>
      <w:tr w:rsidR="00DE4993" w:rsidRPr="00EC013E" w:rsidTr="007605D8">
        <w:trPr>
          <w:jc w:val="center"/>
        </w:trPr>
        <w:tc>
          <w:tcPr>
            <w:tcW w:w="4876" w:type="dxa"/>
            <w:hideMark/>
          </w:tcPr>
          <w:p w:rsidR="007605D8" w:rsidRPr="00EC013E" w:rsidRDefault="000C264D" w:rsidP="007605D8">
            <w:pPr>
              <w:pStyle w:val="Normal6"/>
            </w:pPr>
            <w:r w:rsidRPr="00EC013E">
              <w:rPr>
                <w:vertAlign w:val="superscript"/>
              </w:rPr>
              <w:lastRenderedPageBreak/>
              <w:t>26</w:t>
            </w:r>
            <w:r w:rsidRPr="00EC013E">
              <w:t xml:space="preserve"> Europa-Parlamentets og Rådets forordning (EU) 2019/818 af 20. maj 2019 om fastsættelse af en ramme for interoperabilitet mellem EU-informationssystemer vedrørende politisamarbejde og retligt samarbejde, asyl og migration og om ændrin</w:t>
            </w:r>
            <w:r w:rsidRPr="00EC013E">
              <w:t>g af forordning (EU) 2018/1726, (EU) 2018/1862 og (EU) 2019/816 (EUT L 135 af 22.5.2019, s. 85-135).</w:t>
            </w:r>
          </w:p>
        </w:tc>
        <w:tc>
          <w:tcPr>
            <w:tcW w:w="4876" w:type="dxa"/>
            <w:hideMark/>
          </w:tcPr>
          <w:p w:rsidR="007605D8" w:rsidRPr="00EC013E" w:rsidRDefault="000C264D" w:rsidP="007605D8">
            <w:pPr>
              <w:pStyle w:val="Normal6"/>
              <w:rPr>
                <w:szCs w:val="24"/>
              </w:rPr>
            </w:pPr>
            <w:r w:rsidRPr="00EC013E">
              <w:rPr>
                <w:vertAlign w:val="superscript"/>
              </w:rPr>
              <w:t>26</w:t>
            </w:r>
            <w:r w:rsidRPr="00EC013E">
              <w:t xml:space="preserve"> Europa-Parlamentets og Rådets forordning (EU) 2019/818 af 20. maj 2019 om fastsættelse af en ramme for interoperabilitet mellem EU-informationssystemer </w:t>
            </w:r>
            <w:r w:rsidRPr="00EC013E">
              <w:t>vedrørende politisamarbejde og retligt samarbejde, asyl og migration og om ændring af forordning (EU) 2018/1726, (EU) 2018/1862 og (EU) 2019/816 (EUT L 135 af 22.5.2019, s. 85-135).</w:t>
            </w:r>
          </w:p>
        </w:tc>
      </w:tr>
      <w:tr w:rsidR="00DE4993" w:rsidRPr="00EC013E" w:rsidTr="007605D8">
        <w:trPr>
          <w:jc w:val="center"/>
        </w:trPr>
        <w:tc>
          <w:tcPr>
            <w:tcW w:w="4876" w:type="dxa"/>
          </w:tcPr>
          <w:p w:rsidR="00337F1F" w:rsidRPr="00EC013E" w:rsidRDefault="00337F1F" w:rsidP="007605D8">
            <w:pPr>
              <w:pStyle w:val="Normal6"/>
              <w:rPr>
                <w:vertAlign w:val="superscript"/>
              </w:rPr>
            </w:pPr>
          </w:p>
        </w:tc>
        <w:tc>
          <w:tcPr>
            <w:tcW w:w="4876" w:type="dxa"/>
          </w:tcPr>
          <w:p w:rsidR="00337F1F" w:rsidRPr="00EC013E" w:rsidRDefault="000C264D" w:rsidP="007605D8">
            <w:pPr>
              <w:pStyle w:val="Normal6"/>
              <w:rPr>
                <w:b/>
                <w:i/>
                <w:vertAlign w:val="superscript"/>
              </w:rPr>
            </w:pPr>
            <w:r w:rsidRPr="00EC013E">
              <w:rPr>
                <w:b/>
                <w:i/>
                <w:vertAlign w:val="superscript"/>
              </w:rPr>
              <w:t>26a</w:t>
            </w:r>
            <w:r w:rsidRPr="00EC013E">
              <w:rPr>
                <w:b/>
                <w:i/>
              </w:rPr>
              <w:tab/>
            </w:r>
            <w:r w:rsidRPr="00EC013E">
              <w:rPr>
                <w:b/>
                <w:i/>
                <w:iCs/>
              </w:rPr>
              <w:t xml:space="preserve">Europa-Parlamentets og Rådets forordning (EU) 2016/679 af 27. april </w:t>
            </w:r>
            <w:r w:rsidRPr="00EC013E">
              <w:rPr>
                <w:b/>
                <w:i/>
                <w:iCs/>
              </w:rPr>
              <w:t>2016 om beskyttelse af fysiske personer i forbindelse med behandling af personoplysninger og om fri udveksling af sådanne oplysninger og om ophævelse af direktiv 95/46/EF (generel forordning om databeskyttelse) (EUT L 119 af 4.5.2016, s. 1).</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w:t>
      </w:r>
      <w:r w:rsidRPr="00EC013E">
        <w:rPr>
          <w:rStyle w:val="HideTWBExt"/>
          <w:noProof w:val="0"/>
        </w:rPr>
        <w:t>&gt;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2 – betragtning 5b a (ny)</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F10CF9">
            <w:pPr>
              <w:pStyle w:val="Normal6"/>
              <w:rPr>
                <w:szCs w:val="24"/>
              </w:rPr>
            </w:pPr>
            <w:r w:rsidRPr="00EC013E">
              <w:rPr>
                <w:b/>
                <w:i/>
              </w:rPr>
              <w:t>(5b a)</w:t>
            </w:r>
            <w:r w:rsidRPr="00EC013E">
              <w:rPr>
                <w:b/>
                <w:i/>
              </w:rPr>
              <w:tab/>
              <w:t xml:space="preserve">Medlemmer af den europæiske grænse- og kystvagts stående korps, der indsættes via grænseforvaltningshold, migrationsstyringsstøttehold og </w:t>
            </w:r>
            <w:r w:rsidRPr="00EC013E">
              <w:rPr>
                <w:b/>
                <w:i/>
              </w:rPr>
              <w:lastRenderedPageBreak/>
              <w:t>tilbagesendelseshold, og medlemmer af asylstøtteholdene i Den Europæisk</w:t>
            </w:r>
            <w:r w:rsidRPr="00EC013E">
              <w:rPr>
                <w:b/>
                <w:i/>
              </w:rPr>
              <w:t>e Unions Asylagentur ("agenturernes hold") er nødt til at have adgang til Eurodac med henblik på at udføre de opgaver, de er pålagt i henhold til Europa-Parlamentets og Rådets forordninger (EU) 2019/1896</w:t>
            </w:r>
            <w:r w:rsidRPr="00EC013E">
              <w:rPr>
                <w:b/>
                <w:i/>
                <w:vertAlign w:val="superscript"/>
              </w:rPr>
              <w:t>1a</w:t>
            </w:r>
            <w:r w:rsidRPr="00EC013E">
              <w:rPr>
                <w:b/>
                <w:i/>
              </w:rPr>
              <w:t xml:space="preserve"> og (EU) 2021/2303</w:t>
            </w:r>
            <w:r w:rsidRPr="00EC013E">
              <w:rPr>
                <w:b/>
                <w:i/>
                <w:vertAlign w:val="superscript"/>
              </w:rPr>
              <w:t>1b</w:t>
            </w:r>
            <w:r w:rsidRPr="00EC013E">
              <w:rPr>
                <w:b/>
                <w:i/>
              </w:rPr>
              <w:t>. Når den medlemsstat, der er v</w:t>
            </w:r>
            <w:r w:rsidRPr="00EC013E">
              <w:rPr>
                <w:b/>
                <w:i/>
              </w:rPr>
              <w:t>ært for en bestemt operation, anmoder herom, bør medlemmerne af agenturernes hold kunne tilgå og overføre relevante Eurodac-oplysninger ved hjælp af medlemsstaternes IT-systemer.</w:t>
            </w:r>
          </w:p>
        </w:tc>
      </w:tr>
      <w:tr w:rsidR="00DE4993" w:rsidRPr="00EC013E" w:rsidTr="007605D8">
        <w:trPr>
          <w:jc w:val="center"/>
        </w:trPr>
        <w:tc>
          <w:tcPr>
            <w:tcW w:w="4876" w:type="dxa"/>
          </w:tcPr>
          <w:p w:rsidR="00F10CF9" w:rsidRPr="00EC013E" w:rsidRDefault="00F10CF9" w:rsidP="007605D8">
            <w:pPr>
              <w:pStyle w:val="Normal6"/>
            </w:pPr>
          </w:p>
        </w:tc>
        <w:tc>
          <w:tcPr>
            <w:tcW w:w="4876" w:type="dxa"/>
          </w:tcPr>
          <w:p w:rsidR="00F10CF9" w:rsidRPr="00EC013E" w:rsidRDefault="000C264D" w:rsidP="007605D8">
            <w:pPr>
              <w:pStyle w:val="Normal6"/>
              <w:rPr>
                <w:b/>
                <w:i/>
              </w:rPr>
            </w:pPr>
            <w:r w:rsidRPr="00EC013E">
              <w:t>__________________</w:t>
            </w:r>
          </w:p>
        </w:tc>
      </w:tr>
      <w:tr w:rsidR="00DE4993" w:rsidRPr="00EC013E" w:rsidTr="007605D8">
        <w:trPr>
          <w:jc w:val="center"/>
        </w:trPr>
        <w:tc>
          <w:tcPr>
            <w:tcW w:w="4876" w:type="dxa"/>
          </w:tcPr>
          <w:p w:rsidR="00F10CF9" w:rsidRPr="00EC013E" w:rsidRDefault="00F10CF9" w:rsidP="007605D8">
            <w:pPr>
              <w:pStyle w:val="Normal6"/>
            </w:pPr>
          </w:p>
        </w:tc>
        <w:tc>
          <w:tcPr>
            <w:tcW w:w="4876" w:type="dxa"/>
          </w:tcPr>
          <w:p w:rsidR="00F10CF9" w:rsidRPr="00EC013E" w:rsidRDefault="000C264D" w:rsidP="007605D8">
            <w:pPr>
              <w:pStyle w:val="Normal6"/>
              <w:rPr>
                <w:b/>
                <w:i/>
              </w:rPr>
            </w:pPr>
            <w:r w:rsidRPr="00EC013E">
              <w:rPr>
                <w:b/>
                <w:i/>
                <w:vertAlign w:val="superscript"/>
              </w:rPr>
              <w:t>1a</w:t>
            </w:r>
            <w:r w:rsidRPr="00EC013E">
              <w:rPr>
                <w:b/>
                <w:i/>
              </w:rPr>
              <w:tab/>
            </w:r>
            <w:r w:rsidRPr="00EC013E">
              <w:rPr>
                <w:b/>
                <w:i/>
                <w:iCs/>
              </w:rPr>
              <w:t xml:space="preserve">Europa-Parlamentets og Rådets forordning (EU) </w:t>
            </w:r>
            <w:r w:rsidRPr="00EC013E">
              <w:rPr>
                <w:b/>
                <w:i/>
                <w:iCs/>
              </w:rPr>
              <w:t>2019/1896 af 13. november 2019 om den europæiske grænse- og kystvagt og om ophævelse af forordning (EU) nr. 1052/2013 og (EU) 2016/1624 (EUT L 295 af 14.11.2019, s. 1).</w:t>
            </w:r>
          </w:p>
        </w:tc>
      </w:tr>
      <w:tr w:rsidR="00DE4993" w:rsidRPr="00EC013E" w:rsidTr="007605D8">
        <w:trPr>
          <w:jc w:val="center"/>
        </w:trPr>
        <w:tc>
          <w:tcPr>
            <w:tcW w:w="4876" w:type="dxa"/>
          </w:tcPr>
          <w:p w:rsidR="00F10CF9" w:rsidRPr="00EC013E" w:rsidRDefault="00F10CF9" w:rsidP="007605D8">
            <w:pPr>
              <w:pStyle w:val="Normal6"/>
            </w:pPr>
          </w:p>
        </w:tc>
        <w:tc>
          <w:tcPr>
            <w:tcW w:w="4876" w:type="dxa"/>
          </w:tcPr>
          <w:p w:rsidR="00F10CF9" w:rsidRPr="00EC013E" w:rsidRDefault="000C264D" w:rsidP="007605D8">
            <w:pPr>
              <w:pStyle w:val="Normal6"/>
              <w:rPr>
                <w:b/>
                <w:i/>
                <w:vertAlign w:val="superscript"/>
              </w:rPr>
            </w:pPr>
            <w:r w:rsidRPr="00EC013E">
              <w:rPr>
                <w:b/>
                <w:i/>
                <w:vertAlign w:val="superscript"/>
              </w:rPr>
              <w:t>1b</w:t>
            </w:r>
            <w:r w:rsidRPr="00EC013E">
              <w:rPr>
                <w:b/>
                <w:i/>
                <w:vertAlign w:val="superscript"/>
              </w:rPr>
              <w:tab/>
            </w:r>
            <w:r w:rsidRPr="00EC013E">
              <w:rPr>
                <w:b/>
                <w:i/>
                <w:iCs/>
              </w:rPr>
              <w:t>Europa-Parlamentets og Rådets forordning (EU) 2021/2303 af 15. december 2021 om De</w:t>
            </w:r>
            <w:r w:rsidRPr="00EC013E">
              <w:rPr>
                <w:b/>
                <w:i/>
                <w:iCs/>
              </w:rPr>
              <w:t>n Europæiske Unions Asylagentur og om ophævelse af forordning (EU) nr. 439/2010 (EUT L 468 af 30.12.2021, s. 1).</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2 – betragtning 5c</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(5c)</w:t>
            </w:r>
            <w:r w:rsidRPr="00EC013E">
              <w:tab/>
              <w:t xml:space="preserve">Med henblik på at </w:t>
            </w:r>
            <w:r w:rsidRPr="00EC013E">
              <w:rPr>
                <w:b/>
                <w:bCs/>
                <w:i/>
                <w:iCs/>
              </w:rPr>
              <w:t>styre</w:t>
            </w:r>
            <w:r w:rsidRPr="00EC013E">
              <w:t xml:space="preserve"> irregulær </w:t>
            </w:r>
            <w:r w:rsidRPr="00EC013E">
              <w:rPr>
                <w:b/>
                <w:bCs/>
                <w:i/>
                <w:iCs/>
              </w:rPr>
              <w:t>migration er det ligeledes nødvendigt at give</w:t>
            </w:r>
            <w:r w:rsidRPr="00EC013E">
              <w:t xml:space="preserve"> eu-LISA </w:t>
            </w:r>
            <w:r w:rsidRPr="00EC013E">
              <w:rPr>
                <w:b/>
                <w:bCs/>
                <w:i/>
                <w:iCs/>
              </w:rPr>
              <w:t>mulighed</w:t>
            </w:r>
            <w:r w:rsidRPr="00EC013E">
              <w:t xml:space="preserve"> </w:t>
            </w:r>
            <w:r w:rsidRPr="00EC013E">
              <w:rPr>
                <w:b/>
                <w:bCs/>
                <w:i/>
                <w:iCs/>
              </w:rPr>
              <w:t>for</w:t>
            </w:r>
            <w:r w:rsidRPr="00EC013E">
              <w:t xml:space="preserve"> at udarbejde statistikker på tværs af systemerne ved hjælp af oplysninger fra Eurodac, visuminformationssystemet, ETIAS og </w:t>
            </w:r>
            <w:r w:rsidRPr="00EC013E">
              <w:lastRenderedPageBreak/>
              <w:t>ind- og udrejsesystemet. Med henblik på at præcisere indholdet i disse statistikker på tværs af systemerne bør Kommissio</w:t>
            </w:r>
            <w:r w:rsidRPr="00EC013E">
              <w:t>nen tillægges gennemførelsesbeføjelser. Disse beføjelser bør udøves i overensstemmelse med Europa-Parlamentets og Rådets forordning (EU) nr. 182/2011 af 16. februar 2011 om de generelle regler og principper for, hvordan medlemsstaterne skal kontrollere Kom</w:t>
            </w:r>
            <w:r w:rsidRPr="00EC013E">
              <w:t>missionens udøvelse af gennemførelsesbeføjelser."</w:t>
            </w:r>
          </w:p>
        </w:tc>
        <w:tc>
          <w:tcPr>
            <w:tcW w:w="4876" w:type="dxa"/>
            <w:hideMark/>
          </w:tcPr>
          <w:p w:rsidR="007605D8" w:rsidRPr="00EC013E" w:rsidRDefault="000C264D" w:rsidP="00F10CF9">
            <w:pPr>
              <w:pStyle w:val="Normal6"/>
              <w:rPr>
                <w:szCs w:val="24"/>
              </w:rPr>
            </w:pPr>
            <w:r w:rsidRPr="00EC013E">
              <w:lastRenderedPageBreak/>
              <w:t>(5c)</w:t>
            </w:r>
            <w:r w:rsidRPr="00EC013E">
              <w:tab/>
              <w:t xml:space="preserve">Med henblik på at </w:t>
            </w:r>
            <w:r w:rsidRPr="00EC013E">
              <w:rPr>
                <w:b/>
                <w:bCs/>
                <w:i/>
                <w:iCs/>
              </w:rPr>
              <w:t xml:space="preserve">bistå medlemsstaterne med at kontrollere </w:t>
            </w:r>
            <w:r w:rsidRPr="00EC013E">
              <w:t xml:space="preserve">irregulær </w:t>
            </w:r>
            <w:r w:rsidRPr="00EC013E">
              <w:rPr>
                <w:b/>
                <w:bCs/>
                <w:i/>
                <w:iCs/>
              </w:rPr>
              <w:t>immigration og på at kunne forsyne beslutningstagerne med relevant statistik til underbygning af evidensbaseret politikudformning sk</w:t>
            </w:r>
            <w:r w:rsidRPr="00EC013E">
              <w:rPr>
                <w:b/>
                <w:bCs/>
                <w:i/>
                <w:iCs/>
              </w:rPr>
              <w:t>al</w:t>
            </w:r>
            <w:r w:rsidRPr="00EC013E">
              <w:t xml:space="preserve"> eu-</w:t>
            </w:r>
            <w:r w:rsidRPr="00EC013E">
              <w:lastRenderedPageBreak/>
              <w:t xml:space="preserve">LISA </w:t>
            </w:r>
            <w:r w:rsidRPr="00EC013E">
              <w:rPr>
                <w:b/>
                <w:bCs/>
                <w:i/>
                <w:iCs/>
              </w:rPr>
              <w:t>være i stand til</w:t>
            </w:r>
            <w:r w:rsidRPr="00EC013E">
              <w:t xml:space="preserve"> at udarbejde statistikker på tværs af systemerne ved hjælp af oplysninger fra </w:t>
            </w:r>
            <w:r w:rsidRPr="00EC013E">
              <w:rPr>
                <w:b/>
                <w:bCs/>
                <w:i/>
                <w:iCs/>
              </w:rPr>
              <w:t>relevante EU-databaser, især</w:t>
            </w:r>
            <w:r w:rsidRPr="00EC013E">
              <w:t xml:space="preserve"> Eurodac, visuminformationssystemet, ETIAS og ind- og udrejsesystemet. Med henblik på at præcisere indholdet i disse stati</w:t>
            </w:r>
            <w:r w:rsidRPr="00EC013E">
              <w:t xml:space="preserve">stikker på tværs af systemerne bør Kommissionen tillægges gennemførelsesbeføjelser. Disse beføjelser bør udøves i overensstemmelse med Europa-Parlamentets og Rådets forordning (EU) nr. 182/2011 af 16. februar 2011 om de generelle regler og principper for, </w:t>
            </w:r>
            <w:r w:rsidRPr="00EC013E">
              <w:t>hvordan medlemsstaterne skal kontrollere Kommissionens udøvelse af gennemførelsesbeføjelser."</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3 – betragtning 6</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"(6)</w:t>
            </w:r>
            <w:r w:rsidRPr="00EC013E">
              <w:tab/>
              <w:t xml:space="preserve">Til disse formål er det nødvendigt at oprette et system benævnt "Eurodac", som består af et centralt system og af </w:t>
            </w:r>
            <w:r w:rsidRPr="00EC013E">
              <w:t>det fælles identitetsregister oprettet ved forordning (EU) 2019/818, som skal drive en central elektronisk database med biometriske oplysninger, samt de elektroniske midler til videregivelse mellem disse [det centrale system og det fælles identitetsregiste</w:t>
            </w:r>
            <w:r w:rsidRPr="00EC013E">
              <w:t>r] og medlemsstaterne, herefter benævnt "kommunikationsinfrastrukturen"."</w:t>
            </w:r>
          </w:p>
        </w:tc>
        <w:tc>
          <w:tcPr>
            <w:tcW w:w="4876" w:type="dxa"/>
            <w:hideMark/>
          </w:tcPr>
          <w:p w:rsidR="007605D8" w:rsidRPr="00EC013E" w:rsidRDefault="000C264D" w:rsidP="007605D8">
            <w:pPr>
              <w:pStyle w:val="Normal6"/>
              <w:rPr>
                <w:szCs w:val="24"/>
              </w:rPr>
            </w:pPr>
            <w:r w:rsidRPr="00EC013E">
              <w:t>"(6)</w:t>
            </w:r>
            <w:r w:rsidRPr="00EC013E">
              <w:tab/>
              <w:t>Til disse formål er det nødvendigt at oprette et system benævnt "Eurodac", som består af et centralt system og af det fælles identitetsregister oprettet ved forordning (EU) 2019</w:t>
            </w:r>
            <w:r w:rsidRPr="00EC013E">
              <w:t xml:space="preserve">/818, som skal drive en central elektronisk database med biometriske </w:t>
            </w:r>
            <w:r w:rsidRPr="00EC013E">
              <w:rPr>
                <w:b/>
                <w:bCs/>
                <w:i/>
                <w:iCs/>
              </w:rPr>
              <w:t>og alfanumeriske</w:t>
            </w:r>
            <w:r w:rsidRPr="00EC013E">
              <w:t xml:space="preserve"> oplysninger, samt de elektroniske midler til videregivelse mellem disse [det centrale system og det fælles identitetsregister] og medlemsstaterne, herefter benævnt "kommu</w:t>
            </w:r>
            <w:r w:rsidRPr="00EC013E">
              <w:t>nikationsinfrastrukturen"."</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lastRenderedPageBreak/>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Præampel – nr. 5 </w:t>
      </w:r>
      <w:r w:rsidRPr="00EC013E">
        <w:t>– betragtning 14</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"(14)</w:t>
            </w:r>
            <w:r w:rsidRPr="00EC013E">
              <w:tab/>
              <w:t xml:space="preserve">For at Eurodac effektivt kan bistå med kontrollen af irregulær </w:t>
            </w:r>
            <w:r w:rsidRPr="00EC013E">
              <w:rPr>
                <w:b/>
                <w:bCs/>
                <w:i/>
                <w:iCs/>
              </w:rPr>
              <w:t>migration</w:t>
            </w:r>
            <w:r w:rsidRPr="00EC013E">
              <w:t xml:space="preserve"> </w:t>
            </w:r>
            <w:r w:rsidRPr="00EC013E">
              <w:rPr>
                <w:b/>
                <w:bCs/>
                <w:i/>
                <w:iCs/>
              </w:rPr>
              <w:t>til</w:t>
            </w:r>
            <w:r w:rsidRPr="00EC013E">
              <w:t xml:space="preserve"> og opdagelsen af sekundære bevægelser inden for </w:t>
            </w:r>
            <w:r w:rsidRPr="00EC013E">
              <w:rPr>
                <w:b/>
                <w:bCs/>
                <w:i/>
                <w:iCs/>
              </w:rPr>
              <w:t>EU</w:t>
            </w:r>
            <w:r w:rsidRPr="00EC013E">
              <w:t xml:space="preserve">, er det derudover nødvendigt at gøre det muligt at </w:t>
            </w:r>
            <w:r w:rsidRPr="00EC013E">
              <w:t>optælle antallet af både ansøgere og ansøgninger i systemet ved at sammenkæde alle datasæt vedrørende en person, uanset hvilken kategori den pågældende tilhører, i en enkelt sekvens."</w:t>
            </w:r>
          </w:p>
        </w:tc>
        <w:tc>
          <w:tcPr>
            <w:tcW w:w="4876" w:type="dxa"/>
            <w:hideMark/>
          </w:tcPr>
          <w:p w:rsidR="007605D8" w:rsidRPr="00EC013E" w:rsidRDefault="000C264D" w:rsidP="008C51F4">
            <w:pPr>
              <w:pStyle w:val="Normal6"/>
              <w:rPr>
                <w:szCs w:val="24"/>
              </w:rPr>
            </w:pPr>
            <w:r w:rsidRPr="00EC013E">
              <w:t>"(14)</w:t>
            </w:r>
            <w:r w:rsidRPr="00EC013E">
              <w:tab/>
              <w:t xml:space="preserve">For at Eurodac effektivt kan bistå med kontrollen af irregulær </w:t>
            </w:r>
            <w:r w:rsidRPr="00EC013E">
              <w:rPr>
                <w:b/>
                <w:bCs/>
                <w:i/>
                <w:iCs/>
              </w:rPr>
              <w:t>immigration ind i Unionen</w:t>
            </w:r>
            <w:r w:rsidRPr="00EC013E">
              <w:t xml:space="preserve"> og opdagelsen af sekundære bevægelser inden for </w:t>
            </w:r>
            <w:r w:rsidRPr="00EC013E">
              <w:rPr>
                <w:b/>
                <w:bCs/>
                <w:i/>
                <w:iCs/>
              </w:rPr>
              <w:t>Unionen</w:t>
            </w:r>
            <w:r w:rsidRPr="00EC013E">
              <w:t>, er det derudover nødvendigt at gøre det muligt at optælle antallet af både ansøgere og ansøgninger i systemet ved at sammenkæde alle datasæt vedrørende en person, uanset hvi</w:t>
            </w:r>
            <w:r w:rsidRPr="00EC013E">
              <w:t xml:space="preserve">lken kategori den pågældende tilhører, i en enkelt sekvens. </w:t>
            </w:r>
            <w:r w:rsidRPr="00EC013E">
              <w:rPr>
                <w:b/>
                <w:i/>
              </w:rPr>
              <w:t>Medlemsstaternes myndigheder og EU's organer bør udelukkende kunne tilgå de personoplysninger, der er strengt relevante for at kunne udføre deres opgaver, også selv om oplysningerne indgår som led</w:t>
            </w:r>
            <w:r w:rsidRPr="00EC013E">
              <w:rPr>
                <w:b/>
                <w:i/>
              </w:rPr>
              <w:t xml:space="preserve"> i en sekvens. </w:t>
            </w:r>
            <w:r w:rsidRPr="00EC013E">
              <w:rPr>
                <w:b/>
                <w:bCs/>
                <w:i/>
                <w:iCs/>
              </w:rPr>
              <w:t>Dette berører ikke opbevaringsperioden for hvert datasæt.</w:t>
            </w:r>
            <w:r w:rsidRPr="00EC013E">
              <w: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w:t>
      </w:r>
      <w:r w:rsidRPr="00EC013E">
        <w:t>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6 – betragtning 24 a</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rPr>
                <w:b/>
                <w:i/>
              </w:rPr>
              <w:t>(6)</w:t>
            </w:r>
            <w:r w:rsidRPr="00EC013E">
              <w:rPr>
                <w:b/>
                <w:i/>
              </w:rPr>
              <w:tab/>
              <w:t>Følgende betragtning indsættes efter betragtning 24:</w:t>
            </w:r>
          </w:p>
        </w:tc>
        <w:tc>
          <w:tcPr>
            <w:tcW w:w="4876" w:type="dxa"/>
            <w:hideMark/>
          </w:tcPr>
          <w:p w:rsidR="007605D8" w:rsidRPr="00EC013E" w:rsidRDefault="000C264D" w:rsidP="007605D8">
            <w:pPr>
              <w:pStyle w:val="Normal6"/>
              <w:rPr>
                <w:szCs w:val="24"/>
              </w:rPr>
            </w:pPr>
            <w:r w:rsidRPr="00EC013E">
              <w:rPr>
                <w:b/>
                <w:i/>
              </w:rPr>
              <w:t>udgår</w:t>
            </w:r>
          </w:p>
        </w:tc>
      </w:tr>
      <w:tr w:rsidR="00DE4993" w:rsidRPr="00EC013E" w:rsidTr="007605D8">
        <w:trPr>
          <w:jc w:val="center"/>
        </w:trPr>
        <w:tc>
          <w:tcPr>
            <w:tcW w:w="4876" w:type="dxa"/>
            <w:hideMark/>
          </w:tcPr>
          <w:p w:rsidR="007605D8" w:rsidRPr="00EC013E" w:rsidRDefault="000C264D" w:rsidP="007605D8">
            <w:pPr>
              <w:pStyle w:val="Normal6"/>
            </w:pPr>
            <w:r w:rsidRPr="00EC013E">
              <w:rPr>
                <w:b/>
                <w:i/>
              </w:rPr>
              <w:t>"(24a)</w:t>
            </w:r>
            <w:r w:rsidRPr="00EC013E">
              <w:rPr>
                <w:b/>
                <w:i/>
              </w:rPr>
              <w:tab/>
              <w:t xml:space="preserve">Det bør med henblik på denne forordning erindres, at en person bør </w:t>
            </w:r>
            <w:r w:rsidRPr="00EC013E">
              <w:rPr>
                <w:b/>
                <w:i/>
              </w:rPr>
              <w:t xml:space="preserve">anses for at opholde sig ulovligt på tilflytningsmedlemsstatens område, hvis den pågældende person ikke ansøger om international beskyttelse efter omfordeling eller på anden vis ikke opfylder eller ikke længere opfylder de betingelser for indrejse, der er </w:t>
            </w:r>
            <w:r w:rsidRPr="00EC013E">
              <w:rPr>
                <w:b/>
                <w:i/>
              </w:rPr>
              <w:t>fastsat i artikel 6 i forordning (EU) 2016/399, eller andre betingelser for indrejse til, ophold eller bopæl i tilflytningsmedlemsstaten."</w:t>
            </w:r>
          </w:p>
        </w:tc>
        <w:tc>
          <w:tcPr>
            <w:tcW w:w="4876" w:type="dxa"/>
          </w:tcPr>
          <w:p w:rsidR="007605D8" w:rsidRPr="00EC013E" w:rsidRDefault="007605D8" w:rsidP="007605D8">
            <w:pPr>
              <w:pStyle w:val="Normal6"/>
              <w:rPr>
                <w:szCs w:val="24"/>
              </w:rPr>
            </w:pP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w:t>
      </w:r>
      <w:r w:rsidRPr="00EC013E">
        <w:t>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6 – betragtning 24a a (ny)</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hideMark/>
          </w:tcPr>
          <w:p w:rsidR="007605D8" w:rsidRPr="00EC013E" w:rsidRDefault="000C264D" w:rsidP="007605D8">
            <w:pPr>
              <w:keepNext/>
            </w:pPr>
            <w:r w:rsidRPr="00EC013E">
              <w:t>b</w:t>
            </w: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8C51F4">
            <w:pPr>
              <w:pStyle w:val="Normal6"/>
              <w:rPr>
                <w:b/>
                <w:i/>
              </w:rPr>
            </w:pPr>
            <w:r w:rsidRPr="00EC013E">
              <w:rPr>
                <w:b/>
                <w:i/>
              </w:rPr>
              <w:t>(24aa)</w:t>
            </w:r>
            <w:r w:rsidRPr="00EC013E">
              <w:rPr>
                <w:b/>
                <w:i/>
              </w:rPr>
              <w:tab/>
              <w:t xml:space="preserve">Den omstændighed at en tredjelandsstatsborger eller </w:t>
            </w:r>
            <w:r w:rsidRPr="00EC013E">
              <w:rPr>
                <w:b/>
                <w:i/>
              </w:rPr>
              <w:t>statsløs person, der opholder sig ulovligt i en medlemsstat, indgiver en ansøgning om international beskyttelse samtidig med eller efter at være blevet pågrebet, bør ikke fritage medlemsstaten fra forpligtelsen til at optage og registrere den pågældendes b</w:t>
            </w:r>
            <w:r w:rsidRPr="00EC013E">
              <w:rPr>
                <w:b/>
                <w:i/>
              </w:rPr>
              <w:t>iometriske oplysninger i overensstemmelse med denne forordning.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Præampel – nr. 6 – betragtning 24a b (ny)</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4C2FE7">
            <w:pPr>
              <w:pStyle w:val="Normal6"/>
              <w:rPr>
                <w:b/>
                <w:i/>
              </w:rPr>
            </w:pPr>
            <w:r w:rsidRPr="00EC013E">
              <w:rPr>
                <w:b/>
                <w:i/>
              </w:rPr>
              <w:t>(24ab)</w:t>
            </w:r>
            <w:r w:rsidRPr="00EC013E">
              <w:rPr>
                <w:b/>
                <w:i/>
              </w:rPr>
              <w:tab/>
              <w:t xml:space="preserve">Den omstændighed, at en tredjelandsstatsborger eller statsløs person, der er blevet pågrebet i forbindelse med irregulær krydsning af </w:t>
            </w:r>
            <w:r w:rsidRPr="00EC013E">
              <w:rPr>
                <w:b/>
                <w:i/>
              </w:rPr>
              <w:t>en ydre grænse, indgiver en ansøgning om international beskyttelse samtidig med eller efter at være blevet pågrebet, bør ikke fritage denne medlemsstat fra forpligtelsen til at optage og registrere den pågældendes biometriske oplysninger i overensstemmelse</w:t>
            </w:r>
            <w:r w:rsidRPr="00EC013E">
              <w:rPr>
                <w:b/>
                <w:i/>
              </w:rPr>
              <w:t xml:space="preserve"> med denne forordning.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lastRenderedPageBreak/>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Præampel – nr. 6 –  b</w:t>
      </w:r>
      <w:r w:rsidRPr="00EC013E">
        <w:t>etragtning 24a c (ny)</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D1390F">
        <w:trPr>
          <w:trHeight w:val="587"/>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372617">
            <w:pPr>
              <w:pStyle w:val="Normal6"/>
              <w:rPr>
                <w:b/>
                <w:i/>
              </w:rPr>
            </w:pPr>
            <w:r w:rsidRPr="00EC013E">
              <w:rPr>
                <w:b/>
                <w:i/>
              </w:rPr>
              <w:t>(24ac)</w:t>
            </w:r>
            <w:r w:rsidRPr="00EC013E">
              <w:rPr>
                <w:b/>
                <w:i/>
              </w:rPr>
              <w:tab/>
              <w:t xml:space="preserve">Medlemsstaterne bør genanvende de biometriske oplysninger om tredjelandsstatsborgere eller statsløse personer, der pågribes i forbindelse med ulovlig krydsning af en ydre </w:t>
            </w:r>
            <w:r w:rsidRPr="00EC013E">
              <w:rPr>
                <w:b/>
                <w:i/>
              </w:rPr>
              <w:t xml:space="preserve">grænse, eller som opholder sig ulovligt i en medlemsstat i henhold til denne forordning, med henblik på videregivelse til det centrale system og CIR i overensstemmelse med betingelserne i denne forordning. </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pStyle w:val="AMNumberTabs0"/>
        <w:keepNext/>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Præambel – nr. 6 a (ny) –  betragtning 57 a (ny)</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w:t>
            </w:r>
            <w:r w:rsidRPr="00EC013E">
              <w:t>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9449BF">
            <w:pPr>
              <w:pStyle w:val="Normal6"/>
              <w:rPr>
                <w:rFonts w:ascii="Calibri" w:hAnsi="Calibri" w:cs="Calibri"/>
                <w:b/>
                <w:bCs/>
                <w:color w:val="1F497D"/>
                <w:sz w:val="20"/>
              </w:rPr>
            </w:pPr>
            <w:r w:rsidRPr="00EC013E">
              <w:rPr>
                <w:b/>
                <w:i/>
              </w:rPr>
              <w:t>(6a)</w:t>
            </w:r>
            <w:r w:rsidRPr="00EC013E">
              <w:rPr>
                <w:b/>
                <w:i/>
              </w:rPr>
              <w:tab/>
              <w:t>Følgende betragtning indsættes efter betragtning 57:</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3C548B">
            <w:pPr>
              <w:pStyle w:val="Normal6"/>
              <w:rPr>
                <w:szCs w:val="24"/>
              </w:rPr>
            </w:pPr>
            <w:r w:rsidRPr="00EC013E">
              <w:rPr>
                <w:b/>
                <w:i/>
              </w:rPr>
              <w:t>"(57a)</w:t>
            </w:r>
            <w:r w:rsidRPr="00EC013E">
              <w:rPr>
                <w:b/>
                <w:i/>
              </w:rPr>
              <w:tab/>
              <w:t xml:space="preserve">Europa-Parlamentet, Rådet og Kommissionen bør med henblik på at gøre det muligt for eu-LISA at indlede gennemførelsesprocessen for så vidt angår Eurodac, så snart denne forordning </w:t>
            </w:r>
            <w:r w:rsidRPr="00EC013E">
              <w:rPr>
                <w:b/>
                <w:i/>
              </w:rPr>
              <w:t>træder i kraft, sikre, at de finansielle og menneskelige ressourcer, der stilles til rådighed med henblik på denne forordning, når op på det niveau, der er angivet i Kommissionens finansieringsoversigt i forbindelse med denne forordning."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lastRenderedPageBreak/>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1 – litra b</w:t>
      </w:r>
      <w:r w:rsidRPr="00EC013E">
        <w:rPr>
          <w:rStyle w:val="HideTWBExt"/>
        </w:rPr>
        <w:t>&lt;/Arti</w:t>
      </w:r>
      <w:r w:rsidRPr="00EC013E">
        <w:rPr>
          <w:rStyle w:val="HideTWBExt"/>
        </w:rPr>
        <w:t>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(b)</w:t>
            </w:r>
            <w:r w:rsidRPr="00EC013E">
              <w:tab/>
              <w:t>bistå med anvendelsen af forordning (EU) XXX/XXX [genbosætningsforordningen] på de betingelser, der er fastsat i nærværende forordning</w:t>
            </w:r>
          </w:p>
        </w:tc>
        <w:tc>
          <w:tcPr>
            <w:tcW w:w="4876" w:type="dxa"/>
            <w:hideMark/>
          </w:tcPr>
          <w:p w:rsidR="007605D8" w:rsidRPr="00EC013E" w:rsidRDefault="000C264D" w:rsidP="00777DF3">
            <w:pPr>
              <w:pStyle w:val="Normal6"/>
              <w:rPr>
                <w:szCs w:val="24"/>
              </w:rPr>
            </w:pPr>
            <w:r w:rsidRPr="00EC013E">
              <w:t>b)</w:t>
            </w:r>
            <w:r w:rsidRPr="00EC013E">
              <w:tab/>
              <w:t xml:space="preserve">bistå med </w:t>
            </w:r>
            <w:r w:rsidRPr="00EC013E">
              <w:rPr>
                <w:b/>
                <w:bCs/>
                <w:i/>
                <w:iCs/>
              </w:rPr>
              <w:t xml:space="preserve">henblik på identificering af sekundære bevægelser for </w:t>
            </w:r>
            <w:r w:rsidRPr="00EC013E">
              <w:rPr>
                <w:b/>
                <w:bCs/>
                <w:i/>
                <w:iCs/>
              </w:rPr>
              <w:t>tredjelandsstatsborgere, der er blevet genbosat i overensstemmelse med</w:t>
            </w:r>
            <w:r w:rsidRPr="00EC013E">
              <w:t xml:space="preserve"> anvendelsen af forordning (EU) XXX/XXX [genbosætningsforordningen] på de betingelser, der er fastsat i nærværende forordning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w:t>
      </w:r>
      <w:r w:rsidRPr="00EC013E">
        <w:t>slag</w:t>
      </w:r>
      <w:r w:rsidRPr="00EC013E">
        <w:tab/>
      </w:r>
      <w:r w:rsidRPr="00EC013E">
        <w:tab/>
      </w:r>
      <w:r w:rsidRPr="00EC013E">
        <w:rPr>
          <w:rStyle w:val="HideTWBExt"/>
        </w:rPr>
        <w:t>&lt;NumAm&gt;</w:t>
      </w:r>
      <w:r w:rsidRPr="00EC013E">
        <w:t>14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1 – litra c a</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ca)</w:t>
            </w:r>
            <w:r w:rsidRPr="00EC013E">
              <w:rPr>
                <w:b/>
                <w:i/>
              </w:rPr>
              <w:tab/>
              <w:t>bistå beskyttelsen af børn, der er ofre for menneskehandel, og identifikation og beskyttelse af forsvundne børn</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 xml:space="preserve">Jorge Buxadé </w:t>
      </w:r>
      <w:r w:rsidRPr="00EC013E">
        <w:t>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1 – litra d</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(d)</w:t>
            </w:r>
            <w:r w:rsidRPr="00EC013E">
              <w:tab/>
              <w:t>fastsætte betingelserne for, at medlemsstaternes udpegede</w:t>
            </w:r>
            <w:r w:rsidRPr="00EC013E">
              <w:t xml:space="preserve"> myndigheder og Den Europæiske Politienhed (Europol) kan anmode om at sammenligne biometriske eller alfanumeriske </w:t>
            </w:r>
            <w:r w:rsidRPr="00EC013E">
              <w:lastRenderedPageBreak/>
              <w:t>oplysninger med de oplysninger, der er lagret i det centrale system med henblik på retshåndhævelse for at forebygge, afsløre og efterforske te</w:t>
            </w:r>
            <w:r w:rsidRPr="00EC013E">
              <w:t>rrorhandlinger og andre alvorlige lovovertrædelser</w:t>
            </w:r>
          </w:p>
        </w:tc>
        <w:tc>
          <w:tcPr>
            <w:tcW w:w="4876" w:type="dxa"/>
            <w:hideMark/>
          </w:tcPr>
          <w:p w:rsidR="007605D8" w:rsidRPr="00EC013E" w:rsidRDefault="000C264D" w:rsidP="007605D8">
            <w:pPr>
              <w:pStyle w:val="Normal6"/>
              <w:rPr>
                <w:szCs w:val="24"/>
              </w:rPr>
            </w:pPr>
            <w:r w:rsidRPr="00EC013E">
              <w:lastRenderedPageBreak/>
              <w:t>d)</w:t>
            </w:r>
            <w:r w:rsidRPr="00EC013E">
              <w:tab/>
              <w:t xml:space="preserve">fastsætte betingelserne for, at medlemsstaternes udpegede myndigheder og Den Europæiske Politienhed (Europol) kan anmode om at sammenligne biometriske eller alfanumeriske </w:t>
            </w:r>
            <w:r w:rsidRPr="00EC013E">
              <w:lastRenderedPageBreak/>
              <w:t>oplysninger med de oplysninger,</w:t>
            </w:r>
            <w:r w:rsidRPr="00EC013E">
              <w:t xml:space="preserve"> der er lagret i det centrale system </w:t>
            </w:r>
            <w:r w:rsidRPr="00EC013E">
              <w:rPr>
                <w:b/>
                <w:bCs/>
                <w:i/>
                <w:iCs/>
              </w:rPr>
              <w:t>eller i det fælles identitetsregister (CIR)</w:t>
            </w:r>
            <w:r w:rsidRPr="00EC013E">
              <w:t xml:space="preserve"> med henblik på retshåndhævelse for at forebygge, afsløre og efterforske terrorhandlinger og andre alvorlige lovovertrædelser;</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1 – litra f</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(f)</w:t>
            </w:r>
            <w:r w:rsidRPr="00EC013E">
              <w:tab/>
              <w:t xml:space="preserve">støtte </w:t>
            </w:r>
            <w:r w:rsidRPr="00EC013E">
              <w:rPr>
                <w:b/>
                <w:bCs/>
                <w:i/>
                <w:iCs/>
              </w:rPr>
              <w:t>målene for</w:t>
            </w:r>
            <w:r w:rsidRPr="00EC013E">
              <w:t xml:space="preserve"> det europæiske system vedrørende rejseinformation og rejsetilladelse ("ETIAS"), der blev oprettet ved forordning (EU) 2018/1240</w:t>
            </w:r>
          </w:p>
        </w:tc>
        <w:tc>
          <w:tcPr>
            <w:tcW w:w="4876" w:type="dxa"/>
            <w:hideMark/>
          </w:tcPr>
          <w:p w:rsidR="007605D8" w:rsidRPr="00EC013E" w:rsidRDefault="000C264D" w:rsidP="00352984">
            <w:pPr>
              <w:pStyle w:val="Normal6"/>
              <w:rPr>
                <w:szCs w:val="24"/>
              </w:rPr>
            </w:pPr>
            <w:r w:rsidRPr="00EC013E">
              <w:t>f)</w:t>
            </w:r>
            <w:r w:rsidRPr="00EC013E">
              <w:tab/>
              <w:t xml:space="preserve">støtte </w:t>
            </w:r>
            <w:r w:rsidRPr="00EC013E">
              <w:rPr>
                <w:b/>
                <w:bCs/>
                <w:i/>
                <w:iCs/>
              </w:rPr>
              <w:t>deling af information med</w:t>
            </w:r>
            <w:r w:rsidRPr="00EC013E">
              <w:t xml:space="preserve"> det europæiske system vedrørende rejseinformation og </w:t>
            </w:r>
            <w:r w:rsidRPr="00EC013E">
              <w:t>rejsetilladelse ("ETIAS"), der blev oprettet ved forordning (EU) 2018/1240</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 xml:space="preserve">Forslag til </w:t>
      </w:r>
      <w:r w:rsidRPr="00EC013E">
        <w:t>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9 – artikel 1 – stk. 1 – litra g</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(g)</w:t>
            </w:r>
            <w:r w:rsidRPr="00EC013E">
              <w:tab/>
              <w:t xml:space="preserve">støtte </w:t>
            </w:r>
            <w:r w:rsidRPr="00EC013E">
              <w:rPr>
                <w:b/>
                <w:bCs/>
                <w:i/>
                <w:iCs/>
              </w:rPr>
              <w:t>målene for</w:t>
            </w:r>
            <w:r w:rsidRPr="00EC013E">
              <w:t xml:space="preserve"> visuminformationssystemet (VIS), der er omhandlet i forordning (EF) nr. 767/2008.</w:t>
            </w:r>
          </w:p>
        </w:tc>
        <w:tc>
          <w:tcPr>
            <w:tcW w:w="4876" w:type="dxa"/>
            <w:hideMark/>
          </w:tcPr>
          <w:p w:rsidR="007605D8" w:rsidRPr="00EC013E" w:rsidRDefault="000C264D" w:rsidP="00352984">
            <w:pPr>
              <w:pStyle w:val="Normal6"/>
              <w:rPr>
                <w:szCs w:val="24"/>
              </w:rPr>
            </w:pPr>
            <w:r w:rsidRPr="00EC013E">
              <w:t>g)</w:t>
            </w:r>
            <w:r w:rsidRPr="00EC013E">
              <w:tab/>
              <w:t xml:space="preserve">støtte </w:t>
            </w:r>
            <w:r w:rsidRPr="00EC013E">
              <w:rPr>
                <w:b/>
                <w:bCs/>
                <w:i/>
                <w:iCs/>
              </w:rPr>
              <w:t>deling</w:t>
            </w:r>
            <w:r w:rsidRPr="00EC013E">
              <w:rPr>
                <w:b/>
                <w:bCs/>
                <w:i/>
                <w:iCs/>
              </w:rPr>
              <w:t xml:space="preserve"> af information med</w:t>
            </w:r>
            <w:r w:rsidRPr="00EC013E">
              <w:t xml:space="preserve"> visuminformationssystemet (VIS), der er omhandlet i forordning (EF) nr. 767/2008.</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w:t>
      </w:r>
      <w:r w:rsidRPr="00EC013E">
        <w:rPr>
          <w:rStyle w:val="HideTWBExt"/>
        </w:rPr>
        <w:t>-By&gt;</w:t>
      </w:r>
    </w:p>
    <w:p w:rsidR="007605D8" w:rsidRPr="00EC013E" w:rsidRDefault="000C264D" w:rsidP="007605D8">
      <w:pPr>
        <w:pStyle w:val="NormalBold"/>
        <w:keepNext/>
      </w:pPr>
      <w:r w:rsidRPr="00EC013E">
        <w:rPr>
          <w:rStyle w:val="HideTWBExt"/>
        </w:rPr>
        <w:lastRenderedPageBreak/>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9 – artikel 1 – stk. 1 – litra g a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77DF3">
            <w:pPr>
              <w:pStyle w:val="Normal6"/>
              <w:rPr>
                <w:szCs w:val="24"/>
              </w:rPr>
            </w:pPr>
            <w:r w:rsidRPr="00EC013E">
              <w:rPr>
                <w:b/>
                <w:i/>
              </w:rPr>
              <w:t>ga)</w:t>
            </w:r>
            <w:r w:rsidRPr="00EC013E">
              <w:tab/>
            </w:r>
            <w:r w:rsidRPr="00EC013E">
              <w:rPr>
                <w:b/>
                <w:i/>
              </w:rPr>
              <w:t xml:space="preserve">befordre udarbejdelse af statistikker om personer, der søger om international </w:t>
            </w:r>
            <w:r w:rsidRPr="00EC013E">
              <w:rPr>
                <w:b/>
                <w:i/>
              </w:rPr>
              <w:t>beskyttelse, om personer der ankommer med henblik på genbosættelse eller indrejse af humanitære årsager og personer, der indrømmes og nægtes international beskyttelse, med henblik på at understøtte evidensbaseret asyl- og migrationspolitikudformning i EU.</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19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2</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t xml:space="preserve">Med forbehold af oprindelsesmedlemsstatens behandling af oplysninger, som er bestemt til Eurodac, i databaser, som er oprettet i henhold til dennes nationale lovgivning, må biometriske oplysninger og </w:t>
            </w:r>
            <w:r w:rsidRPr="00EC013E">
              <w:t>andre personoplysninger kun behandles i Eurodac til de formål, der er fastsat i denne forordning</w:t>
            </w:r>
            <w:r w:rsidRPr="00EC013E">
              <w:rPr>
                <w:b/>
                <w:bCs/>
                <w:i/>
                <w:iCs/>
              </w:rPr>
              <w:t>,</w:t>
            </w:r>
            <w:r w:rsidRPr="00EC013E">
              <w:t xml:space="preserve"> i </w:t>
            </w:r>
            <w:r w:rsidRPr="00EC013E">
              <w:rPr>
                <w:b/>
                <w:bCs/>
                <w:i/>
                <w:iCs/>
              </w:rPr>
              <w:t>forordning</w:t>
            </w:r>
            <w:r w:rsidRPr="00EC013E">
              <w:t xml:space="preserve"> (EU) XXX/XXX [forordningen om asylforvaltning og migrationsstyring] </w:t>
            </w:r>
            <w:r w:rsidRPr="00EC013E">
              <w:rPr>
                <w:b/>
                <w:bCs/>
                <w:i/>
                <w:iCs/>
              </w:rPr>
              <w:t>og i forordning</w:t>
            </w:r>
            <w:r w:rsidRPr="00EC013E">
              <w:t xml:space="preserve"> (EU) XXX/XXX [genbosætningsforordningen] ."</w:t>
            </w:r>
          </w:p>
        </w:tc>
        <w:tc>
          <w:tcPr>
            <w:tcW w:w="4876" w:type="dxa"/>
            <w:hideMark/>
          </w:tcPr>
          <w:p w:rsidR="007605D8" w:rsidRPr="00EC013E" w:rsidRDefault="000C264D" w:rsidP="00397221">
            <w:pPr>
              <w:pStyle w:val="Normal6"/>
              <w:rPr>
                <w:szCs w:val="24"/>
              </w:rPr>
            </w:pPr>
            <w:r w:rsidRPr="00EC013E">
              <w:t>2.</w:t>
            </w:r>
            <w:r w:rsidRPr="00EC013E">
              <w:tab/>
              <w:t xml:space="preserve">Med forbehold </w:t>
            </w:r>
            <w:r w:rsidRPr="00EC013E">
              <w:t xml:space="preserve">af oprindelsesmedlemsstatens behandling af oplysninger, som er bestemt til Eurodac, i databaser, som er oprettet i henhold til dennes nationale lovgivning, må biometriske oplysninger og andre personoplysninger kun behandles i Eurodac til de formål, der er </w:t>
            </w:r>
            <w:r w:rsidRPr="00EC013E">
              <w:t xml:space="preserve">fastsat i denne forordning </w:t>
            </w:r>
            <w:r w:rsidRPr="00EC013E">
              <w:rPr>
                <w:b/>
                <w:bCs/>
                <w:i/>
                <w:iCs/>
              </w:rPr>
              <w:t>og</w:t>
            </w:r>
            <w:r w:rsidRPr="00EC013E">
              <w:t xml:space="preserve"> i </w:t>
            </w:r>
            <w:r w:rsidRPr="00EC013E">
              <w:rPr>
                <w:b/>
                <w:bCs/>
                <w:i/>
                <w:iCs/>
              </w:rPr>
              <w:t>forordningerne</w:t>
            </w:r>
            <w:r w:rsidRPr="00EC013E">
              <w:t xml:space="preserve"> (EU) XXX/XXX [forordningen om asylforvaltning og migrationsstyring], (EU) XXX/XXX [genbosætningsforordningen]</w:t>
            </w:r>
            <w:r w:rsidRPr="00EC013E">
              <w:rPr>
                <w:b/>
                <w:bCs/>
                <w:i/>
                <w:iCs/>
              </w:rPr>
              <w:t>,</w:t>
            </w:r>
            <w:r w:rsidRPr="00EC013E">
              <w:t xml:space="preserve"> </w:t>
            </w:r>
            <w:r w:rsidRPr="00EC013E">
              <w:rPr>
                <w:b/>
                <w:bCs/>
                <w:i/>
                <w:iCs/>
              </w:rPr>
              <w:t>(EU) 2019/818, (EU) XXX/XXX [forordning om visuminformationssystemet (VIS)] og (EU) 2018/1240</w:t>
            </w:r>
            <w:r w:rsidRPr="00EC013E">
              <w:t>."</w:t>
            </w:r>
          </w:p>
        </w:tc>
      </w:tr>
    </w:tbl>
    <w:p w:rsidR="007605D8" w:rsidRPr="00EC013E" w:rsidRDefault="000C264D" w:rsidP="007605D8">
      <w:pPr>
        <w:pStyle w:val="Olang"/>
        <w:rPr>
          <w:noProof w:val="0"/>
        </w:rPr>
      </w:pPr>
      <w:r w:rsidRPr="00EC013E">
        <w:rPr>
          <w:noProof w:val="0"/>
        </w:rPr>
        <w:t>O</w:t>
      </w:r>
      <w:r w:rsidRPr="00EC013E">
        <w:rPr>
          <w:noProof w:val="0"/>
        </w:rPr>
        <w:t xml:space="preserve">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lastRenderedPageBreak/>
        <w:t>&lt;Amend&gt;</w:t>
      </w:r>
      <w:r w:rsidRPr="00EC013E">
        <w:t>Ændringsforslag</w:t>
      </w:r>
      <w:r w:rsidRPr="00EC013E">
        <w:tab/>
      </w:r>
      <w:r w:rsidRPr="00EC013E">
        <w:tab/>
      </w:r>
      <w:r w:rsidRPr="00EC013E">
        <w:rPr>
          <w:rStyle w:val="HideTWBExt"/>
        </w:rPr>
        <w:t>&lt;NumAm&gt;</w:t>
      </w:r>
      <w:r w:rsidRPr="00EC013E">
        <w:t>20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del – nr. 9 – artikel 1 – stk. 2 a </w:t>
      </w:r>
      <w:r w:rsidRPr="00EC013E">
        <w:t>(nyt)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352984">
            <w:pPr>
              <w:pStyle w:val="Normal6"/>
              <w:rPr>
                <w:szCs w:val="24"/>
              </w:rPr>
            </w:pPr>
            <w:r w:rsidRPr="00EC013E">
              <w:rPr>
                <w:b/>
                <w:i/>
              </w:rPr>
              <w:t>2a.</w:t>
            </w:r>
            <w:r w:rsidRPr="00EC013E">
              <w:tab/>
            </w:r>
            <w:r w:rsidRPr="00EC013E">
              <w:rPr>
                <w:b/>
                <w:i/>
              </w:rPr>
              <w:t xml:space="preserve">Denne forordning skal til fulde respektere den menneskelige værdighed samt de grundlæggende rettigheder og principper, der er anerkendt i Den Europæiske Unions charter om grundlæggende </w:t>
            </w:r>
            <w:r w:rsidRPr="00EC013E">
              <w:rPr>
                <w:b/>
                <w:i/>
              </w:rPr>
              <w:t>rettigheder, herunder retten til respekt for privatlivets fred og til beskyttelse af personoplysninger, asyl og nonrefoulement såvel som forbud mod tortur og umenneskelig eller nedværdigende behandling. Behandling af personoplysninger i overensstemmelse me</w:t>
            </w:r>
            <w:r w:rsidRPr="00EC013E">
              <w:rPr>
                <w:b/>
                <w:i/>
              </w:rPr>
              <w:t>d denne forordning må i den henseende ikke føre til nogen form for forskelsbehandling.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2 b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471EC9">
            <w:pPr>
              <w:pStyle w:val="Normal6"/>
              <w:rPr>
                <w:szCs w:val="24"/>
              </w:rPr>
            </w:pPr>
            <w:r w:rsidRPr="00EC013E">
              <w:rPr>
                <w:b/>
                <w:i/>
              </w:rPr>
              <w:t>2 b.</w:t>
            </w:r>
            <w:r w:rsidRPr="00EC013E">
              <w:tab/>
            </w:r>
            <w:r w:rsidRPr="00EC013E">
              <w:rPr>
                <w:b/>
                <w:i/>
              </w:rPr>
              <w:t>Hensynet til barnets tarv bør have fortrinsret ved gennemførelsen af denne forordning. Dette indbefatter</w:t>
            </w:r>
            <w:r w:rsidRPr="00EC013E">
              <w:rPr>
                <w:b/>
                <w:i/>
              </w:rPr>
              <w:t xml:space="preserve"> gennemførelse af de relevante bestemmelser og foranstaltninger til beskyttelse af barnets rettigheder, når denne forordning finder anvendelse på en person, der erklærer at være et barn, eller, afhængigt af situationen, en person som med føje kan formodes </w:t>
            </w:r>
            <w:r w:rsidRPr="00EC013E">
              <w:rPr>
                <w:b/>
                <w:i/>
              </w:rPr>
              <w:t xml:space="preserve">at være et barn, og for hvem der ikke foreligger dokumentation for alder. I tilfælde af usikkerhed om et barns alder, skal </w:t>
            </w:r>
            <w:r w:rsidRPr="00EC013E">
              <w:rPr>
                <w:b/>
                <w:i/>
              </w:rPr>
              <w:lastRenderedPageBreak/>
              <w:t>myndighederne lade tvivlen komme den pågældende person til gode. I tilfælde af usikkerhed om en persons alder, hvor vedkommende har e</w:t>
            </w:r>
            <w:r w:rsidRPr="00EC013E">
              <w:rPr>
                <w:b/>
                <w:i/>
              </w:rPr>
              <w:t>rklæret at være et barn, skal myndighederne lade tvivlen komme den pågældende person til gode. Det betyder, at hvis det er muligt, at den pågældende er under 6 år gammel, skal myndighederne behandle denne person som sådan.</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2 a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w:t>
            </w:r>
            <w:r w:rsidRPr="00EC013E">
              <w:t xml:space="preserve">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F37A1D">
            <w:pPr>
              <w:pStyle w:val="Normal6"/>
              <w:rPr>
                <w:szCs w:val="24"/>
              </w:rPr>
            </w:pPr>
            <w:r w:rsidRPr="00EC013E">
              <w:rPr>
                <w:b/>
                <w:i/>
              </w:rPr>
              <w:t>2 c.</w:t>
            </w:r>
            <w:r w:rsidRPr="00EC013E">
              <w:tab/>
            </w:r>
            <w:r w:rsidRPr="00EC013E">
              <w:rPr>
                <w:b/>
                <w:i/>
              </w:rPr>
              <w:t>Hvis Eurodac-oplysningerne vedrører et barn under 14 år, må disse oplysninger kun anvendes til retshåndhævelsesformål, med undtagelse af formål vedrørende handel med børn, hvis der er yderligere dokumentation for, at disse o</w:t>
            </w:r>
            <w:r w:rsidRPr="00EC013E">
              <w:rPr>
                <w:b/>
                <w:i/>
              </w:rPr>
              <w:t>plysninger er relevante for forebyggelse, afsløring eller efterforskning af terrorhandlinger eller andre alvorlige strafbare handlinger.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w:t>
      </w:r>
      <w:r w:rsidRPr="00EC013E">
        <w:t>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9 – artikel 1 – stk. 2 d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F37A1D">
            <w:pPr>
              <w:pStyle w:val="Normal6"/>
              <w:rPr>
                <w:szCs w:val="24"/>
              </w:rPr>
            </w:pPr>
            <w:r w:rsidRPr="00EC013E">
              <w:rPr>
                <w:b/>
                <w:i/>
              </w:rPr>
              <w:t>2 d.</w:t>
            </w:r>
            <w:r w:rsidRPr="00EC013E">
              <w:tab/>
            </w:r>
            <w:r w:rsidRPr="00EC013E">
              <w:rPr>
                <w:b/>
                <w:i/>
              </w:rPr>
              <w:t xml:space="preserve">Intet barn må ikke tilbageholdes med henblik på at </w:t>
            </w:r>
            <w:r w:rsidRPr="00EC013E">
              <w:rPr>
                <w:b/>
                <w:i/>
              </w:rPr>
              <w:t xml:space="preserve">fastslå eller bekræfte deres identitet eller optage deres </w:t>
            </w:r>
            <w:r w:rsidRPr="00EC013E">
              <w:rPr>
                <w:b/>
                <w:i/>
              </w:rPr>
              <w:lastRenderedPageBreak/>
              <w:t>biometriske oplysninger, uanset deres alder eller om de er uledsagede eller ledsaget af familie; Socialt understøttede, ikkefrihedsberøvende alternativer til tilbageholdelse bør altid finde anvendel</w:t>
            </w:r>
            <w:r w:rsidRPr="00EC013E">
              <w:rPr>
                <w:b/>
                <w:i/>
              </w:rPr>
              <w:t>se, når der er tale om børn og deres familier.</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10 –  litra -a – artikel 3 – stk. 1 – litra a a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4855CD" w:rsidRPr="00EC013E" w:rsidRDefault="004855CD" w:rsidP="007605D8">
            <w:pPr>
              <w:pStyle w:val="Normal6"/>
            </w:pPr>
          </w:p>
        </w:tc>
        <w:tc>
          <w:tcPr>
            <w:tcW w:w="4876" w:type="dxa"/>
          </w:tcPr>
          <w:p w:rsidR="004855CD" w:rsidRPr="00EC013E" w:rsidRDefault="000C264D" w:rsidP="004855CD">
            <w:pPr>
              <w:pStyle w:val="Normal6"/>
              <w:rPr>
                <w:b/>
                <w:i/>
              </w:rPr>
            </w:pPr>
            <w:r w:rsidRPr="00EC013E">
              <w:rPr>
                <w:b/>
                <w:i/>
              </w:rPr>
              <w:t xml:space="preserve">-a) </w:t>
            </w:r>
            <w:r w:rsidRPr="00EC013E">
              <w:rPr>
                <w:b/>
                <w:i/>
              </w:rPr>
              <w:tab/>
              <w:t>I stk. 1 indsættes følgende litra:</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"aa)</w:t>
            </w:r>
            <w:r w:rsidRPr="00EC013E">
              <w:rPr>
                <w:b/>
                <w:i/>
              </w:rPr>
              <w:tab/>
            </w:r>
            <w:r w:rsidRPr="00EC013E">
              <w:rPr>
                <w:b/>
                <w:bCs/>
                <w:i/>
                <w:iCs/>
              </w:rPr>
              <w:t xml:space="preserve">"genbosat tredjelandsstatsborger eller statsløs person": en </w:t>
            </w:r>
            <w:r w:rsidRPr="00EC013E">
              <w:rPr>
                <w:b/>
                <w:bCs/>
                <w:i/>
                <w:iCs/>
              </w:rPr>
              <w:t>tredjelandsstatsborger eller statsløs person, der efter en genbosætningsprocedure i henhold til national ret eller til [forordning (EU) XXX/XXX] [genbosætningsforordningen], ankommer på genbosætningsmedlemsstatens territorium"</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10 – litra b – artikel 3 – stk. 1 – litra p</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p)</w:t>
            </w:r>
            <w:r w:rsidRPr="00EC013E">
              <w:rPr>
                <w:b/>
                <w:i/>
              </w:rPr>
              <w:tab/>
            </w:r>
            <w:r w:rsidRPr="00EC013E">
              <w:t>"CIR": det fælles identitetsregister som oprettet ved artikel 17 i forordning (EU) 2019/818</w:t>
            </w:r>
          </w:p>
        </w:tc>
        <w:tc>
          <w:tcPr>
            <w:tcW w:w="4876" w:type="dxa"/>
            <w:hideMark/>
          </w:tcPr>
          <w:p w:rsidR="007605D8" w:rsidRPr="00EC013E" w:rsidRDefault="000C264D" w:rsidP="007605D8">
            <w:pPr>
              <w:pStyle w:val="Normal6"/>
              <w:rPr>
                <w:szCs w:val="24"/>
              </w:rPr>
            </w:pPr>
            <w:r w:rsidRPr="00EC013E">
              <w:t>p)</w:t>
            </w:r>
            <w:r w:rsidRPr="00EC013E">
              <w:rPr>
                <w:b/>
                <w:i/>
              </w:rPr>
              <w:tab/>
            </w:r>
            <w:r w:rsidRPr="00EC013E">
              <w:t>"CIR": det fælles identitetsregister som oprettet ved artikel 17 i forordning (EU) 2019/818</w:t>
            </w:r>
            <w:r w:rsidRPr="00EC013E">
              <w:rPr>
                <w:b/>
                <w:bCs/>
                <w:i/>
                <w:iCs/>
              </w:rPr>
              <w:t>, der erstatter</w:t>
            </w:r>
            <w:r w:rsidRPr="00EC013E">
              <w:rPr>
                <w:b/>
                <w:bCs/>
                <w:i/>
                <w:iCs/>
              </w:rPr>
              <w:t xml:space="preserve"> det centrale Eurodac-system i det omfang, at det lagrer de personoplysninger, der er anført </w:t>
            </w:r>
            <w:r w:rsidRPr="00EC013E">
              <w:rPr>
                <w:b/>
                <w:bCs/>
                <w:i/>
                <w:iCs/>
              </w:rPr>
              <w:lastRenderedPageBreak/>
              <w:t>i artikel 18 i denne forordning</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 xml:space="preserve"> 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nr. 10 – litra b – artikel 3 – stk. 1 – nr.  r a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F37A1D">
            <w:pPr>
              <w:pStyle w:val="Normal6"/>
              <w:rPr>
                <w:szCs w:val="24"/>
              </w:rPr>
            </w:pPr>
            <w:r w:rsidRPr="00EC013E">
              <w:rPr>
                <w:b/>
                <w:i/>
              </w:rPr>
              <w:t>ra)</w:t>
            </w:r>
            <w:r w:rsidRPr="00EC013E">
              <w:rPr>
                <w:b/>
                <w:i/>
              </w:rPr>
              <w:tab/>
              <w:t xml:space="preserve">"barn": ethvert menneske under 18 år som </w:t>
            </w:r>
            <w:r w:rsidRPr="00EC013E">
              <w:rPr>
                <w:b/>
                <w:i/>
              </w:rPr>
              <w:t>defineret i konventionen om barnets rettigheder.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w:t>
      </w:r>
      <w:r w:rsidRPr="00EC013E">
        <w:rPr>
          <w:rStyle w:val="HideTWBExt"/>
        </w:rPr>
        <w:t>icle&gt;</w:t>
      </w:r>
      <w:r w:rsidRPr="00EC013E">
        <w:t>Dispositiv del – nr. 11 – artikel 4 – stk. 1 – litra c</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(c)</w:t>
            </w:r>
            <w:r w:rsidRPr="00EC013E">
              <w:tab/>
              <w:t>det fælles identitetsregister (CIR) som omhandlet i artikel 17, stk. 2, i forordning 2019/818</w:t>
            </w:r>
          </w:p>
        </w:tc>
        <w:tc>
          <w:tcPr>
            <w:tcW w:w="4876" w:type="dxa"/>
            <w:hideMark/>
          </w:tcPr>
          <w:p w:rsidR="007605D8" w:rsidRPr="00EC013E" w:rsidRDefault="000C264D" w:rsidP="00F37A1D">
            <w:pPr>
              <w:pStyle w:val="Normal6"/>
            </w:pPr>
            <w:r w:rsidRPr="00EC013E">
              <w:t>c)</w:t>
            </w:r>
            <w:r w:rsidRPr="00EC013E">
              <w:tab/>
              <w:t xml:space="preserve">det fælles identitetsregister (CIR) som </w:t>
            </w:r>
            <w:r w:rsidRPr="00EC013E">
              <w:t>omhandlet i artikel 17, stk. 2, i forordning 2019/818</w:t>
            </w:r>
            <w:r w:rsidRPr="00EC013E">
              <w:rPr>
                <w:b/>
                <w:bCs/>
                <w:i/>
                <w:iCs/>
              </w:rPr>
              <w:t>, der erstatter det centrale Eurodac-system i det omfang, at det lagrer de personoplysninger, der er anført i artikel 18 i denne forordning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11 – artikel 4 – stk. 2</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t xml:space="preserve">CIR indeholder de </w:t>
            </w:r>
            <w:r w:rsidRPr="00EC013E">
              <w:rPr>
                <w:b/>
                <w:bCs/>
                <w:i/>
                <w:iCs/>
              </w:rPr>
              <w:t>oplysninger</w:t>
            </w:r>
            <w:r w:rsidRPr="00EC013E">
              <w:t>, der er omhandlet i artikel 12, litra a)-f), h) og i), artikel 13, stk. 2, litra a)-f), h) og i), artikel 14, stk. 2, litra a)-f), h) og i), og artikel 14a, litra a)-f), h) og i). De resterende Eurodacoplys</w:t>
            </w:r>
            <w:r w:rsidRPr="00EC013E">
              <w:t>ninger lagres i det centrale system.</w:t>
            </w:r>
          </w:p>
        </w:tc>
        <w:tc>
          <w:tcPr>
            <w:tcW w:w="4876" w:type="dxa"/>
            <w:hideMark/>
          </w:tcPr>
          <w:p w:rsidR="007605D8" w:rsidRPr="00EC013E" w:rsidRDefault="000C264D" w:rsidP="007605D8">
            <w:pPr>
              <w:pStyle w:val="Normal6"/>
              <w:rPr>
                <w:szCs w:val="24"/>
              </w:rPr>
            </w:pPr>
            <w:r w:rsidRPr="00EC013E">
              <w:t>2.</w:t>
            </w:r>
            <w:r w:rsidRPr="00EC013E">
              <w:tab/>
              <w:t xml:space="preserve">CIR indeholder de </w:t>
            </w:r>
            <w:r w:rsidRPr="00EC013E">
              <w:rPr>
                <w:b/>
                <w:bCs/>
                <w:i/>
                <w:iCs/>
              </w:rPr>
              <w:t>personoplysninger</w:t>
            </w:r>
            <w:r w:rsidRPr="00EC013E">
              <w:t xml:space="preserve">, der er omhandlet i artikel 12, litra a)-f), h) og i), artikel 13, stk. 2, litra a)-f), h) og i), artikel 14, stk. 2, litra a)-f), h) og i), og artikel 14a, litra a)-f), h) og i). </w:t>
            </w:r>
            <w:r w:rsidRPr="00EC013E">
              <w:t>De resterende Eurodacoplysninger lagres i det centrale system.</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29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11 – artikel 4 – stk. 5</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5.</w:t>
            </w:r>
            <w:r w:rsidRPr="00EC013E">
              <w:tab/>
              <w:t xml:space="preserve">Det centrale systems behandling af oplysninger om personer, der er omfattet af artikel 10, stk. 1, artikel 13, stk. 1, artikel 14, stk. </w:t>
            </w:r>
            <w:r w:rsidRPr="00EC013E">
              <w:t>1, og artikel 14a, stk. 1, sker på oprindelsesmedlemsstatens vegne og på de betingelser, der er fastsat i denne forordning, og adskilles ved brug af hensigtsmæssige tekniske midler.</w:t>
            </w:r>
          </w:p>
        </w:tc>
        <w:tc>
          <w:tcPr>
            <w:tcW w:w="4876" w:type="dxa"/>
            <w:hideMark/>
          </w:tcPr>
          <w:p w:rsidR="007605D8" w:rsidRPr="00EC013E" w:rsidRDefault="000C264D" w:rsidP="007605D8">
            <w:pPr>
              <w:pStyle w:val="Normal6"/>
            </w:pPr>
            <w:r w:rsidRPr="00EC013E">
              <w:t>5.</w:t>
            </w:r>
            <w:r w:rsidRPr="00EC013E">
              <w:tab/>
              <w:t>Det centrale systems behandling af oplysninger om personer, der er omfa</w:t>
            </w:r>
            <w:r w:rsidRPr="00EC013E">
              <w:t xml:space="preserve">ttet af artikel 10, stk. 1, artikel 13, stk. 1, artikel 14, stk. 1, og artikel 14a, stk. 1, sker på oprindelsesmedlemsstatens vegne og på de betingelser, der er fastsat i denne forordning, </w:t>
            </w:r>
            <w:r w:rsidRPr="00EC013E">
              <w:rPr>
                <w:b/>
                <w:bCs/>
                <w:i/>
                <w:iCs/>
              </w:rPr>
              <w:t>i overensstemmelse med forordning (EU) 2016/679, forordning (EU) 20</w:t>
            </w:r>
            <w:r w:rsidRPr="00EC013E">
              <w:rPr>
                <w:b/>
                <w:bCs/>
                <w:i/>
                <w:iCs/>
              </w:rPr>
              <w:t xml:space="preserve">18/1725 eller direktiv (EU) 2016/680, hvis relevant, </w:t>
            </w:r>
            <w:r w:rsidRPr="00EC013E">
              <w:t xml:space="preserve">og </w:t>
            </w:r>
            <w:r w:rsidRPr="00EC013E">
              <w:rPr>
                <w:b/>
                <w:bCs/>
                <w:i/>
                <w:iCs/>
              </w:rPr>
              <w:t>skal</w:t>
            </w:r>
            <w:r w:rsidRPr="00EC013E">
              <w:t xml:space="preserve"> adskilles ved brug af hensigtsmæssige tekniske midler.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11 – artikel 4 – stk. 6</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6.</w:t>
            </w:r>
            <w:r w:rsidRPr="00EC013E">
              <w:tab/>
              <w:t xml:space="preserve">Alle datasæt, der er registreret i </w:t>
            </w:r>
            <w:r w:rsidRPr="00EC013E">
              <w:lastRenderedPageBreak/>
              <w:t xml:space="preserve">Eurodac, og som vedrører den samme </w:t>
            </w:r>
            <w:r w:rsidRPr="00EC013E">
              <w:t xml:space="preserve">tredjelandsstatsborger eller statsløse person, kædes sammen i en sekvens. </w:t>
            </w:r>
            <w:r w:rsidRPr="00EC013E">
              <w:rPr>
                <w:b/>
                <w:bCs/>
                <w:i/>
                <w:iCs/>
              </w:rPr>
              <w:t>Hvis der foretages en søgning med fingeraftryk i datasættet for en tredjelandsstatsborger eller en statsløs person</w:t>
            </w:r>
            <w:r w:rsidRPr="00EC013E">
              <w:t xml:space="preserve">, og der opnås et hit på mindst ét andet sæt af </w:t>
            </w:r>
            <w:r w:rsidRPr="00EC013E">
              <w:rPr>
                <w:b/>
                <w:bCs/>
                <w:i/>
                <w:iCs/>
              </w:rPr>
              <w:t>fingeraftryk</w:t>
            </w:r>
            <w:r w:rsidRPr="00EC013E">
              <w:t xml:space="preserve"> i et an</w:t>
            </w:r>
            <w:r w:rsidRPr="00EC013E">
              <w:t xml:space="preserve">det datasæt vedrørende den pågældende tredjelandsstatsborger eller statsløse person, kæder Eurodac automatisk disse datasæt sammen på grundlag af sammenligningen </w:t>
            </w:r>
            <w:r w:rsidRPr="00EC013E">
              <w:rPr>
                <w:b/>
                <w:bCs/>
                <w:i/>
                <w:iCs/>
              </w:rPr>
              <w:t>af</w:t>
            </w:r>
            <w:r w:rsidRPr="00EC013E">
              <w:t xml:space="preserve"> </w:t>
            </w:r>
            <w:r w:rsidRPr="00EC013E">
              <w:rPr>
                <w:b/>
                <w:bCs/>
                <w:i/>
                <w:iCs/>
              </w:rPr>
              <w:t>fingeraftryk</w:t>
            </w:r>
            <w:r w:rsidRPr="00EC013E">
              <w:t xml:space="preserve">. </w:t>
            </w:r>
            <w:r w:rsidRPr="00EC013E">
              <w:rPr>
                <w:b/>
                <w:i/>
              </w:rPr>
              <w:t>Hvis det er nødvendigt, kontrolleres og bekræftes sammenligningen af et finge</w:t>
            </w:r>
            <w:r w:rsidRPr="00EC013E">
              <w:rPr>
                <w:b/>
                <w:i/>
              </w:rPr>
              <w:t xml:space="preserve">raftryk af en fingeraftryksekspert i overensstemmelse med artikel 26. </w:t>
            </w:r>
            <w:r w:rsidRPr="00EC013E">
              <w:t>Hvis modtagermedlemsstaten bekræfter hittet, sender den en meddelelse til eu-LISA, som bekræfter sammenkædningen.</w:t>
            </w:r>
          </w:p>
        </w:tc>
        <w:tc>
          <w:tcPr>
            <w:tcW w:w="4876" w:type="dxa"/>
            <w:hideMark/>
          </w:tcPr>
          <w:p w:rsidR="007605D8" w:rsidRPr="00EC013E" w:rsidRDefault="000C264D" w:rsidP="00F37A1D">
            <w:pPr>
              <w:pStyle w:val="Normal6"/>
              <w:rPr>
                <w:szCs w:val="24"/>
              </w:rPr>
            </w:pPr>
            <w:r w:rsidRPr="00EC013E">
              <w:lastRenderedPageBreak/>
              <w:t>6.</w:t>
            </w:r>
            <w:r w:rsidRPr="00EC013E">
              <w:tab/>
              <w:t xml:space="preserve">Alle datasæt, der er registreret i </w:t>
            </w:r>
            <w:r w:rsidRPr="00EC013E">
              <w:lastRenderedPageBreak/>
              <w:t>Eurodac, og som vedrører den samme</w:t>
            </w:r>
            <w:r w:rsidRPr="00EC013E">
              <w:t xml:space="preserve"> tredjelandsstatsborger eller statsløse person, kædes sammen i en sekvens. </w:t>
            </w:r>
            <w:r w:rsidRPr="00EC013E">
              <w:rPr>
                <w:b/>
                <w:bCs/>
                <w:i/>
                <w:iCs/>
              </w:rPr>
              <w:t>Hvis der foretages en automatisk sammenligning i overensstemmelse med artikel 15 og 16</w:t>
            </w:r>
            <w:r w:rsidRPr="00EC013E">
              <w:t xml:space="preserve">, og der opnås et hit på mindst ét andet sæt af </w:t>
            </w:r>
            <w:r w:rsidRPr="00EC013E">
              <w:rPr>
                <w:b/>
                <w:bCs/>
                <w:i/>
                <w:iCs/>
              </w:rPr>
              <w:t>fingeraftryks- og ansigtsbilleddata eller ansig</w:t>
            </w:r>
            <w:r w:rsidRPr="00EC013E">
              <w:rPr>
                <w:b/>
                <w:bCs/>
                <w:i/>
                <w:iCs/>
              </w:rPr>
              <w:t>tsbilleddata alene,</w:t>
            </w:r>
            <w:r w:rsidRPr="00EC013E">
              <w:t xml:space="preserve"> i et andet datasæt vedrørende den pågældende tredjelandsstatsborger eller statsløse person, kæder Eurodac automatisk disse datasæt sammen på grundlag af sammenligningen. </w:t>
            </w:r>
            <w:r w:rsidRPr="00EC013E">
              <w:rPr>
                <w:b/>
                <w:i/>
              </w:rPr>
              <w:t>Medlemsstaternes udpegede myndigheder og Den Europæiske Unions aut</w:t>
            </w:r>
            <w:r w:rsidRPr="00EC013E">
              <w:rPr>
                <w:b/>
                <w:i/>
              </w:rPr>
              <w:t xml:space="preserve">oriserede agenturers adgang skal imidlertid for begges vedkommende være underlagt strenge betingelser for effektivt at sikre beskyttelse af retten til privatlivets fred og databeskyttelse. En sådan adgang skal derfor være tidsbegrænset og begrænset til de </w:t>
            </w:r>
            <w:r w:rsidRPr="00EC013E">
              <w:rPr>
                <w:b/>
                <w:i/>
              </w:rPr>
              <w:t xml:space="preserve">oplysninger, der er relevante for den specifikke udførelse af deres opgaver.  </w:t>
            </w:r>
            <w:r w:rsidRPr="00EC013E">
              <w:rPr>
                <w:b/>
                <w:bCs/>
                <w:i/>
                <w:iCs/>
              </w:rPr>
              <w:t>Endvidere skal en sagkyndig i tvivlstilfælde i overensstemmelse med artikel 26, stk. 4 og 5, kontrollere resultatet af en automatisk sammenligning, der foretages i overensstemmel</w:t>
            </w:r>
            <w:r w:rsidRPr="00EC013E">
              <w:rPr>
                <w:b/>
                <w:bCs/>
                <w:i/>
                <w:iCs/>
              </w:rPr>
              <w:t>se med artikel 15 og 16.</w:t>
            </w:r>
            <w:r w:rsidRPr="00EC013E">
              <w:rPr>
                <w:b/>
                <w:i/>
              </w:rPr>
              <w:t xml:space="preserve"> Hvis et datasæt, der er registreret i Eurodac, slettes, skal eventuelle link til dette datasæt også slettes automatisk.</w:t>
            </w:r>
            <w:r w:rsidRPr="00EC013E">
              <w:t xml:space="preserve"> Hvis modtagermedlemsstaten bekræfter hittet, sender den en meddelelse til eu-LISA, som bekræfter sammenkædninge</w:t>
            </w:r>
            <w:r w:rsidRPr="00EC013E">
              <w:t>n.</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11 – artikel 4 – stk</w:t>
      </w:r>
      <w:r w:rsidRPr="00EC013E">
        <w:t>. 7</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De regler, der gælder for Eurodac, </w:t>
            </w:r>
            <w:r w:rsidRPr="00EC013E">
              <w:lastRenderedPageBreak/>
              <w:t xml:space="preserve">finder ligeledes anvendelse på de operationer, som medlemsstaterne foretager fra videregivelsen af oplysninger til det centrale system, indtil der gøres brug af </w:t>
            </w:r>
            <w:r w:rsidRPr="00EC013E">
              <w:t>resultaterne af sammenligningen."</w:t>
            </w:r>
          </w:p>
        </w:tc>
        <w:tc>
          <w:tcPr>
            <w:tcW w:w="4876" w:type="dxa"/>
            <w:hideMark/>
          </w:tcPr>
          <w:p w:rsidR="007605D8" w:rsidRPr="00EC013E" w:rsidRDefault="000C264D" w:rsidP="007605D8">
            <w:pPr>
              <w:pStyle w:val="Normal6"/>
            </w:pPr>
            <w:r w:rsidRPr="00EC013E">
              <w:lastRenderedPageBreak/>
              <w:t>1.</w:t>
            </w:r>
            <w:r w:rsidRPr="00EC013E">
              <w:tab/>
              <w:t xml:space="preserve">De regler, der gælder for Eurodac, </w:t>
            </w:r>
            <w:r w:rsidRPr="00EC013E">
              <w:lastRenderedPageBreak/>
              <w:t xml:space="preserve">finder ligeledes anvendelse på de operationer, som medlemsstaterne foretager fra videregivelsen af oplysninger til det centrale system </w:t>
            </w:r>
            <w:r w:rsidRPr="00EC013E">
              <w:rPr>
                <w:b/>
                <w:bCs/>
                <w:i/>
                <w:iCs/>
              </w:rPr>
              <w:t>eller CIR</w:t>
            </w:r>
            <w:r w:rsidRPr="00EC013E">
              <w:t xml:space="preserve">, indtil der gøres brug af resultaterne </w:t>
            </w:r>
            <w:r w:rsidRPr="00EC013E">
              <w:t>af sammenligningen."</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nr. </w:t>
      </w:r>
      <w:r w:rsidRPr="00EC013E">
        <w:t>11 a (nyt) – artikel 5 – stk.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11a)</w:t>
            </w:r>
            <w:r w:rsidRPr="00EC013E">
              <w:rPr>
                <w:b/>
                <w:i/>
              </w:rPr>
              <w:tab/>
              <w:t xml:space="preserve"> Artikel 5, stk. 1, affattes således:</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851DB0">
            <w:pPr>
              <w:pStyle w:val="Normal6"/>
              <w:rPr>
                <w:szCs w:val="24"/>
              </w:rPr>
            </w:pPr>
            <w:r w:rsidRPr="00EC013E">
              <w:rPr>
                <w:b/>
                <w:i/>
              </w:rPr>
              <w:t>"1.</w:t>
            </w:r>
            <w:r w:rsidRPr="00EC013E">
              <w:rPr>
                <w:b/>
                <w:i/>
              </w:rPr>
              <w:tab/>
              <w:t xml:space="preserve">Der skal, inden Eurodac-systemet tages i brug, foretages en grundig ajourføring af sikkerhedsrammerne for Eurodacs </w:t>
            </w:r>
            <w:r w:rsidRPr="00EC013E">
              <w:rPr>
                <w:b/>
                <w:i/>
              </w:rPr>
              <w:t>arbejdsstrukturer og tekniske strukturer i overensstemmelse med artikel 33 i Europa-Parlamentets og Rådets direktiv 2018/1725</w:t>
            </w:r>
            <w:r w:rsidRPr="00EC013E">
              <w:rPr>
                <w:b/>
                <w:i/>
                <w:vertAlign w:val="superscript"/>
              </w:rPr>
              <w:t>1a</w:t>
            </w:r>
            <w:r w:rsidRPr="00EC013E">
              <w:rPr>
                <w:b/>
                <w:i/>
              </w:rPr>
              <w:t>, og eu-LISA skal være ansvarlig for driften af Eurodac.</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__________________</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851DB0">
            <w:pPr>
              <w:pStyle w:val="Normal6"/>
              <w:rPr>
                <w:b/>
                <w:i/>
                <w:szCs w:val="24"/>
              </w:rPr>
            </w:pPr>
            <w:r w:rsidRPr="00EC013E">
              <w:rPr>
                <w:b/>
                <w:i/>
                <w:iCs/>
                <w:vertAlign w:val="superscript"/>
              </w:rPr>
              <w:t>1a</w:t>
            </w:r>
            <w:r w:rsidRPr="00EC013E">
              <w:rPr>
                <w:b/>
                <w:i/>
                <w:iCs/>
              </w:rPr>
              <w:t xml:space="preserve"> Europa-Parlamentets og Rådets forordning (EU) </w:t>
            </w:r>
            <w:r w:rsidRPr="00EC013E">
              <w:rPr>
                <w:b/>
                <w:i/>
                <w:iCs/>
              </w:rPr>
              <w:t>2018/1725 af 23. oktober 2018 om beskyttelse af fysiske personer i forbindelse med behandling af personoplysninger i Unionens institutioner, organer, kontorer og agenturer og om fri udveksling af sådanne oplysninger og om ophævelse af forordning (EF) nr. 4</w:t>
            </w:r>
            <w:r w:rsidRPr="00EC013E">
              <w:rPr>
                <w:b/>
                <w:i/>
                <w:iCs/>
              </w:rPr>
              <w:t>5/2001 og afgørelse nr. 1247/2002/EF (EUT L 295 af 21.11.2018, s. 39)."</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lastRenderedPageBreak/>
        <w:t>&lt;/RepeatBlock-By&gt;</w:t>
      </w:r>
    </w:p>
    <w:p w:rsidR="007605D8" w:rsidRPr="00EC013E" w:rsidRDefault="000C264D" w:rsidP="007605D8">
      <w:pPr>
        <w:pStyle w:val="NormalBold"/>
        <w:keepNext/>
      </w:pPr>
      <w:r w:rsidRPr="00EC013E">
        <w:rPr>
          <w:rStyle w:val="HideTWBExt"/>
        </w:rPr>
        <w:t>&lt;DocAmend&gt;</w:t>
      </w:r>
      <w:r w:rsidRPr="00EC013E">
        <w:t xml:space="preserve">Forslag til </w:t>
      </w:r>
      <w:r w:rsidRPr="00EC013E">
        <w:t>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12 – artikel 8 a – stk.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Fra [anvendelsesdatoen for denne forordning] forbindes </w:t>
            </w:r>
            <w:r w:rsidRPr="00EC013E">
              <w:rPr>
                <w:b/>
                <w:bCs/>
                <w:i/>
                <w:iCs/>
              </w:rPr>
              <w:t>det centrale Eurodacsystem</w:t>
            </w:r>
            <w:r w:rsidRPr="00EC013E">
              <w:t xml:space="preserve"> til den europæiske søgeportal, der er omhandlet i artikel 6 i forordning (EU) 2019/818, for at muliggøre den automatiserede behandling, der er omhandlet i artikel 11 i forordning (EU) 2018/1240.</w:t>
            </w:r>
          </w:p>
        </w:tc>
        <w:tc>
          <w:tcPr>
            <w:tcW w:w="4876" w:type="dxa"/>
            <w:hideMark/>
          </w:tcPr>
          <w:p w:rsidR="007605D8" w:rsidRPr="00EC013E" w:rsidRDefault="000C264D" w:rsidP="007605D8">
            <w:pPr>
              <w:pStyle w:val="Normal6"/>
            </w:pPr>
            <w:r w:rsidRPr="00EC013E">
              <w:t>1.</w:t>
            </w:r>
            <w:r w:rsidRPr="00EC013E">
              <w:tab/>
              <w:t xml:space="preserve">Fra [anvendelsesdatoen for denne forordning] forbindes </w:t>
            </w:r>
            <w:r w:rsidRPr="00EC013E">
              <w:rPr>
                <w:b/>
                <w:bCs/>
                <w:i/>
                <w:iCs/>
              </w:rPr>
              <w:t>Eu</w:t>
            </w:r>
            <w:r w:rsidRPr="00EC013E">
              <w:rPr>
                <w:b/>
                <w:bCs/>
                <w:i/>
                <w:iCs/>
              </w:rPr>
              <w:t>rodac-komponenten af CIR</w:t>
            </w:r>
            <w:r w:rsidRPr="00EC013E">
              <w:t xml:space="preserve"> til den europæiske søgeportal, der er omhandlet i artikel 6 i forordning (EU) 2019/818, for at muliggøre den automatiserede behandling, der er omhandlet i artikel 11 i forordning (EU) 2018/1240.</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w:t>
      </w:r>
      <w:r w:rsidRPr="00EC013E">
        <w:rPr>
          <w:rStyle w:val="HideTWBExt"/>
        </w:rPr>
        <w:t>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12 – artikel 8 a – stk. 2</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t xml:space="preserve">Den automatiserede behandling, der er omhandlet i </w:t>
            </w:r>
            <w:r w:rsidRPr="00EC013E">
              <w:rPr>
                <w:b/>
                <w:bCs/>
                <w:i/>
                <w:iCs/>
              </w:rPr>
              <w:t>artikel 11</w:t>
            </w:r>
            <w:r w:rsidRPr="00EC013E">
              <w:t xml:space="preserve"> i forordning (EU) 2018/1240, muliggør den kontrol, der er fastsat bestemmelser om i artikel 20, og den efterfølgende kontrol, der er omhandlet i samme forordnings artikel 22 </w:t>
            </w:r>
            <w:r w:rsidRPr="00EC013E">
              <w:t>og 26.</w:t>
            </w:r>
          </w:p>
        </w:tc>
        <w:tc>
          <w:tcPr>
            <w:tcW w:w="4876" w:type="dxa"/>
            <w:hideMark/>
          </w:tcPr>
          <w:p w:rsidR="007605D8" w:rsidRPr="00EC013E" w:rsidRDefault="000C264D" w:rsidP="007605D8">
            <w:pPr>
              <w:pStyle w:val="Normal6"/>
              <w:rPr>
                <w:szCs w:val="24"/>
              </w:rPr>
            </w:pPr>
            <w:r w:rsidRPr="00EC013E">
              <w:t>2.</w:t>
            </w:r>
            <w:r w:rsidRPr="00EC013E">
              <w:tab/>
              <w:t xml:space="preserve">Den automatiserede behandling, der er omhandlet i </w:t>
            </w:r>
            <w:r w:rsidRPr="00EC013E">
              <w:rPr>
                <w:b/>
                <w:bCs/>
                <w:i/>
                <w:iCs/>
              </w:rPr>
              <w:t>artikel 20</w:t>
            </w:r>
            <w:r w:rsidRPr="00EC013E">
              <w:t xml:space="preserve"> i forordning (EU) 2018/1240, muliggør den kontrol, der er fastsat bestemmelser om i artikel 20, og den efterfølgende kontrol, der er omhandlet i samme forordnings artikel 22 og 26. </w:t>
            </w:r>
          </w:p>
        </w:tc>
      </w:tr>
      <w:tr w:rsidR="00DE4993" w:rsidRPr="00EC013E" w:rsidTr="007605D8">
        <w:trPr>
          <w:jc w:val="center"/>
        </w:trPr>
        <w:tc>
          <w:tcPr>
            <w:tcW w:w="4876" w:type="dxa"/>
            <w:hideMark/>
          </w:tcPr>
          <w:p w:rsidR="007605D8" w:rsidRPr="00EC013E" w:rsidRDefault="000C264D" w:rsidP="007605D8">
            <w:pPr>
              <w:pStyle w:val="Normal6"/>
            </w:pPr>
            <w:r w:rsidRPr="00EC013E">
              <w:t>Me</w:t>
            </w:r>
            <w:r w:rsidRPr="00EC013E">
              <w:t>d henblik på at gennemføre den kontrol, der er omhandlet i artikel 20, stk. 2, litra k), i forordning (EU) 2018/1240, anvender det centrale ETIAS-system den europæiske søgeportal til at sammenligne oplysningerne i ETIAS med de oplysninger i Eurodac, der er</w:t>
            </w:r>
            <w:r w:rsidRPr="00EC013E">
              <w:t xml:space="preserve"> indsamlet i henhold til artikel 12, 13, 14 og 14a i denne forordning, og som vedrører personer, der har forladt eller er blevet udsendt af medlemsstaternes område i overensstemmelse med en afgørelse om tilbagesendelse eller udsendelse, og anvender sammenl</w:t>
            </w:r>
            <w:r w:rsidRPr="00EC013E">
              <w:t>igningstabellen, der findes i bilag II til denne forordning.</w:t>
            </w:r>
          </w:p>
        </w:tc>
        <w:tc>
          <w:tcPr>
            <w:tcW w:w="4876" w:type="dxa"/>
            <w:hideMark/>
          </w:tcPr>
          <w:p w:rsidR="007605D8" w:rsidRPr="00EC013E" w:rsidRDefault="000C264D" w:rsidP="007605D8">
            <w:pPr>
              <w:pStyle w:val="Normal6"/>
              <w:rPr>
                <w:szCs w:val="24"/>
              </w:rPr>
            </w:pPr>
            <w:r w:rsidRPr="00EC013E">
              <w:t xml:space="preserve">Med henblik på at gennemføre den kontrol, der er omhandlet i artikel 20, stk. 2, litra k), i forordning (EU) 2018/1240, anvender det centrale ETIAS-system den europæiske søgeportal til at sammenligne oplysningerne i ETIAS med de oplysninger i Eurodac, der </w:t>
            </w:r>
            <w:r w:rsidRPr="00EC013E">
              <w:t xml:space="preserve">er indsamlet i henhold til artikel 12, 13, 14 og 14a i denne forordning </w:t>
            </w:r>
            <w:r w:rsidRPr="00EC013E">
              <w:rPr>
                <w:b/>
                <w:bCs/>
                <w:i/>
                <w:iCs/>
              </w:rPr>
              <w:t>i et uredigerbart format</w:t>
            </w:r>
            <w:r w:rsidRPr="00EC013E">
              <w:t>, og som vedrører personer, der har forladt eller er blevet udsendt af medlemsstaternes område i overensstemmelse med en afgørelse om tilbagesendelse eller udse</w:t>
            </w:r>
            <w:r w:rsidRPr="00EC013E">
              <w:t>ndelse, og anvender sammenligningstabellen, der findes i bilag II til denne forordning.</w:t>
            </w:r>
          </w:p>
        </w:tc>
      </w:tr>
      <w:tr w:rsidR="00DE4993" w:rsidRPr="00EC013E" w:rsidTr="007605D8">
        <w:trPr>
          <w:jc w:val="center"/>
        </w:trPr>
        <w:tc>
          <w:tcPr>
            <w:tcW w:w="4876" w:type="dxa"/>
            <w:hideMark/>
          </w:tcPr>
          <w:p w:rsidR="007605D8" w:rsidRPr="00EC013E" w:rsidRDefault="000C264D" w:rsidP="007605D8">
            <w:pPr>
              <w:pStyle w:val="Normal6"/>
            </w:pPr>
            <w:r w:rsidRPr="00EC013E">
              <w:lastRenderedPageBreak/>
              <w:t>Kontrollen berører ikke de særlige regler, der er fastsat i artikel 24, stk. 3, i forordning (EU) 2018/1240.</w:t>
            </w:r>
          </w:p>
        </w:tc>
        <w:tc>
          <w:tcPr>
            <w:tcW w:w="4876" w:type="dxa"/>
            <w:hideMark/>
          </w:tcPr>
          <w:p w:rsidR="007605D8" w:rsidRPr="00EC013E" w:rsidRDefault="000C264D" w:rsidP="007605D8">
            <w:pPr>
              <w:pStyle w:val="Normal6"/>
              <w:rPr>
                <w:szCs w:val="24"/>
              </w:rPr>
            </w:pPr>
            <w:r w:rsidRPr="00EC013E">
              <w:t xml:space="preserve">Kontrollen berører ikke de særlige regler, der er fastsat </w:t>
            </w:r>
            <w:r w:rsidRPr="00EC013E">
              <w:t>i artikel 24, stk. 3, i forordning (EU) 2018/1240.</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w:t>
      </w:r>
      <w:r w:rsidRPr="00EC013E">
        <w:rPr>
          <w:rStyle w:val="HideTWBExt"/>
        </w:rPr>
        <w:t>rticle&gt;</w:t>
      </w:r>
      <w:r w:rsidRPr="00EC013E">
        <w:t>Dispositiv del – nr. 12 – artikel 8 b – stk. 2</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r>
            <w:r w:rsidRPr="00EC013E">
              <w:rPr>
                <w:b/>
                <w:bCs/>
                <w:i/>
                <w:iCs/>
              </w:rPr>
              <w:t>Med henblik på artikel 1, stk. 1, litra f),</w:t>
            </w:r>
            <w:r w:rsidRPr="00EC013E">
              <w:t xml:space="preserve"> </w:t>
            </w:r>
            <w:r w:rsidRPr="00EC013E">
              <w:rPr>
                <w:b/>
                <w:bCs/>
                <w:i/>
                <w:iCs/>
              </w:rPr>
              <w:t>har</w:t>
            </w:r>
            <w:r w:rsidRPr="00EC013E">
              <w:t xml:space="preserve"> de nationale ETIAS-enheder adgang til </w:t>
            </w:r>
            <w:r w:rsidRPr="00EC013E">
              <w:rPr>
                <w:b/>
                <w:bCs/>
                <w:i/>
                <w:iCs/>
              </w:rPr>
              <w:t>og kan</w:t>
            </w:r>
            <w:r w:rsidRPr="00EC013E">
              <w:t xml:space="preserve"> søge i Eurodac i et skrivebeskyttet format med henblik på at behandle ansøgninger om rejsetilladelse. Navnlig kan de nationale ETIAS-enheder søge i de oplysninger, der er omhandlet i artikel 12, 13, 14 og 14a.</w:t>
            </w:r>
          </w:p>
        </w:tc>
        <w:tc>
          <w:tcPr>
            <w:tcW w:w="4876" w:type="dxa"/>
            <w:hideMark/>
          </w:tcPr>
          <w:p w:rsidR="007605D8" w:rsidRPr="00EC013E" w:rsidRDefault="000C264D" w:rsidP="007605D8">
            <w:pPr>
              <w:pStyle w:val="Normal6"/>
            </w:pPr>
            <w:r w:rsidRPr="00EC013E">
              <w:t>2.</w:t>
            </w:r>
            <w:r w:rsidRPr="00EC013E">
              <w:tab/>
              <w:t xml:space="preserve">De nationale ETIAS-enheder </w:t>
            </w:r>
            <w:r w:rsidRPr="00EC013E">
              <w:rPr>
                <w:b/>
                <w:bCs/>
                <w:i/>
                <w:iCs/>
              </w:rPr>
              <w:t>har</w:t>
            </w:r>
            <w:r w:rsidRPr="00EC013E">
              <w:t xml:space="preserve"> </w:t>
            </w:r>
            <w:r w:rsidRPr="00EC013E">
              <w:rPr>
                <w:b/>
                <w:bCs/>
                <w:i/>
                <w:iCs/>
              </w:rPr>
              <w:t>midlertidig</w:t>
            </w:r>
            <w:r w:rsidRPr="00EC013E">
              <w:t xml:space="preserve"> adgang til at søge i Eurodac i et skrivebeskyttet format med henblik på at behandle ansøgninger om rejsetilladelse. Navnlig kan de nationale ETIAS-enheder søge i de oplysninger, der er omhandlet i artikel 12, 13, 14 og 14a.</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w:t>
      </w:r>
      <w:r w:rsidRPr="00EC013E">
        <w:rPr>
          <w:rStyle w:val="HideTWBExt"/>
          <w:noProof w:val="0"/>
        </w:rPr>
        <w:t>&gt;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12 – artikel 8 c</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Med henblik på manuelt at kontrollere hit, der er udløst af de automatiske forespørgsler foretaget af visuminformationssystemet i overensstemmelse med artikel [9a og 9c] i forordning (EF) nr. 767/2008, og behandle og træffe afgørelse om vi</w:t>
            </w:r>
            <w:r w:rsidRPr="00EC013E">
              <w:t>sumansøgninger i overensstemmelse med artikel 21 i Europa-Parlamentets og Rådets forordning (EF) nr. 810/2009</w:t>
            </w:r>
            <w:r w:rsidRPr="00EC013E">
              <w:rPr>
                <w:vertAlign w:val="superscript"/>
              </w:rPr>
              <w:t>30</w:t>
            </w:r>
            <w:r w:rsidRPr="00EC013E">
              <w:t xml:space="preserve"> skal de kompetente visummyndigheder have adgang til Eurodac for at søge i oplysninger i et </w:t>
            </w:r>
            <w:r w:rsidRPr="00EC013E">
              <w:lastRenderedPageBreak/>
              <w:t>skrivebeskyttet format.</w:t>
            </w:r>
          </w:p>
        </w:tc>
        <w:tc>
          <w:tcPr>
            <w:tcW w:w="4876" w:type="dxa"/>
            <w:hideMark/>
          </w:tcPr>
          <w:p w:rsidR="007605D8" w:rsidRPr="00EC013E" w:rsidRDefault="000C264D" w:rsidP="007605D8">
            <w:pPr>
              <w:pStyle w:val="Normal6"/>
            </w:pPr>
            <w:r w:rsidRPr="00EC013E">
              <w:lastRenderedPageBreak/>
              <w:t>Med henblik på manuelt at kon</w:t>
            </w:r>
            <w:r w:rsidRPr="00EC013E">
              <w:t xml:space="preserve">trollere hit, der er udløst af de automatiske forespørgsler foretaget af visuminformationssystemet i overensstemmelse med artikel [9a og 9c] i forordning (EF) nr. 767/2008, og behandle og træffe afgørelse om visumansøgninger i overensstemmelse med artikel </w:t>
            </w:r>
            <w:r w:rsidRPr="00EC013E">
              <w:t>21 i Europa-Parlamentets og Rådets forordning (EF) nr. 810/2009</w:t>
            </w:r>
            <w:r w:rsidRPr="00EC013E">
              <w:rPr>
                <w:vertAlign w:val="superscript"/>
              </w:rPr>
              <w:t>30</w:t>
            </w:r>
            <w:r w:rsidRPr="00EC013E">
              <w:t xml:space="preserve"> skal de kompetente visummyndigheder have </w:t>
            </w:r>
            <w:r w:rsidRPr="00EC013E">
              <w:rPr>
                <w:b/>
                <w:bCs/>
                <w:i/>
                <w:iCs/>
              </w:rPr>
              <w:t xml:space="preserve">midlertidig </w:t>
            </w:r>
            <w:r w:rsidRPr="00EC013E">
              <w:t xml:space="preserve">adgang til Eurodac for at søge i </w:t>
            </w:r>
            <w:r w:rsidRPr="00EC013E">
              <w:lastRenderedPageBreak/>
              <w:t>oplysninger i et skrivebeskyttet format.</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pPr>
            <w:r w:rsidRPr="00EC013E">
              <w:rPr>
                <w:b/>
                <w:i/>
              </w:rPr>
              <w:t>______________</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pPr>
            <w:r w:rsidRPr="00EC013E">
              <w:rPr>
                <w:vertAlign w:val="superscript"/>
              </w:rPr>
              <w:t>30</w:t>
            </w:r>
            <w:r w:rsidRPr="00EC013E">
              <w:t xml:space="preserve"> Europa-Parlamentets og Rådets forordning (EF) nr. 810/2009 af 13. juli 2009 om en fællesskabskodeks for visa (visumkodeks) (EUT L 243 af 15.9.2009, s. 1).</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3D39FD" w:rsidRPr="00EC013E" w:rsidRDefault="000C264D" w:rsidP="003D39FD">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12 – artikel 8 c a (ny)</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851DB0">
            <w:pPr>
              <w:pStyle w:val="Normal6"/>
              <w:jc w:val="center"/>
              <w:rPr>
                <w:b/>
                <w:i/>
                <w:szCs w:val="24"/>
              </w:rPr>
            </w:pPr>
            <w:r w:rsidRPr="00EC013E">
              <w:rPr>
                <w:b/>
                <w:i/>
              </w:rPr>
              <w:t>Artikel 8ca</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jc w:val="center"/>
              <w:rPr>
                <w:b/>
                <w:i/>
              </w:rPr>
            </w:pPr>
            <w:r w:rsidRPr="00EC013E">
              <w:rPr>
                <w:b/>
                <w:i/>
              </w:rPr>
              <w:t xml:space="preserve">Adgang til </w:t>
            </w:r>
            <w:r w:rsidRPr="00EC013E">
              <w:rPr>
                <w:b/>
                <w:i/>
              </w:rPr>
              <w:t>Eurodac for den europæiske grænse- og kystvagts stående korps' hold og asylstøttehold</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851DB0">
            <w:pPr>
              <w:pStyle w:val="Normal6"/>
              <w:rPr>
                <w:b/>
                <w:i/>
                <w:szCs w:val="24"/>
              </w:rPr>
            </w:pPr>
            <w:r w:rsidRPr="00EC013E">
              <w:rPr>
                <w:b/>
                <w:i/>
              </w:rPr>
              <w:t>1.</w:t>
            </w:r>
            <w:r w:rsidRPr="00EC013E">
              <w:rPr>
                <w:b/>
                <w:i/>
              </w:rPr>
              <w:tab/>
              <w:t xml:space="preserve">Medlemmer af den europæiske grænse- og kystvagts stående korps, der er indsat via grænseforvaltningshold, migrationsstyringsstøttehold og tilbagesendelseshold og </w:t>
            </w:r>
            <w:r w:rsidRPr="00EC013E">
              <w:rPr>
                <w:b/>
                <w:i/>
              </w:rPr>
              <w:t xml:space="preserve">asylstøttehold i Den Europæiske Unions Asylagentur ("agenturernes hold") kan gives adgang til Eurodac med henblik på at optage og videregive biometriske og alfanumeriske oplysninger i overensstemmelse med denne forordnings artikel 10, stk. 3, artikel 12a, </w:t>
            </w:r>
            <w:r w:rsidRPr="00EC013E">
              <w:rPr>
                <w:b/>
                <w:i/>
              </w:rPr>
              <w:t>stk. 2, artikel 13, stk. 7, og artikel 14a, stk. 7, med henblik på at udføre de opgaver, der er fastsat i artikel 40, stk. 4, og artikel 55, stk. 7, i forordning (EU) 2019/1896 og artikel 16 i forordning (EU) XXX [forordningen om Den Europæiske Unions Asyl</w:t>
            </w:r>
            <w:r w:rsidRPr="00EC013E">
              <w:rPr>
                <w:b/>
                <w:i/>
              </w:rPr>
              <w:t>agentur].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851DB0">
            <w:pPr>
              <w:pStyle w:val="Normal6"/>
              <w:rPr>
                <w:b/>
                <w:i/>
                <w:szCs w:val="24"/>
              </w:rPr>
            </w:pPr>
            <w:r w:rsidRPr="00EC013E">
              <w:rPr>
                <w:b/>
                <w:i/>
              </w:rPr>
              <w:t>2.</w:t>
            </w:r>
            <w:r w:rsidRPr="00EC013E">
              <w:rPr>
                <w:b/>
                <w:i/>
              </w:rPr>
              <w:tab/>
              <w:t xml:space="preserve">Medlemmerne af agenturernes hold behandler kun de oplysninger, der er omhandlet i stk. 1, hvis den medlemsstat, der er vært for den pågældende operation, anmoder herom, og i overensstemmelse </w:t>
            </w:r>
            <w:r w:rsidRPr="00EC013E">
              <w:rPr>
                <w:b/>
                <w:i/>
              </w:rPr>
              <w:lastRenderedPageBreak/>
              <w:t>med den operationelle plan der er aftalt mellem de</w:t>
            </w:r>
            <w:r w:rsidRPr="00EC013E">
              <w:rPr>
                <w:b/>
                <w:i/>
              </w:rPr>
              <w:t>n pågældende medlemsstat og, alt efter situationen, Det Europæiske Agentur for Grænse- og Kystbevogtning eller Den Europæiske Unions Asylagentur.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397221">
            <w:pPr>
              <w:pStyle w:val="Normal6"/>
              <w:rPr>
                <w:b/>
                <w:i/>
                <w:szCs w:val="24"/>
              </w:rPr>
            </w:pPr>
            <w:r w:rsidRPr="00EC013E">
              <w:rPr>
                <w:b/>
                <w:i/>
              </w:rPr>
              <w:t>3.</w:t>
            </w:r>
            <w:r w:rsidRPr="00EC013E">
              <w:rPr>
                <w:b/>
                <w:i/>
              </w:rPr>
              <w:tab/>
              <w:t>Medlemmerne af agenturernes hold handler ved behandlingen af Eurodac-oplysninger på vegne af og efter ins</w:t>
            </w:r>
            <w:r w:rsidRPr="00EC013E">
              <w:rPr>
                <w:b/>
                <w:i/>
              </w:rPr>
              <w:t>truks fra værtsmedlemsstatens kompetente myndigheder som fastsat i den operationelle plan. Forordning (EU) 2018/1725, navnlig de forpligtelser, der er fastsat i nævnte forordning vedrørende registerførere, finder anvendelse. Forordning (EU) 2016/679 finder</w:t>
            </w:r>
            <w:r w:rsidRPr="00EC013E">
              <w:rPr>
                <w:b/>
                <w:i/>
              </w:rPr>
              <w:t xml:space="preserve"> i overensstemmelse med artikel 30, stk. 6, i forordning (EU) 2021/2303 anvendelse på medlemmerne af asylstøtteholdene.</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8 d</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Fra [anvendelsesdatoen for forordning (EU) XXX/XXX om ændring af VIS-forordningen] forbindes Eurodac i henhold til artikel 9 i nævnte forordning til den europæiske søgeportal, der er omhandlet i artikel 6 i forordning (EU) 2019/817, for at muliggøre den au</w:t>
            </w:r>
            <w:r w:rsidRPr="00EC013E">
              <w:t xml:space="preserve">tomatiserede behandling, der er omhandlet i artikel [9a] i forordning (EF) nr. 767/2008, </w:t>
            </w:r>
            <w:r w:rsidRPr="00EC013E">
              <w:rPr>
                <w:b/>
                <w:bCs/>
                <w:i/>
                <w:iCs/>
              </w:rPr>
              <w:t>med henblik på</w:t>
            </w:r>
            <w:r w:rsidRPr="00EC013E">
              <w:t xml:space="preserve"> at søge i Eurodac og sammenligne de relevante oplysninger i visuminformationssystemet med de relevante oplysninger i Eurodac. Kontrollen berører ikke de</w:t>
            </w:r>
            <w:r w:rsidRPr="00EC013E">
              <w:t xml:space="preserve"> særlige regler, der er fastsat i artikel 9, litra b), i forordning (EU) 767/2008."</w:t>
            </w:r>
          </w:p>
        </w:tc>
        <w:tc>
          <w:tcPr>
            <w:tcW w:w="4876" w:type="dxa"/>
            <w:hideMark/>
          </w:tcPr>
          <w:p w:rsidR="007605D8" w:rsidRPr="00EC013E" w:rsidRDefault="000C264D" w:rsidP="007605D8">
            <w:pPr>
              <w:pStyle w:val="Normal6"/>
              <w:rPr>
                <w:szCs w:val="24"/>
              </w:rPr>
            </w:pPr>
            <w:r w:rsidRPr="00EC013E">
              <w:t>Fra [anvendelsesdatoen for forordning (EU) XXX/XXX om ændring af VIS-forordningen] forbindes Eurodac i henhold til artikel 9 i nævnte forordning til den europæiske søgeport</w:t>
            </w:r>
            <w:r w:rsidRPr="00EC013E">
              <w:t>al, der er omhandlet i artikel 6 i forordning (EU) 2019/817, for at muliggøre den automatiserede behandling, der er omhandlet i artikel [9a] i forordning (EF) nr. 767/2008,</w:t>
            </w:r>
            <w:r w:rsidRPr="00EC013E">
              <w:rPr>
                <w:b/>
                <w:bCs/>
                <w:i/>
                <w:iCs/>
              </w:rPr>
              <w:t xml:space="preserve"> og således gøre det muligt</w:t>
            </w:r>
            <w:r w:rsidRPr="00EC013E">
              <w:t xml:space="preserve"> at søge i Eurodac og sammenligne de relevante oplysninge</w:t>
            </w:r>
            <w:r w:rsidRPr="00EC013E">
              <w:t>r i visuminformationssystemet med de relevante oplysninger i Eurodac. Kontrollen berører ikke de særlige regler, der er fastsat i artikel 9, litra b), i forordning (EU) 767/2008."</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39</w:t>
      </w:r>
      <w:r w:rsidRPr="00EC013E">
        <w:rPr>
          <w:rStyle w:val="HideTWBExt"/>
        </w:rPr>
        <w:t>&lt;</w:t>
      </w:r>
      <w:r w:rsidRPr="00EC013E">
        <w:rPr>
          <w:rStyle w:val="HideTWBExt"/>
        </w:rPr>
        <w: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9 – stk. 1 – indledning</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eu-Lisa </w:t>
            </w:r>
            <w:r w:rsidRPr="00EC013E">
              <w:t>udarbejder hver måned en statistik over det centrale systems arbejde med angivelse af navnlig:</w:t>
            </w:r>
          </w:p>
        </w:tc>
        <w:tc>
          <w:tcPr>
            <w:tcW w:w="4876" w:type="dxa"/>
            <w:hideMark/>
          </w:tcPr>
          <w:p w:rsidR="007605D8" w:rsidRPr="00EC013E" w:rsidRDefault="000C264D" w:rsidP="007605D8">
            <w:pPr>
              <w:pStyle w:val="Normal6"/>
              <w:rPr>
                <w:szCs w:val="24"/>
              </w:rPr>
            </w:pPr>
            <w:r w:rsidRPr="00EC013E">
              <w:t>1.</w:t>
            </w:r>
            <w:r w:rsidRPr="00EC013E">
              <w:tab/>
              <w:t xml:space="preserve">eu-Lisa udarbejder hver måned en statistik over det centrale systems </w:t>
            </w:r>
            <w:r w:rsidRPr="00EC013E">
              <w:rPr>
                <w:b/>
                <w:bCs/>
                <w:i/>
                <w:iCs/>
              </w:rPr>
              <w:t>og CIR's</w:t>
            </w:r>
            <w:r w:rsidRPr="00EC013E">
              <w:t xml:space="preserve"> arbejde med angivelse af navnlig: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b</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w:t>
            </w:r>
            <w:r w:rsidRPr="00EC013E">
              <w:t>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b)</w:t>
            </w:r>
            <w:r w:rsidRPr="00EC013E">
              <w:tab/>
              <w:t xml:space="preserve">antallet af afviste ansøgere efter den i artikel 4, stk. 6, omhandlede sammenkædningsproces og i henhold til artikel 12, </w:t>
            </w:r>
            <w:r w:rsidRPr="00EC013E">
              <w:rPr>
                <w:b/>
                <w:bCs/>
                <w:i/>
                <w:iCs/>
              </w:rPr>
              <w:t>litra za)</w:t>
            </w:r>
          </w:p>
        </w:tc>
        <w:tc>
          <w:tcPr>
            <w:tcW w:w="4876" w:type="dxa"/>
            <w:hideMark/>
          </w:tcPr>
          <w:p w:rsidR="007605D8" w:rsidRPr="00EC013E" w:rsidRDefault="000C264D" w:rsidP="007605D8">
            <w:pPr>
              <w:pStyle w:val="Normal6"/>
              <w:rPr>
                <w:szCs w:val="24"/>
              </w:rPr>
            </w:pPr>
            <w:r w:rsidRPr="00EC013E">
              <w:t>b)</w:t>
            </w:r>
            <w:r w:rsidRPr="00EC013E">
              <w:tab/>
              <w:t xml:space="preserve">antallet af afviste ansøgere efter den i artikel 4, stk. 6, omhandlede sammenkædningsproces og i </w:t>
            </w:r>
            <w:r w:rsidRPr="00EC013E">
              <w:t>henhold til artikel 12,</w:t>
            </w:r>
            <w:r w:rsidRPr="00EC013E">
              <w:rPr>
                <w:b/>
                <w:bCs/>
                <w:i/>
                <w:iCs/>
              </w:rPr>
              <w:t xml:space="preserve"> litra x)</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w:t>
      </w:r>
      <w:r w:rsidRPr="00EC013E">
        <w:t>del – nr. 13 – artikel 9 – stk. 1 – litra c</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0C264D" w:rsidP="007605D8">
            <w:pPr>
              <w:pStyle w:val="Normal6"/>
            </w:pPr>
            <w:r w:rsidRPr="00EC013E">
              <w:t>c)</w:t>
            </w:r>
            <w:r w:rsidRPr="00EC013E">
              <w:tab/>
              <w:t>antallet af videregivne datasæt vedrørende personer, der er omhandlet i artikel 10, stk. 1, artikel 13, stk. 1</w:t>
            </w:r>
            <w:r w:rsidRPr="00EC013E">
              <w:rPr>
                <w:b/>
                <w:bCs/>
                <w:i/>
                <w:iCs/>
              </w:rPr>
              <w:t>,</w:t>
            </w:r>
            <w:r w:rsidRPr="00EC013E">
              <w:t xml:space="preserve"> artikel 14, stk. 1 </w:t>
            </w:r>
            <w:r w:rsidRPr="00EC013E">
              <w:rPr>
                <w:b/>
                <w:bCs/>
                <w:i/>
                <w:iCs/>
              </w:rPr>
              <w:t>og artikel 14a, stk. 1</w:t>
            </w:r>
          </w:p>
          <w:p w:rsidR="007605D8" w:rsidRPr="00EC013E" w:rsidRDefault="007605D8" w:rsidP="007605D8">
            <w:pPr>
              <w:pStyle w:val="Normal6"/>
            </w:pPr>
          </w:p>
        </w:tc>
        <w:tc>
          <w:tcPr>
            <w:tcW w:w="4876" w:type="dxa"/>
            <w:hideMark/>
          </w:tcPr>
          <w:p w:rsidR="007605D8" w:rsidRPr="00EC013E" w:rsidRDefault="000C264D" w:rsidP="00DA1A8E">
            <w:pPr>
              <w:pStyle w:val="Normal6"/>
            </w:pPr>
            <w:r w:rsidRPr="00EC013E">
              <w:lastRenderedPageBreak/>
              <w:t>c)</w:t>
            </w:r>
            <w:r w:rsidRPr="00EC013E">
              <w:tab/>
            </w:r>
            <w:r w:rsidRPr="00EC013E">
              <w:t xml:space="preserve">antallet af videregivne datasæt vedrørende personer, der er omhandlet i artikel 10, stk. 1, artikel 13, stk. 1, </w:t>
            </w:r>
            <w:r w:rsidRPr="00EC013E">
              <w:rPr>
                <w:b/>
                <w:bCs/>
                <w:i/>
                <w:iCs/>
              </w:rPr>
              <w:t xml:space="preserve">for så vidt som disse personer ikke er omfattet af </w:t>
            </w:r>
            <w:r w:rsidRPr="00EC013E">
              <w:rPr>
                <w:b/>
                <w:bCs/>
                <w:i/>
                <w:iCs/>
              </w:rPr>
              <w:lastRenderedPageBreak/>
              <w:t>de datasæt, der er angivet i artikel 10, stk. 1,</w:t>
            </w:r>
            <w:r w:rsidRPr="00EC013E">
              <w:t xml:space="preserve"> </w:t>
            </w:r>
            <w:r w:rsidRPr="00EC013E">
              <w:rPr>
                <w:b/>
                <w:bCs/>
                <w:i/>
                <w:iCs/>
              </w:rPr>
              <w:t>og</w:t>
            </w:r>
            <w:r w:rsidRPr="00EC013E">
              <w:t xml:space="preserve"> artikel 14, stk. 1</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w:t>
      </w:r>
      <w:r w:rsidRPr="00EC013E">
        <w:rPr>
          <w:rStyle w:val="HideTWBExt"/>
          <w:noProof w:val="0"/>
        </w:rPr>
        <w: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9 – stk. 1 – litra d iv</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rPr>
                <w:b/>
                <w:i/>
              </w:rPr>
            </w:pPr>
            <w:r w:rsidRPr="00EC013E">
              <w:rPr>
                <w:b/>
                <w:i/>
              </w:rPr>
              <w:t>iv)</w:t>
            </w:r>
            <w:r w:rsidRPr="00EC013E">
              <w:rPr>
                <w:b/>
                <w:i/>
              </w:rPr>
              <w:tab/>
              <w:t>som er blevet ilandsat efter en eftersøgnings- og redningsoperation</w:t>
            </w:r>
          </w:p>
        </w:tc>
        <w:tc>
          <w:tcPr>
            <w:tcW w:w="4876" w:type="dxa"/>
            <w:hideMark/>
          </w:tcPr>
          <w:p w:rsidR="007605D8" w:rsidRPr="00EC013E" w:rsidRDefault="000C264D" w:rsidP="007605D8">
            <w:pPr>
              <w:pStyle w:val="Normal6"/>
              <w:rPr>
                <w:b/>
                <w:i/>
              </w:rPr>
            </w:pPr>
            <w:r w:rsidRPr="00EC013E">
              <w:rPr>
                <w:b/>
                <w:i/>
              </w:rPr>
              <w:t>udgår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 xml:space="preserve">Jorge Buxadé </w:t>
      </w:r>
      <w:r w:rsidRPr="00EC013E">
        <w:t>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d iv a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a)</w:t>
            </w:r>
            <w:r w:rsidRPr="00EC013E">
              <w:rPr>
                <w:b/>
                <w:i/>
              </w:rPr>
              <w:tab/>
              <w:t>der er indrømmet international beskyttelse</w:t>
            </w:r>
            <w:r w:rsidRPr="00EC013E">
              <w:rPr>
                <w:b/>
                <w:i/>
              </w:rPr>
              <w:t xml:space="preserve"> i en medlemsstat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 xml:space="preserve">Dispositiv del – nr. 13 – </w:t>
      </w:r>
      <w:r w:rsidRPr="00EC013E">
        <w:t>artikel 9 – stk. 1 – litra d iv b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b)</w:t>
            </w:r>
            <w:r w:rsidRPr="00EC013E">
              <w:rPr>
                <w:b/>
                <w:i/>
              </w:rPr>
              <w:tab/>
              <w:t xml:space="preserve">der var mindreårige på tidspunktet for registreringen af datasættet i Eurodac </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lastRenderedPageBreak/>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del – nr. 13 – artikel 9 – stk. 1 – litra e iv </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rPr>
                <w:b/>
                <w:i/>
              </w:rPr>
            </w:pPr>
            <w:r w:rsidRPr="00EC013E">
              <w:rPr>
                <w:b/>
                <w:i/>
              </w:rPr>
              <w:t>iv a)</w:t>
            </w:r>
            <w:r w:rsidRPr="00EC013E">
              <w:rPr>
                <w:b/>
                <w:i/>
              </w:rPr>
              <w:tab/>
              <w:t>som</w:t>
            </w:r>
            <w:r w:rsidRPr="00EC013E">
              <w:rPr>
                <w:b/>
                <w:i/>
              </w:rPr>
              <w:t xml:space="preserve"> er blevet ilandsat efter en eftersøgnings- og redningsoperation</w:t>
            </w:r>
          </w:p>
        </w:tc>
        <w:tc>
          <w:tcPr>
            <w:tcW w:w="4876" w:type="dxa"/>
            <w:hideMark/>
          </w:tcPr>
          <w:p w:rsidR="007605D8" w:rsidRPr="00EC013E" w:rsidRDefault="000C264D" w:rsidP="007605D8">
            <w:pPr>
              <w:pStyle w:val="Normal6"/>
              <w:rPr>
                <w:b/>
                <w:i/>
              </w:rPr>
            </w:pPr>
            <w:r w:rsidRPr="00EC013E">
              <w:rPr>
                <w:b/>
                <w:i/>
              </w:rPr>
              <w:t>udgår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 xml:space="preserve">Forslag til </w:t>
      </w:r>
      <w:r w:rsidRPr="00EC013E">
        <w:t>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e iv a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a)</w:t>
            </w:r>
            <w:r w:rsidRPr="00EC013E">
              <w:rPr>
                <w:b/>
                <w:i/>
              </w:rPr>
              <w:tab/>
              <w:t>der er indrømmet international beskyttelse i en medlemsstat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e iv b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b)</w:t>
            </w:r>
            <w:r w:rsidRPr="00EC013E">
              <w:rPr>
                <w:b/>
                <w:i/>
              </w:rPr>
              <w:tab/>
              <w:t xml:space="preserve">der var mindreårige på tidspunktet for registreringen af datasættet i Eurodac </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lastRenderedPageBreak/>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9 – stk. 1 – litra f iv</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rPr>
                <w:b/>
                <w:i/>
              </w:rPr>
              <w:t>iv)</w:t>
            </w:r>
            <w:r w:rsidRPr="00EC013E">
              <w:rPr>
                <w:b/>
                <w:i/>
              </w:rPr>
              <w:tab/>
              <w:t xml:space="preserve">som er blevet ilandsat efter en eftersøgnings- og </w:t>
            </w:r>
            <w:r w:rsidRPr="00EC013E">
              <w:rPr>
                <w:b/>
                <w:i/>
              </w:rPr>
              <w:t>redningsoperation</w:t>
            </w:r>
          </w:p>
        </w:tc>
        <w:tc>
          <w:tcPr>
            <w:tcW w:w="4876" w:type="dxa"/>
            <w:hideMark/>
          </w:tcPr>
          <w:p w:rsidR="007605D8" w:rsidRPr="00EC013E" w:rsidRDefault="000C264D" w:rsidP="007605D8">
            <w:pPr>
              <w:pStyle w:val="Normal6"/>
              <w:rPr>
                <w:b/>
                <w:i/>
              </w:rPr>
            </w:pPr>
            <w:r w:rsidRPr="00EC013E">
              <w:rPr>
                <w:b/>
                <w:i/>
              </w:rPr>
              <w:t>udgår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49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w:t>
      </w:r>
      <w:r w:rsidRPr="00EC013E">
        <w:t xml:space="preserve"> 13 – artikel 9 – stk. 1 – litra f iv a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a)</w:t>
            </w:r>
            <w:r w:rsidRPr="00EC013E">
              <w:rPr>
                <w:b/>
                <w:i/>
              </w:rPr>
              <w:tab/>
              <w:t>der er indrømmet international beskyttelse i en medlemsstat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f iv b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b)</w:t>
            </w:r>
            <w:r w:rsidRPr="00EC013E">
              <w:rPr>
                <w:b/>
                <w:i/>
              </w:rPr>
              <w:tab/>
              <w:t xml:space="preserve">der </w:t>
            </w:r>
            <w:r w:rsidRPr="00EC013E">
              <w:rPr>
                <w:b/>
                <w:i/>
              </w:rPr>
              <w:t xml:space="preserve">var mindreårige på tidspunktet for registreringen af datasættet i Eurodac </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tab/>
      </w:r>
      <w:r w:rsidRPr="00EC013E">
        <w:rPr>
          <w:rStyle w:val="HideTWBExt"/>
        </w:rPr>
        <w:t>&lt;NumAm&gt;</w:t>
      </w:r>
      <w:r w:rsidRPr="00EC013E">
        <w:t>51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w:t>
      </w:r>
      <w:r w:rsidRPr="00EC013E">
        <w:t xml:space="preserve">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g iv a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a)</w:t>
            </w:r>
            <w:r w:rsidRPr="00EC013E">
              <w:rPr>
                <w:b/>
                <w:i/>
              </w:rPr>
              <w:tab/>
              <w:t>der er indrømmet international beskyttelse i en medlemsstat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1 – litra g iv b (nyt)</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(iv b)</w:t>
            </w:r>
            <w:r w:rsidRPr="00EC013E">
              <w:rPr>
                <w:b/>
                <w:i/>
              </w:rPr>
              <w:tab/>
              <w:t xml:space="preserve">der var mindreårige på tidspunktet for registreringen af datasættet i Eurodac </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 xml:space="preserve">Jorge Buxadé </w:t>
      </w:r>
      <w:r w:rsidRPr="00EC013E">
        <w:t>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9 – stk. 1 – litra m</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m)</w:t>
            </w:r>
            <w:r w:rsidRPr="00EC013E">
              <w:tab/>
              <w:t xml:space="preserve">antallet af anmodninger, der er fremsat </w:t>
            </w:r>
            <w:r w:rsidRPr="00EC013E">
              <w:rPr>
                <w:b/>
                <w:bCs/>
                <w:i/>
                <w:iCs/>
              </w:rPr>
              <w:t>for de i</w:t>
            </w:r>
            <w:r w:rsidRPr="00EC013E">
              <w:t xml:space="preserve"> artikel </w:t>
            </w:r>
            <w:r w:rsidRPr="00EC013E">
              <w:t xml:space="preserve">31 </w:t>
            </w:r>
            <w:r w:rsidRPr="00EC013E">
              <w:rPr>
                <w:b/>
                <w:bCs/>
                <w:i/>
                <w:iCs/>
              </w:rPr>
              <w:t>omhandlede personer</w:t>
            </w:r>
          </w:p>
        </w:tc>
        <w:tc>
          <w:tcPr>
            <w:tcW w:w="4876" w:type="dxa"/>
            <w:hideMark/>
          </w:tcPr>
          <w:p w:rsidR="007605D8" w:rsidRPr="00EC013E" w:rsidRDefault="000C264D" w:rsidP="007605D8">
            <w:pPr>
              <w:pStyle w:val="Normal6"/>
            </w:pPr>
            <w:r w:rsidRPr="00EC013E">
              <w:t>m)</w:t>
            </w:r>
            <w:r w:rsidRPr="00EC013E">
              <w:tab/>
              <w:t xml:space="preserve">antallet af anmodninger, der er fremsat </w:t>
            </w:r>
            <w:r w:rsidRPr="00EC013E">
              <w:rPr>
                <w:b/>
                <w:bCs/>
                <w:i/>
                <w:iCs/>
              </w:rPr>
              <w:t>i overensstemmelse med</w:t>
            </w:r>
            <w:r w:rsidRPr="00EC013E">
              <w:t xml:space="preserve"> artikel 31</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del – nr. 13 – artikel 9 – stk. 2 </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t xml:space="preserve">De månedlige statistikker over de personer, der er omhandlet i stk. 1, litra a)-n), </w:t>
            </w:r>
            <w:r w:rsidRPr="00EC013E">
              <w:t xml:space="preserve">skal offentliggøres hver måned. Ved udgangen af hvert år offentliggøres de årlige statistikker over de personer, der er omhandlet i stk. 1, litra a)-n), af eu-LISA. De statistiske oplysninger skal anføres pr. medlemsstat. De i stk. 1, litra c), omhandlede </w:t>
            </w:r>
            <w:r w:rsidRPr="00EC013E">
              <w:t>statistiske oplysninger om personer skal, hvis det er muligt, anføres efter fødselsår og køn.</w:t>
            </w:r>
          </w:p>
        </w:tc>
        <w:tc>
          <w:tcPr>
            <w:tcW w:w="4876" w:type="dxa"/>
            <w:hideMark/>
          </w:tcPr>
          <w:p w:rsidR="007605D8" w:rsidRPr="00EC013E" w:rsidRDefault="000C264D" w:rsidP="009C5DC8">
            <w:pPr>
              <w:pStyle w:val="Normal6"/>
            </w:pPr>
            <w:r w:rsidRPr="00EC013E">
              <w:t>2.</w:t>
            </w:r>
            <w:r w:rsidRPr="00EC013E">
              <w:tab/>
              <w:t xml:space="preserve">De månedlige statistikker over de personer, der er omhandlet i stk. 1, litra a)-n), skal offentliggøres hver måned. Ved udgangen af hvert år offentliggøres de </w:t>
            </w:r>
            <w:r w:rsidRPr="00EC013E">
              <w:t>årlige statistikker over de personer, der er omhandlet i stk. 1, litra a)-n), af eu-LISA. De statistiske oplysninger skal anføres pr. medlemsstat. De i stk. 1, litra c), omhandlede statistiske oplysninger om personer skal, hvis det er muligt, anføres efter</w:t>
            </w:r>
            <w:r w:rsidRPr="00EC013E">
              <w:t xml:space="preserve"> fødselsår og køn. </w:t>
            </w:r>
            <w:r w:rsidRPr="00EC013E">
              <w:rPr>
                <w:b/>
                <w:i/>
              </w:rPr>
              <w:t>Alle personoplysninger skal anonymiseres og udarbejdelsen af statistiske data skal være betinget af bestemmelser om eventuel berigtigelse af fejlbehæftede data.</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55</w:t>
      </w:r>
      <w:r w:rsidRPr="00EC013E">
        <w:rPr>
          <w:rStyle w:val="HideTWBExt"/>
        </w:rPr>
        <w:t>&lt;</w:t>
      </w:r>
      <w:r w:rsidRPr="00EC013E">
        <w:rPr>
          <w:rStyle w:val="HideTWBExt"/>
        </w:rPr>
        <w: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3 – afsnit 1</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3.</w:t>
            </w:r>
            <w:r w:rsidRPr="00EC013E">
              <w:tab/>
              <w:t xml:space="preserve">Med </w:t>
            </w:r>
            <w:r w:rsidRPr="00EC013E">
              <w:t>henblik på at støtte det mål, der er omhandlet i artikel 1, litra c), udarbejder eu-LISA månedlige statistikker på tværs af systemerne. Disse statistikker gør det ikke muligt at identificere enkeltpersoner, og de anvender oplysninger fra Eurodac, visuminfo</w:t>
            </w:r>
            <w:r w:rsidRPr="00EC013E">
              <w:t>rmationssystemet, ETIAS og ind- og udrejsesystemet.</w:t>
            </w:r>
          </w:p>
        </w:tc>
        <w:tc>
          <w:tcPr>
            <w:tcW w:w="4876" w:type="dxa"/>
            <w:hideMark/>
          </w:tcPr>
          <w:p w:rsidR="007605D8" w:rsidRPr="00EC013E" w:rsidRDefault="000C264D" w:rsidP="007605D8">
            <w:pPr>
              <w:pStyle w:val="Normal6"/>
              <w:rPr>
                <w:szCs w:val="24"/>
              </w:rPr>
            </w:pPr>
            <w:r w:rsidRPr="00EC013E">
              <w:t>3.</w:t>
            </w:r>
            <w:r w:rsidRPr="00EC013E">
              <w:tab/>
              <w:t xml:space="preserve">Med henblik på at støtte det mål, der er omhandlet i artikel 1, litra c), </w:t>
            </w:r>
            <w:r w:rsidRPr="00EC013E">
              <w:rPr>
                <w:b/>
                <w:bCs/>
                <w:i/>
                <w:iCs/>
              </w:rPr>
              <w:t>og artikel 1, litra h),</w:t>
            </w:r>
            <w:r w:rsidRPr="00EC013E">
              <w:t xml:space="preserve"> udarbejder eu-LISA månedlige statistikker på tværs af systemerne. Disse statistikker gør det ikke mulig</w:t>
            </w:r>
            <w:r w:rsidRPr="00EC013E">
              <w:t>t at identificere enkeltpersoner, og de anvender oplysninger fra Eurodac, visuminformationssystemet, ETIAS og ind- og udrejsesystemet.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w:t>
      </w:r>
      <w:r w:rsidRPr="00EC013E">
        <w:t xml:space="preserve">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lastRenderedPageBreak/>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Dispositiv del – nr. 13 – artikel 9 – stk. 3 – afsnit 2</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 xml:space="preserve">Disse statistikker stilles til rådighed for Kommissionen, [Den Europæiske Unions Asylagentur], Det Europæiske Agentur for Grænse- og Kystbevogtning </w:t>
            </w:r>
            <w:r w:rsidRPr="00EC013E">
              <w:rPr>
                <w:b/>
                <w:bCs/>
                <w:i/>
                <w:iCs/>
              </w:rPr>
              <w:t>og medlemsstaterne</w:t>
            </w:r>
            <w:r w:rsidRPr="00EC013E">
              <w:t>. Kommissionen præciserer ved hjælp af gennemførelsesretsakter indholdet af de månedlige s</w:t>
            </w:r>
            <w:r w:rsidRPr="00EC013E">
              <w:t>tatistikker på tværs af systemerne. Disse gennemførelsesretsakter vedtages efter undersøgelsesproceduren, jf. artikel 41a, stk. 2.</w:t>
            </w:r>
          </w:p>
        </w:tc>
        <w:tc>
          <w:tcPr>
            <w:tcW w:w="4876" w:type="dxa"/>
            <w:hideMark/>
          </w:tcPr>
          <w:p w:rsidR="007605D8" w:rsidRPr="00EC013E" w:rsidRDefault="000C264D" w:rsidP="009C5DC8">
            <w:pPr>
              <w:pStyle w:val="Normal6"/>
              <w:rPr>
                <w:szCs w:val="24"/>
              </w:rPr>
            </w:pPr>
            <w:r w:rsidRPr="00EC013E">
              <w:t xml:space="preserve">Disse statistikker stilles til rådighed for Kommissionen, </w:t>
            </w:r>
            <w:r w:rsidRPr="00EC013E">
              <w:rPr>
                <w:b/>
                <w:bCs/>
                <w:i/>
                <w:iCs/>
              </w:rPr>
              <w:t>Europa-Parlamentet, medlemsstaterne og relevante EU-agenturer, navn</w:t>
            </w:r>
            <w:r w:rsidRPr="00EC013E">
              <w:rPr>
                <w:b/>
                <w:bCs/>
                <w:i/>
                <w:iCs/>
              </w:rPr>
              <w:t>lig</w:t>
            </w:r>
            <w:r w:rsidRPr="00EC013E">
              <w:t xml:space="preserve"> [Den Europæiske Unions Asylagentur], Det Europæiske Agentur for Grænse- og Kystbevogtning </w:t>
            </w:r>
            <w:r w:rsidRPr="00EC013E">
              <w:rPr>
                <w:b/>
                <w:bCs/>
                <w:i/>
                <w:iCs/>
              </w:rPr>
              <w:t>og Europol</w:t>
            </w:r>
            <w:r w:rsidRPr="00EC013E">
              <w:t>. Kommissionen præciserer ved hjælp af gennemførelsesretsakter indholdet af de månedlige statistikker på tværs af systemerne. Disse gennemførelsesretsak</w:t>
            </w:r>
            <w:r w:rsidRPr="00EC013E">
              <w:t xml:space="preserve">ter vedtages efter undersøgelsesproceduren, jf. artikel 41a, stk. 2. </w:t>
            </w:r>
            <w:r w:rsidRPr="00EC013E">
              <w:rPr>
                <w:b/>
                <w:i/>
              </w:rPr>
              <w:t>Systemtværgående statistikker må ikke anvendes i forbindelse med enkeltpersoner, må ikke give mulighed for identifikation af enkeltpersoner og må ikke anvendes til at nægte adgang til Uni</w:t>
            </w:r>
            <w:r w:rsidRPr="00EC013E">
              <w:rPr>
                <w:b/>
                <w:i/>
              </w:rPr>
              <w:t>onens område.</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del – nr. 13 – </w:t>
      </w:r>
      <w:r w:rsidRPr="00EC013E">
        <w:t>artikel 9 – stk. 4</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4.</w:t>
            </w:r>
            <w:r w:rsidRPr="00EC013E">
              <w:tab/>
              <w:t>På Kommissionens anmodning forsyner eu-LISA den med statistikker om specifikke aspekter, der er forbundet med gennemførelsen af denne forordning, og med de statistikker, der er omhand</w:t>
            </w:r>
            <w:r w:rsidRPr="00EC013E">
              <w:t>let i stk. 1, og gør dem på anmodning tilgængelig for en medlemsstat og for [Den Europæiske Unions Asylagentur].</w:t>
            </w:r>
          </w:p>
        </w:tc>
        <w:tc>
          <w:tcPr>
            <w:tcW w:w="4876" w:type="dxa"/>
            <w:hideMark/>
          </w:tcPr>
          <w:p w:rsidR="007605D8" w:rsidRPr="00EC013E" w:rsidRDefault="000C264D" w:rsidP="007605D8">
            <w:pPr>
              <w:pStyle w:val="Normal6"/>
              <w:rPr>
                <w:szCs w:val="24"/>
              </w:rPr>
            </w:pPr>
            <w:r w:rsidRPr="00EC013E">
              <w:t>4.</w:t>
            </w:r>
            <w:r w:rsidRPr="00EC013E">
              <w:tab/>
              <w:t>På Kommissionens anmodning forsyner eu-LISA den med statistikker om specifikke aspekter, der er forbundet med gennemførelsen af denne forord</w:t>
            </w:r>
            <w:r w:rsidRPr="00EC013E">
              <w:t>ning, og med de statistikker, der er omhandlet i stk. 1, og gør dem på anmodning tilgængelig for en medlemsstat</w:t>
            </w:r>
            <w:r w:rsidRPr="00EC013E">
              <w:rPr>
                <w:b/>
                <w:bCs/>
                <w:i/>
                <w:iCs/>
              </w:rPr>
              <w:t>, Europa-Parlamentet</w:t>
            </w:r>
            <w:r w:rsidRPr="00EC013E">
              <w:t xml:space="preserve"> og for </w:t>
            </w:r>
            <w:r w:rsidRPr="00EC013E">
              <w:rPr>
                <w:b/>
                <w:bCs/>
                <w:i/>
                <w:iCs/>
              </w:rPr>
              <w:t>de relevante EU-agenturer, navnlig</w:t>
            </w:r>
            <w:r w:rsidRPr="00EC013E">
              <w:t xml:space="preserve"> [Den Europæiske Unions Asylagentur]</w:t>
            </w:r>
            <w:r w:rsidRPr="00EC013E">
              <w:rPr>
                <w:b/>
                <w:bCs/>
                <w:i/>
                <w:iCs/>
              </w:rPr>
              <w:t>, Det Europæiske Agentur for Grænse- og Kystbev</w:t>
            </w:r>
            <w:r w:rsidRPr="00EC013E">
              <w:rPr>
                <w:b/>
                <w:bCs/>
                <w:i/>
                <w:iCs/>
              </w:rPr>
              <w:t>ogtning og Europol</w:t>
            </w:r>
            <w:r w:rsidRPr="00EC013E">
              <w: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lastRenderedPageBreak/>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del – nr. 13 </w:t>
      </w:r>
      <w:r w:rsidRPr="00EC013E">
        <w:t>– artikel 9 – stk. 5</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5.</w:t>
            </w:r>
            <w:r w:rsidRPr="00EC013E">
              <w:tab/>
              <w:t xml:space="preserve">eu-LISA lagrer de oplysninger, der er omhandlet i denne artikels stk. 1-4, og som </w:t>
            </w:r>
            <w:r w:rsidRPr="00EC013E">
              <w:rPr>
                <w:b/>
                <w:bCs/>
                <w:i/>
                <w:iCs/>
              </w:rPr>
              <w:t>ikke gør</w:t>
            </w:r>
            <w:r w:rsidRPr="00EC013E">
              <w:t xml:space="preserve"> det muligt at identificere personer, til forsknings- og analyseformål </w:t>
            </w:r>
            <w:r w:rsidRPr="00EC013E">
              <w:rPr>
                <w:b/>
                <w:bCs/>
                <w:i/>
                <w:iCs/>
              </w:rPr>
              <w:t xml:space="preserve">og giver dermed </w:t>
            </w:r>
            <w:r w:rsidRPr="00EC013E">
              <w:rPr>
                <w:b/>
                <w:bCs/>
                <w:i/>
                <w:iCs/>
              </w:rPr>
              <w:t>myndighederne i stk. 3 mulighed for at indhente rapporter og statistikker i det centrale register for rapportering og statistik som omhandlet i artikel 39 i forordning (EU) 2019/818</w:t>
            </w:r>
            <w:r w:rsidRPr="00EC013E">
              <w:t>.</w:t>
            </w:r>
          </w:p>
        </w:tc>
        <w:tc>
          <w:tcPr>
            <w:tcW w:w="4876" w:type="dxa"/>
            <w:hideMark/>
          </w:tcPr>
          <w:p w:rsidR="007605D8" w:rsidRPr="00EC013E" w:rsidRDefault="000C264D" w:rsidP="007605D8">
            <w:pPr>
              <w:pStyle w:val="Normal6"/>
              <w:rPr>
                <w:szCs w:val="24"/>
              </w:rPr>
            </w:pPr>
            <w:r w:rsidRPr="00EC013E">
              <w:t>5.</w:t>
            </w:r>
            <w:r w:rsidRPr="00EC013E">
              <w:tab/>
              <w:t xml:space="preserve">eu-LISA lagrer de oplysninger, der er omhandlet i denne artikels stk. </w:t>
            </w:r>
            <w:r w:rsidRPr="00EC013E">
              <w:t xml:space="preserve">1-4, </w:t>
            </w:r>
            <w:r w:rsidRPr="00EC013E">
              <w:rPr>
                <w:b/>
                <w:bCs/>
                <w:i/>
                <w:iCs/>
              </w:rPr>
              <w:t>i højst fem år,</w:t>
            </w:r>
            <w:r w:rsidRPr="00EC013E">
              <w:t xml:space="preserve"> og som </w:t>
            </w:r>
            <w:r w:rsidRPr="00EC013E">
              <w:rPr>
                <w:b/>
                <w:bCs/>
                <w:i/>
                <w:iCs/>
              </w:rPr>
              <w:t>under ingen omstændigheder må gøre</w:t>
            </w:r>
            <w:r w:rsidRPr="00EC013E">
              <w:t xml:space="preserve"> det muligt at identificere enkeltpersoner til forsknings- og analyseformål.</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59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w:t>
      </w:r>
      <w:r w:rsidRPr="00EC013E">
        <w:t>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9 – stk. 6</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6.</w:t>
            </w:r>
            <w:r w:rsidRPr="00EC013E">
              <w:tab/>
              <w:t>eu-LISA, Kommissionen</w:t>
            </w:r>
            <w:r w:rsidRPr="00EC013E">
              <w:rPr>
                <w:b/>
                <w:bCs/>
                <w:i/>
                <w:iCs/>
              </w:rPr>
              <w:t>,</w:t>
            </w:r>
            <w:r w:rsidRPr="00EC013E">
              <w:t xml:space="preserve"> </w:t>
            </w:r>
            <w:r w:rsidRPr="00EC013E">
              <w:rPr>
                <w:b/>
                <w:bCs/>
                <w:i/>
                <w:iCs/>
              </w:rPr>
              <w:t>[Den Europæiske Unions Asylagentur]</w:t>
            </w:r>
            <w:r w:rsidRPr="00EC013E">
              <w:t xml:space="preserve"> og de myndigheder, hver medlemsstat har udpeget i overensstemmelse med artikel 28, stk. 2, skal gives adgang til det centrale register for rapportering og statistik, som er omhandlet i artikel 39 i forordning (EU) 2019/818. Autoriserede brugere </w:t>
            </w:r>
            <w:r w:rsidRPr="00EC013E">
              <w:rPr>
                <w:b/>
                <w:bCs/>
                <w:i/>
                <w:iCs/>
              </w:rPr>
              <w:t>i</w:t>
            </w:r>
            <w:r w:rsidRPr="00EC013E">
              <w:t xml:space="preserve"> andre </w:t>
            </w:r>
            <w:r w:rsidRPr="00EC013E">
              <w:rPr>
                <w:b/>
                <w:bCs/>
                <w:i/>
                <w:iCs/>
              </w:rPr>
              <w:t>ag</w:t>
            </w:r>
            <w:r w:rsidRPr="00EC013E">
              <w:rPr>
                <w:b/>
                <w:bCs/>
                <w:i/>
                <w:iCs/>
              </w:rPr>
              <w:t>enturer</w:t>
            </w:r>
            <w:r w:rsidRPr="00EC013E">
              <w:t xml:space="preserve"> på området retlige og indre anliggender kan også gives adgang, hvis denne adgang er relevant for gennemførelsen af deres opgaver."</w:t>
            </w:r>
          </w:p>
        </w:tc>
        <w:tc>
          <w:tcPr>
            <w:tcW w:w="4876" w:type="dxa"/>
            <w:hideMark/>
          </w:tcPr>
          <w:p w:rsidR="007605D8" w:rsidRPr="00EC013E" w:rsidRDefault="000C264D" w:rsidP="00397221">
            <w:pPr>
              <w:pStyle w:val="Normal6"/>
              <w:rPr>
                <w:szCs w:val="24"/>
              </w:rPr>
            </w:pPr>
            <w:r w:rsidRPr="00EC013E">
              <w:t>6.</w:t>
            </w:r>
            <w:r w:rsidRPr="00EC013E">
              <w:tab/>
              <w:t>eu-LISA, Kommissionen og de myndigheder, hver medlemsstat har udpeget i overensstemmelse med artikel 28, stk. 2, s</w:t>
            </w:r>
            <w:r w:rsidRPr="00EC013E">
              <w:t xml:space="preserve">kal gives adgang til det centrale register for rapportering og statistik, som er omhandlet i artikel 39 i forordning (EU) 2019/818. Autoriserede brugere </w:t>
            </w:r>
            <w:r w:rsidRPr="00EC013E">
              <w:rPr>
                <w:b/>
                <w:bCs/>
                <w:i/>
                <w:iCs/>
              </w:rPr>
              <w:t>af</w:t>
            </w:r>
            <w:r w:rsidRPr="00EC013E">
              <w:t xml:space="preserve"> de </w:t>
            </w:r>
            <w:r w:rsidRPr="00EC013E">
              <w:rPr>
                <w:b/>
                <w:bCs/>
                <w:i/>
                <w:iCs/>
              </w:rPr>
              <w:t>relevante</w:t>
            </w:r>
            <w:r w:rsidRPr="00EC013E">
              <w:t xml:space="preserve"> </w:t>
            </w:r>
            <w:r w:rsidRPr="00EC013E">
              <w:rPr>
                <w:b/>
                <w:bCs/>
                <w:i/>
                <w:iCs/>
              </w:rPr>
              <w:t>EU-agenturer</w:t>
            </w:r>
            <w:r w:rsidRPr="00EC013E">
              <w:t xml:space="preserve"> på området retlige og indre anliggender</w:t>
            </w:r>
            <w:r w:rsidRPr="00EC013E">
              <w:rPr>
                <w:b/>
                <w:bCs/>
                <w:i/>
                <w:iCs/>
              </w:rPr>
              <w:t>, navnlig [Den Europæiske Unions As</w:t>
            </w:r>
            <w:r w:rsidRPr="00EC013E">
              <w:rPr>
                <w:b/>
                <w:bCs/>
                <w:i/>
                <w:iCs/>
              </w:rPr>
              <w:t>ylagentur], Det Europæiske Agentur for Grænse- og Kystbevogtning og Europol,</w:t>
            </w:r>
            <w:r w:rsidRPr="00EC013E">
              <w:t xml:space="preserve"> kan også gives adgang, hvis denne adgang er relevant for gennemførelsen af deres opgaver."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lastRenderedPageBreak/>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60</w:t>
      </w:r>
      <w:r w:rsidRPr="00EC013E">
        <w:rPr>
          <w:rStyle w:val="HideTWBExt"/>
        </w:rPr>
        <w:t>&lt;/NumAm&gt;</w:t>
      </w:r>
    </w:p>
    <w:p w:rsidR="007605D8" w:rsidRPr="00EC013E" w:rsidRDefault="000C264D" w:rsidP="007605D8">
      <w:pPr>
        <w:pStyle w:val="NormalBold"/>
      </w:pPr>
      <w:r w:rsidRPr="00EC013E">
        <w:rPr>
          <w:rStyle w:val="HideTWBExt"/>
        </w:rPr>
        <w:t>&lt;Rep</w:t>
      </w:r>
      <w:r w:rsidRPr="00EC013E">
        <w:rPr>
          <w:rStyle w:val="HideTWBExt"/>
        </w:rPr>
        <w:t>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13 – artikel 9 – stk. 6 a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9C5DC8">
            <w:pPr>
              <w:pStyle w:val="Normal6"/>
              <w:rPr>
                <w:b/>
                <w:i/>
              </w:rPr>
            </w:pPr>
            <w:r w:rsidRPr="00EC013E">
              <w:rPr>
                <w:b/>
                <w:i/>
              </w:rPr>
              <w:t>6a.</w:t>
            </w:r>
            <w:r w:rsidRPr="00EC013E">
              <w:rPr>
                <w:b/>
                <w:i/>
              </w:rPr>
              <w:tab/>
              <w:t xml:space="preserve">Udarbejdelsen af </w:t>
            </w:r>
            <w:r w:rsidRPr="00EC013E">
              <w:rPr>
                <w:b/>
                <w:i/>
              </w:rPr>
              <w:t>statistikker skal ske i henhold til nøje fastsatte regler, der pålægger medlemsstaterne at berigtige forkerte oplysninger inden for bestemte tidsfrister, i den hensigt at sikre nøjagtigheden af de indsamlede oplysninger og kvaliteten af de udarbejdede stat</w:t>
            </w:r>
            <w:r w:rsidRPr="00EC013E">
              <w:rPr>
                <w:b/>
                <w:i/>
              </w:rPr>
              <w:t>istikker.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b w:val="0"/>
        </w:rPr>
        <w:t>&lt;Article&gt;</w:t>
      </w:r>
      <w:r w:rsidRPr="00EC013E">
        <w:t xml:space="preserve">Dispositiv del – nr. 14 – artikel </w:t>
      </w:r>
      <w:r w:rsidRPr="00EC013E">
        <w:t>10 – stk. 1 – afsnit 1</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Medlemsstaterne optager biometriske oplysninger af alle ansøgere om international beskyttelse, der er fyldt seks år,</w:t>
            </w:r>
            <w:r w:rsidRPr="00EC013E">
              <w:rPr>
                <w:b/>
                <w:bCs/>
                <w:i/>
                <w:iCs/>
              </w:rPr>
              <w:t xml:space="preserve"> i forbindelse med den screening, der er omhandlet i forordning</w:t>
            </w:r>
            <w:r w:rsidRPr="00EC013E">
              <w:rPr>
                <w:b/>
                <w:bCs/>
                <w:i/>
                <w:iCs/>
              </w:rPr>
              <w:t xml:space="preserve"> (EU) XXX/XXX [screeningsforordningen], eller, hvis der ikke har kunnet optages biometriske oplysninger i forbindelse med screeningen, eller hvis ansøgeren ikke har været omfattet af en screening,</w:t>
            </w:r>
            <w:r w:rsidRPr="00EC013E">
              <w:t xml:space="preserve"> når ansøgningen om international beskyttelse registreres, j</w:t>
            </w:r>
            <w:r w:rsidRPr="00EC013E">
              <w:t>f. artikel 27 i forordning (EU) XXX/XXX [asylprocedureforordningen]</w:t>
            </w:r>
            <w:r w:rsidRPr="00EC013E">
              <w:rPr>
                <w:b/>
                <w:bCs/>
                <w:i/>
                <w:iCs/>
              </w:rPr>
              <w:t>, og</w:t>
            </w:r>
            <w:r w:rsidRPr="00EC013E">
              <w:t xml:space="preserve"> videregiver snarest muligt </w:t>
            </w:r>
            <w:r w:rsidRPr="00EC013E">
              <w:rPr>
                <w:b/>
                <w:bCs/>
                <w:i/>
                <w:iCs/>
              </w:rPr>
              <w:t>og</w:t>
            </w:r>
            <w:r w:rsidRPr="00EC013E">
              <w:t xml:space="preserve"> senest 72 timer efter optagelsen af de biometriske oplysninger disse sammen med de i artikel 12, </w:t>
            </w:r>
            <w:r w:rsidRPr="00EC013E">
              <w:rPr>
                <w:b/>
                <w:bCs/>
                <w:i/>
                <w:iCs/>
              </w:rPr>
              <w:t>litra c)-p)</w:t>
            </w:r>
            <w:r w:rsidRPr="00EC013E">
              <w:t xml:space="preserve">, </w:t>
            </w:r>
            <w:r w:rsidRPr="00EC013E">
              <w:rPr>
                <w:b/>
                <w:bCs/>
                <w:i/>
                <w:iCs/>
              </w:rPr>
              <w:t>i nærværende forordning</w:t>
            </w:r>
            <w:r w:rsidRPr="00EC013E">
              <w:t xml:space="preserve"> omhandlede oplysning</w:t>
            </w:r>
            <w:r w:rsidRPr="00EC013E">
              <w:t xml:space="preserve">er til det centrale </w:t>
            </w:r>
            <w:r w:rsidRPr="00EC013E">
              <w:lastRenderedPageBreak/>
              <w:t>system og til CIR, hvis det er relevant, i overensstemmelse med artikel 4, stk. 2.</w:t>
            </w:r>
          </w:p>
        </w:tc>
        <w:tc>
          <w:tcPr>
            <w:tcW w:w="4876" w:type="dxa"/>
            <w:hideMark/>
          </w:tcPr>
          <w:p w:rsidR="007605D8" w:rsidRPr="00EC013E" w:rsidRDefault="000C264D" w:rsidP="007605D8">
            <w:pPr>
              <w:pStyle w:val="Normal6"/>
              <w:rPr>
                <w:szCs w:val="24"/>
              </w:rPr>
            </w:pPr>
            <w:r w:rsidRPr="00EC013E">
              <w:lastRenderedPageBreak/>
              <w:t>1.</w:t>
            </w:r>
            <w:r w:rsidRPr="00EC013E">
              <w:tab/>
              <w:t xml:space="preserve">Medlemsstaterne optager </w:t>
            </w:r>
            <w:r w:rsidRPr="00EC013E">
              <w:rPr>
                <w:b/>
                <w:bCs/>
                <w:i/>
                <w:iCs/>
              </w:rPr>
              <w:t>på beskyttelsesfølsom vis</w:t>
            </w:r>
            <w:r w:rsidRPr="00EC013E">
              <w:t xml:space="preserve"> biometriske oplysninger af alle ansøgere om international beskyttelse, der er fyldt seks år,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t xml:space="preserve">a) </w:t>
            </w:r>
            <w:r w:rsidRPr="00EC013E">
              <w:t>når ansøgningen om international beskyttelse registreres, jf. artikel 27 i forordning (EU) XXX/XXX [asylprocedureforordningen]</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b) </w:t>
            </w:r>
            <w:r w:rsidRPr="00EC013E">
              <w:rPr>
                <w:b/>
                <w:bCs/>
                <w:i/>
                <w:iCs/>
              </w:rPr>
              <w:t>når ansøgningen om international beskyttelse indgives, hvor dette sker ved en grænseovergang eller i en transitzone, af en p</w:t>
            </w:r>
            <w:r w:rsidRPr="00EC013E">
              <w:rPr>
                <w:b/>
                <w:bCs/>
                <w:i/>
                <w:iCs/>
              </w:rPr>
              <w:t>erson der ikke opfylder indrejsebetingelserne i artikel 6 i forordning (EU) nr. 2016/399.</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bCs/>
                <w:i/>
                <w:iCs/>
              </w:rPr>
              <w:t>Hver medlemsstat</w:t>
            </w:r>
            <w:r w:rsidRPr="00EC013E">
              <w:t xml:space="preserve"> videregiver snarest muligt, </w:t>
            </w:r>
            <w:r w:rsidRPr="00EC013E">
              <w:rPr>
                <w:b/>
                <w:bCs/>
                <w:i/>
                <w:iCs/>
              </w:rPr>
              <w:t>dog</w:t>
            </w:r>
            <w:r w:rsidRPr="00EC013E">
              <w:t xml:space="preserve"> senest 72 timer efter optagelsen af de biometriske oplysninger </w:t>
            </w:r>
            <w:r w:rsidRPr="00EC013E">
              <w:rPr>
                <w:b/>
                <w:bCs/>
                <w:i/>
                <w:iCs/>
              </w:rPr>
              <w:t>omansøgeren om international beskyttelse,</w:t>
            </w:r>
            <w:r w:rsidRPr="00EC013E">
              <w:t xml:space="preserve"> disse </w:t>
            </w:r>
            <w:r w:rsidRPr="00EC013E">
              <w:rPr>
                <w:b/>
                <w:bCs/>
                <w:i/>
                <w:iCs/>
              </w:rPr>
              <w:t xml:space="preserve">oplysninger </w:t>
            </w:r>
            <w:r w:rsidRPr="00EC013E">
              <w:t xml:space="preserve">sammen med de i artikel 12, </w:t>
            </w:r>
            <w:r w:rsidRPr="00EC013E">
              <w:rPr>
                <w:b/>
                <w:bCs/>
                <w:i/>
                <w:iCs/>
              </w:rPr>
              <w:t>stk. 1</w:t>
            </w:r>
            <w:r w:rsidRPr="00EC013E">
              <w:t xml:space="preserve">, omhandlede oplysninger til det centrale system og til CIR, hvis det er relevant, i overensstemmelse med artikel 4, stk. 2. </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14 – artikel 10 – stk. 3</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3.</w:t>
            </w:r>
            <w:r w:rsidRPr="00EC013E">
              <w:tab/>
              <w:t xml:space="preserve">På den berørte medlemsstats </w:t>
            </w:r>
            <w:r w:rsidRPr="00EC013E">
              <w:t>anmodning kan de biometriske oplysninger også optages og videregives på denne medlemsstats vegne af medlemmer af europæiske grænse- og kystvagthold eller af eksperter fra asylstøtteholdene, når de udfører opgaver og udøver beføjelser i overensstemmelse med</w:t>
            </w:r>
            <w:r w:rsidRPr="00EC013E">
              <w:t xml:space="preserve"> forordning (EU) 2019/1896 og forordning (EU) XXX/XXX [forordningen om EU's Asylagentur].</w:t>
            </w:r>
          </w:p>
        </w:tc>
        <w:tc>
          <w:tcPr>
            <w:tcW w:w="4876" w:type="dxa"/>
            <w:hideMark/>
          </w:tcPr>
          <w:p w:rsidR="007605D8" w:rsidRPr="00EC013E" w:rsidRDefault="000C264D" w:rsidP="007605D8">
            <w:pPr>
              <w:pStyle w:val="Normal6"/>
              <w:rPr>
                <w:szCs w:val="24"/>
              </w:rPr>
            </w:pPr>
            <w:r w:rsidRPr="00EC013E">
              <w:t>3.</w:t>
            </w:r>
            <w:r w:rsidRPr="00EC013E">
              <w:tab/>
              <w:t xml:space="preserve">På den berørte medlemsstats anmodning kan de biometriske </w:t>
            </w:r>
            <w:r w:rsidRPr="00EC013E">
              <w:rPr>
                <w:b/>
                <w:bCs/>
                <w:i/>
                <w:iCs/>
              </w:rPr>
              <w:t>og alfanumeriske</w:t>
            </w:r>
            <w:r w:rsidRPr="00EC013E">
              <w:t xml:space="preserve"> oplysninger også optages og videregives på denne medlemsstats vegne af </w:t>
            </w:r>
            <w:r w:rsidRPr="00EC013E">
              <w:rPr>
                <w:b/>
                <w:bCs/>
                <w:i/>
                <w:iCs/>
              </w:rPr>
              <w:t>dertil oplærte</w:t>
            </w:r>
            <w:r w:rsidRPr="00EC013E">
              <w:t xml:space="preserve"> med</w:t>
            </w:r>
            <w:r w:rsidRPr="00EC013E">
              <w:t>lemmer af europæiske grænse- og kystvagthold eller af eksperter fra asylstøtteholdene, når de udfører opgaver og udøver beføjelser i overensstemmelse med forordning (EU) 2019/1896 og forordning (EU) XXX/XXX [forordningen om EU's Asylagentur].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w:t>
      </w:r>
      <w:r w:rsidRPr="00EC013E">
        <w:rPr>
          <w:rStyle w:val="HideTWBExt"/>
          <w:noProof w:val="0"/>
        </w:rPr>
        <w:t>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lastRenderedPageBreak/>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14 – artikel 10 – stk. 4</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4.</w:t>
            </w:r>
            <w:r w:rsidRPr="00EC013E">
              <w:rPr>
                <w:b/>
                <w:i/>
              </w:rPr>
              <w:tab/>
            </w:r>
            <w:r w:rsidRPr="00EC013E">
              <w:t>Hvert af de datasæt, der er indsamlet og videregivet i overensstemmelse med stk. 1, kædes sammen med andre datasæt vedrørende samme tredjelandsstatsborger eller statsløse person i én sekvens, jf. artikel 4, stk. 6</w:t>
            </w:r>
            <w:r w:rsidRPr="00EC013E">
              <w:t>."</w:t>
            </w:r>
          </w:p>
        </w:tc>
        <w:tc>
          <w:tcPr>
            <w:tcW w:w="4876" w:type="dxa"/>
            <w:hideMark/>
          </w:tcPr>
          <w:p w:rsidR="007605D8" w:rsidRPr="00EC013E" w:rsidRDefault="000C264D" w:rsidP="0015056E">
            <w:pPr>
              <w:pStyle w:val="Normal6"/>
              <w:rPr>
                <w:szCs w:val="24"/>
              </w:rPr>
            </w:pPr>
            <w:r w:rsidRPr="00EC013E">
              <w:t>4.</w:t>
            </w:r>
            <w:r w:rsidRPr="00EC013E">
              <w:rPr>
                <w:b/>
                <w:i/>
              </w:rPr>
              <w:tab/>
            </w:r>
            <w:r w:rsidRPr="00EC013E">
              <w:t>Hvert datasæt, der indsamles og videregives i overensstemmelse med stk. 1, kædes sammen med andre datasæt vedrørende samme tredjelandsstatsborger eller statsløse person i én sekvens, jf. artikel 4, stk. 6</w:t>
            </w:r>
            <w:r w:rsidRPr="00EC013E">
              <w:rPr>
                <w:b/>
                <w:bCs/>
                <w:i/>
                <w:iCs/>
              </w:rPr>
              <w:t xml:space="preserve">, og i efterlevelse af de heri fastsatte </w:t>
            </w:r>
            <w:r w:rsidRPr="00EC013E">
              <w:rPr>
                <w:b/>
                <w:bCs/>
                <w:i/>
                <w:iCs/>
              </w:rPr>
              <w:t>begrænsninger.</w:t>
            </w:r>
            <w:r w:rsidRPr="00EC013E">
              <w: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14 – ar</w:t>
      </w:r>
      <w:r w:rsidRPr="00EC013E">
        <w:t>tikel 10 – stk. 4 a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4a.</w:t>
            </w:r>
            <w:r w:rsidRPr="00EC013E">
              <w:rPr>
                <w:b/>
                <w:i/>
              </w:rPr>
              <w:tab/>
              <w:t>De biometriske oplysninger for mindreårige fra og med seks år optages af personale, der er særligt uddannet i at optage mindreåriges biometriske oplysninger på en børnevenlig</w:t>
            </w:r>
            <w:r w:rsidRPr="00EC013E">
              <w:rPr>
                <w:b/>
                <w:i/>
              </w:rPr>
              <w:t xml:space="preserve"> og børnesensitiv måde og under nøje hensyntagen til barnets tarv og de garantier, der er fastsat i FN's konvention om barnets rettigheder.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Den mindreårige skal ledsages af et voksent familiemedlem, hvis en sådan forefindes, når vedkommendes biometriske </w:t>
            </w:r>
            <w:r w:rsidRPr="00EC013E">
              <w:rPr>
                <w:b/>
                <w:i/>
              </w:rPr>
              <w:t xml:space="preserve">oplysninger optages. En uledsaget mindreårig skal ledsages af en værge, en repræsentant eller, hvor der ikke er udpeget en repræsentant, en person med fagkvalifikation til at sikre den mindreåriges tarv og generelle velbefindende, mens de biometriske </w:t>
            </w:r>
            <w:r w:rsidRPr="00EC013E">
              <w:rPr>
                <w:b/>
                <w:i/>
              </w:rPr>
              <w:lastRenderedPageBreak/>
              <w:t>oplys</w:t>
            </w:r>
            <w:r w:rsidRPr="00EC013E">
              <w:rPr>
                <w:b/>
                <w:i/>
              </w:rPr>
              <w:t>ninger optages. En sådan fagkvalificeret person må ikke være det personalemedlem, der er ansvarlig for at optage de biometriske oplysninger, og vedkommende skal handle uafhængigt af og må ikke modtage ordrer fra hverken det personalemedlem eller den tjenes</w:t>
            </w:r>
            <w:r w:rsidRPr="00EC013E">
              <w:rPr>
                <w:b/>
                <w:i/>
              </w:rPr>
              <w:t>tegren, der er ansvarlig for at optage de biometriske oplysninger.</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 xml:space="preserve">Forslag til </w:t>
      </w:r>
      <w:r w:rsidRPr="00EC013E">
        <w:t>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16 – artikel 12 – indledning</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 xml:space="preserve">I det centrale system </w:t>
            </w:r>
            <w:r w:rsidRPr="00EC013E">
              <w:rPr>
                <w:b/>
                <w:bCs/>
                <w:i/>
                <w:iCs/>
              </w:rPr>
              <w:t>og</w:t>
            </w:r>
            <w:r w:rsidRPr="00EC013E">
              <w:t xml:space="preserve"> i CIR, </w:t>
            </w:r>
            <w:r w:rsidRPr="00EC013E">
              <w:rPr>
                <w:b/>
                <w:bCs/>
                <w:i/>
                <w:iCs/>
              </w:rPr>
              <w:t>hvis det</w:t>
            </w:r>
            <w:r w:rsidRPr="00EC013E">
              <w:t xml:space="preserve"> er relevant, registreres kun følgende oplysninger:</w:t>
            </w:r>
          </w:p>
        </w:tc>
        <w:tc>
          <w:tcPr>
            <w:tcW w:w="4876" w:type="dxa"/>
            <w:hideMark/>
          </w:tcPr>
          <w:p w:rsidR="007605D8" w:rsidRPr="00EC013E" w:rsidRDefault="000C264D" w:rsidP="007605D8">
            <w:pPr>
              <w:pStyle w:val="Normal6"/>
              <w:rPr>
                <w:szCs w:val="24"/>
              </w:rPr>
            </w:pPr>
            <w:r w:rsidRPr="00EC013E">
              <w:t xml:space="preserve">I det centrale system </w:t>
            </w:r>
            <w:r w:rsidRPr="00EC013E">
              <w:rPr>
                <w:b/>
                <w:bCs/>
                <w:i/>
                <w:iCs/>
              </w:rPr>
              <w:t>eller</w:t>
            </w:r>
            <w:r w:rsidRPr="00EC013E">
              <w:t xml:space="preserve"> i CI</w:t>
            </w:r>
            <w:r w:rsidRPr="00EC013E">
              <w:t xml:space="preserve">R, </w:t>
            </w:r>
            <w:r w:rsidRPr="00EC013E">
              <w:rPr>
                <w:b/>
                <w:bCs/>
                <w:i/>
                <w:iCs/>
              </w:rPr>
              <w:t>alt efter hvad der</w:t>
            </w:r>
            <w:r w:rsidRPr="00EC013E">
              <w:t xml:space="preserve"> er relevant, registreres </w:t>
            </w:r>
            <w:r w:rsidRPr="00EC013E">
              <w:rPr>
                <w:b/>
                <w:bCs/>
                <w:i/>
                <w:iCs/>
              </w:rPr>
              <w:t>i henhold til artikel 4, stk. 2,</w:t>
            </w:r>
            <w:r w:rsidRPr="00EC013E">
              <w:t xml:space="preserve"> kun følgende oplysninger: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16 – artikel 12 – litra o</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o)</w:t>
            </w:r>
            <w:r w:rsidRPr="00EC013E">
              <w:tab/>
              <w:t>dato for videregivelse af oplysningerne til det centrale system og til CIR, hvis det</w:t>
            </w:r>
            <w:r w:rsidRPr="00EC013E">
              <w:t xml:space="preserve"> er relevant</w:t>
            </w:r>
          </w:p>
        </w:tc>
        <w:tc>
          <w:tcPr>
            <w:tcW w:w="4876" w:type="dxa"/>
            <w:hideMark/>
          </w:tcPr>
          <w:p w:rsidR="007605D8" w:rsidRPr="00EC013E" w:rsidRDefault="000C264D" w:rsidP="007605D8">
            <w:pPr>
              <w:pStyle w:val="Normal6"/>
              <w:rPr>
                <w:szCs w:val="24"/>
              </w:rPr>
            </w:pPr>
            <w:r w:rsidRPr="00EC013E">
              <w:t>o)</w:t>
            </w:r>
            <w:r w:rsidRPr="00EC013E">
              <w:tab/>
              <w:t xml:space="preserve">dato for videregivelse af oplysningerne til det centrale system og til CIR, hvis det er relevant, </w:t>
            </w:r>
            <w:r w:rsidRPr="00EC013E">
              <w:rPr>
                <w:b/>
                <w:bCs/>
                <w:i/>
                <w:iCs/>
              </w:rPr>
              <w:t>i overensstemmelse med artikel 4, stk. 2:</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lastRenderedPageBreak/>
        <w:t>&lt;Amend&gt;</w:t>
      </w:r>
      <w:r w:rsidRPr="00EC013E">
        <w:t>Ændringsforslag</w:t>
      </w:r>
      <w:r w:rsidRPr="00EC013E">
        <w:tab/>
      </w:r>
      <w:r w:rsidRPr="00EC013E">
        <w:tab/>
      </w:r>
      <w:r w:rsidRPr="00EC013E">
        <w:rPr>
          <w:rStyle w:val="HideTWBExt"/>
        </w:rPr>
        <w:t>&lt;NumAm&gt;</w:t>
      </w:r>
      <w:r w:rsidRPr="00EC013E">
        <w:t>67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16 – artikel 12 – litra v</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v)</w:t>
            </w:r>
            <w:r w:rsidRPr="00EC013E">
              <w:tab/>
            </w:r>
            <w:r w:rsidRPr="00EC013E">
              <w:t xml:space="preserve">det faktum, at personen kan udgøre en trussel mod den interne sikkerhed </w:t>
            </w:r>
            <w:r w:rsidRPr="00EC013E">
              <w:rPr>
                <w:b/>
                <w:bCs/>
                <w:i/>
                <w:iCs/>
              </w:rPr>
              <w:t>efter den i forordning (EU) XXX/XXX [screeningsforordningen] omhandlede screening eller</w:t>
            </w:r>
            <w:r w:rsidRPr="00EC013E">
              <w:t xml:space="preserve"> efter en kontrol i henhold til artikel 8, stk. 4, i forordning (EU) XXX/ XXX [forordningen om as</w:t>
            </w:r>
            <w:r w:rsidRPr="00EC013E">
              <w:t>ylforvaltning og migrationsstyring]</w:t>
            </w:r>
          </w:p>
        </w:tc>
        <w:tc>
          <w:tcPr>
            <w:tcW w:w="4876" w:type="dxa"/>
            <w:hideMark/>
          </w:tcPr>
          <w:p w:rsidR="007605D8" w:rsidRPr="00EC013E" w:rsidRDefault="000C264D" w:rsidP="007605D8">
            <w:pPr>
              <w:pStyle w:val="Normal6"/>
              <w:rPr>
                <w:szCs w:val="24"/>
              </w:rPr>
            </w:pPr>
            <w:r w:rsidRPr="00EC013E">
              <w:t>v)</w:t>
            </w:r>
            <w:r w:rsidRPr="00EC013E">
              <w:tab/>
              <w:t>det faktum, at personen kan udgøre en trussel mod den interne sikkerhed efter en kontrol i henhold til artikel 8, stk. 4, i forordning (EU) XXX/ XXX [forordningen om asylforvaltning og migrationsstyring]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w:t>
      </w:r>
      <w:r w:rsidRPr="00EC013E">
        <w:rPr>
          <w:rStyle w:val="HideTWBExt"/>
          <w:noProof w:val="0"/>
        </w:rPr>
        <w:t>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16 – artikel 12 – stk. 3 (nyt)</w:t>
      </w:r>
      <w:r w:rsidRPr="00EC013E">
        <w:rPr>
          <w:rStyle w:val="HideTWBExt"/>
        </w:rPr>
        <w:t>&lt;/Arti</w:t>
      </w:r>
      <w:r w:rsidRPr="00EC013E">
        <w:rPr>
          <w:rStyle w:val="HideTWBExt"/>
        </w:rPr>
        <w:t>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15056E">
            <w:pPr>
              <w:pStyle w:val="Normal6"/>
              <w:rPr>
                <w:b/>
                <w:i/>
                <w:szCs w:val="24"/>
              </w:rPr>
            </w:pPr>
            <w:r w:rsidRPr="00EC013E">
              <w:rPr>
                <w:b/>
                <w:i/>
              </w:rPr>
              <w:t>3.</w:t>
            </w:r>
            <w:r w:rsidRPr="00EC013E">
              <w:rPr>
                <w:b/>
                <w:i/>
              </w:rPr>
              <w:tab/>
              <w:t xml:space="preserve">Den oprindelsesmedlemsstat, der konkluderede, at den trussel mod den indre sikkerhed, der er konstateret efter en undersøgelse i henhold til artikel 8, stk. 4, i forordning (EU) XXX/XXX (forordningen om </w:t>
            </w:r>
            <w:r w:rsidRPr="00EC013E">
              <w:rPr>
                <w:b/>
                <w:i/>
              </w:rPr>
              <w:t>asylforvaltning og migrationsstyring), ikke længere er aktuel, sletter sikkerhedspåtegningen fra datasættet. Det centrale system skal så hurtigt som muligt og senest 72 timer efter en oprindelsesmedlemsstats slettelse af sikkerhedspåtegningen og efter at h</w:t>
            </w:r>
            <w:r w:rsidRPr="00EC013E">
              <w:rPr>
                <w:b/>
                <w:i/>
              </w:rPr>
              <w:t>ave fået et hit på data, som de har overført, vedrørende personer som omhandlet i artikel 13, stk. 1, artikel 14, stk. 1, eller artikel 14a, stk. 1, underrette samtlige oprindelsesmedlemsstater om denne slettelse. Disse oprindelsesmedlemsstater sletter til</w:t>
            </w:r>
            <w:r w:rsidRPr="00EC013E">
              <w:rPr>
                <w:b/>
                <w:i/>
              </w:rPr>
              <w:t xml:space="preserve">svarende sikkerhedspåtegningen </w:t>
            </w:r>
            <w:r w:rsidRPr="00EC013E">
              <w:rPr>
                <w:b/>
                <w:i/>
              </w:rPr>
              <w:lastRenderedPageBreak/>
              <w:t>i deres tilsvarende datasæt.</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69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16 a (nyt) – artikel 12 a (ny)</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jc w:val="center"/>
              <w:rPr>
                <w:szCs w:val="24"/>
              </w:rPr>
            </w:pPr>
            <w:r w:rsidRPr="00EC013E">
              <w:rPr>
                <w:b/>
                <w:i/>
              </w:rPr>
              <w:t>Artikel 12a</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jc w:val="center"/>
              <w:rPr>
                <w:szCs w:val="24"/>
              </w:rPr>
            </w:pPr>
            <w:r w:rsidRPr="00EC013E">
              <w:rPr>
                <w:b/>
                <w:i/>
              </w:rPr>
              <w:t>Indsamling og videregivelse af fingeraftryks- og ansigtsbilleddata</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397221">
            <w:pPr>
              <w:pStyle w:val="Normal6"/>
              <w:rPr>
                <w:szCs w:val="24"/>
              </w:rPr>
            </w:pPr>
            <w:r w:rsidRPr="00EC013E">
              <w:rPr>
                <w:b/>
                <w:i/>
              </w:rPr>
              <w:t xml:space="preserve">1. </w:t>
            </w:r>
            <w:r w:rsidRPr="00EC013E">
              <w:rPr>
                <w:b/>
                <w:i/>
              </w:rPr>
              <w:tab/>
              <w:t xml:space="preserve">Medlemsstaterne optager omgående </w:t>
            </w:r>
            <w:r w:rsidRPr="00EC013E">
              <w:rPr>
                <w:b/>
                <w:i/>
              </w:rPr>
              <w:t>fingeraftryk af samtlige fingre og et ansigtsbillede af alle tredjelandsstatsborgere eller statsløse personer, der er fyldt seks år, ved deres ankomst til deres territorium. Hver medlemsstat videregiver disse biometriske oplysninger sammen med de andre opl</w:t>
            </w:r>
            <w:r w:rsidRPr="00EC013E">
              <w:rPr>
                <w:b/>
                <w:i/>
              </w:rPr>
              <w:t>ysninger, der er omhandlet i artikel 10 i forordning (EU).../..., til det centrale system.</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15056E">
            <w:pPr>
              <w:pStyle w:val="Normal6"/>
              <w:rPr>
                <w:szCs w:val="24"/>
              </w:rPr>
            </w:pPr>
            <w:r w:rsidRPr="00EC013E">
              <w:rPr>
                <w:b/>
                <w:i/>
              </w:rPr>
              <w:t>Misligholdelse af kravet om omgående at optage biometriske oplysninger om personer som omhandlet i dette stykkes første afsnit, fritager ikke medlemsstaten for for</w:t>
            </w:r>
            <w:r w:rsidRPr="00EC013E">
              <w:rPr>
                <w:b/>
                <w:i/>
              </w:rPr>
              <w:t xml:space="preserve">pligtelsen til at optage de biometriske oplysninger og videregive dem til det centrale system. Såfremt fingerspidsernes tilstand ikke gør det muligt at optage fingeraftryk af en kvalitet, der kan bruges til hensigtsmæssig sammenligning i medfør af artikel </w:t>
            </w:r>
            <w:r w:rsidRPr="00EC013E">
              <w:rPr>
                <w:b/>
                <w:i/>
              </w:rPr>
              <w:t>26, optager oprindelsesmedlemsstaten på ny ansøgerens fingeraftryk og sender dem igen snarest muligt og senest 48 timer efter vellykket fingeraftryksoptagelse.</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2. </w:t>
            </w:r>
            <w:r w:rsidRPr="00EC013E">
              <w:rPr>
                <w:b/>
                <w:i/>
              </w:rPr>
              <w:tab/>
              <w:t xml:space="preserve">Når det ikke er muligt at optage fingeraftryk, ansigtsbillede eller nogen af delene af en </w:t>
            </w:r>
            <w:r w:rsidRPr="00EC013E">
              <w:rPr>
                <w:b/>
                <w:i/>
              </w:rPr>
              <w:t xml:space="preserve">genbosat tredjelandsstatsborger eller statsløs person </w:t>
            </w:r>
            <w:r w:rsidRPr="00EC013E">
              <w:rPr>
                <w:b/>
                <w:i/>
              </w:rPr>
              <w:lastRenderedPageBreak/>
              <w:t>på grund af foranstaltninger, der træffes af hensyn til den pågældendes eller omgivelsernes helbred, optager og videresender medlemsstaterne som en fravigelse af stk. 1 vedkommendes fingeraftryk, ansigt</w:t>
            </w:r>
            <w:r w:rsidRPr="00EC013E">
              <w:rPr>
                <w:b/>
                <w:i/>
              </w:rPr>
              <w:t>sbillede eller begge snarest muligt og senest 48 timer efter, at de sundhedsmæssige hensyn ikke længere gør sig gældende.</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16 b (nyt) – artikel 12 b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jc w:val="center"/>
              <w:rPr>
                <w:szCs w:val="24"/>
              </w:rPr>
            </w:pPr>
            <w:r w:rsidRPr="00EC013E">
              <w:rPr>
                <w:b/>
                <w:i/>
              </w:rPr>
              <w:t>Artikel 12b</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jc w:val="center"/>
              <w:rPr>
                <w:b/>
                <w:i/>
              </w:rPr>
            </w:pPr>
            <w:r w:rsidRPr="00EC013E">
              <w:rPr>
                <w:b/>
                <w:i/>
              </w:rPr>
              <w:t>Registrering af oplysninger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b/>
                <w:i/>
              </w:rPr>
            </w:pPr>
            <w:r w:rsidRPr="00EC013E">
              <w:rPr>
                <w:b/>
                <w:i/>
              </w:rPr>
              <w:t xml:space="preserve">I det centrale system </w:t>
            </w:r>
            <w:r w:rsidRPr="00EC013E">
              <w:rPr>
                <w:b/>
                <w:i/>
              </w:rPr>
              <w:t xml:space="preserve">registreres kun følgende oplysninger: </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a) </w:t>
            </w:r>
            <w:r w:rsidRPr="00EC013E">
              <w:rPr>
                <w:b/>
                <w:i/>
              </w:rPr>
              <w:tab/>
              <w:t>fingeraftryksoplysninger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b) </w:t>
            </w:r>
            <w:r w:rsidRPr="00EC013E">
              <w:rPr>
                <w:b/>
                <w:i/>
              </w:rPr>
              <w:tab/>
              <w:t>et ansigtsbillede</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c) </w:t>
            </w:r>
            <w:r w:rsidRPr="00EC013E">
              <w:rPr>
                <w:b/>
                <w:i/>
              </w:rPr>
              <w:tab/>
              <w:t>efternavn(e) og fornavn(e), fødenavn(e) og tidligere anvendte navne og eventuelle kaldenavne, som kan registreres særskilt</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d) </w:t>
            </w:r>
            <w:r w:rsidRPr="00EC013E">
              <w:rPr>
                <w:b/>
                <w:i/>
              </w:rPr>
              <w:tab/>
              <w:t>nationalitet(er)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e) </w:t>
            </w:r>
            <w:r w:rsidRPr="00EC013E">
              <w:rPr>
                <w:b/>
                <w:i/>
              </w:rPr>
              <w:tab/>
            </w:r>
            <w:r w:rsidRPr="00EC013E">
              <w:rPr>
                <w:b/>
                <w:i/>
              </w:rPr>
              <w:t>fødested og fødselsdato</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f) </w:t>
            </w:r>
            <w:r w:rsidRPr="00EC013E">
              <w:rPr>
                <w:b/>
                <w:i/>
              </w:rPr>
              <w:tab/>
              <w:t>genbosættelsesmedlemsstaten, og sted og dato for registreringen</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g) </w:t>
            </w:r>
            <w:r w:rsidRPr="00EC013E">
              <w:rPr>
                <w:b/>
                <w:i/>
              </w:rPr>
              <w:tab/>
              <w:t>køn</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h) </w:t>
            </w:r>
            <w:r w:rsidRPr="00EC013E">
              <w:rPr>
                <w:b/>
                <w:i/>
              </w:rPr>
              <w:tab/>
              <w:t>hvis relevant, type af og nummer på legitimation eller rejsedokument; udstedelseslandets trebogstav-kode og dokumentets gyldighed</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i) </w:t>
            </w:r>
            <w:r w:rsidRPr="00EC013E">
              <w:rPr>
                <w:b/>
                <w:i/>
              </w:rPr>
              <w:tab/>
              <w:t>det refere</w:t>
            </w:r>
            <w:r w:rsidRPr="00EC013E">
              <w:rPr>
                <w:b/>
                <w:i/>
              </w:rPr>
              <w:t>ncenummer, oprindelsesmedlemsstaten bruger</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j) </w:t>
            </w:r>
            <w:r w:rsidRPr="00EC013E">
              <w:rPr>
                <w:b/>
                <w:i/>
              </w:rPr>
              <w:tab/>
              <w:t>dato for optagelse af fingeraftryk og/eller ansigtsbillede</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k) </w:t>
            </w:r>
            <w:r w:rsidRPr="00EC013E">
              <w:rPr>
                <w:b/>
                <w:i/>
              </w:rPr>
              <w:tab/>
              <w:t>dato for videregivelse af oplysningerne til det centrale system</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 xml:space="preserve">l) </w:t>
            </w:r>
            <w:r w:rsidRPr="00EC013E">
              <w:rPr>
                <w:b/>
                <w:i/>
              </w:rPr>
              <w:tab/>
              <w:t>sagsbehandlers bruger-ID.</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17 – artikel 13 – stk.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w:t>
            </w:r>
            <w:r w:rsidRPr="00EC013E">
              <w:t>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Medlemsstaterne optager omgående biometriske oplysninger af alle tredjelandsstatsborgere eller statsløse, der er fyldt seks år, og som pågribes af de kompetente kontrolmyndigheder i forbindelse med irregulær passage af grænsen til den </w:t>
            </w:r>
            <w:r w:rsidRPr="00EC013E">
              <w:t>pågældende medlemsstat ad land-, sø- eller luftvejen efter at være kommet fra et tredjeland, og som ikke afvises, eller som fysisk forbliver på medlemsstaternes område uden at være varetægtsfængslet, indespærret eller på anden vis frihedsberøvet i hele tid</w:t>
            </w:r>
            <w:r w:rsidRPr="00EC013E">
              <w:t>srummet mellem pågribelsen og udsendelsen på grundlag af afgørelsen om afvisning.</w:t>
            </w:r>
          </w:p>
        </w:tc>
        <w:tc>
          <w:tcPr>
            <w:tcW w:w="4876" w:type="dxa"/>
            <w:hideMark/>
          </w:tcPr>
          <w:p w:rsidR="007605D8" w:rsidRPr="00EC013E" w:rsidRDefault="000C264D" w:rsidP="007605D8">
            <w:pPr>
              <w:pStyle w:val="Normal6"/>
            </w:pPr>
            <w:r w:rsidRPr="00EC013E">
              <w:t>1.</w:t>
            </w:r>
            <w:r w:rsidRPr="00EC013E">
              <w:tab/>
              <w:t xml:space="preserve">Medlemsstaterne optager </w:t>
            </w:r>
            <w:r w:rsidRPr="00EC013E">
              <w:rPr>
                <w:b/>
                <w:bCs/>
                <w:i/>
                <w:iCs/>
              </w:rPr>
              <w:t>på beskyttelsesfølsom vis</w:t>
            </w:r>
            <w:r w:rsidRPr="00EC013E">
              <w:t xml:space="preserve"> omgående biometriske oplysninger af alle tredjelandsstatsborgere eller statsløse, der er fyldt seks år, og som pågribes a</w:t>
            </w:r>
            <w:r w:rsidRPr="00EC013E">
              <w:t>f de kompetente kontrolmyndigheder i forbindelse med irregulær passage af grænsen til den pågældende medlemsstat ad land-, sø- eller luftvejen efter at være kommet fra et tredjeland, og som ikke afvises, eller som fysisk forbliver på medlemsstaternes områd</w:t>
            </w:r>
            <w:r w:rsidRPr="00EC013E">
              <w:t>e uden at være varetægtsfængslet, indespærret eller på anden vis frihedsberøvet i hele tidsrummet mellem pågribelsen og udsendelsen på grundlag af afgørelsen om afvisning.</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17 – artikel 13 – stk. 2 – indledning</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r>
            <w:r w:rsidRPr="00EC013E">
              <w:t xml:space="preserve">Den pågældende medlemsstat videregiver snarest muligt og senest 72 timer efter datoen for pågribelsen til det </w:t>
            </w:r>
            <w:r w:rsidRPr="00EC013E">
              <w:lastRenderedPageBreak/>
              <w:t xml:space="preserve">centrale system </w:t>
            </w:r>
            <w:r w:rsidRPr="00EC013E">
              <w:rPr>
                <w:b/>
                <w:bCs/>
                <w:i/>
                <w:iCs/>
              </w:rPr>
              <w:t>og</w:t>
            </w:r>
            <w:r w:rsidRPr="00EC013E">
              <w:t xml:space="preserve"> til CIR, hvis det er relevant, følgende oplysninger vedrørende de i stk. 1 omhandlede tredjelandsstatsborgere eller statsløse, </w:t>
            </w:r>
            <w:r w:rsidRPr="00EC013E">
              <w:t>som ikke afvises:</w:t>
            </w:r>
          </w:p>
        </w:tc>
        <w:tc>
          <w:tcPr>
            <w:tcW w:w="4876" w:type="dxa"/>
            <w:hideMark/>
          </w:tcPr>
          <w:p w:rsidR="007605D8" w:rsidRPr="00EC013E" w:rsidRDefault="000C264D" w:rsidP="007605D8">
            <w:pPr>
              <w:pStyle w:val="Normal6"/>
              <w:rPr>
                <w:szCs w:val="24"/>
              </w:rPr>
            </w:pPr>
            <w:r w:rsidRPr="00EC013E">
              <w:lastRenderedPageBreak/>
              <w:t>2.</w:t>
            </w:r>
            <w:r w:rsidRPr="00EC013E">
              <w:tab/>
              <w:t xml:space="preserve">Den pågældende medlemsstat videregiver snarest muligt og senest 72 timer efter datoen for pågribelsen til det </w:t>
            </w:r>
            <w:r w:rsidRPr="00EC013E">
              <w:lastRenderedPageBreak/>
              <w:t xml:space="preserve">centrale system </w:t>
            </w:r>
            <w:r w:rsidRPr="00EC013E">
              <w:rPr>
                <w:b/>
                <w:bCs/>
                <w:i/>
                <w:iCs/>
              </w:rPr>
              <w:t>eller</w:t>
            </w:r>
            <w:r w:rsidRPr="00EC013E">
              <w:t xml:space="preserve"> til CIR, alt efter hvad der er relevant, </w:t>
            </w:r>
            <w:r w:rsidRPr="00EC013E">
              <w:rPr>
                <w:b/>
                <w:bCs/>
                <w:i/>
                <w:iCs/>
              </w:rPr>
              <w:t>i henhold til artikel 4, stk. 2,</w:t>
            </w:r>
            <w:r w:rsidRPr="00EC013E">
              <w:t xml:space="preserve"> følgende oplysninger vedrøren</w:t>
            </w:r>
            <w:r w:rsidRPr="00EC013E">
              <w:t>de de i stk. 1 omhandlede tredjelandsstatsborgere eller statsløse, som ikke afvises:</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w:t>
      </w:r>
      <w:r w:rsidRPr="00EC013E">
        <w:t>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17 – artikel 13 – stk. 2 – litra r</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rPr>
                <w:b/>
                <w:i/>
              </w:rPr>
            </w:pPr>
            <w:r w:rsidRPr="00EC013E">
              <w:rPr>
                <w:b/>
                <w:i/>
              </w:rPr>
              <w:t>r)</w:t>
            </w:r>
            <w:r w:rsidRPr="00EC013E">
              <w:rPr>
                <w:b/>
                <w:i/>
              </w:rPr>
              <w:tab/>
              <w:t xml:space="preserve">det faktum, at personen kan udgøre en trussel mod den interne sikkerhed som resultat af den i forordning </w:t>
            </w:r>
            <w:r w:rsidRPr="00EC013E">
              <w:rPr>
                <w:b/>
                <w:i/>
              </w:rPr>
              <w:t>(EU) XXX/XXX [screeningsforordningen] omhandlede screening.</w:t>
            </w:r>
          </w:p>
        </w:tc>
        <w:tc>
          <w:tcPr>
            <w:tcW w:w="4876" w:type="dxa"/>
          </w:tcPr>
          <w:p w:rsidR="007605D8" w:rsidRPr="00EC013E" w:rsidRDefault="000C264D" w:rsidP="007605D8">
            <w:pPr>
              <w:pStyle w:val="Normal6"/>
              <w:rPr>
                <w:b/>
                <w:i/>
              </w:rPr>
            </w:pPr>
            <w:r w:rsidRPr="00EC013E">
              <w:rPr>
                <w:b/>
                <w:i/>
              </w:rPr>
              <w:t xml:space="preserve">udgår </w:t>
            </w:r>
          </w:p>
          <w:p w:rsidR="007605D8" w:rsidRPr="00EC013E" w:rsidRDefault="007605D8" w:rsidP="007605D8">
            <w:pPr>
              <w:pStyle w:val="Normal6"/>
              <w:rPr>
                <w:b/>
                <w:i/>
              </w:rPr>
            </w:pP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 xml:space="preserve">Forslag til </w:t>
      </w:r>
      <w:r w:rsidRPr="00EC013E">
        <w:t>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nr. 17 – artikel 13 – stk. 7</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7.</w:t>
            </w:r>
            <w:r w:rsidRPr="00EC013E">
              <w:tab/>
              <w:t>På den berørte medlemsstats anmodning kan de biometriske oplysninger også optages og videregives på denne medlemsstats vegne</w:t>
            </w:r>
            <w:r w:rsidRPr="00EC013E">
              <w:t xml:space="preserve"> af medlemmer af europæiske grænse- og kystvagthold eller af eksperter fra asylstøtteholdene, når de udfører opgaver og udøver beføjelser i overensstemmelse med forordning (EU) 2019/1896 og forordning (EU) XXX/XXX [forordningen om EU's Asylagentur].</w:t>
            </w:r>
          </w:p>
        </w:tc>
        <w:tc>
          <w:tcPr>
            <w:tcW w:w="4876" w:type="dxa"/>
            <w:hideMark/>
          </w:tcPr>
          <w:p w:rsidR="007605D8" w:rsidRPr="00EC013E" w:rsidRDefault="000C264D" w:rsidP="007605D8">
            <w:pPr>
              <w:pStyle w:val="Normal6"/>
              <w:rPr>
                <w:szCs w:val="24"/>
              </w:rPr>
            </w:pPr>
            <w:r w:rsidRPr="00EC013E">
              <w:t>7.</w:t>
            </w:r>
            <w:r w:rsidRPr="00EC013E">
              <w:tab/>
              <w:t xml:space="preserve">På </w:t>
            </w:r>
            <w:r w:rsidRPr="00EC013E">
              <w:t xml:space="preserve">den berørte medlemsstats anmodning kan de biometriske </w:t>
            </w:r>
            <w:r w:rsidRPr="00EC013E">
              <w:rPr>
                <w:b/>
                <w:bCs/>
                <w:i/>
                <w:iCs/>
              </w:rPr>
              <w:t>og alfanumeriske</w:t>
            </w:r>
            <w:r w:rsidRPr="00EC013E">
              <w:t xml:space="preserve"> oplysninger også optages og videregives på denne medlemsstats vegne af medlemmer af europæiske grænse- og kystvagthold eller af eksperter fra asylstøtteholdene, når de udfører opgaver o</w:t>
            </w:r>
            <w:r w:rsidRPr="00EC013E">
              <w:t>g udøver beføjelser i overensstemmelse med forordning (EU) 2019/1896 og forordning (EU) XXX/XXX [forordningen om EU's Asylagentur].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lastRenderedPageBreak/>
        <w:t>&lt;Amend&gt;</w:t>
      </w:r>
      <w:r w:rsidRPr="00EC013E">
        <w:t>Ændringsforslag</w:t>
      </w:r>
      <w:r w:rsidRPr="00EC013E">
        <w:tab/>
      </w:r>
      <w:r w:rsidRPr="00EC013E">
        <w:tab/>
      </w:r>
      <w:r w:rsidRPr="00EC013E">
        <w:rPr>
          <w:rStyle w:val="HideTWBExt"/>
        </w:rPr>
        <w:t>&lt;NumAm&gt;</w:t>
      </w:r>
      <w:r w:rsidRPr="00EC013E">
        <w:t>75</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 xml:space="preserve">Jorge Buxadé </w:t>
      </w:r>
      <w:r w:rsidRPr="00EC013E">
        <w:t>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nr. 17 – artikel 13 – stk. 8</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8.</w:t>
            </w:r>
            <w:r w:rsidRPr="00EC013E">
              <w:tab/>
              <w:t xml:space="preserve">Hvert datasæt, der indsamles og videregives i overensstemmelse </w:t>
            </w:r>
            <w:r w:rsidRPr="00EC013E">
              <w:t>med stk. 1, kædes sammen med andre datasæt vedrørende samme tredjelandsstatsborger eller statsløse person i en sekvens, jf. artikel 4, stk. 6.</w:t>
            </w:r>
          </w:p>
        </w:tc>
        <w:tc>
          <w:tcPr>
            <w:tcW w:w="4876" w:type="dxa"/>
            <w:hideMark/>
          </w:tcPr>
          <w:p w:rsidR="007605D8" w:rsidRPr="00EC013E" w:rsidRDefault="000C264D" w:rsidP="0015056E">
            <w:pPr>
              <w:pStyle w:val="Normal6"/>
              <w:rPr>
                <w:szCs w:val="24"/>
              </w:rPr>
            </w:pPr>
            <w:r w:rsidRPr="00EC013E">
              <w:t>8.</w:t>
            </w:r>
            <w:r w:rsidRPr="00EC013E">
              <w:tab/>
              <w:t>Hvert datasæt, der indsamles og videregives i overensstemmelse med stk. 1, kædes sammen med andre datasæt vedr</w:t>
            </w:r>
            <w:r w:rsidRPr="00EC013E">
              <w:t>ørende samme tredjelandsstatsborger eller statsløse person i én sekvens, jf. artikel 4, stk. 6</w:t>
            </w:r>
            <w:r w:rsidRPr="00EC013E">
              <w:rPr>
                <w:b/>
                <w:bCs/>
                <w:i/>
                <w:iCs/>
              </w:rPr>
              <w:t>, og i efterlevelse af de heri fastsatte begrænsninger</w:t>
            </w:r>
            <w:r w:rsidRPr="00EC013E">
              <w: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76</w:t>
      </w:r>
      <w:r w:rsidRPr="00EC013E">
        <w:rPr>
          <w:rStyle w:val="HideTWBExt"/>
        </w:rPr>
        <w:t>&lt;/NumAm&gt;</w:t>
      </w:r>
    </w:p>
    <w:p w:rsidR="007605D8" w:rsidRPr="00EC013E" w:rsidRDefault="000C264D" w:rsidP="007605D8">
      <w:pPr>
        <w:pStyle w:val="NormalBold"/>
      </w:pPr>
      <w:r w:rsidRPr="00EC013E">
        <w:rPr>
          <w:rStyle w:val="HideTWBExt"/>
        </w:rPr>
        <w:t>&lt;RepeatBlock-By&gt;&lt;Membe</w:t>
      </w:r>
      <w:r w:rsidRPr="00EC013E">
        <w:rPr>
          <w:rStyle w:val="HideTWBExt"/>
        </w:rPr>
        <w:t>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18 – artikel 14 – stk.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Medlemsstaterne optager omgående biometriske </w:t>
            </w:r>
            <w:r w:rsidRPr="00EC013E">
              <w:t>oplysninger af alle tredjelandsstatsborgere eller statsløse, der er fyldt seks år, og som opholder sig ulovligt på deres område.</w:t>
            </w:r>
          </w:p>
        </w:tc>
        <w:tc>
          <w:tcPr>
            <w:tcW w:w="4876" w:type="dxa"/>
            <w:hideMark/>
          </w:tcPr>
          <w:p w:rsidR="007605D8" w:rsidRPr="00EC013E" w:rsidRDefault="000C264D" w:rsidP="007605D8">
            <w:pPr>
              <w:pStyle w:val="Normal6"/>
              <w:rPr>
                <w:szCs w:val="24"/>
              </w:rPr>
            </w:pPr>
            <w:r w:rsidRPr="00EC013E">
              <w:t>1.</w:t>
            </w:r>
            <w:r w:rsidRPr="00EC013E">
              <w:tab/>
              <w:t xml:space="preserve">Medlemsstaterne optager </w:t>
            </w:r>
            <w:r w:rsidRPr="00EC013E">
              <w:rPr>
                <w:b/>
                <w:bCs/>
                <w:i/>
                <w:iCs/>
              </w:rPr>
              <w:t>på beskyttelsesfølsom vis</w:t>
            </w:r>
            <w:r w:rsidRPr="00EC013E">
              <w:t xml:space="preserve"> omgående biometriske oplysninger af alle tredjelandsstatsborgere eller sta</w:t>
            </w:r>
            <w:r w:rsidRPr="00EC013E">
              <w:t>tsløse, der er fyldt 14 år, og som opholder sig irregulært på deres område.</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w:t>
      </w:r>
      <w:r w:rsidRPr="00EC013E">
        <w:t xml:space="preserve">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18 – artikel 14 – stk. 2 – indledning</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t xml:space="preserve">Den pågældende medlemsstat videregiver snarest muligt og senest 72 </w:t>
            </w:r>
            <w:r w:rsidRPr="00EC013E">
              <w:lastRenderedPageBreak/>
              <w:t xml:space="preserve">timer efter , at det er blevet konstateret, </w:t>
            </w:r>
            <w:r w:rsidRPr="00EC013E">
              <w:t>at tredjelandsstatsborgeren eller den statsløse person opholder sig ulovligt, til det centrale system og til CIR, hvis det er relevant, følgende oplysninger vedrørende de i stk. 1 omhandlede tredjelandsstatsborgere eller statsløse:</w:t>
            </w:r>
          </w:p>
        </w:tc>
        <w:tc>
          <w:tcPr>
            <w:tcW w:w="4876" w:type="dxa"/>
            <w:hideMark/>
          </w:tcPr>
          <w:p w:rsidR="007605D8" w:rsidRPr="00EC013E" w:rsidRDefault="000C264D" w:rsidP="007605D8">
            <w:pPr>
              <w:pStyle w:val="Normal6"/>
              <w:rPr>
                <w:szCs w:val="24"/>
              </w:rPr>
            </w:pPr>
            <w:r w:rsidRPr="00EC013E">
              <w:lastRenderedPageBreak/>
              <w:t>2.</w:t>
            </w:r>
            <w:r w:rsidRPr="00EC013E">
              <w:tab/>
              <w:t>Den pågældende medlem</w:t>
            </w:r>
            <w:r w:rsidRPr="00EC013E">
              <w:t xml:space="preserve">sstat videregiver snarest muligt og senest 72 </w:t>
            </w:r>
            <w:r w:rsidRPr="00EC013E">
              <w:lastRenderedPageBreak/>
              <w:t xml:space="preserve">timer efter, at det er blevet konstateret, at tredjelandsstatsborgeren eller den statsløse person opholder sig ulovligt, til det centrale system og til CIR, alt efter hvad der er relevant, </w:t>
            </w:r>
            <w:r w:rsidRPr="00EC013E">
              <w:rPr>
                <w:b/>
                <w:bCs/>
                <w:i/>
                <w:iCs/>
              </w:rPr>
              <w:t>i henhold til artikel</w:t>
            </w:r>
            <w:r w:rsidRPr="00EC013E">
              <w:rPr>
                <w:b/>
                <w:bCs/>
                <w:i/>
                <w:iCs/>
              </w:rPr>
              <w:t xml:space="preserve"> 4, stk. 2,</w:t>
            </w:r>
            <w:r w:rsidRPr="00EC013E">
              <w:t xml:space="preserve"> følgende oplysninger vedrørende de i stk. 1 omhandlede tredjelandsstatsborgere eller statsløse:</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18 – artikel 14 – stk. 2 – litra s</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rPr>
                <w:b/>
                <w:i/>
              </w:rPr>
            </w:pPr>
            <w:r w:rsidRPr="00EC013E">
              <w:rPr>
                <w:b/>
                <w:i/>
              </w:rPr>
              <w:t>s)</w:t>
            </w:r>
            <w:r w:rsidRPr="00EC013E">
              <w:rPr>
                <w:b/>
                <w:i/>
              </w:rPr>
              <w:tab/>
              <w:t xml:space="preserve">når det er relevant, det faktum, at personen kan udgøre en trussel mod den </w:t>
            </w:r>
            <w:r w:rsidRPr="00EC013E">
              <w:rPr>
                <w:b/>
                <w:i/>
              </w:rPr>
              <w:t>interne sikkerhed som resultat af den i forordning (EU) XXX/XXX [screeningsforordningen] omhandlede screening.</w:t>
            </w:r>
          </w:p>
        </w:tc>
        <w:tc>
          <w:tcPr>
            <w:tcW w:w="4876" w:type="dxa"/>
            <w:hideMark/>
          </w:tcPr>
          <w:p w:rsidR="007605D8" w:rsidRPr="00EC013E" w:rsidRDefault="000C264D" w:rsidP="007605D8">
            <w:pPr>
              <w:pStyle w:val="Normal6"/>
              <w:rPr>
                <w:b/>
                <w:i/>
              </w:rPr>
            </w:pPr>
            <w:r w:rsidRPr="00EC013E">
              <w:rPr>
                <w:b/>
                <w:i/>
              </w:rPr>
              <w:t>udgår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79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18 – artikel 14 – stk. 6</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6.</w:t>
            </w:r>
            <w:r w:rsidRPr="00EC013E">
              <w:tab/>
              <w:t>Hvert datasæt, der indsamles og videregives i overensstemmelse med stk. 1,</w:t>
            </w:r>
            <w:r w:rsidRPr="00EC013E">
              <w:t xml:space="preserve"> kædes sammen med andre datasæt vedrørende samme tredjelandsstatsborger eller statsløse person i en sekvens, jf. artikel 4, stk. 6.</w:t>
            </w:r>
          </w:p>
        </w:tc>
        <w:tc>
          <w:tcPr>
            <w:tcW w:w="4876" w:type="dxa"/>
            <w:hideMark/>
          </w:tcPr>
          <w:p w:rsidR="007605D8" w:rsidRPr="00EC013E" w:rsidRDefault="000C264D" w:rsidP="0015056E">
            <w:pPr>
              <w:pStyle w:val="Normal6"/>
            </w:pPr>
            <w:r w:rsidRPr="00EC013E">
              <w:t>6.</w:t>
            </w:r>
            <w:r w:rsidRPr="00EC013E">
              <w:tab/>
              <w:t>Hvert datasæt, der indsamles og videregives i overensstemmelse med stk. 1, kædes sammen med andre datasæt vedrørende samm</w:t>
            </w:r>
            <w:r w:rsidRPr="00EC013E">
              <w:t>e tredjelandsstatsborger eller statsløse person i én sekvens, jf. artikel 4, stk. 6</w:t>
            </w:r>
            <w:r w:rsidRPr="00EC013E">
              <w:rPr>
                <w:b/>
                <w:bCs/>
                <w:i/>
                <w:iCs/>
              </w:rPr>
              <w:t>, og i efterlevelse af de heri fastsatte begrænsninger</w:t>
            </w:r>
            <w:r w:rsidRPr="00EC013E">
              <w: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lastRenderedPageBreak/>
        <w:t>&lt;/Amend&gt;</w:t>
      </w:r>
    </w:p>
    <w:p w:rsidR="004A52D4" w:rsidRPr="00EC013E" w:rsidRDefault="000C264D" w:rsidP="004A52D4">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80</w:t>
      </w:r>
      <w:r w:rsidRPr="00EC013E">
        <w:rPr>
          <w:rStyle w:val="HideTWBExt"/>
        </w:rPr>
        <w:t>&lt;/NumAm&gt;</w:t>
      </w:r>
    </w:p>
    <w:p w:rsidR="004A52D4" w:rsidRPr="00EC013E" w:rsidRDefault="000C264D" w:rsidP="004A52D4">
      <w:pPr>
        <w:pStyle w:val="NormalBold"/>
      </w:pPr>
      <w:r w:rsidRPr="00EC013E">
        <w:rPr>
          <w:rStyle w:val="HideTWBExt"/>
        </w:rPr>
        <w:t>&lt;RepeatBlock-By&gt;&lt;Members&gt;</w:t>
      </w:r>
      <w:r w:rsidRPr="00EC013E">
        <w:t>Jorge Bu</w:t>
      </w:r>
      <w:r w:rsidRPr="00EC013E">
        <w:t>xadé Villalba</w:t>
      </w:r>
      <w:r w:rsidRPr="00EC013E">
        <w:rPr>
          <w:rStyle w:val="HideTWBExt"/>
        </w:rPr>
        <w:t>&lt;/Members&gt;</w:t>
      </w:r>
    </w:p>
    <w:p w:rsidR="004A52D4" w:rsidRPr="00EC013E" w:rsidRDefault="000C264D" w:rsidP="004A52D4">
      <w:r w:rsidRPr="00EC013E">
        <w:rPr>
          <w:rStyle w:val="HideTWBExt"/>
        </w:rPr>
        <w:t>&lt;/RepeatBlock-By&gt;</w:t>
      </w:r>
    </w:p>
    <w:p w:rsidR="004A52D4" w:rsidRPr="00EC013E" w:rsidRDefault="000C264D" w:rsidP="004A52D4">
      <w:pPr>
        <w:pStyle w:val="NormalBold"/>
        <w:keepNext/>
      </w:pPr>
      <w:r w:rsidRPr="00EC013E">
        <w:rPr>
          <w:rStyle w:val="HideTWBExt"/>
        </w:rPr>
        <w:t>&lt;DocAmend&gt;</w:t>
      </w:r>
      <w:r w:rsidRPr="00EC013E">
        <w:t>Forslag til forordning</w:t>
      </w:r>
      <w:r w:rsidRPr="00EC013E">
        <w:rPr>
          <w:rStyle w:val="HideTWBExt"/>
        </w:rPr>
        <w:t>&lt;/DocAmend&gt;</w:t>
      </w:r>
    </w:p>
    <w:p w:rsidR="004A52D4" w:rsidRPr="00EC013E" w:rsidRDefault="000C264D" w:rsidP="004A52D4">
      <w:pPr>
        <w:pStyle w:val="NormalBold"/>
      </w:pPr>
      <w:r w:rsidRPr="00EC013E">
        <w:rPr>
          <w:rStyle w:val="HideTWBExt"/>
        </w:rPr>
        <w:t>&lt;Article&gt;</w:t>
      </w:r>
      <w:r w:rsidRPr="00EC013E">
        <w:t>Nr. 19 – kapitel IV a</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3A3762">
        <w:trPr>
          <w:jc w:val="center"/>
        </w:trPr>
        <w:tc>
          <w:tcPr>
            <w:tcW w:w="9752" w:type="dxa"/>
            <w:gridSpan w:val="2"/>
          </w:tcPr>
          <w:p w:rsidR="004A52D4" w:rsidRPr="00EC013E" w:rsidRDefault="004A52D4" w:rsidP="003A3762">
            <w:pPr>
              <w:keepNext/>
            </w:pPr>
          </w:p>
        </w:tc>
      </w:tr>
      <w:tr w:rsidR="00DE4993" w:rsidRPr="00EC013E" w:rsidTr="003A3762">
        <w:trPr>
          <w:jc w:val="center"/>
        </w:trPr>
        <w:tc>
          <w:tcPr>
            <w:tcW w:w="4876" w:type="dxa"/>
            <w:hideMark/>
          </w:tcPr>
          <w:p w:rsidR="004A52D4" w:rsidRPr="00EC013E" w:rsidRDefault="000C264D" w:rsidP="003A3762">
            <w:pPr>
              <w:pStyle w:val="ColumnHeading"/>
              <w:keepNext/>
            </w:pPr>
            <w:r w:rsidRPr="00EC013E">
              <w:t>Kommissionens forslag</w:t>
            </w:r>
          </w:p>
        </w:tc>
        <w:tc>
          <w:tcPr>
            <w:tcW w:w="4876" w:type="dxa"/>
            <w:hideMark/>
          </w:tcPr>
          <w:p w:rsidR="004A52D4" w:rsidRPr="00EC013E" w:rsidRDefault="000C264D" w:rsidP="003A3762">
            <w:pPr>
              <w:pStyle w:val="ColumnHeading"/>
              <w:keepNext/>
            </w:pPr>
            <w:r w:rsidRPr="00EC013E">
              <w:t>Ændringsforslag</w:t>
            </w: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(19) </w:t>
            </w:r>
            <w:r w:rsidRPr="00EC013E">
              <w:rPr>
                <w:b/>
                <w:i/>
              </w:rPr>
              <w:tab/>
              <w:t>Efter artikel 14 indsættes følgende kapitel:</w:t>
            </w:r>
          </w:p>
        </w:tc>
        <w:tc>
          <w:tcPr>
            <w:tcW w:w="4876" w:type="dxa"/>
            <w:hideMark/>
          </w:tcPr>
          <w:p w:rsidR="004A52D4" w:rsidRPr="00EC013E" w:rsidRDefault="000C264D" w:rsidP="003A3762">
            <w:pPr>
              <w:pStyle w:val="Normal6"/>
              <w:rPr>
                <w:szCs w:val="24"/>
              </w:rPr>
            </w:pPr>
            <w:r w:rsidRPr="00EC013E">
              <w:rPr>
                <w:b/>
                <w:i/>
              </w:rPr>
              <w:t>udgår</w:t>
            </w:r>
            <w:r w:rsidRPr="00EC013E">
              <w:rPr>
                <w:i/>
              </w:rPr>
              <w:t xml:space="preserve"> </w:t>
            </w:r>
          </w:p>
        </w:tc>
      </w:tr>
      <w:tr w:rsidR="00DE4993" w:rsidRPr="00EC013E" w:rsidTr="003A3762">
        <w:trPr>
          <w:jc w:val="center"/>
        </w:trPr>
        <w:tc>
          <w:tcPr>
            <w:tcW w:w="4876" w:type="dxa"/>
            <w:hideMark/>
          </w:tcPr>
          <w:p w:rsidR="004A52D4" w:rsidRPr="00EC013E" w:rsidRDefault="000C264D" w:rsidP="003A3762">
            <w:pPr>
              <w:pStyle w:val="Normal6"/>
              <w:jc w:val="center"/>
              <w:rPr>
                <w:b/>
                <w:i/>
              </w:rPr>
            </w:pPr>
            <w:r w:rsidRPr="00EC013E">
              <w:rPr>
                <w:b/>
                <w:i/>
              </w:rPr>
              <w:t>”KAPITEL IV a</w:t>
            </w:r>
          </w:p>
        </w:tc>
        <w:tc>
          <w:tcPr>
            <w:tcW w:w="4876" w:type="dxa"/>
            <w:hideMark/>
          </w:tcPr>
          <w:p w:rsidR="004A52D4" w:rsidRPr="00EC013E" w:rsidRDefault="000C264D" w:rsidP="003A3762">
            <w:pPr>
              <w:pStyle w:val="Normal6"/>
              <w:rPr>
                <w:i/>
              </w:rPr>
            </w:pPr>
            <w:r w:rsidRPr="00EC013E">
              <w:rPr>
                <w:i/>
              </w:rPr>
              <w:t xml:space="preserve">(Dette </w:t>
            </w:r>
            <w:r w:rsidRPr="00EC013E">
              <w:rPr>
                <w:i/>
              </w:rPr>
              <w:t>ændringsforslag gælder for hele teksten. Hvis det vedtages, skal der foretages ændringer alle relevante steder).</w:t>
            </w:r>
          </w:p>
        </w:tc>
      </w:tr>
      <w:tr w:rsidR="00DE4993" w:rsidRPr="00EC013E" w:rsidTr="003A3762">
        <w:trPr>
          <w:jc w:val="center"/>
        </w:trPr>
        <w:tc>
          <w:tcPr>
            <w:tcW w:w="4876" w:type="dxa"/>
            <w:hideMark/>
          </w:tcPr>
          <w:p w:rsidR="004A52D4" w:rsidRPr="00EC013E" w:rsidRDefault="000C264D" w:rsidP="003A3762">
            <w:pPr>
              <w:pStyle w:val="Normal6"/>
              <w:jc w:val="center"/>
              <w:rPr>
                <w:b/>
                <w:i/>
              </w:rPr>
            </w:pPr>
            <w:r w:rsidRPr="00EC013E">
              <w:rPr>
                <w:b/>
                <w:i/>
              </w:rPr>
              <w:t>tredjelandsstatsborgere eller statsløse personer, der ilandsættes efter en eftersøgnings- og redningsoperation</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jc w:val="center"/>
              <w:rPr>
                <w:b/>
                <w:i/>
              </w:rPr>
            </w:pPr>
            <w:r w:rsidRPr="00EC013E">
              <w:rPr>
                <w:b/>
                <w:i/>
              </w:rPr>
              <w:t>Artikel 14 a</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jc w:val="center"/>
              <w:rPr>
                <w:b/>
                <w:i/>
              </w:rPr>
            </w:pPr>
            <w:r w:rsidRPr="00EC013E">
              <w:rPr>
                <w:b/>
                <w:i/>
              </w:rPr>
              <w:t xml:space="preserve">Indsamling og </w:t>
            </w:r>
            <w:r w:rsidRPr="00EC013E">
              <w:rPr>
                <w:b/>
                <w:i/>
              </w:rPr>
              <w:t>videregivelse af biometriske oplysninger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1. </w:t>
            </w:r>
            <w:r w:rsidRPr="00EC013E">
              <w:rPr>
                <w:b/>
                <w:i/>
              </w:rPr>
              <w:tab/>
              <w:t>Medlemsstaterne optager omgående biometriske oplysninger af alle tredjelandsstatsborgere eller statsløse, der er fyldt seks år, og som ilandsættes efter en eftersøgnings- og redningsoperation, jf. forordning (</w:t>
            </w:r>
            <w:r w:rsidRPr="00EC013E">
              <w:rPr>
                <w:b/>
                <w:i/>
              </w:rPr>
              <w:t>EU) XXX/XXX [forordningen om asylforvaltning og migrationsstyring].</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2. </w:t>
            </w:r>
            <w:r w:rsidRPr="00EC013E">
              <w:rPr>
                <w:b/>
                <w:i/>
              </w:rPr>
              <w:tab/>
              <w:t>Den pågældende medlemsstat videregiver snarest muligt og senest 72 timer efter datoen for ilandsætningen til det centrale system og til CIR, hvis det er relevant, følgende oplysninge</w:t>
            </w:r>
            <w:r w:rsidRPr="00EC013E">
              <w:rPr>
                <w:b/>
                <w:i/>
              </w:rPr>
              <w:t>r vedrørende de i stk. 1 omhandlede tredjelandsstatsborgere eller statsløse:</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(a)</w:t>
            </w:r>
            <w:r w:rsidRPr="00EC013E">
              <w:rPr>
                <w:b/>
                <w:i/>
              </w:rPr>
              <w:tab/>
              <w:t>fingeraftryksoplysninger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(b)</w:t>
            </w:r>
            <w:r w:rsidRPr="00EC013E">
              <w:rPr>
                <w:b/>
                <w:i/>
              </w:rPr>
              <w:tab/>
              <w:t>et ansigtsbillede</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(c)</w:t>
            </w:r>
            <w:r w:rsidRPr="00EC013E">
              <w:rPr>
                <w:b/>
                <w:i/>
              </w:rPr>
              <w:tab/>
              <w:t>efternavn(e) og fornavn(e), fødenavn(e) og tidligere anvendte navne og eventuelle kaldenavne, som kan registreres særs</w:t>
            </w:r>
            <w:r w:rsidRPr="00EC013E">
              <w:rPr>
                <w:b/>
                <w:i/>
              </w:rPr>
              <w:t>kilt</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(d)</w:t>
            </w:r>
            <w:r w:rsidRPr="00EC013E">
              <w:rPr>
                <w:b/>
                <w:i/>
              </w:rPr>
              <w:tab/>
              <w:t>nationalitet(er)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(e)</w:t>
            </w:r>
            <w:r w:rsidRPr="00EC013E">
              <w:rPr>
                <w:b/>
                <w:i/>
              </w:rPr>
              <w:tab/>
              <w:t>fødselsdato</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lastRenderedPageBreak/>
              <w:t>(f)</w:t>
            </w:r>
            <w:r w:rsidRPr="00EC013E">
              <w:rPr>
                <w:b/>
                <w:i/>
              </w:rPr>
              <w:tab/>
              <w:t>fødested</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(g)</w:t>
            </w:r>
            <w:r w:rsidRPr="00EC013E">
              <w:rPr>
                <w:b/>
                <w:i/>
              </w:rPr>
              <w:tab/>
              <w:t>oprindelsesmedlemsstat, sted og dato for ilandsætningen</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(h)</w:t>
            </w:r>
            <w:r w:rsidRPr="00EC013E">
              <w:rPr>
                <w:b/>
                <w:i/>
              </w:rPr>
              <w:tab/>
              <w:t>køn</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(i)</w:t>
            </w:r>
            <w:r w:rsidRPr="00EC013E">
              <w:rPr>
                <w:b/>
                <w:i/>
              </w:rPr>
              <w:tab/>
              <w:t xml:space="preserve">hvis det forefindes, identitetsdokumentets eller rejsedokumentets type og nummer, udstedelseslandets kode på tre </w:t>
            </w:r>
            <w:r w:rsidRPr="00EC013E">
              <w:rPr>
                <w:b/>
                <w:i/>
              </w:rPr>
              <w:t>bogstaver og udløbsdato</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(j)</w:t>
            </w:r>
            <w:r w:rsidRPr="00EC013E">
              <w:rPr>
                <w:b/>
                <w:i/>
              </w:rPr>
              <w:tab/>
              <w:t>hvis det forefindes, en scannet farvekopi af et identitets- eller rejsedokument med en angivelse af dets ægthed, eller, hvis dette ikke forefindes, et andet dokument, der letter identifikationen af tredjelandsstatsborgeren ell</w:t>
            </w:r>
            <w:r w:rsidRPr="00EC013E">
              <w:rPr>
                <w:b/>
                <w:i/>
              </w:rPr>
              <w:t>er den statsløse person, med en angivelse af dets ægthed</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(k)</w:t>
            </w:r>
            <w:r w:rsidRPr="00EC013E">
              <w:rPr>
                <w:b/>
                <w:i/>
              </w:rPr>
              <w:tab/>
              <w:t>det referencenummer, oprindelsesmedlemsstaten bruger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(l)</w:t>
            </w:r>
            <w:r w:rsidRPr="00EC013E">
              <w:rPr>
                <w:b/>
                <w:i/>
              </w:rPr>
              <w:tab/>
              <w:t>dato for optagelse af biometriske oplysninger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(m)</w:t>
            </w:r>
            <w:r w:rsidRPr="00EC013E">
              <w:rPr>
                <w:b/>
                <w:i/>
              </w:rPr>
              <w:tab/>
              <w:t xml:space="preserve">dato for videregivelse af oplysningerne til det centrale system og til CIR, hvis </w:t>
            </w:r>
            <w:r w:rsidRPr="00EC013E">
              <w:rPr>
                <w:b/>
                <w:i/>
              </w:rPr>
              <w:t>det er relevant</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(n)</w:t>
            </w:r>
            <w:r w:rsidRPr="00EC013E">
              <w:rPr>
                <w:b/>
                <w:i/>
              </w:rPr>
              <w:tab/>
              <w:t>operatørens brugernavn</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(o)</w:t>
            </w:r>
            <w:r w:rsidRPr="00EC013E">
              <w:rPr>
                <w:b/>
                <w:i/>
              </w:rPr>
              <w:tab/>
              <w:t>når det i henhold til stk. 6 er relevant, datoen, hvor den pågældende forlod eller blev udsendt af medlemsstaternes område</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(p)</w:t>
            </w:r>
            <w:r w:rsidRPr="00EC013E">
              <w:rPr>
                <w:b/>
                <w:i/>
              </w:rPr>
              <w:tab/>
              <w:t>tilflytningsmedlemsstaten i henhold til artikel 14b, stk. 1</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(q)</w:t>
            </w:r>
            <w:r w:rsidRPr="00EC013E">
              <w:rPr>
                <w:b/>
                <w:i/>
              </w:rPr>
              <w:tab/>
              <w:t>når det er</w:t>
            </w:r>
            <w:r w:rsidRPr="00EC013E">
              <w:rPr>
                <w:b/>
                <w:i/>
              </w:rPr>
              <w:t xml:space="preserve"> relevant, det faktum, at der er blevet ydet bistand til frivillig tilbagevenden og reintegration</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(r)</w:t>
            </w:r>
            <w:r w:rsidRPr="00EC013E">
              <w:rPr>
                <w:b/>
                <w:i/>
              </w:rPr>
              <w:tab/>
              <w:t>det faktum, at personen kan udgøre en trussel mod den interne sikkerhed som resultat af den i forordning (EU) XXX/XXX [screeningsforordningen] omhandled</w:t>
            </w:r>
            <w:r w:rsidRPr="00EC013E">
              <w:rPr>
                <w:b/>
                <w:i/>
              </w:rPr>
              <w:t>e screening.</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4. </w:t>
            </w:r>
            <w:r w:rsidRPr="00EC013E">
              <w:rPr>
                <w:b/>
                <w:i/>
              </w:rPr>
              <w:tab/>
              <w:t xml:space="preserve">Manglende overholdelse af den i nærværende artikels stk. 2 omhandlede frist på 72 timer fritager ikke </w:t>
            </w:r>
            <w:r w:rsidRPr="00EC013E">
              <w:rPr>
                <w:b/>
                <w:i/>
              </w:rPr>
              <w:lastRenderedPageBreak/>
              <w:t>medlemsstaterne for deres pligt til at optage og videresende de biometriske oplysninger til CIR. Når fingerspidsernes tilstand ikke gør</w:t>
            </w:r>
            <w:r w:rsidRPr="00EC013E">
              <w:rPr>
                <w:b/>
                <w:i/>
              </w:rPr>
              <w:t xml:space="preserve"> det muligt at optage fingeraftryk af en kvalitet, der kan bruges til hensigtsmæssig sammenligning i medfør af artikel 26, optager oprindelsesmedlemsstaten på ny fingeraftryk af de ilandsatte personer, jf. nærværende artikels stk. 1, og sender dem igen sna</w:t>
            </w:r>
            <w:r w:rsidRPr="00EC013E">
              <w:rPr>
                <w:b/>
                <w:i/>
              </w:rPr>
              <w:t>rest muligt og senest 48 timer efter vellykket fingeraftryksoptagelse.</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5. </w:t>
            </w:r>
            <w:r w:rsidRPr="00EC013E">
              <w:rPr>
                <w:b/>
                <w:i/>
              </w:rPr>
              <w:tab/>
              <w:t>Når det ikke er muligt at optage  biometriske oplysninger af en ansøger om international beskyttelse på grund af foranstaltninger truffet af hensyn til ansøgerens helbred eller ti</w:t>
            </w:r>
            <w:r w:rsidRPr="00EC013E">
              <w:rPr>
                <w:b/>
                <w:i/>
              </w:rPr>
              <w:t>l beskyttelsen af folkesundheden, optager og videresender medlemsstaterne som en undtagelse fra stk. 1  de biometriske oplysninger snarest muligt og senest 48 timer efter, at disse sundhedsmæssige hensyn ikke længere er nødvendige.</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I tilfælde af alvorlig</w:t>
            </w:r>
            <w:r w:rsidRPr="00EC013E">
              <w:rPr>
                <w:b/>
                <w:i/>
              </w:rPr>
              <w:t>e tekniske problemer kan medlemsstaterne forlænge tidsfristen på 72 timer i stk. 2 med op til 48 timer med henblik på at gennemføre deres nationale beredskabsplaner.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6. </w:t>
            </w:r>
            <w:r w:rsidRPr="00EC013E">
              <w:rPr>
                <w:b/>
                <w:i/>
              </w:rPr>
              <w:tab/>
              <w:t>Så snart oprindelsesmedlemsstaten sikrer, at den pågældende person, hvis data er reg</w:t>
            </w:r>
            <w:r w:rsidRPr="00EC013E">
              <w:rPr>
                <w:b/>
                <w:i/>
              </w:rPr>
              <w:t>istreret i Eurodac i henhold til stk. 1, har forladt medlemsstaternes område, i overensstemmelse med en afgørelse om tilbagesendelse eller udsendelse, opdaterer den det datasæt, som er registreret i henhold til stk. 2, vedrørende den pågældende ved at tilf</w:t>
            </w:r>
            <w:r w:rsidRPr="00EC013E">
              <w:rPr>
                <w:b/>
                <w:i/>
              </w:rPr>
              <w:t>øje den dato, hvor den pågældende blev udsendt eller forlod området.</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7. </w:t>
            </w:r>
            <w:r w:rsidRPr="00EC013E">
              <w:rPr>
                <w:b/>
                <w:i/>
              </w:rPr>
              <w:tab/>
              <w:t>På den berørte medlemsstats anmodning kan de biometriske oplysninger også optages og videregives på denne medlemsstats vegne af medlemmer af europæiske grænse- og kystvagthold eller</w:t>
            </w:r>
            <w:r w:rsidRPr="00EC013E">
              <w:rPr>
                <w:b/>
                <w:i/>
              </w:rPr>
              <w:t xml:space="preserve"> af eksperter fra asylstøtteholdene, når de udfører opgaver og udøver beføjelser i overensstemmelse </w:t>
            </w:r>
            <w:r w:rsidRPr="00EC013E">
              <w:rPr>
                <w:b/>
                <w:i/>
              </w:rPr>
              <w:lastRenderedPageBreak/>
              <w:t>med forordning (EU) 2019/1896 og forordning (EU) XXX/XXX [forordningen om EU's Asylagentur].</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8. </w:t>
            </w:r>
            <w:r w:rsidRPr="00EC013E">
              <w:rPr>
                <w:b/>
                <w:i/>
              </w:rPr>
              <w:tab/>
              <w:t>Hvert datasæt, der indsamles og videregives i overensstem</w:t>
            </w:r>
            <w:r w:rsidRPr="00EC013E">
              <w:rPr>
                <w:b/>
                <w:i/>
              </w:rPr>
              <w:t>melse med stk. 1, kædes sammen med andre datasæt vedrørende samme tredjelandsstatsborger eller statsløse person i en sekvens, jf. artikel 4, stk. 6.</w:t>
            </w:r>
          </w:p>
        </w:tc>
        <w:tc>
          <w:tcPr>
            <w:tcW w:w="4876" w:type="dxa"/>
          </w:tcPr>
          <w:p w:rsidR="004A52D4" w:rsidRPr="00EC013E" w:rsidRDefault="004A52D4" w:rsidP="003A3762">
            <w:pPr>
              <w:pStyle w:val="Normal6"/>
              <w:rPr>
                <w:i/>
              </w:rPr>
            </w:pPr>
          </w:p>
        </w:tc>
      </w:tr>
      <w:tr w:rsidR="00DE4993" w:rsidRPr="00EC013E" w:rsidTr="003A3762">
        <w:trPr>
          <w:jc w:val="center"/>
        </w:trPr>
        <w:tc>
          <w:tcPr>
            <w:tcW w:w="4876" w:type="dxa"/>
            <w:hideMark/>
          </w:tcPr>
          <w:p w:rsidR="004A52D4" w:rsidRPr="00EC013E" w:rsidRDefault="000C264D" w:rsidP="003A3762">
            <w:pPr>
              <w:pStyle w:val="Normal6"/>
              <w:rPr>
                <w:b/>
                <w:i/>
              </w:rPr>
            </w:pPr>
            <w:r w:rsidRPr="00EC013E">
              <w:rPr>
                <w:b/>
                <w:i/>
              </w:rPr>
              <w:t xml:space="preserve">9. </w:t>
            </w:r>
            <w:r w:rsidRPr="00EC013E">
              <w:rPr>
                <w:b/>
                <w:i/>
              </w:rPr>
              <w:tab/>
              <w:t>Et datasæt i henhold til stk. 1 anses for oprettet med henblik på artikel 27, stk. 1, i forordning (E</w:t>
            </w:r>
            <w:r w:rsidRPr="00EC013E">
              <w:rPr>
                <w:b/>
                <w:i/>
              </w:rPr>
              <w:t>U) 818/2019, når alle oplysningerne i litra a)-f) og h) er registreret."</w:t>
            </w:r>
          </w:p>
        </w:tc>
        <w:tc>
          <w:tcPr>
            <w:tcW w:w="4876" w:type="dxa"/>
          </w:tcPr>
          <w:p w:rsidR="004A52D4" w:rsidRPr="00EC013E" w:rsidRDefault="004A52D4" w:rsidP="003A3762">
            <w:pPr>
              <w:pStyle w:val="Normal6"/>
              <w:rPr>
                <w:i/>
              </w:rPr>
            </w:pPr>
          </w:p>
        </w:tc>
      </w:tr>
    </w:tbl>
    <w:p w:rsidR="004A52D4" w:rsidRPr="00EC013E" w:rsidRDefault="000C264D" w:rsidP="004A52D4">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4A52D4" w:rsidRPr="00EC013E" w:rsidRDefault="000C264D" w:rsidP="004A52D4">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81</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 xml:space="preserve">Forslag til </w:t>
      </w:r>
      <w:r w:rsidRPr="00EC013E">
        <w:t>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20 – artikel 14 b – stk.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Så snart tilflytningsmedlemsstaten er </w:t>
            </w:r>
            <w:r w:rsidRPr="00EC013E">
              <w:rPr>
                <w:b/>
                <w:bCs/>
                <w:i/>
                <w:iCs/>
              </w:rPr>
              <w:t>forpligtet til at omfordele den pågældende person</w:t>
            </w:r>
            <w:r w:rsidRPr="00EC013E">
              <w:t xml:space="preserve"> i henhold til artikel 57, stk. 7, i forordning (EU) XXX/XXX [forordningen om asylforvaltning og migrationsstyring], opdaterer den ansvarsoverdragende medlemsstat det datasæt, der er registreret i henhold til nærværende forordnings </w:t>
            </w:r>
            <w:r w:rsidRPr="00EC013E">
              <w:rPr>
                <w:b/>
                <w:bCs/>
                <w:i/>
                <w:iCs/>
              </w:rPr>
              <w:t>artikel</w:t>
            </w:r>
            <w:r w:rsidRPr="00EC013E">
              <w:t xml:space="preserve"> 12</w:t>
            </w:r>
            <w:r w:rsidRPr="00EC013E">
              <w:rPr>
                <w:b/>
                <w:bCs/>
                <w:i/>
                <w:iCs/>
              </w:rPr>
              <w:t>,</w:t>
            </w:r>
            <w:r w:rsidRPr="00EC013E">
              <w:t xml:space="preserve"> 13, </w:t>
            </w:r>
            <w:r w:rsidRPr="00EC013E">
              <w:rPr>
                <w:b/>
                <w:bCs/>
                <w:i/>
                <w:iCs/>
              </w:rPr>
              <w:t>14 eller</w:t>
            </w:r>
            <w:r w:rsidRPr="00EC013E">
              <w:rPr>
                <w:b/>
                <w:bCs/>
                <w:i/>
                <w:iCs/>
              </w:rPr>
              <w:t xml:space="preserve"> 14a,</w:t>
            </w:r>
            <w:r w:rsidRPr="00EC013E">
              <w:t xml:space="preserve"> vedrørende den pågældende ved at tilføje tilflytningsmedlemsstaten.</w:t>
            </w:r>
          </w:p>
        </w:tc>
        <w:tc>
          <w:tcPr>
            <w:tcW w:w="4876" w:type="dxa"/>
            <w:hideMark/>
          </w:tcPr>
          <w:p w:rsidR="007605D8" w:rsidRPr="00EC013E" w:rsidRDefault="000C264D" w:rsidP="007605D8">
            <w:pPr>
              <w:pStyle w:val="Normal6"/>
              <w:rPr>
                <w:szCs w:val="24"/>
              </w:rPr>
            </w:pPr>
            <w:r w:rsidRPr="00EC013E">
              <w:t>1.</w:t>
            </w:r>
            <w:r w:rsidRPr="00EC013E">
              <w:tab/>
              <w:t xml:space="preserve">Så snart tilflytningsmedlemsstaten er </w:t>
            </w:r>
            <w:r w:rsidRPr="00EC013E">
              <w:rPr>
                <w:b/>
                <w:bCs/>
                <w:i/>
                <w:iCs/>
              </w:rPr>
              <w:t>udpeget</w:t>
            </w:r>
            <w:r w:rsidRPr="00EC013E">
              <w:t xml:space="preserve"> i henhold til artikel 57, stk. 7, i forordning (EU) XXX/XXX [forordningen om asylforvaltning og migrationsstyring], opdaterer den ans</w:t>
            </w:r>
            <w:r w:rsidRPr="00EC013E">
              <w:t xml:space="preserve">varsoverdragende medlemsstat det datasæt, der er registreret i henhold til nærværende forordnings artikel 12 </w:t>
            </w:r>
            <w:r w:rsidRPr="00EC013E">
              <w:rPr>
                <w:b/>
                <w:bCs/>
                <w:i/>
                <w:iCs/>
              </w:rPr>
              <w:t>eller</w:t>
            </w:r>
            <w:r w:rsidRPr="00EC013E">
              <w:t xml:space="preserve"> 13, vedrørende den pågældende ved at tilføje tilflytningsmedlemsstaten.</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w:t>
      </w:r>
      <w:r w:rsidRPr="00EC013E">
        <w:rPr>
          <w:rStyle w:val="HideTWBExt"/>
        </w:rPr>
        <w:t>mAm&gt;</w:t>
      </w:r>
      <w:r w:rsidRPr="00EC013E">
        <w:t>82</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21 (-a) (nyt) – artikel 17 – stk. 1 a (nyt)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397221">
            <w:pPr>
              <w:pStyle w:val="Normal6"/>
              <w:rPr>
                <w:szCs w:val="24"/>
              </w:rPr>
            </w:pPr>
            <w:r w:rsidRPr="00EC013E">
              <w:rPr>
                <w:b/>
                <w:i/>
              </w:rPr>
              <w:t>"1a.</w:t>
            </w:r>
            <w:r w:rsidRPr="00EC013E">
              <w:rPr>
                <w:b/>
                <w:i/>
              </w:rPr>
              <w:tab/>
              <w:t>Med henblik på artikel 12a lagres alle datasæt vedrørende en genbosat tredjelandsstatsborger eller statsløs person i det centrale system i fem år fra den dato, hvor de biometriske data blev optaget."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Style w:val="HideTWBExt"/>
        </w:rPr>
      </w:pPr>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83</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21 (b) – artikel 17 – stk. 4</w:t>
      </w:r>
      <w:r w:rsidRPr="00EC013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 xml:space="preserve">Kommissionens </w:t>
            </w:r>
            <w:r w:rsidRPr="00EC013E">
              <w:t>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"4.</w:t>
            </w:r>
            <w:r w:rsidRPr="00EC013E">
              <w:tab/>
              <w:t>Efter udløbet af de i nærværende artikels stk. 1-3a omhandlede lagringsperioder slettes de pågældende oplysninger om de registrerede fra det centrale system og fra CIR, hvis det er relevant."</w:t>
            </w:r>
          </w:p>
        </w:tc>
        <w:tc>
          <w:tcPr>
            <w:tcW w:w="4876" w:type="dxa"/>
            <w:hideMark/>
          </w:tcPr>
          <w:p w:rsidR="007605D8" w:rsidRPr="00EC013E" w:rsidRDefault="000C264D" w:rsidP="007605D8">
            <w:pPr>
              <w:pStyle w:val="Normal6"/>
              <w:rPr>
                <w:szCs w:val="24"/>
              </w:rPr>
            </w:pPr>
            <w:r w:rsidRPr="00EC013E">
              <w:t>"4.</w:t>
            </w:r>
            <w:r w:rsidRPr="00EC013E">
              <w:tab/>
              <w:t>Efter udløbet af de i nærværend</w:t>
            </w:r>
            <w:r w:rsidRPr="00EC013E">
              <w:t xml:space="preserve">e artikels stk. 1-3a omhandlede lagringsperioder slettes de pågældende oplysninger om de registrerede </w:t>
            </w:r>
            <w:r w:rsidRPr="00EC013E">
              <w:rPr>
                <w:b/>
                <w:bCs/>
                <w:i/>
                <w:iCs/>
              </w:rPr>
              <w:t>automatisk</w:t>
            </w:r>
            <w:r w:rsidRPr="00EC013E">
              <w:t xml:space="preserve"> fra det centrale system og fra CIR, hvis det er relevant."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84</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22 – artikel 19 – overskrift</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 xml:space="preserve">Mærkning </w:t>
            </w:r>
            <w:r w:rsidRPr="00EC013E">
              <w:rPr>
                <w:b/>
                <w:bCs/>
                <w:i/>
                <w:iCs/>
              </w:rPr>
              <w:t>og blokering</w:t>
            </w:r>
            <w:r w:rsidRPr="00EC013E">
              <w:t xml:space="preserve"> af op</w:t>
            </w:r>
            <w:r w:rsidRPr="00EC013E">
              <w:t>lysninger</w:t>
            </w:r>
          </w:p>
        </w:tc>
        <w:tc>
          <w:tcPr>
            <w:tcW w:w="4876" w:type="dxa"/>
            <w:hideMark/>
          </w:tcPr>
          <w:p w:rsidR="007605D8" w:rsidRPr="00EC013E" w:rsidRDefault="000C264D" w:rsidP="007605D8">
            <w:pPr>
              <w:pStyle w:val="Normal6"/>
              <w:rPr>
                <w:szCs w:val="24"/>
              </w:rPr>
            </w:pPr>
            <w:r w:rsidRPr="00EC013E">
              <w:t>Mærkning af oplysninger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rPr>
          <w:b/>
        </w:rPr>
      </w:pPr>
      <w:r w:rsidRPr="00EC013E">
        <w:rPr>
          <w:rStyle w:val="HideTWBExt"/>
          <w:b/>
        </w:rPr>
        <w:t>&lt;Amend&gt;</w:t>
      </w:r>
      <w:r w:rsidRPr="00EC013E">
        <w:rPr>
          <w:b/>
        </w:rPr>
        <w:t>Ændringsforslag</w:t>
      </w:r>
      <w:r w:rsidRPr="00EC013E">
        <w:rPr>
          <w:b/>
        </w:rPr>
        <w:tab/>
      </w:r>
      <w:r w:rsidRPr="00EC013E">
        <w:rPr>
          <w:rStyle w:val="HideTWBExt"/>
          <w:b/>
        </w:rPr>
        <w:t>&lt;NumAm&gt;</w:t>
      </w:r>
      <w:r w:rsidRPr="00EC013E">
        <w:rPr>
          <w:b/>
        </w:rPr>
        <w:t>85</w:t>
      </w:r>
      <w:r w:rsidRPr="00EC013E">
        <w:rPr>
          <w:rStyle w:val="HideTWBExt"/>
          <w:b/>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Dispositiv </w:t>
      </w:r>
      <w:r w:rsidRPr="00EC013E">
        <w:t>del – nr. 22 – artikel 19 – stk. 1</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1.</w:t>
            </w:r>
            <w:r w:rsidRPr="00EC013E">
              <w:tab/>
              <w:t xml:space="preserve">Den oprindelsesmedlemsstat, der har indrømmet international beskyttelse til en person, hvis oplysninger tidligere var registreret i det centrale system og i CIR, hvis </w:t>
            </w:r>
            <w:r w:rsidRPr="00EC013E">
              <w:t>det er relevant, i medfør af artikel 12, mærker med henblik på artikel 1, stk. 1, litra a), de pågældende oplysninger i overensstemmelse med de krav til elektronisk kommunikation med det centrale system, som eu-LISA fastlægger. Mærkningen lagres i det cent</w:t>
            </w:r>
            <w:r w:rsidRPr="00EC013E">
              <w:t>rale system i henhold til artikel 17, stk. 1, med henblik på videregivelse i henhold til artikel 15 og 16. Det centrale system oplyser snarest muligt og senest 72 timer efter samtlige oprindelsesmedlemsstater om mærkning af oplysninger fra en anden oprinde</w:t>
            </w:r>
            <w:r w:rsidRPr="00EC013E">
              <w:t>lsesmedlemsstats side, når der er tale om et hit med oplysninger, som den videregav vedrørende personer omhandlet i artikel 10, stk. 1, artikel 13, stk. 1, artikel 14, stk. 1, eller artikel 14a, stk. 1. De pågældende oprindelsesmedlemsstater mærker også de</w:t>
            </w:r>
            <w:r w:rsidRPr="00EC013E">
              <w:t xml:space="preserve"> tilsvarende datasæt.</w:t>
            </w:r>
          </w:p>
        </w:tc>
        <w:tc>
          <w:tcPr>
            <w:tcW w:w="4876" w:type="dxa"/>
            <w:hideMark/>
          </w:tcPr>
          <w:p w:rsidR="007605D8" w:rsidRPr="00EC013E" w:rsidRDefault="000C264D" w:rsidP="007605D8">
            <w:pPr>
              <w:pStyle w:val="Normal6"/>
              <w:rPr>
                <w:szCs w:val="24"/>
              </w:rPr>
            </w:pPr>
            <w:r w:rsidRPr="00EC013E">
              <w:t>1.</w:t>
            </w:r>
            <w:r w:rsidRPr="00EC013E">
              <w:tab/>
              <w:t xml:space="preserve">Den oprindelsesmedlemsstat, der har indrømmet international beskyttelse til en person, hvis oplysninger tidligere var registreret i det centrale system og i CIR, hvis det er relevant, i medfør af </w:t>
            </w:r>
            <w:r w:rsidRPr="00EC013E">
              <w:rPr>
                <w:b/>
                <w:bCs/>
                <w:i/>
                <w:iCs/>
              </w:rPr>
              <w:t>artikel</w:t>
            </w:r>
            <w:r w:rsidRPr="00EC013E">
              <w:t xml:space="preserve"> 12 </w:t>
            </w:r>
            <w:r w:rsidRPr="00EC013E">
              <w:rPr>
                <w:b/>
                <w:bCs/>
                <w:i/>
                <w:iCs/>
              </w:rPr>
              <w:t>eller 12a</w:t>
            </w:r>
            <w:r w:rsidRPr="00EC013E">
              <w:t>, mærker med he</w:t>
            </w:r>
            <w:r w:rsidRPr="00EC013E">
              <w:t xml:space="preserve">nblik på artikel 1, stk. 1, </w:t>
            </w:r>
            <w:r w:rsidRPr="00EC013E">
              <w:rPr>
                <w:b/>
                <w:bCs/>
                <w:i/>
                <w:iCs/>
              </w:rPr>
              <w:t>litra</w:t>
            </w:r>
            <w:r w:rsidRPr="00EC013E">
              <w:t xml:space="preserve"> a) </w:t>
            </w:r>
            <w:r w:rsidRPr="00EC013E">
              <w:rPr>
                <w:b/>
                <w:bCs/>
                <w:i/>
                <w:iCs/>
              </w:rPr>
              <w:t>og b)</w:t>
            </w:r>
            <w:r w:rsidRPr="00EC013E">
              <w:t xml:space="preserve">, de pågældende oplysninger i overensstemmelse med de krav til elektronisk kommunikation med det centrale system, som eu-LISA fastlægger. Mærkningen lagres i det centrale system i henhold til artikel 17, </w:t>
            </w:r>
            <w:r w:rsidRPr="00EC013E">
              <w:rPr>
                <w:b/>
                <w:bCs/>
                <w:i/>
                <w:iCs/>
              </w:rPr>
              <w:t>stk.</w:t>
            </w:r>
            <w:r w:rsidRPr="00EC013E">
              <w:t xml:space="preserve"> 1 </w:t>
            </w:r>
            <w:r w:rsidRPr="00EC013E">
              <w:rPr>
                <w:b/>
                <w:bCs/>
                <w:i/>
                <w:iCs/>
              </w:rPr>
              <w:t xml:space="preserve">og </w:t>
            </w:r>
            <w:r w:rsidRPr="00EC013E">
              <w:rPr>
                <w:b/>
                <w:bCs/>
                <w:i/>
                <w:iCs/>
              </w:rPr>
              <w:t>1a</w:t>
            </w:r>
            <w:r w:rsidRPr="00EC013E">
              <w:t xml:space="preserve">, med henblik på videregivelse i henhold til artikel 15 og 16. Det centrale system oplyser snarest muligt og senest 72 timer efter samtlige oprindelsesmedlemsstater om mærkning af oplysninger fra en anden oprindelsesmedlemsstats side, når der er tale om </w:t>
            </w:r>
            <w:r w:rsidRPr="00EC013E">
              <w:t xml:space="preserve">et hit med oplysninger, som den videregav vedrørende personer omhandlet i artikel 10, stk. 1, </w:t>
            </w:r>
            <w:r w:rsidRPr="00EC013E">
              <w:rPr>
                <w:b/>
                <w:bCs/>
                <w:i/>
                <w:iCs/>
              </w:rPr>
              <w:t>artikel 12,</w:t>
            </w:r>
            <w:r w:rsidRPr="00EC013E">
              <w:t xml:space="preserve"> </w:t>
            </w:r>
            <w:r w:rsidRPr="00EC013E">
              <w:rPr>
                <w:b/>
                <w:bCs/>
                <w:i/>
                <w:iCs/>
              </w:rPr>
              <w:t>litra b),</w:t>
            </w:r>
            <w:r w:rsidRPr="00EC013E">
              <w:t xml:space="preserve"> artikel 13, stk. 1, eller artikel 14a, stk. 1. De pågældende oprindelsesmedlemsstater mærker også de tilsvarende datasæt.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rStyle w:val="HideTWBInt"/>
          <w:noProof w:val="0"/>
        </w:rPr>
        <w:t>}</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86</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22 – artikel 19 – stk. 2</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2.</w:t>
            </w:r>
            <w:r w:rsidRPr="00EC013E">
              <w:tab/>
              <w:t>Oplysninger om personer med international beskyttelse, der opbevares i det centrale system og i CIR, hvis det er relevant, og er mærket i henhold til nærværende artikels stk. 1, stilles til rådighed til sammenligni</w:t>
            </w:r>
            <w:r w:rsidRPr="00EC013E">
              <w:t xml:space="preserve">nger med henblik på formålene i artikel 1, stk. 1, litra d), indtil den dato, hvor oplysningerne </w:t>
            </w:r>
            <w:r w:rsidRPr="00EC013E">
              <w:lastRenderedPageBreak/>
              <w:t>automatisk slettes fra det centrale system og fra CIR i henhold til artikel 17, stk. 4.</w:t>
            </w:r>
          </w:p>
        </w:tc>
        <w:tc>
          <w:tcPr>
            <w:tcW w:w="4876" w:type="dxa"/>
            <w:hideMark/>
          </w:tcPr>
          <w:p w:rsidR="007605D8" w:rsidRPr="00EC013E" w:rsidRDefault="000C264D" w:rsidP="007605D8">
            <w:pPr>
              <w:pStyle w:val="Normal6"/>
              <w:rPr>
                <w:szCs w:val="24"/>
              </w:rPr>
            </w:pPr>
            <w:r w:rsidRPr="00EC013E">
              <w:lastRenderedPageBreak/>
              <w:t>2.</w:t>
            </w:r>
            <w:r w:rsidRPr="00EC013E">
              <w:tab/>
              <w:t>Oplysninger om personer med international beskyttelse, der opbevares</w:t>
            </w:r>
            <w:r w:rsidRPr="00EC013E">
              <w:t xml:space="preserve"> i det centrale system og i CIR, alt efter hvad der er relevant, </w:t>
            </w:r>
            <w:r w:rsidRPr="00EC013E">
              <w:rPr>
                <w:b/>
                <w:bCs/>
                <w:i/>
                <w:iCs/>
              </w:rPr>
              <w:t>i henhold til artikel 4, stk. 2,</w:t>
            </w:r>
            <w:r w:rsidRPr="00EC013E">
              <w:t xml:space="preserve"> og er mærket i henhold til nærværende artikels stk. 1, stilles til rådighed til sammenligninger med henblik på formålene i artikel 1, stk. 1, litra d), indtil </w:t>
            </w:r>
            <w:r w:rsidRPr="00EC013E">
              <w:lastRenderedPageBreak/>
              <w:t>den dato, hvor oplysningerne automatisk slettes fra det centrale system og fra CIR i henhold til</w:t>
            </w:r>
            <w:r w:rsidRPr="00EC013E">
              <w:t xml:space="preserve"> artikel 17, stk. 4.</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87</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Dispositiv del – nr. 22</w:t>
      </w:r>
      <w:r w:rsidRPr="00EC013E">
        <w:t xml:space="preserve"> – artikel 19 – stk. 4</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4.</w:t>
            </w:r>
            <w:r w:rsidRPr="00EC013E">
              <w:tab/>
              <w:t xml:space="preserve">Med henblik på artikel 1, stk. 1, </w:t>
            </w:r>
            <w:r w:rsidRPr="00EC013E">
              <w:rPr>
                <w:b/>
                <w:bCs/>
                <w:i/>
                <w:iCs/>
              </w:rPr>
              <w:t>litra</w:t>
            </w:r>
            <w:r w:rsidRPr="00EC013E">
              <w:t xml:space="preserve"> a) </w:t>
            </w:r>
            <w:r w:rsidRPr="00EC013E">
              <w:rPr>
                <w:b/>
                <w:bCs/>
                <w:i/>
                <w:iCs/>
              </w:rPr>
              <w:t>og c)</w:t>
            </w:r>
            <w:r w:rsidRPr="00EC013E">
              <w:t xml:space="preserve"> mærker den oprindelsesmedlemsstat, som har udstedt en opholdstilladelse til en tredjelandsstatsborger eller en statsløs person med </w:t>
            </w:r>
            <w:r w:rsidRPr="00EC013E">
              <w:rPr>
                <w:b/>
                <w:bCs/>
                <w:i/>
                <w:iCs/>
              </w:rPr>
              <w:t>ulovligt</w:t>
            </w:r>
            <w:r w:rsidRPr="00EC013E">
              <w:t xml:space="preserve"> ophold, hvis oplysninger tidligere var registreret i det centrale system og i CIR, hvis det er relevant, i henhold </w:t>
            </w:r>
            <w:r w:rsidRPr="00EC013E">
              <w:t xml:space="preserve">til artikel 13, stk. 2, og artikel 14, stk. 2, </w:t>
            </w:r>
            <w:r w:rsidRPr="00EC013E">
              <w:rPr>
                <w:b/>
                <w:bCs/>
                <w:i/>
                <w:iCs/>
              </w:rPr>
              <w:t>eller til en tredjelandsstatsborger eller en statsløs person, der ilandsættes efter en eftersøgnings- og redningsoperation, og hvis oplysninger tidligere var registreret i det centrale system og i CIR, hvis de</w:t>
            </w:r>
            <w:r w:rsidRPr="00EC013E">
              <w:rPr>
                <w:b/>
                <w:bCs/>
                <w:i/>
                <w:iCs/>
              </w:rPr>
              <w:t>t er relevant, i henhold til artikel 14a, stk. 2,</w:t>
            </w:r>
            <w:r w:rsidRPr="00EC013E">
              <w:t xml:space="preserve"> de relevante oplysninger i overensstemmelse med de krav til elektronisk kommunikation med det centrale system, som eu-LISA fastsætter. Mærkningen lagres i det centrale system i henhold til artikel 17, stk. </w:t>
            </w:r>
            <w:r w:rsidRPr="00EC013E">
              <w:t xml:space="preserve">2, 3 og 3a, med henblik på videregivelse i henhold til artikel 15 og 16. Det centrale system oplyser snarest muligt og senest 72 timer efter samtlige oprindelsesmedlemsstater om mærkning af oplysninger fra en anden oprindelsesmedlemsstats side, når der er </w:t>
            </w:r>
            <w:r w:rsidRPr="00EC013E">
              <w:t>tale om et hit med oplysninger, som de videregav vedrørende personer omhandlet i artikel 10, stk. 1, artikel 13, stk. 1</w:t>
            </w:r>
            <w:r w:rsidRPr="00EC013E">
              <w:rPr>
                <w:b/>
                <w:bCs/>
                <w:i/>
                <w:iCs/>
              </w:rPr>
              <w:t>, artikel 14, stk. 1, eller artikel 14a, stk. 1</w:t>
            </w:r>
            <w:r w:rsidRPr="00EC013E">
              <w:t xml:space="preserve">. De pågældende oprindelsesmedlemsstater </w:t>
            </w:r>
            <w:r w:rsidRPr="00EC013E">
              <w:lastRenderedPageBreak/>
              <w:t>mærker også de tilsvarende datasæt.</w:t>
            </w:r>
          </w:p>
        </w:tc>
        <w:tc>
          <w:tcPr>
            <w:tcW w:w="4876" w:type="dxa"/>
            <w:hideMark/>
          </w:tcPr>
          <w:p w:rsidR="007605D8" w:rsidRPr="00EC013E" w:rsidRDefault="000C264D" w:rsidP="00F022DC">
            <w:pPr>
              <w:pStyle w:val="Normal6"/>
              <w:rPr>
                <w:szCs w:val="24"/>
              </w:rPr>
            </w:pPr>
            <w:r w:rsidRPr="00EC013E">
              <w:lastRenderedPageBreak/>
              <w:t>4.</w:t>
            </w:r>
            <w:r w:rsidRPr="00EC013E">
              <w:tab/>
              <w:t>Med henbli</w:t>
            </w:r>
            <w:r w:rsidRPr="00EC013E">
              <w:t xml:space="preserve">k på artikel 1, stk. 1, litra a), mærker den oprindelsesmedlemsstat, som har udstedt en opholdstilladelse til en tredjelandsstatsborger eller en statsløs person med </w:t>
            </w:r>
            <w:r w:rsidRPr="00EC013E">
              <w:rPr>
                <w:b/>
                <w:bCs/>
                <w:i/>
                <w:iCs/>
              </w:rPr>
              <w:t>irregulært</w:t>
            </w:r>
            <w:r w:rsidRPr="00EC013E">
              <w:t xml:space="preserve"> ophold, hvis oplysninger tidligere var registreret i det centrale system og i CI</w:t>
            </w:r>
            <w:r w:rsidRPr="00EC013E">
              <w:t>R, hvis det er relevant, i henhold til artikel 13, stk. 2, og artikel 14, stk. 2, de relevante oplysninger i overensstemmelse med de krav til elektronisk kommunikation med det centrale system, som eu-LISA fastsætter. Mærkningen lagres i det centrale system</w:t>
            </w:r>
            <w:r w:rsidRPr="00EC013E">
              <w:t xml:space="preserve"> i henhold til artikel 17, stk. 2, 3 og 3a, med henblik på videregivelse i henhold til artikel 15 og 16. Det centrale system oplyser snarest muligt og senest 72 timer efter samtlige oprindelsesmedlemsstater om mærkning af oplysninger fra en anden oprindels</w:t>
            </w:r>
            <w:r w:rsidRPr="00EC013E">
              <w:t xml:space="preserve">esmedlemsstats side, når der er tale om et hit med oplysninger, som den videregav vedrørende personer omhandlet i artikel 10, stk. 1, </w:t>
            </w:r>
            <w:r w:rsidRPr="00EC013E">
              <w:rPr>
                <w:b/>
                <w:bCs/>
                <w:i/>
                <w:iCs/>
              </w:rPr>
              <w:t>eller</w:t>
            </w:r>
            <w:r w:rsidRPr="00EC013E">
              <w:t xml:space="preserve"> artikel 13, stk. 1. De pågældende oprindelsesmedlemsstater mærker også de tilsvarende datasæt.</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88</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nr. 22 – artikel 19 – stk. 5</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5.</w:t>
            </w:r>
            <w:r w:rsidRPr="00EC013E">
              <w:tab/>
              <w:t xml:space="preserve">Oplysninger om tredjelandsstatsborgere eller statsløse personer med </w:t>
            </w:r>
            <w:r w:rsidRPr="00EC013E">
              <w:rPr>
                <w:b/>
                <w:bCs/>
                <w:i/>
                <w:iCs/>
              </w:rPr>
              <w:t>ulovligt</w:t>
            </w:r>
            <w:r w:rsidRPr="00EC013E">
              <w:t xml:space="preserve"> ophold, som er lagret i det centrale system og i CIR, hvis det er relevant, og mærket i henhold til nærværende artikels stk. 4, stilles t</w:t>
            </w:r>
            <w:r w:rsidRPr="00EC013E">
              <w:t>il rådighed til sammenligninger med henblik på artikel 1, stk. 1, litra d), indtil den dato, hvor oplysningerne automatisk slettes fra det centrale system og fra CIR i henhold til artikel 17, stk. 4.</w:t>
            </w:r>
          </w:p>
        </w:tc>
        <w:tc>
          <w:tcPr>
            <w:tcW w:w="4876" w:type="dxa"/>
            <w:hideMark/>
          </w:tcPr>
          <w:p w:rsidR="007605D8" w:rsidRPr="00EC013E" w:rsidRDefault="000C264D" w:rsidP="007605D8">
            <w:pPr>
              <w:pStyle w:val="Normal6"/>
              <w:rPr>
                <w:szCs w:val="24"/>
              </w:rPr>
            </w:pPr>
            <w:r w:rsidRPr="00EC013E">
              <w:t>5.</w:t>
            </w:r>
            <w:r w:rsidRPr="00EC013E">
              <w:tab/>
              <w:t>Oplysninger om tredjelandsstatsborgere eller statsløs</w:t>
            </w:r>
            <w:r w:rsidRPr="00EC013E">
              <w:t xml:space="preserve">e personer med </w:t>
            </w:r>
            <w:r w:rsidRPr="00EC013E">
              <w:rPr>
                <w:b/>
                <w:bCs/>
                <w:i/>
                <w:iCs/>
              </w:rPr>
              <w:t>irregulært</w:t>
            </w:r>
            <w:r w:rsidRPr="00EC013E">
              <w:t xml:space="preserve"> ophold, som er lagret i det centrale system og i CIR, hvis det er relevant, og mærket i henhold til nærværende artikels stk. 4, stilles til rådighed til sammenligninger med henblik på artikel 1, stk. 1, litra d), indtil den dato, </w:t>
            </w:r>
            <w:r w:rsidRPr="00EC013E">
              <w:t>hvor oplysningerne automatisk slettes fra det centrale system og fra CIR i henhold til artikel 17, stk. 4.</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89</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nr. 25 – artikel 28 – stk. 3 a</w:t>
      </w:r>
      <w:r w:rsidRPr="00EC013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7605D8">
        <w:trPr>
          <w:jc w:val="center"/>
        </w:trPr>
        <w:tc>
          <w:tcPr>
            <w:tcW w:w="9752" w:type="dxa"/>
            <w:gridSpan w:val="2"/>
          </w:tcPr>
          <w:p w:rsidR="007605D8" w:rsidRPr="00EC013E" w:rsidRDefault="007605D8" w:rsidP="007605D8">
            <w:pPr>
              <w:keepNext/>
            </w:pPr>
          </w:p>
        </w:tc>
      </w:tr>
      <w:tr w:rsidR="00DE4993" w:rsidRPr="00EC013E" w:rsidTr="007605D8">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7605D8">
        <w:trPr>
          <w:jc w:val="center"/>
        </w:trPr>
        <w:tc>
          <w:tcPr>
            <w:tcW w:w="4876" w:type="dxa"/>
            <w:hideMark/>
          </w:tcPr>
          <w:p w:rsidR="007605D8" w:rsidRPr="00EC013E" w:rsidRDefault="000C264D" w:rsidP="007605D8">
            <w:pPr>
              <w:pStyle w:val="Normal6"/>
            </w:pPr>
            <w:r w:rsidRPr="00EC013E">
              <w:t>3a.</w:t>
            </w:r>
            <w:r w:rsidRPr="00EC013E">
              <w:tab/>
              <w:t xml:space="preserve">Der indrømmes adgang til søgning i de Eurodacoplysninger, som er lagret i CIR, </w:t>
            </w:r>
            <w:r w:rsidRPr="00EC013E">
              <w:t>til de behørigt bemyndigede medarbejdere ved de nationale myndigheder i hver enkelt medlemsstat og til de behørigt bemyndigede medarbejdere i de EU-organer, der er kompetente med henblik på de formål, der er fastsat i artikel 20 og 21 i forordning (EU) 201</w:t>
            </w:r>
            <w:r w:rsidRPr="00EC013E">
              <w:t xml:space="preserve">9/818. Adgangen begrænses til det omfang, der er nødvendigt for udførelsen af de nationale </w:t>
            </w:r>
            <w:r w:rsidRPr="00EC013E">
              <w:lastRenderedPageBreak/>
              <w:t>myndigheders og EU-organers opgaver i overensstemmelse med disse formål, og skal stå i et rimeligt forhold til de tilstræbte mål.</w:t>
            </w:r>
          </w:p>
        </w:tc>
        <w:tc>
          <w:tcPr>
            <w:tcW w:w="4876" w:type="dxa"/>
            <w:hideMark/>
          </w:tcPr>
          <w:p w:rsidR="007605D8" w:rsidRPr="00EC013E" w:rsidRDefault="000C264D" w:rsidP="007605D8">
            <w:pPr>
              <w:pStyle w:val="Normal6"/>
              <w:rPr>
                <w:szCs w:val="24"/>
              </w:rPr>
            </w:pPr>
            <w:r w:rsidRPr="00EC013E">
              <w:lastRenderedPageBreak/>
              <w:t>3a.</w:t>
            </w:r>
            <w:r w:rsidRPr="00EC013E">
              <w:tab/>
              <w:t>Der indrømmes adgang til søgnin</w:t>
            </w:r>
            <w:r w:rsidRPr="00EC013E">
              <w:t xml:space="preserve">g i de Eurodacoplysninger, som er lagret i CIR, til de behørigt bemyndigede medarbejdere ved de </w:t>
            </w:r>
            <w:r w:rsidRPr="00EC013E">
              <w:rPr>
                <w:b/>
                <w:bCs/>
                <w:i/>
                <w:iCs/>
              </w:rPr>
              <w:t>kompetente</w:t>
            </w:r>
            <w:r w:rsidRPr="00EC013E">
              <w:t xml:space="preserve"> nationale myndigheder i hver enkelt medlemsstat og til de behørigt bemyndigede medarbejdere i de EU-organer, der er kompetente med henblik på de form</w:t>
            </w:r>
            <w:r w:rsidRPr="00EC013E">
              <w:t xml:space="preserve">ål, der er fastsat i artikel 20 og 21 i forordning (EU) 2019/818. Adgangen begrænses til det omfang, der er nødvendigt for udførelsen af de nationale </w:t>
            </w:r>
            <w:r w:rsidRPr="00EC013E">
              <w:lastRenderedPageBreak/>
              <w:t>myndigheders og EU-organers opgaver i overensstemmelse med disse formål, og skal stå i et rimeligt forhold</w:t>
            </w:r>
            <w:r w:rsidRPr="00EC013E">
              <w:t xml:space="preserve"> til de tilstræbte mål.</w:t>
            </w:r>
          </w:p>
        </w:tc>
      </w:tr>
    </w:tbl>
    <w:p w:rsidR="007605D8" w:rsidRPr="00EC013E" w:rsidRDefault="000C264D" w:rsidP="007605D8">
      <w:pPr>
        <w:pStyle w:val="Olang"/>
        <w:rPr>
          <w:noProof w:val="0"/>
        </w:rPr>
      </w:pPr>
      <w:r w:rsidRPr="00EC013E">
        <w:rPr>
          <w:noProof w:val="0"/>
        </w:rPr>
        <w:lastRenderedPageBreak/>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r w:rsidRPr="00EC013E">
        <w:rPr>
          <w:rStyle w:val="HideTWBExt"/>
        </w:rPr>
        <w:t>&lt;/Amend&gt;</w:t>
      </w:r>
    </w:p>
    <w:p w:rsidR="007605D8" w:rsidRPr="00EC013E" w:rsidRDefault="000C264D" w:rsidP="007605D8">
      <w:pPr>
        <w:pStyle w:val="AMNumberTabs0"/>
        <w:keepNext/>
      </w:pPr>
      <w:r w:rsidRPr="00EC013E">
        <w:rPr>
          <w:rStyle w:val="HideTWBExt"/>
        </w:rPr>
        <w:t>&lt;Amend&gt;</w:t>
      </w:r>
      <w:r w:rsidRPr="00EC013E">
        <w:t>Ændringsforslag</w:t>
      </w:r>
      <w:r w:rsidRPr="00EC013E">
        <w:tab/>
      </w:r>
      <w:r w:rsidRPr="00EC013E">
        <w:tab/>
      </w:r>
      <w:r w:rsidRPr="00EC013E">
        <w:rPr>
          <w:rStyle w:val="HideTWBExt"/>
        </w:rPr>
        <w:t>&lt;NumAm&gt;</w:t>
      </w:r>
      <w:r w:rsidRPr="00EC013E">
        <w:t>90</w:t>
      </w:r>
      <w:r w:rsidRPr="00EC013E">
        <w:rPr>
          <w:rStyle w:val="HideTWBExt"/>
        </w:rPr>
        <w:t>&lt;/NumAm&gt;</w:t>
      </w:r>
    </w:p>
    <w:p w:rsidR="007605D8" w:rsidRPr="00EC013E" w:rsidRDefault="000C264D" w:rsidP="007605D8">
      <w:pPr>
        <w:pStyle w:val="NormalBold"/>
      </w:pPr>
      <w:r w:rsidRPr="00EC013E">
        <w:rPr>
          <w:rStyle w:val="HideTWBExt"/>
        </w:rPr>
        <w:t>&lt;RepeatBlock-By&gt;&lt;Members&gt;</w:t>
      </w:r>
      <w:r w:rsidRPr="00EC013E">
        <w:t>Jorge Buxadé Villalba</w:t>
      </w:r>
      <w:r w:rsidRPr="00EC013E">
        <w:rPr>
          <w:rStyle w:val="HideTWBExt"/>
        </w:rPr>
        <w:t>&lt;/Members&gt;</w:t>
      </w:r>
    </w:p>
    <w:p w:rsidR="007605D8" w:rsidRPr="00EC013E" w:rsidRDefault="000C264D" w:rsidP="007605D8">
      <w:r w:rsidRPr="00EC013E">
        <w:rPr>
          <w:rStyle w:val="HideTWBExt"/>
        </w:rPr>
        <w:t>&lt;/RepeatBlock-By&gt;</w:t>
      </w:r>
    </w:p>
    <w:p w:rsidR="007605D8" w:rsidRPr="00EC013E" w:rsidRDefault="000C264D" w:rsidP="007605D8">
      <w:pPr>
        <w:pStyle w:val="NormalBold"/>
        <w:keepNext/>
      </w:pPr>
      <w:r w:rsidRPr="00EC013E">
        <w:rPr>
          <w:rStyle w:val="HideTWBExt"/>
        </w:rPr>
        <w:t>&lt;DocAmend&gt;</w:t>
      </w:r>
      <w:r w:rsidRPr="00EC013E">
        <w:t>Forslag til forordning</w:t>
      </w:r>
      <w:r w:rsidRPr="00EC013E">
        <w:rPr>
          <w:rStyle w:val="HideTWBExt"/>
        </w:rPr>
        <w:t>&lt;/DocAmend&gt;</w:t>
      </w:r>
    </w:p>
    <w:p w:rsidR="007605D8" w:rsidRPr="00EC013E" w:rsidRDefault="000C264D" w:rsidP="007605D8">
      <w:pPr>
        <w:pStyle w:val="NormalBold"/>
      </w:pPr>
      <w:r w:rsidRPr="00EC013E">
        <w:rPr>
          <w:rStyle w:val="HideTWBExt"/>
        </w:rPr>
        <w:t>&lt;Article&gt;</w:t>
      </w:r>
      <w:r w:rsidRPr="00EC013E">
        <w:t xml:space="preserve"> Dispositiv del – </w:t>
      </w:r>
      <w:r w:rsidRPr="00EC013E">
        <w:t>nr. 26 a (nyt) – artikel 34 – stk. 1</w:t>
      </w:r>
      <w:r w:rsidRPr="00EC013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4993" w:rsidRPr="00EC013E" w:rsidTr="00D1390F">
        <w:trPr>
          <w:jc w:val="center"/>
        </w:trPr>
        <w:tc>
          <w:tcPr>
            <w:tcW w:w="9752" w:type="dxa"/>
            <w:gridSpan w:val="2"/>
          </w:tcPr>
          <w:p w:rsidR="007605D8" w:rsidRPr="00EC013E" w:rsidRDefault="007605D8" w:rsidP="007605D8">
            <w:pPr>
              <w:keepNext/>
            </w:pPr>
          </w:p>
        </w:tc>
      </w:tr>
      <w:tr w:rsidR="00DE4993" w:rsidRPr="00EC013E" w:rsidTr="00D1390F">
        <w:trPr>
          <w:jc w:val="center"/>
        </w:trPr>
        <w:tc>
          <w:tcPr>
            <w:tcW w:w="4876" w:type="dxa"/>
            <w:hideMark/>
          </w:tcPr>
          <w:p w:rsidR="007605D8" w:rsidRPr="00EC013E" w:rsidRDefault="000C264D" w:rsidP="007605D8">
            <w:pPr>
              <w:pStyle w:val="ColumnHeading"/>
              <w:keepNext/>
            </w:pPr>
            <w:r w:rsidRPr="00EC013E">
              <w:t>Kommissionens forslag</w:t>
            </w:r>
          </w:p>
        </w:tc>
        <w:tc>
          <w:tcPr>
            <w:tcW w:w="4876" w:type="dxa"/>
            <w:hideMark/>
          </w:tcPr>
          <w:p w:rsidR="007605D8" w:rsidRPr="00EC013E" w:rsidRDefault="000C264D" w:rsidP="007605D8">
            <w:pPr>
              <w:pStyle w:val="ColumnHeading"/>
              <w:keepNext/>
            </w:pPr>
            <w:r w:rsidRPr="00EC013E">
              <w:t>Ændringsforslag</w:t>
            </w:r>
          </w:p>
        </w:tc>
      </w:tr>
      <w:tr w:rsidR="00DE4993" w:rsidRPr="00EC013E" w:rsidTr="00D1390F">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7605D8">
            <w:pPr>
              <w:pStyle w:val="Normal6"/>
              <w:rPr>
                <w:szCs w:val="24"/>
              </w:rPr>
            </w:pPr>
            <w:r w:rsidRPr="00EC013E">
              <w:rPr>
                <w:b/>
                <w:i/>
              </w:rPr>
              <w:t>26a)</w:t>
            </w:r>
            <w:r w:rsidRPr="00EC013E">
              <w:rPr>
                <w:b/>
                <w:i/>
              </w:rPr>
              <w:tab/>
              <w:t xml:space="preserve"> Artikel 34, stk. 1, affattes således:</w:t>
            </w:r>
          </w:p>
        </w:tc>
      </w:tr>
      <w:tr w:rsidR="00DE4993" w:rsidRPr="00EC013E" w:rsidTr="00D1390F">
        <w:trPr>
          <w:jc w:val="center"/>
        </w:trPr>
        <w:tc>
          <w:tcPr>
            <w:tcW w:w="4876" w:type="dxa"/>
          </w:tcPr>
          <w:p w:rsidR="007605D8" w:rsidRPr="00EC013E" w:rsidRDefault="007605D8" w:rsidP="007605D8">
            <w:pPr>
              <w:pStyle w:val="Normal6"/>
            </w:pPr>
          </w:p>
        </w:tc>
        <w:tc>
          <w:tcPr>
            <w:tcW w:w="4876" w:type="dxa"/>
            <w:hideMark/>
          </w:tcPr>
          <w:p w:rsidR="007605D8" w:rsidRPr="00EC013E" w:rsidRDefault="000C264D" w:rsidP="00E81E98">
            <w:pPr>
              <w:pStyle w:val="Normal6"/>
              <w:rPr>
                <w:szCs w:val="24"/>
              </w:rPr>
            </w:pPr>
            <w:r w:rsidRPr="00EC013E">
              <w:rPr>
                <w:b/>
                <w:i/>
              </w:rPr>
              <w:t xml:space="preserve">"1. De nationale tilsynsmyndigheder og Den Europæiske Tilsynsførende for Databeskyttelse samarbejder aktivt i </w:t>
            </w:r>
            <w:r w:rsidRPr="00EC013E">
              <w:rPr>
                <w:b/>
                <w:i/>
              </w:rPr>
              <w:t xml:space="preserve">overensstemmelse med deres respektive beføjelser og inden for rammerne af deres ansvarsområder og drager omsorg for samordnet tilsyn med Eurodac. De nationale tilsynsmyndigheder og Den Europæiske Tilsynsførende for Databeskyttelse anvender en enkelt model </w:t>
            </w:r>
            <w:r w:rsidRPr="00EC013E">
              <w:rPr>
                <w:b/>
                <w:i/>
              </w:rPr>
              <w:t>for koordineret tilsyn, jf. artikel 62 i forordning (EU) 2018/1725, for tilsynsmyndighedernes fælles aktiviteter."</w:t>
            </w:r>
          </w:p>
        </w:tc>
      </w:tr>
    </w:tbl>
    <w:p w:rsidR="007605D8" w:rsidRPr="00EC013E" w:rsidRDefault="000C264D" w:rsidP="007605D8">
      <w:pPr>
        <w:pStyle w:val="Olang"/>
        <w:rPr>
          <w:noProof w:val="0"/>
        </w:rPr>
      </w:pPr>
      <w:r w:rsidRPr="00EC013E">
        <w:rPr>
          <w:noProof w:val="0"/>
        </w:rPr>
        <w:t xml:space="preserve">Or. </w:t>
      </w:r>
      <w:r w:rsidRPr="00EC013E">
        <w:rPr>
          <w:rStyle w:val="HideTWBExt"/>
          <w:noProof w:val="0"/>
        </w:rPr>
        <w:t>&lt;Original&gt;</w:t>
      </w:r>
      <w:r w:rsidRPr="00EC013E">
        <w:rPr>
          <w:rStyle w:val="HideTWBInt"/>
          <w:noProof w:val="0"/>
        </w:rPr>
        <w:t>{EN}</w:t>
      </w:r>
      <w:r w:rsidRPr="00EC013E">
        <w:rPr>
          <w:noProof w:val="0"/>
        </w:rPr>
        <w:t>en</w:t>
      </w:r>
      <w:r w:rsidRPr="00EC013E">
        <w:rPr>
          <w:rStyle w:val="HideTWBExt"/>
          <w:noProof w:val="0"/>
        </w:rPr>
        <w:t>&lt;/Original&gt;</w:t>
      </w:r>
    </w:p>
    <w:p w:rsidR="007605D8" w:rsidRPr="00EC013E" w:rsidRDefault="000C264D" w:rsidP="007605D8">
      <w:pPr>
        <w:rPr>
          <w:rFonts w:ascii="Arial" w:hAnsi="Arial"/>
          <w:noProof/>
          <w:vanish/>
          <w:color w:val="000080"/>
          <w:sz w:val="20"/>
        </w:rPr>
      </w:pPr>
      <w:r w:rsidRPr="00EC013E">
        <w:rPr>
          <w:rStyle w:val="HideTWBExt"/>
        </w:rPr>
        <w:t>&lt;/Amend&gt;&lt;/RepeatBlock-Amend&gt;</w:t>
      </w:r>
    </w:p>
    <w:p w:rsidR="00A64FB9" w:rsidRPr="00EC013E" w:rsidRDefault="00A64FB9" w:rsidP="007605D8">
      <w:pPr>
        <w:pStyle w:val="AMNumberTabs0"/>
        <w:keepNext/>
      </w:pPr>
    </w:p>
    <w:bookmarkEnd w:id="0"/>
    <w:p w:rsidR="001E3613" w:rsidRPr="00EC013E" w:rsidRDefault="001E3613" w:rsidP="00FA192C">
      <w:pPr>
        <w:sectPr w:rsidR="001E3613" w:rsidRPr="00EC013E" w:rsidSect="00EC01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EC013E" w:rsidRDefault="000C264D" w:rsidP="001E3613">
      <w:pPr>
        <w:pStyle w:val="PageHeading"/>
      </w:pPr>
      <w:bookmarkStart w:id="1" w:name="_Toc121842161"/>
      <w:bookmarkStart w:id="2" w:name="RollCallPageRR"/>
      <w:r w:rsidRPr="00EC013E">
        <w:lastRenderedPageBreak/>
        <w:t>RESULTAT AF ENDELIG AFSTEMNING VED NAVNEOPRÅB I KORRESPONDERENDE UDVALG</w:t>
      </w:r>
      <w:bookmarkEnd w:id="1"/>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E4993" w:rsidRPr="00EC013E" w:rsidTr="001E3613">
        <w:trPr>
          <w:cantSplit/>
        </w:trPr>
        <w:tc>
          <w:tcPr>
            <w:tcW w:w="1701" w:type="dxa"/>
            <w:shd w:val="pct10" w:color="000000" w:fill="FFFFFF"/>
            <w:vAlign w:val="center"/>
          </w:tcPr>
          <w:p w:rsidR="001E3613" w:rsidRPr="00EC013E" w:rsidRDefault="000C264D" w:rsidP="002B59CE">
            <w:pPr>
              <w:pStyle w:val="RollCallVotes"/>
            </w:pPr>
            <w:r w:rsidRPr="00EC013E">
              <w:t>3</w:t>
            </w:r>
            <w:r w:rsidRPr="00EC013E">
              <w:t>9</w:t>
            </w:r>
          </w:p>
        </w:tc>
        <w:tc>
          <w:tcPr>
            <w:tcW w:w="7371" w:type="dxa"/>
            <w:shd w:val="pct10" w:color="000000" w:fill="FFFFFF"/>
          </w:tcPr>
          <w:p w:rsidR="001E3613" w:rsidRPr="00EC013E" w:rsidRDefault="000C264D" w:rsidP="002B59CE">
            <w:pPr>
              <w:pStyle w:val="RollCallSymbols14pt"/>
            </w:pPr>
            <w:r w:rsidRPr="00EC013E">
              <w:t>+</w:t>
            </w:r>
          </w:p>
        </w:tc>
      </w:tr>
      <w:tr w:rsidR="00DE4993" w:rsidRPr="00EC013E" w:rsidTr="001E3613">
        <w:trPr>
          <w:cantSplit/>
        </w:trPr>
        <w:tc>
          <w:tcPr>
            <w:tcW w:w="1701" w:type="dxa"/>
            <w:shd w:val="clear" w:color="auto" w:fill="FFFFFF"/>
          </w:tcPr>
          <w:p w:rsidR="001E3613" w:rsidRPr="00EC013E" w:rsidRDefault="000C264D" w:rsidP="002B59CE">
            <w:pPr>
              <w:pStyle w:val="RollCallTable"/>
            </w:pPr>
            <w:r w:rsidRPr="00EC013E">
              <w:t>PPE</w:t>
            </w:r>
          </w:p>
        </w:tc>
        <w:tc>
          <w:tcPr>
            <w:tcW w:w="7371" w:type="dxa"/>
            <w:shd w:val="clear" w:color="auto" w:fill="FFFFFF"/>
          </w:tcPr>
          <w:p w:rsidR="001E3613" w:rsidRPr="00EC013E" w:rsidRDefault="000C264D" w:rsidP="002B59CE">
            <w:pPr>
              <w:pStyle w:val="RollCallTable"/>
            </w:pPr>
            <w:r w:rsidRPr="00EC013E">
              <w:t>Magdalena Adamowicz</w:t>
            </w:r>
            <w:bookmarkStart w:id="3" w:name="_GoBack"/>
            <w:bookmarkEnd w:id="3"/>
            <w:r w:rsidRPr="00EC013E">
              <w:t>, François-Xavier Bellamy, Vladimír Bilčík, Vasile Blaga, Karolin Braunsberger-Reinhold, Lena Düpont, Andrzej Halicki, Jeroen Lenaers, Lukas Mandl, Nadine Morano, Paulo Rangel, Sara Skyttedal, Axel Voss, Javier Zarzalejos, Tomáš</w:t>
            </w:r>
            <w:r w:rsidRPr="00EC013E">
              <w:t xml:space="preserve"> Zdechovský</w:t>
            </w:r>
          </w:p>
        </w:tc>
      </w:tr>
      <w:tr w:rsidR="00DE4993" w:rsidRPr="00EC013E" w:rsidTr="002B59CE">
        <w:trPr>
          <w:cantSplit/>
        </w:trPr>
        <w:tc>
          <w:tcPr>
            <w:tcW w:w="1701" w:type="dxa"/>
            <w:shd w:val="clear" w:color="auto" w:fill="FFFFFF"/>
          </w:tcPr>
          <w:p w:rsidR="001E3613" w:rsidRPr="00EC013E" w:rsidRDefault="000C264D" w:rsidP="002B59CE">
            <w:pPr>
              <w:pStyle w:val="RollCallTable"/>
            </w:pPr>
            <w:r w:rsidRPr="00EC013E">
              <w:t>S&amp;D</w:t>
            </w:r>
          </w:p>
        </w:tc>
        <w:tc>
          <w:tcPr>
            <w:tcW w:w="7371" w:type="dxa"/>
            <w:shd w:val="clear" w:color="auto" w:fill="FFFFFF"/>
          </w:tcPr>
          <w:p w:rsidR="001E3613" w:rsidRPr="00EC013E" w:rsidRDefault="000C264D" w:rsidP="002B59CE">
            <w:pPr>
              <w:pStyle w:val="RollCallTable"/>
            </w:pPr>
            <w:r w:rsidRPr="00EC013E">
              <w:t>Elena Yoncheva</w:t>
            </w:r>
          </w:p>
        </w:tc>
      </w:tr>
      <w:tr w:rsidR="00DE4993" w:rsidRPr="00EC013E" w:rsidTr="002B59CE">
        <w:trPr>
          <w:cantSplit/>
        </w:trPr>
        <w:tc>
          <w:tcPr>
            <w:tcW w:w="1701" w:type="dxa"/>
            <w:shd w:val="clear" w:color="auto" w:fill="FFFFFF"/>
          </w:tcPr>
          <w:p w:rsidR="001E3613" w:rsidRPr="00EC013E" w:rsidRDefault="000C264D" w:rsidP="002B59CE">
            <w:pPr>
              <w:pStyle w:val="RollCallTable"/>
            </w:pPr>
            <w:r w:rsidRPr="00EC013E">
              <w:t>RENEW</w:t>
            </w:r>
          </w:p>
        </w:tc>
        <w:tc>
          <w:tcPr>
            <w:tcW w:w="7371" w:type="dxa"/>
            <w:shd w:val="clear" w:color="auto" w:fill="FFFFFF"/>
          </w:tcPr>
          <w:p w:rsidR="001E3613" w:rsidRPr="00EC013E" w:rsidRDefault="000C264D" w:rsidP="002B59CE">
            <w:pPr>
              <w:pStyle w:val="RollCallTable"/>
            </w:pPr>
            <w:r w:rsidRPr="00EC013E">
              <w:t>Abir Al-Sahlani, Malik Azmani, Lucia Ďuriš Nicholsonová, Sophia in 't Veld, Irena Joveva, Fabienne Keller, Moritz Körner, Jan-Christoph Oetjen, Maite Pagazaurtundúa, Dragoş Tudorache</w:t>
            </w:r>
          </w:p>
        </w:tc>
      </w:tr>
      <w:tr w:rsidR="00DE4993" w:rsidRPr="00EC013E" w:rsidTr="001E3613">
        <w:trPr>
          <w:cantSplit/>
        </w:trPr>
        <w:tc>
          <w:tcPr>
            <w:tcW w:w="1701" w:type="dxa"/>
            <w:shd w:val="clear" w:color="auto" w:fill="FFFFFF"/>
          </w:tcPr>
          <w:p w:rsidR="001E3613" w:rsidRPr="00EC013E" w:rsidRDefault="000C264D" w:rsidP="002B59CE">
            <w:pPr>
              <w:pStyle w:val="RollCallTable"/>
            </w:pPr>
            <w:r w:rsidRPr="00EC013E">
              <w:t>ID</w:t>
            </w:r>
          </w:p>
        </w:tc>
        <w:tc>
          <w:tcPr>
            <w:tcW w:w="7371" w:type="dxa"/>
            <w:shd w:val="clear" w:color="auto" w:fill="FFFFFF"/>
          </w:tcPr>
          <w:p w:rsidR="001E3613" w:rsidRPr="00EC013E" w:rsidRDefault="000C264D" w:rsidP="002B59CE">
            <w:pPr>
              <w:pStyle w:val="RollCallTable"/>
            </w:pPr>
            <w:r w:rsidRPr="00EC013E">
              <w:t xml:space="preserve">Patricia Chagnon, Nicolaus </w:t>
            </w:r>
            <w:r w:rsidRPr="00EC013E">
              <w:t>Fest, Jean-Paul Garraud, Laura Huhtasaari, Annalisa Tardino, Tom Vandendriessche</w:t>
            </w:r>
          </w:p>
        </w:tc>
      </w:tr>
      <w:tr w:rsidR="00DE4993" w:rsidRPr="00EC013E" w:rsidTr="002B59CE">
        <w:trPr>
          <w:cantSplit/>
        </w:trPr>
        <w:tc>
          <w:tcPr>
            <w:tcW w:w="1701" w:type="dxa"/>
            <w:shd w:val="clear" w:color="auto" w:fill="FFFFFF"/>
          </w:tcPr>
          <w:p w:rsidR="001E3613" w:rsidRPr="00EC013E" w:rsidRDefault="000C264D" w:rsidP="002B59CE">
            <w:pPr>
              <w:pStyle w:val="RollCallTable"/>
            </w:pPr>
            <w:r w:rsidRPr="00EC013E">
              <w:t>ECR</w:t>
            </w:r>
          </w:p>
        </w:tc>
        <w:tc>
          <w:tcPr>
            <w:tcW w:w="7371" w:type="dxa"/>
            <w:shd w:val="clear" w:color="auto" w:fill="FFFFFF"/>
          </w:tcPr>
          <w:p w:rsidR="001E3613" w:rsidRPr="00EC013E" w:rsidRDefault="000C264D" w:rsidP="002B59CE">
            <w:pPr>
              <w:pStyle w:val="RollCallTable"/>
            </w:pPr>
            <w:r w:rsidRPr="00EC013E">
              <w:t>Joachim Stanisław Brudziński, Jorge Buxadé Villalba, Patryk Jaki, Assita Kanko, Margarita de la Pisa Carrión, Jadwiga Wiśniewska</w:t>
            </w:r>
          </w:p>
        </w:tc>
      </w:tr>
      <w:tr w:rsidR="00DE4993" w:rsidRPr="00EC013E" w:rsidTr="001E3613">
        <w:trPr>
          <w:cantSplit/>
        </w:trPr>
        <w:tc>
          <w:tcPr>
            <w:tcW w:w="1701" w:type="dxa"/>
            <w:shd w:val="clear" w:color="auto" w:fill="FFFFFF"/>
          </w:tcPr>
          <w:p w:rsidR="001E3613" w:rsidRPr="00EC013E" w:rsidRDefault="000C264D" w:rsidP="002B59CE">
            <w:pPr>
              <w:pStyle w:val="RollCallTable"/>
            </w:pPr>
            <w:r w:rsidRPr="00EC013E">
              <w:t>NI</w:t>
            </w:r>
          </w:p>
        </w:tc>
        <w:tc>
          <w:tcPr>
            <w:tcW w:w="7371" w:type="dxa"/>
            <w:shd w:val="clear" w:color="auto" w:fill="FFFFFF"/>
          </w:tcPr>
          <w:p w:rsidR="001E3613" w:rsidRPr="00EC013E" w:rsidRDefault="000C264D" w:rsidP="002B59CE">
            <w:pPr>
              <w:pStyle w:val="RollCallTable"/>
            </w:pPr>
            <w:r w:rsidRPr="00EC013E">
              <w:t>Milan Uhrík</w:t>
            </w:r>
          </w:p>
        </w:tc>
      </w:tr>
    </w:tbl>
    <w:p w:rsidR="001E3613" w:rsidRPr="00EC013E"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E4993" w:rsidRPr="00EC013E" w:rsidTr="001E3613">
        <w:trPr>
          <w:cantSplit/>
        </w:trPr>
        <w:tc>
          <w:tcPr>
            <w:tcW w:w="1701" w:type="dxa"/>
            <w:shd w:val="pct10" w:color="000000" w:fill="FFFFFF"/>
            <w:vAlign w:val="center"/>
          </w:tcPr>
          <w:p w:rsidR="001E3613" w:rsidRPr="00EC013E" w:rsidRDefault="000C264D" w:rsidP="002B59CE">
            <w:pPr>
              <w:pStyle w:val="RollCallVotes"/>
            </w:pPr>
            <w:r w:rsidRPr="00EC013E">
              <w:t>15</w:t>
            </w:r>
          </w:p>
        </w:tc>
        <w:tc>
          <w:tcPr>
            <w:tcW w:w="7371" w:type="dxa"/>
            <w:shd w:val="pct10" w:color="000000" w:fill="FFFFFF"/>
          </w:tcPr>
          <w:p w:rsidR="001E3613" w:rsidRPr="00EC013E" w:rsidRDefault="000C264D" w:rsidP="002B59CE">
            <w:pPr>
              <w:pStyle w:val="RollCallSymbols14pt"/>
            </w:pPr>
            <w:r w:rsidRPr="00EC013E">
              <w:t>-</w:t>
            </w:r>
          </w:p>
        </w:tc>
      </w:tr>
      <w:tr w:rsidR="00DE4993" w:rsidRPr="00EC013E" w:rsidTr="001E3613">
        <w:trPr>
          <w:cantSplit/>
        </w:trPr>
        <w:tc>
          <w:tcPr>
            <w:tcW w:w="1701" w:type="dxa"/>
            <w:shd w:val="clear" w:color="auto" w:fill="FFFFFF"/>
          </w:tcPr>
          <w:p w:rsidR="001E3613" w:rsidRPr="00EC013E" w:rsidRDefault="000C264D" w:rsidP="002B59CE">
            <w:pPr>
              <w:pStyle w:val="RollCallTable"/>
            </w:pPr>
            <w:r w:rsidRPr="00EC013E">
              <w:t>S&amp;D</w:t>
            </w:r>
          </w:p>
        </w:tc>
        <w:tc>
          <w:tcPr>
            <w:tcW w:w="7371" w:type="dxa"/>
            <w:shd w:val="clear" w:color="auto" w:fill="FFFFFF"/>
          </w:tcPr>
          <w:p w:rsidR="001E3613" w:rsidRPr="00EC013E" w:rsidRDefault="000C264D" w:rsidP="002B59CE">
            <w:pPr>
              <w:pStyle w:val="RollCallTable"/>
            </w:pPr>
            <w:r w:rsidRPr="00EC013E">
              <w:t xml:space="preserve">Pietro </w:t>
            </w:r>
            <w:r w:rsidRPr="00EC013E">
              <w:t>Bartolo, Sylvie Guillaume, Theresa Muigg</w:t>
            </w:r>
          </w:p>
        </w:tc>
      </w:tr>
      <w:tr w:rsidR="00DE4993" w:rsidRPr="00EC013E" w:rsidTr="002B59CE">
        <w:trPr>
          <w:cantSplit/>
        </w:trPr>
        <w:tc>
          <w:tcPr>
            <w:tcW w:w="1701" w:type="dxa"/>
            <w:shd w:val="clear" w:color="auto" w:fill="FFFFFF"/>
          </w:tcPr>
          <w:p w:rsidR="001E3613" w:rsidRPr="00EC013E" w:rsidRDefault="000C264D" w:rsidP="002B59CE">
            <w:pPr>
              <w:pStyle w:val="RollCallTable"/>
            </w:pPr>
            <w:r w:rsidRPr="00EC013E">
              <w:t>VERTS/ALE</w:t>
            </w:r>
          </w:p>
        </w:tc>
        <w:tc>
          <w:tcPr>
            <w:tcW w:w="7371" w:type="dxa"/>
            <w:shd w:val="clear" w:color="auto" w:fill="FFFFFF"/>
          </w:tcPr>
          <w:p w:rsidR="001E3613" w:rsidRPr="00EC013E" w:rsidRDefault="000C264D" w:rsidP="002B59CE">
            <w:pPr>
              <w:pStyle w:val="RollCallTable"/>
            </w:pPr>
            <w:r w:rsidRPr="00EC013E">
              <w:t>Saskia Bricmont, Damien Carême, Gwendoline Delbos-Corfield, Alice Kuhnke, Ana Miranda, Diana Riba i Giner, Tineke Strik</w:t>
            </w:r>
          </w:p>
        </w:tc>
      </w:tr>
      <w:tr w:rsidR="00DE4993" w:rsidRPr="00EC013E" w:rsidTr="002B59CE">
        <w:trPr>
          <w:cantSplit/>
        </w:trPr>
        <w:tc>
          <w:tcPr>
            <w:tcW w:w="1701" w:type="dxa"/>
            <w:shd w:val="clear" w:color="auto" w:fill="FFFFFF"/>
          </w:tcPr>
          <w:p w:rsidR="001E3613" w:rsidRPr="00EC013E" w:rsidRDefault="000C264D" w:rsidP="002B59CE">
            <w:pPr>
              <w:pStyle w:val="RollCallTable"/>
            </w:pPr>
            <w:r w:rsidRPr="00EC013E">
              <w:t>THE LEFT</w:t>
            </w:r>
          </w:p>
        </w:tc>
        <w:tc>
          <w:tcPr>
            <w:tcW w:w="7371" w:type="dxa"/>
            <w:shd w:val="clear" w:color="auto" w:fill="FFFFFF"/>
          </w:tcPr>
          <w:p w:rsidR="001E3613" w:rsidRPr="00EC013E" w:rsidRDefault="000C264D" w:rsidP="002B59CE">
            <w:pPr>
              <w:pStyle w:val="RollCallTable"/>
            </w:pPr>
            <w:r w:rsidRPr="00EC013E">
              <w:t>Malin Björk, Cornelia Ernst, Sira Rego, Miguel Urbán Crespo</w:t>
            </w:r>
          </w:p>
        </w:tc>
      </w:tr>
      <w:tr w:rsidR="00DE4993" w:rsidRPr="00EC013E" w:rsidTr="001E3613">
        <w:trPr>
          <w:cantSplit/>
        </w:trPr>
        <w:tc>
          <w:tcPr>
            <w:tcW w:w="1701" w:type="dxa"/>
            <w:shd w:val="clear" w:color="auto" w:fill="FFFFFF"/>
          </w:tcPr>
          <w:p w:rsidR="001E3613" w:rsidRPr="00EC013E" w:rsidRDefault="000C264D" w:rsidP="002B59CE">
            <w:pPr>
              <w:pStyle w:val="RollCallTable"/>
            </w:pPr>
            <w:r w:rsidRPr="00EC013E">
              <w:t>NI</w:t>
            </w:r>
          </w:p>
        </w:tc>
        <w:tc>
          <w:tcPr>
            <w:tcW w:w="7371" w:type="dxa"/>
            <w:shd w:val="clear" w:color="auto" w:fill="FFFFFF"/>
          </w:tcPr>
          <w:p w:rsidR="001E3613" w:rsidRPr="00EC013E" w:rsidRDefault="000C264D" w:rsidP="002B59CE">
            <w:pPr>
              <w:pStyle w:val="RollCallTable"/>
            </w:pPr>
            <w:r w:rsidRPr="00EC013E">
              <w:t xml:space="preserve">Laura </w:t>
            </w:r>
            <w:r w:rsidRPr="00EC013E">
              <w:t>Ferrara</w:t>
            </w:r>
          </w:p>
        </w:tc>
      </w:tr>
    </w:tbl>
    <w:p w:rsidR="001E3613" w:rsidRPr="00EC013E"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E4993" w:rsidRPr="00EC013E" w:rsidTr="002B59CE">
        <w:trPr>
          <w:cantSplit/>
        </w:trPr>
        <w:tc>
          <w:tcPr>
            <w:tcW w:w="1701" w:type="dxa"/>
            <w:shd w:val="pct10" w:color="000000" w:fill="FFFFFF"/>
            <w:vAlign w:val="center"/>
          </w:tcPr>
          <w:p w:rsidR="001E3613" w:rsidRPr="00EC013E" w:rsidRDefault="000C264D" w:rsidP="002B59CE">
            <w:pPr>
              <w:pStyle w:val="RollCallVotes"/>
            </w:pPr>
            <w:r w:rsidRPr="00EC013E">
              <w:t>7</w:t>
            </w:r>
          </w:p>
        </w:tc>
        <w:tc>
          <w:tcPr>
            <w:tcW w:w="7371" w:type="dxa"/>
            <w:shd w:val="pct10" w:color="000000" w:fill="FFFFFF"/>
          </w:tcPr>
          <w:p w:rsidR="001E3613" w:rsidRPr="00EC013E" w:rsidRDefault="000C264D" w:rsidP="002B59CE">
            <w:pPr>
              <w:pStyle w:val="RollCallSymbols14pt"/>
            </w:pPr>
            <w:r w:rsidRPr="00EC013E">
              <w:t>0</w:t>
            </w:r>
          </w:p>
        </w:tc>
      </w:tr>
      <w:tr w:rsidR="00DE4993" w:rsidRPr="00EC013E" w:rsidTr="002B59CE">
        <w:trPr>
          <w:cantSplit/>
        </w:trPr>
        <w:tc>
          <w:tcPr>
            <w:tcW w:w="1701" w:type="dxa"/>
            <w:shd w:val="clear" w:color="auto" w:fill="FFFFFF"/>
          </w:tcPr>
          <w:p w:rsidR="001E3613" w:rsidRPr="00EC013E" w:rsidRDefault="000C264D" w:rsidP="002B59CE">
            <w:pPr>
              <w:pStyle w:val="RollCallTable"/>
            </w:pPr>
            <w:r w:rsidRPr="00EC013E">
              <w:t>S&amp;D</w:t>
            </w:r>
          </w:p>
        </w:tc>
        <w:tc>
          <w:tcPr>
            <w:tcW w:w="7371" w:type="dxa"/>
            <w:shd w:val="clear" w:color="auto" w:fill="FFFFFF"/>
          </w:tcPr>
          <w:p w:rsidR="001E3613" w:rsidRPr="00EC013E" w:rsidRDefault="000C264D" w:rsidP="002B59CE">
            <w:pPr>
              <w:pStyle w:val="RollCallTable"/>
            </w:pPr>
            <w:r w:rsidRPr="00EC013E">
              <w:t>Katarina Barley, Delara Burkhardt, Evin Incir, Dietmar Köster, Domènec Ruiz Devesa, Isabel Santos, Birgit Sippel</w:t>
            </w:r>
          </w:p>
        </w:tc>
      </w:tr>
    </w:tbl>
    <w:p w:rsidR="001E3613" w:rsidRPr="00EC013E" w:rsidRDefault="001E3613" w:rsidP="001E3613">
      <w:pPr>
        <w:pStyle w:val="Normal12a"/>
      </w:pPr>
    </w:p>
    <w:p w:rsidR="001E3613" w:rsidRPr="00EC013E" w:rsidRDefault="000C264D" w:rsidP="001E3613">
      <w:r w:rsidRPr="00EC013E">
        <w:t>Tegnforklaring</w:t>
      </w:r>
    </w:p>
    <w:p w:rsidR="001E3613" w:rsidRPr="00EC013E" w:rsidRDefault="000C264D" w:rsidP="001E3613">
      <w:pPr>
        <w:pStyle w:val="RollCallTabs"/>
      </w:pPr>
      <w:r w:rsidRPr="00EC013E">
        <w:t>+</w:t>
      </w:r>
      <w:r w:rsidRPr="00EC013E">
        <w:tab/>
        <w:t>:</w:t>
      </w:r>
      <w:r w:rsidRPr="00EC013E">
        <w:tab/>
        <w:t>for</w:t>
      </w:r>
    </w:p>
    <w:p w:rsidR="001E3613" w:rsidRPr="00EC013E" w:rsidRDefault="000C264D" w:rsidP="001E3613">
      <w:pPr>
        <w:pStyle w:val="RollCallTabs"/>
      </w:pPr>
      <w:r w:rsidRPr="00EC013E">
        <w:t>-</w:t>
      </w:r>
      <w:r w:rsidRPr="00EC013E">
        <w:tab/>
        <w:t>:</w:t>
      </w:r>
      <w:r w:rsidRPr="00EC013E">
        <w:tab/>
        <w:t>imod</w:t>
      </w:r>
    </w:p>
    <w:p w:rsidR="001E3613" w:rsidRPr="00EC013E" w:rsidRDefault="000C264D" w:rsidP="001E3613">
      <w:pPr>
        <w:pStyle w:val="RollCallTabs"/>
      </w:pPr>
      <w:r w:rsidRPr="00EC013E">
        <w:t>0</w:t>
      </w:r>
      <w:r w:rsidRPr="00EC013E">
        <w:tab/>
        <w:t>:</w:t>
      </w:r>
      <w:r w:rsidRPr="00EC013E">
        <w:tab/>
        <w:t>hverken/eller</w:t>
      </w:r>
    </w:p>
    <w:p w:rsidR="001E3613" w:rsidRPr="00EC013E" w:rsidRDefault="001E3613" w:rsidP="001E3613"/>
    <w:bookmarkEnd w:id="2"/>
    <w:p w:rsidR="008363E4" w:rsidRPr="00EC013E" w:rsidRDefault="008363E4" w:rsidP="00FA192C"/>
    <w:sectPr w:rsidR="008363E4" w:rsidRPr="00EC013E"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C013E" w:rsidRDefault="000C264D">
      <w:r w:rsidRPr="00EC013E">
        <w:separator/>
      </w:r>
    </w:p>
  </w:endnote>
  <w:endnote w:type="continuationSeparator" w:id="0">
    <w:p w:rsidR="00000000" w:rsidRPr="00EC013E" w:rsidRDefault="000C264D">
      <w:r w:rsidRPr="00EC01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13E" w:rsidRPr="00EC013E" w:rsidRDefault="00EC013E" w:rsidP="00EC013E">
    <w:pPr>
      <w:pStyle w:val="EPFooter"/>
    </w:pPr>
    <w:r w:rsidRPr="00EC013E">
      <w:t>PE</w:t>
    </w:r>
    <w:r w:rsidRPr="00EC013E">
      <w:rPr>
        <w:rStyle w:val="HideTWBExt"/>
      </w:rPr>
      <w:t>&lt;NoPE&gt;</w:t>
    </w:r>
    <w:r w:rsidRPr="00EC013E">
      <w:t>739.726</w:t>
    </w:r>
    <w:r w:rsidRPr="00EC013E">
      <w:rPr>
        <w:rStyle w:val="HideTWBExt"/>
      </w:rPr>
      <w:t>&lt;/NoPE&gt;&lt;Version&gt;</w:t>
    </w:r>
    <w:r w:rsidRPr="00EC013E">
      <w:t>v03-00</w:t>
    </w:r>
    <w:r w:rsidRPr="00EC013E">
      <w:rPr>
        <w:rStyle w:val="HideTWBExt"/>
      </w:rPr>
      <w:t>&lt;/Version&gt;</w:t>
    </w:r>
    <w:r w:rsidRPr="00EC013E">
      <w:tab/>
    </w:r>
    <w:r w:rsidRPr="00EC013E">
      <w:fldChar w:fldCharType="begin"/>
    </w:r>
    <w:r w:rsidRPr="00EC013E">
      <w:instrText xml:space="preserve"> PAGE  \* MERGEFORMAT </w:instrText>
    </w:r>
    <w:r w:rsidRPr="00EC013E">
      <w:fldChar w:fldCharType="separate"/>
    </w:r>
    <w:r w:rsidR="000C264D">
      <w:rPr>
        <w:noProof/>
      </w:rPr>
      <w:t>52</w:t>
    </w:r>
    <w:r w:rsidRPr="00EC013E">
      <w:fldChar w:fldCharType="end"/>
    </w:r>
    <w:r w:rsidRPr="00EC013E">
      <w:t>/</w:t>
    </w:r>
    <w:fldSimple w:instr=" NUMPAGES  \* MERGEFORMAT ">
      <w:r w:rsidR="000C264D">
        <w:rPr>
          <w:noProof/>
        </w:rPr>
        <w:t>53</w:t>
      </w:r>
    </w:fldSimple>
    <w:r w:rsidRPr="00EC013E">
      <w:tab/>
    </w:r>
    <w:r w:rsidRPr="00EC013E">
      <w:rPr>
        <w:rStyle w:val="HideTWBExt"/>
      </w:rPr>
      <w:t>&lt;PathFdR&gt;</w:t>
    </w:r>
    <w:r w:rsidRPr="00EC013E">
      <w:t>AM\1272524DA.docx</w:t>
    </w:r>
    <w:r w:rsidRPr="00EC013E">
      <w:rPr>
        <w:rStyle w:val="HideTWBExt"/>
      </w:rPr>
      <w:t>&lt;/PathFdR&gt;</w:t>
    </w:r>
  </w:p>
  <w:p w:rsidR="00777B46" w:rsidRPr="00EC013E" w:rsidRDefault="00EC013E" w:rsidP="00EC013E">
    <w:pPr>
      <w:pStyle w:val="EPFooter2"/>
    </w:pPr>
    <w:r w:rsidRPr="00EC013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13E" w:rsidRPr="00EC013E" w:rsidRDefault="00EC013E" w:rsidP="00EC013E">
    <w:pPr>
      <w:pStyle w:val="EPFooter"/>
    </w:pPr>
    <w:r w:rsidRPr="00EC013E">
      <w:rPr>
        <w:rStyle w:val="HideTWBExt"/>
      </w:rPr>
      <w:t>&lt;PathFdR&gt;</w:t>
    </w:r>
    <w:r w:rsidRPr="00EC013E">
      <w:t>AM\1272524DA.docx</w:t>
    </w:r>
    <w:r w:rsidRPr="00EC013E">
      <w:rPr>
        <w:rStyle w:val="HideTWBExt"/>
      </w:rPr>
      <w:t>&lt;/PathFdR&gt;</w:t>
    </w:r>
    <w:r w:rsidRPr="00EC013E">
      <w:tab/>
    </w:r>
    <w:r w:rsidRPr="00EC013E">
      <w:fldChar w:fldCharType="begin"/>
    </w:r>
    <w:r w:rsidRPr="00EC013E">
      <w:instrText xml:space="preserve"> PAGE  \* MERGEFORMAT </w:instrText>
    </w:r>
    <w:r w:rsidRPr="00EC013E">
      <w:fldChar w:fldCharType="separate"/>
    </w:r>
    <w:r w:rsidR="000C264D">
      <w:rPr>
        <w:noProof/>
      </w:rPr>
      <w:t>53</w:t>
    </w:r>
    <w:r w:rsidRPr="00EC013E">
      <w:fldChar w:fldCharType="end"/>
    </w:r>
    <w:r w:rsidRPr="00EC013E">
      <w:t>/</w:t>
    </w:r>
    <w:fldSimple w:instr=" NUMPAGES  \* MERGEFORMAT ">
      <w:r w:rsidR="000C264D">
        <w:rPr>
          <w:noProof/>
        </w:rPr>
        <w:t>53</w:t>
      </w:r>
    </w:fldSimple>
    <w:r w:rsidRPr="00EC013E">
      <w:tab/>
      <w:t>PE</w:t>
    </w:r>
    <w:r w:rsidRPr="00EC013E">
      <w:rPr>
        <w:rStyle w:val="HideTWBExt"/>
      </w:rPr>
      <w:t>&lt;NoPE&gt;</w:t>
    </w:r>
    <w:r w:rsidRPr="00EC013E">
      <w:t>739.726</w:t>
    </w:r>
    <w:r w:rsidRPr="00EC013E">
      <w:rPr>
        <w:rStyle w:val="HideTWBExt"/>
      </w:rPr>
      <w:t>&lt;/NoPE&gt;&lt;Version&gt;</w:t>
    </w:r>
    <w:r w:rsidRPr="00EC013E">
      <w:t>v03-00</w:t>
    </w:r>
    <w:r w:rsidRPr="00EC013E">
      <w:rPr>
        <w:rStyle w:val="HideTWBExt"/>
      </w:rPr>
      <w:t>&lt;/Version&gt;</w:t>
    </w:r>
  </w:p>
  <w:p w:rsidR="00777B46" w:rsidRPr="00EC013E" w:rsidRDefault="00EC013E" w:rsidP="00EC013E">
    <w:pPr>
      <w:pStyle w:val="EPFooter2"/>
    </w:pPr>
    <w:r w:rsidRPr="00EC013E">
      <w:tab/>
    </w:r>
    <w:r w:rsidRPr="00EC013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13E" w:rsidRPr="00EC013E" w:rsidRDefault="00EC013E" w:rsidP="00EC013E">
    <w:pPr>
      <w:pStyle w:val="EPFooter"/>
    </w:pPr>
    <w:r w:rsidRPr="00EC013E">
      <w:rPr>
        <w:rStyle w:val="HideTWBExt"/>
      </w:rPr>
      <w:t>&lt;PathFdR&gt;</w:t>
    </w:r>
    <w:r w:rsidRPr="00EC013E">
      <w:t>AM\1272524DA.docx</w:t>
    </w:r>
    <w:r w:rsidRPr="00EC013E">
      <w:rPr>
        <w:rStyle w:val="HideTWBExt"/>
      </w:rPr>
      <w:t>&lt;/PathFdR&gt;</w:t>
    </w:r>
    <w:r w:rsidRPr="00EC013E">
      <w:tab/>
    </w:r>
    <w:r w:rsidRPr="00EC013E">
      <w:tab/>
      <w:t>PE</w:t>
    </w:r>
    <w:r w:rsidRPr="00EC013E">
      <w:rPr>
        <w:rStyle w:val="HideTWBExt"/>
      </w:rPr>
      <w:t>&lt;NoPE&gt;</w:t>
    </w:r>
    <w:r w:rsidRPr="00EC013E">
      <w:t>739.726</w:t>
    </w:r>
    <w:r w:rsidRPr="00EC013E">
      <w:rPr>
        <w:rStyle w:val="HideTWBExt"/>
      </w:rPr>
      <w:t>&lt;/NoPE&gt;&lt;Version&gt;</w:t>
    </w:r>
    <w:r w:rsidRPr="00EC013E">
      <w:t>v03-00</w:t>
    </w:r>
    <w:r w:rsidRPr="00EC013E">
      <w:rPr>
        <w:rStyle w:val="HideTWBExt"/>
      </w:rPr>
      <w:t>&lt;/Version&gt;</w:t>
    </w:r>
  </w:p>
  <w:p w:rsidR="00777B46" w:rsidRPr="00EC013E" w:rsidRDefault="00EC013E" w:rsidP="00EC013E">
    <w:pPr>
      <w:pStyle w:val="EPFooter2"/>
    </w:pPr>
    <w:r w:rsidRPr="00EC013E">
      <w:t>DA</w:t>
    </w:r>
    <w:r w:rsidRPr="00EC013E">
      <w:tab/>
    </w:r>
    <w:r w:rsidRPr="00EC013E">
      <w:rPr>
        <w:b w:val="0"/>
        <w:i/>
        <w:color w:val="C0C0C0"/>
        <w:sz w:val="22"/>
      </w:rPr>
      <w:t>Forenet i mangfoldighed</w:t>
    </w:r>
    <w:r w:rsidRPr="00EC013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C013E" w:rsidRDefault="000C264D">
      <w:r w:rsidRPr="00EC013E">
        <w:separator/>
      </w:r>
    </w:p>
  </w:footnote>
  <w:footnote w:type="continuationSeparator" w:id="0">
    <w:p w:rsidR="00000000" w:rsidRPr="00EC013E" w:rsidRDefault="000C264D">
      <w:r w:rsidRPr="00EC01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64D" w:rsidRDefault="000C2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64D" w:rsidRDefault="000C26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64D" w:rsidRDefault="000C2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C264D"/>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4993"/>
    <w:rsid w:val="00DE672F"/>
    <w:rsid w:val="00E12533"/>
    <w:rsid w:val="00E15A86"/>
    <w:rsid w:val="00E25DC5"/>
    <w:rsid w:val="00E44BB0"/>
    <w:rsid w:val="00E471BE"/>
    <w:rsid w:val="00E57F50"/>
    <w:rsid w:val="00E660E2"/>
    <w:rsid w:val="00E81E98"/>
    <w:rsid w:val="00EA25AE"/>
    <w:rsid w:val="00EB3A71"/>
    <w:rsid w:val="00EC013E"/>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da-DK"/>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70A88-A49D-48A7-A5CC-DBEF77908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11404</Words>
  <Characters>68574</Characters>
  <Application>Microsoft Office Word</Application>
  <DocSecurity>0</DocSecurity>
  <Lines>2822</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KOVACS-MALYI Krisztina</dc:creator>
  <cp:lastModifiedBy>ZINOCKER Marianne</cp:lastModifiedBy>
  <cp:revision>2</cp:revision>
  <cp:lastPrinted>2023-01-24T12:47:00Z</cp:lastPrinted>
  <dcterms:created xsi:type="dcterms:W3CDTF">2023-02-17T09:54:00Z</dcterms:created>
  <dcterms:modified xsi:type="dcterms:W3CDTF">2023-02-17T09:54:00Z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AM\1272524DA.docx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- 2023/02/17 10:53</vt:lpwstr>
  </property>
</Properties>
</file>