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565AA" w:rsidRPr="008623DC" w:rsidTr="002B59CE">
        <w:trPr>
          <w:trHeight w:hRule="exact" w:val="1418"/>
        </w:trPr>
        <w:tc>
          <w:tcPr>
            <w:tcW w:w="6804" w:type="dxa"/>
            <w:shd w:val="clear" w:color="auto" w:fill="auto"/>
            <w:vAlign w:val="center"/>
          </w:tcPr>
          <w:p w:rsidR="00BE5062" w:rsidRPr="008623DC" w:rsidRDefault="008623DC" w:rsidP="002B59CE">
            <w:pPr>
              <w:pStyle w:val="EPName"/>
            </w:pPr>
            <w:r w:rsidRPr="008623DC">
              <w:t>Parlamento Europeo</w:t>
            </w:r>
          </w:p>
          <w:p w:rsidR="00BE5062" w:rsidRPr="008623DC" w:rsidRDefault="008623DC" w:rsidP="00510E3A">
            <w:pPr>
              <w:pStyle w:val="EPTerm"/>
            </w:pPr>
            <w:r w:rsidRPr="008623DC">
              <w:t>2019-2024</w:t>
            </w:r>
          </w:p>
        </w:tc>
        <w:tc>
          <w:tcPr>
            <w:tcW w:w="2268" w:type="dxa"/>
            <w:shd w:val="clear" w:color="auto" w:fill="auto"/>
          </w:tcPr>
          <w:p w:rsidR="00BE5062" w:rsidRPr="008623DC" w:rsidRDefault="008623DC" w:rsidP="002B59CE">
            <w:pPr>
              <w:pStyle w:val="EPLogo"/>
            </w:pPr>
            <w:r w:rsidRPr="008623D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623DC" w:rsidRDefault="000E7234" w:rsidP="000E7234">
      <w:pPr>
        <w:pStyle w:val="LineTop"/>
      </w:pPr>
    </w:p>
    <w:p w:rsidR="000E7234" w:rsidRPr="008623DC" w:rsidRDefault="008623DC" w:rsidP="000E7234">
      <w:pPr>
        <w:pStyle w:val="EPBody"/>
      </w:pPr>
      <w:r w:rsidRPr="008623DC">
        <w:rPr>
          <w:rStyle w:val="HideTWBExt"/>
        </w:rPr>
        <w:t>&lt;</w:t>
      </w:r>
      <w:r w:rsidRPr="008623DC">
        <w:rPr>
          <w:rStyle w:val="HideTWBExt"/>
          <w:i w:val="0"/>
        </w:rPr>
        <w:t>Commission</w:t>
      </w:r>
      <w:r w:rsidRPr="008623DC">
        <w:rPr>
          <w:rStyle w:val="HideTWBExt"/>
        </w:rPr>
        <w:t>&gt;</w:t>
      </w:r>
      <w:r w:rsidRPr="008623DC">
        <w:rPr>
          <w:rStyle w:val="HideTWBInt"/>
          <w:color w:val="auto"/>
        </w:rPr>
        <w:t>{LIBE}</w:t>
      </w:r>
      <w:r w:rsidRPr="008623DC">
        <w:t>Comisión de Libertades Civiles, Justicia y Asuntos de Interior</w:t>
      </w:r>
      <w:r w:rsidRPr="008623DC">
        <w:rPr>
          <w:rStyle w:val="HideTWBExt"/>
        </w:rPr>
        <w:t>&lt;/</w:t>
      </w:r>
      <w:r w:rsidRPr="008623DC">
        <w:rPr>
          <w:rStyle w:val="HideTWBExt"/>
          <w:i w:val="0"/>
        </w:rPr>
        <w:t>Commission</w:t>
      </w:r>
      <w:r w:rsidRPr="008623DC">
        <w:rPr>
          <w:rStyle w:val="HideTWBExt"/>
        </w:rPr>
        <w:t>&gt;</w:t>
      </w:r>
    </w:p>
    <w:p w:rsidR="000E7234" w:rsidRPr="008623DC" w:rsidRDefault="000E7234" w:rsidP="000E7234">
      <w:pPr>
        <w:pStyle w:val="LineBottom"/>
      </w:pPr>
    </w:p>
    <w:p w:rsidR="00B85286" w:rsidRPr="008623DC" w:rsidRDefault="008623DC">
      <w:pPr>
        <w:pStyle w:val="CoverReference"/>
      </w:pPr>
      <w:r w:rsidRPr="008623DC">
        <w:rPr>
          <w:rStyle w:val="HideTWBExt"/>
          <w:b w:val="0"/>
        </w:rPr>
        <w:t>&lt;RefProc&gt;</w:t>
      </w:r>
      <w:r w:rsidRPr="008623DC">
        <w:t>2016/0132</w:t>
      </w:r>
      <w:r w:rsidRPr="008623DC">
        <w:rPr>
          <w:rStyle w:val="HideTWBExt"/>
          <w:b w:val="0"/>
        </w:rPr>
        <w:t>&lt;/RefProc&gt;&lt;RefTypeProc&gt;</w:t>
      </w:r>
      <w:r w:rsidRPr="008623DC">
        <w:t>(COD)</w:t>
      </w:r>
      <w:r w:rsidRPr="008623DC">
        <w:rPr>
          <w:rStyle w:val="HideTWBExt"/>
          <w:b w:val="0"/>
        </w:rPr>
        <w:t>&lt;/RefTypeProc&gt;</w:t>
      </w:r>
    </w:p>
    <w:p w:rsidR="00B85286" w:rsidRPr="008623DC" w:rsidRDefault="008623DC">
      <w:pPr>
        <w:pStyle w:val="CoverDate"/>
      </w:pPr>
      <w:r w:rsidRPr="008623DC">
        <w:rPr>
          <w:rStyle w:val="HideTWBExt"/>
        </w:rPr>
        <w:t>&lt;Date&gt;</w:t>
      </w:r>
      <w:r w:rsidRPr="008623DC">
        <w:rPr>
          <w:rStyle w:val="HideTWBInt"/>
          <w:color w:val="auto"/>
        </w:rPr>
        <w:t>{10/2/2023}</w:t>
      </w:r>
      <w:r w:rsidRPr="008623DC">
        <w:t>10.2.2023</w:t>
      </w:r>
      <w:r w:rsidRPr="008623DC">
        <w:rPr>
          <w:rStyle w:val="HideTWBExt"/>
        </w:rPr>
        <w:t>&lt;/Date&gt;</w:t>
      </w:r>
    </w:p>
    <w:p w:rsidR="009B0305" w:rsidRPr="008623DC" w:rsidRDefault="008623DC" w:rsidP="009B0305">
      <w:pPr>
        <w:pStyle w:val="CoverDocType"/>
      </w:pPr>
      <w:r w:rsidRPr="008623DC">
        <w:rPr>
          <w:rStyle w:val="HideTWBExt"/>
          <w:b w:val="0"/>
        </w:rPr>
        <w:t>&lt;TypeAM&gt;</w:t>
      </w:r>
      <w:r w:rsidRPr="008623DC">
        <w:t>ENMIENDAS</w:t>
      </w:r>
      <w:r w:rsidRPr="008623DC">
        <w:rPr>
          <w:rStyle w:val="HideTWBExt"/>
          <w:b w:val="0"/>
        </w:rPr>
        <w:t>&lt;/TypeAM&gt;</w:t>
      </w:r>
    </w:p>
    <w:p w:rsidR="00A64FB9" w:rsidRPr="008623DC" w:rsidRDefault="008623DC" w:rsidP="00A64FB9">
      <w:pPr>
        <w:pStyle w:val="CoverDocType24a"/>
      </w:pPr>
      <w:r w:rsidRPr="008623DC">
        <w:rPr>
          <w:rStyle w:val="HideTWBExt"/>
          <w:b w:val="0"/>
        </w:rPr>
        <w:t>&lt;RangeAM&gt;</w:t>
      </w:r>
      <w:r w:rsidRPr="008623DC">
        <w:t>1 - 90</w:t>
      </w:r>
      <w:r w:rsidRPr="008623DC">
        <w:rPr>
          <w:rStyle w:val="HideTWBExt"/>
          <w:b w:val="0"/>
        </w:rPr>
        <w:t>&lt;/RangeAM&gt;</w:t>
      </w:r>
    </w:p>
    <w:p w:rsidR="001C2054" w:rsidRPr="008623DC" w:rsidRDefault="008623DC" w:rsidP="00A93F8C">
      <w:pPr>
        <w:pStyle w:val="CoverBold"/>
      </w:pPr>
      <w:r w:rsidRPr="008623DC">
        <w:rPr>
          <w:rStyle w:val="HideTWBExt"/>
          <w:b w:val="0"/>
        </w:rPr>
        <w:t>&lt;TitreType&gt;</w:t>
      </w:r>
      <w:r w:rsidRPr="008623DC">
        <w:t>Mandato actualizado</w:t>
      </w:r>
      <w:r w:rsidRPr="008623DC">
        <w:rPr>
          <w:rStyle w:val="HideTWBExt"/>
          <w:b w:val="0"/>
        </w:rPr>
        <w:t>&lt;/TitreType&gt;</w:t>
      </w:r>
    </w:p>
    <w:p w:rsidR="00B85286" w:rsidRPr="008623DC" w:rsidRDefault="008623DC" w:rsidP="00A93F8C">
      <w:pPr>
        <w:pStyle w:val="CoverBold"/>
      </w:pPr>
      <w:r w:rsidRPr="008623DC">
        <w:rPr>
          <w:rStyle w:val="HideTWBExt"/>
          <w:b w:val="0"/>
        </w:rPr>
        <w:t>&lt;Rapporteur&gt;</w:t>
      </w:r>
      <w:r w:rsidRPr="008623DC">
        <w:t>Jorge Buxadé Villalba</w:t>
      </w:r>
      <w:r w:rsidRPr="008623DC">
        <w:rPr>
          <w:rStyle w:val="HideTWBExt"/>
          <w:b w:val="0"/>
        </w:rPr>
        <w:t>&lt;/Rapporteur&gt;</w:t>
      </w:r>
    </w:p>
    <w:p w:rsidR="00B85286" w:rsidRPr="008623DC" w:rsidRDefault="008623DC">
      <w:pPr>
        <w:pStyle w:val="CoverNormal24a"/>
      </w:pPr>
      <w:r w:rsidRPr="008623DC">
        <w:rPr>
          <w:rStyle w:val="HideTWBExt"/>
        </w:rPr>
        <w:t>&lt;DocRefPE&gt;</w:t>
      </w:r>
      <w:r w:rsidRPr="008623DC">
        <w:t>(PE661.979v01-00)</w:t>
      </w:r>
      <w:r w:rsidRPr="008623DC">
        <w:rPr>
          <w:rStyle w:val="HideTWBExt"/>
        </w:rPr>
        <w:t>&lt;/DocRefPE&gt;</w:t>
      </w:r>
    </w:p>
    <w:p w:rsidR="00B85286" w:rsidRPr="008623DC" w:rsidRDefault="008623DC">
      <w:pPr>
        <w:pStyle w:val="CoverNormal24a"/>
      </w:pPr>
      <w:r w:rsidRPr="008623DC">
        <w:rPr>
          <w:rStyle w:val="HideTWBExt"/>
        </w:rPr>
        <w:t>&lt;Titre&gt;</w:t>
      </w:r>
      <w:r w:rsidRPr="008623DC">
        <w:t xml:space="preserve">Creación del sistema «Eurodac» para la comparación de datos biométricos para la aplicación </w:t>
      </w:r>
      <w:r w:rsidRPr="008623DC">
        <w:t>efectiva del Reglamento (UE) XXX/XXX [Reglamento sobre la gestión del asilo y la migración] y del Reglamento (UE) XXX/XXX [Reglamento sobre el Marco de Reasentamiento], para la identificación de un nacional de un tercer país o un apátrida en situación irre</w:t>
      </w:r>
      <w:r w:rsidRPr="008623DC">
        <w:t>gular, y solicitudes de comparación con los datos de Eurodac presentadas por los servicios de seguridad de los Estados miembros y Europol a efectos de aplicación de la ley, y modificación de los Reglamentos (UE) 2018/1240 y (UE) 2019/818</w:t>
      </w:r>
      <w:r w:rsidRPr="008623DC">
        <w:rPr>
          <w:rStyle w:val="HideTWBExt"/>
        </w:rPr>
        <w:t>&lt;/Titre&gt;</w:t>
      </w:r>
    </w:p>
    <w:p w:rsidR="006337D4" w:rsidRPr="008623DC" w:rsidRDefault="008623DC" w:rsidP="006337D4">
      <w:pPr>
        <w:pStyle w:val="CoverNormal"/>
      </w:pPr>
      <w:r w:rsidRPr="008623DC">
        <w:rPr>
          <w:rStyle w:val="HideTWBExt"/>
        </w:rPr>
        <w:t>&lt;DocAmend&gt;</w:t>
      </w:r>
      <w:r w:rsidRPr="008623DC">
        <w:t>Propuesta modificada de Reglamento</w:t>
      </w:r>
      <w:r w:rsidRPr="008623DC">
        <w:rPr>
          <w:rStyle w:val="HideTWBExt"/>
        </w:rPr>
        <w:t>&lt;/DocAmend&gt;</w:t>
      </w:r>
    </w:p>
    <w:p w:rsidR="00B85286" w:rsidRPr="008623DC" w:rsidRDefault="008623DC">
      <w:pPr>
        <w:pStyle w:val="CoverNormal24a"/>
      </w:pPr>
      <w:r w:rsidRPr="008623DC">
        <w:rPr>
          <w:rStyle w:val="HideTWBExt"/>
        </w:rPr>
        <w:t>&lt;DocRef&gt;</w:t>
      </w:r>
      <w:r w:rsidRPr="008623DC">
        <w:t>(COM(2020)0614 – C9</w:t>
      </w:r>
      <w:r w:rsidRPr="008623DC">
        <w:noBreakHyphen/>
        <w:t>0131/2020 – 2016/0132(COD))</w:t>
      </w:r>
      <w:r w:rsidRPr="008623DC">
        <w:rPr>
          <w:rStyle w:val="HideTWBExt"/>
        </w:rPr>
        <w:t>&lt;/DocRef&gt;</w:t>
      </w:r>
    </w:p>
    <w:p w:rsidR="00B85286" w:rsidRPr="008623DC" w:rsidRDefault="008623DC" w:rsidP="00E660E2">
      <w:pPr>
        <w:widowControl/>
        <w:tabs>
          <w:tab w:val="center" w:pos="4677"/>
        </w:tabs>
      </w:pPr>
      <w:r w:rsidRPr="008623DC">
        <w:br w:type="page"/>
      </w:r>
      <w:r w:rsidRPr="008623DC">
        <w:lastRenderedPageBreak/>
        <w:t>AM_Com_LegReport</w:t>
      </w:r>
    </w:p>
    <w:p w:rsidR="007605D8" w:rsidRPr="008623DC" w:rsidRDefault="008623DC" w:rsidP="007605D8">
      <w:pPr>
        <w:pStyle w:val="AMNumberTabs0"/>
        <w:keepNext/>
        <w:rPr>
          <w:lang w:val="es-ES_tradnl"/>
        </w:rPr>
      </w:pPr>
      <w:r w:rsidRPr="008623DC">
        <w:rPr>
          <w:lang w:val="es-ES_tradnl"/>
        </w:rPr>
        <w:br w:type="page"/>
      </w:r>
      <w:bookmarkStart w:id="0" w:name="IntroB"/>
      <w:r w:rsidRPr="008623DC">
        <w:rPr>
          <w:rStyle w:val="HideTWBExt"/>
          <w:lang w:val="es-ES_tradnl"/>
        </w:rPr>
        <w:t>&lt;RepeatBlock-Amend&gt;&lt;Amend&gt;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Título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 xml:space="preserve">Propuesta modificada de REGLAMENTO DEL PARLAMENTO EUROPEO Y DEL CONSEJO relativo a la creación del sistema «Eurodac» para la </w:t>
            </w:r>
            <w:r w:rsidRPr="008623DC">
              <w:t>comparación de datos biométricos para la aplicación efectiva del Reglamento (UE) XXX/XXX [Reglamento sobre la gestión del asilo y la migración] y del Reglamento (UE) XXX/XXX [Reglamento sobre el Marco de Reasentamiento], para la identificación de un nacion</w:t>
            </w:r>
            <w:r w:rsidRPr="008623DC">
              <w:t>al de un tercer país o un apátrida en situación irregular, y a las solicitudes de comparación con los datos de Eurodac presentadas por los servicios de seguridad de los Estados miembros y Europol a efectos de aplicación de la ley, y por el que se modifican</w:t>
            </w:r>
            <w:r w:rsidRPr="008623DC">
              <w:t xml:space="preserve"> los Reglamentos (UE) 2018/1240 y (UE) 2019/818</w:t>
            </w:r>
          </w:p>
        </w:tc>
        <w:tc>
          <w:tcPr>
            <w:tcW w:w="4876" w:type="dxa"/>
            <w:hideMark/>
          </w:tcPr>
          <w:p w:rsidR="007605D8" w:rsidRPr="008623DC" w:rsidRDefault="008623DC" w:rsidP="007605D8">
            <w:pPr>
              <w:pStyle w:val="Normal6"/>
              <w:rPr>
                <w:szCs w:val="24"/>
              </w:rPr>
            </w:pPr>
            <w:r w:rsidRPr="008623DC">
              <w:rPr>
                <w:i/>
              </w:rPr>
              <w:t>(No afecta a la versión española).</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w:t>
      </w:r>
      <w:r w:rsidRPr="008623DC">
        <w:t xml:space="preserve"> Reglamento</w:t>
      </w:r>
      <w:r w:rsidRPr="008623DC">
        <w:rPr>
          <w:rStyle w:val="HideTWBExt"/>
        </w:rPr>
        <w:t>&lt;/DocAmend&gt;</w:t>
      </w:r>
    </w:p>
    <w:p w:rsidR="007605D8" w:rsidRPr="008623DC" w:rsidRDefault="008623DC" w:rsidP="007605D8">
      <w:pPr>
        <w:pStyle w:val="NormalBold"/>
        <w:keepNext/>
      </w:pPr>
      <w:r w:rsidRPr="008623DC">
        <w:rPr>
          <w:rStyle w:val="HideTWBExt"/>
        </w:rPr>
        <w:t>&lt;Article&gt;</w:t>
      </w:r>
      <w:r w:rsidRPr="008623DC">
        <w:t>Preámbulo – punto 1 – considerando 4 bis</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4 bis)</w:t>
            </w:r>
            <w:r w:rsidRPr="008623DC">
              <w:tab/>
              <w:t xml:space="preserve">Además, a los efectos de la aplicación efectiva del Reglamento (UE) XXX/XXX [Reglamento sobre la gestión del asilo y la migración] y </w:t>
            </w:r>
            <w:r w:rsidRPr="008623DC">
              <w:t xml:space="preserve">con arreglo a las normas de este, es necesario marcar claramente en Eurodac que se ha producido un traspaso de la responsabilidad entre Estados miembros, también en casos de reubicación. </w:t>
            </w:r>
            <w:r w:rsidRPr="008623DC">
              <w:rPr>
                <w:b/>
                <w:i/>
              </w:rPr>
              <w:t>Asimismo, con el fin de reflejar con precisión las obligaciones que t</w:t>
            </w:r>
            <w:r w:rsidRPr="008623DC">
              <w:rPr>
                <w:b/>
                <w:i/>
              </w:rPr>
              <w:t>ienen los Estados miembros de realizar operaciones de búsqueda y salvamento y para ayudar a estos Estados miembros con las dificultades específicas que afrontan al no poder aplicar a las personas que desembarcan tras esas operaciones las mismas herramienta</w:t>
            </w:r>
            <w:r w:rsidRPr="008623DC">
              <w:rPr>
                <w:b/>
                <w:i/>
              </w:rPr>
              <w:t xml:space="preserve">s previstas para el cruce irregular de fronteras por tierra o por aire, también es necesario registrar en Eurodac como una categoría independiente a los nacionales de terceros países o apátridas que desembarquen después de dichas operaciones de búsqueda y </w:t>
            </w:r>
            <w:r w:rsidRPr="008623DC">
              <w:rPr>
                <w:b/>
                <w:i/>
              </w:rPr>
              <w:t>salvamento.</w:t>
            </w:r>
          </w:p>
        </w:tc>
        <w:tc>
          <w:tcPr>
            <w:tcW w:w="4876" w:type="dxa"/>
            <w:hideMark/>
          </w:tcPr>
          <w:p w:rsidR="007605D8" w:rsidRPr="008623DC" w:rsidRDefault="008623DC" w:rsidP="007605D8">
            <w:pPr>
              <w:pStyle w:val="Normal6"/>
              <w:rPr>
                <w:szCs w:val="24"/>
              </w:rPr>
            </w:pPr>
            <w:r w:rsidRPr="008623DC">
              <w:t>4 bis)</w:t>
            </w:r>
            <w:r w:rsidRPr="008623DC">
              <w:tab/>
              <w:t>Además, a los efectos de la aplicación efectiva del Reglamento (UE) XXX/XXX [Reglamento sobre la gestión del asilo y la migración] y con arreglo a las normas de este, es necesario marcar claramente en Eurodac que se ha producido un trasp</w:t>
            </w:r>
            <w:r w:rsidRPr="008623DC">
              <w:t>aso de la responsabilidad entre Estados miembros, también en casos de reubicación.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w:t>
      </w:r>
      <w:r w:rsidRPr="008623DC">
        <w:t xml:space="preserv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Preámbulo – punto 2 – considerando 5 bis</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5 bis)</w:t>
            </w:r>
            <w:r w:rsidRPr="008623DC">
              <w:tab/>
              <w:t xml:space="preserve">También es necesario </w:t>
            </w:r>
            <w:r w:rsidRPr="008623DC">
              <w:rPr>
                <w:b/>
                <w:i/>
              </w:rPr>
              <w:t>introducir disposiciones</w:t>
            </w:r>
            <w:r w:rsidRPr="008623DC">
              <w:t xml:space="preserve"> que </w:t>
            </w:r>
            <w:r w:rsidRPr="008623DC">
              <w:rPr>
                <w:b/>
                <w:i/>
              </w:rPr>
              <w:t xml:space="preserve">garanticen el funcionamiento de </w:t>
            </w:r>
            <w:r w:rsidRPr="008623DC">
              <w:t xml:space="preserve">ese sistema dentro del marco para la </w:t>
            </w:r>
            <w:r w:rsidRPr="008623DC">
              <w:t>interoperabilidad establecido por los Reglamentos (UE) 2019/817</w:t>
            </w:r>
            <w:r w:rsidRPr="008623DC">
              <w:rPr>
                <w:vertAlign w:val="superscript"/>
              </w:rPr>
              <w:t>25</w:t>
            </w:r>
            <w:r w:rsidRPr="008623DC">
              <w:t xml:space="preserve"> y 2019/818</w:t>
            </w:r>
            <w:r w:rsidRPr="008623DC">
              <w:rPr>
                <w:vertAlign w:val="superscript"/>
              </w:rPr>
              <w:t>26</w:t>
            </w:r>
            <w:r w:rsidRPr="008623DC">
              <w:t xml:space="preserve"> del Parlamento Europeo y del Consejo.</w:t>
            </w:r>
          </w:p>
        </w:tc>
        <w:tc>
          <w:tcPr>
            <w:tcW w:w="4876" w:type="dxa"/>
            <w:hideMark/>
          </w:tcPr>
          <w:p w:rsidR="007605D8" w:rsidRPr="008623DC" w:rsidRDefault="008623DC" w:rsidP="00F10CF9">
            <w:pPr>
              <w:pStyle w:val="Normal6"/>
              <w:rPr>
                <w:szCs w:val="24"/>
              </w:rPr>
            </w:pPr>
            <w:r w:rsidRPr="008623DC">
              <w:t>5 bis)</w:t>
            </w:r>
            <w:r w:rsidRPr="008623DC">
              <w:tab/>
              <w:t xml:space="preserve">También es necesario </w:t>
            </w:r>
            <w:r w:rsidRPr="008623DC">
              <w:rPr>
                <w:b/>
                <w:i/>
              </w:rPr>
              <w:t>garantizar</w:t>
            </w:r>
            <w:r w:rsidRPr="008623DC">
              <w:t xml:space="preserve"> que ese sistema</w:t>
            </w:r>
            <w:r w:rsidRPr="008623DC">
              <w:rPr>
                <w:b/>
                <w:i/>
              </w:rPr>
              <w:t xml:space="preserve"> funcione</w:t>
            </w:r>
            <w:r w:rsidRPr="008623DC">
              <w:t xml:space="preserve"> dentro del marco para la interoperabilidad establecido por los Reglamentos </w:t>
            </w:r>
            <w:r w:rsidRPr="008623DC">
              <w:t>(UE) 2019/817</w:t>
            </w:r>
            <w:r w:rsidRPr="008623DC">
              <w:rPr>
                <w:vertAlign w:val="superscript"/>
              </w:rPr>
              <w:t>25</w:t>
            </w:r>
            <w:r w:rsidRPr="008623DC">
              <w:t xml:space="preserve"> y 2019/818</w:t>
            </w:r>
            <w:r w:rsidRPr="008623DC">
              <w:rPr>
                <w:vertAlign w:val="superscript"/>
              </w:rPr>
              <w:t>26</w:t>
            </w:r>
            <w:r w:rsidRPr="008623DC">
              <w:t xml:space="preserve"> del Parlamento Europeo y del Consejo</w:t>
            </w:r>
            <w:r w:rsidRPr="008623DC">
              <w:rPr>
                <w:b/>
                <w:i/>
              </w:rPr>
              <w:t>, de conformidad con el Reglamento actual y con arreglo al Reglamento (UE) 2016/679 del Parlamento Europeo y del Consejo</w:t>
            </w:r>
            <w:r w:rsidRPr="008623DC">
              <w:rPr>
                <w:b/>
                <w:i/>
                <w:vertAlign w:val="superscript"/>
              </w:rPr>
              <w:t>26 bis</w:t>
            </w:r>
            <w:r w:rsidRPr="008623DC">
              <w:rPr>
                <w:b/>
                <w:i/>
              </w:rPr>
              <w:t xml:space="preserve">, en particular los principios de necesidad, proporcionalidad y </w:t>
            </w:r>
            <w:r w:rsidRPr="008623DC">
              <w:rPr>
                <w:b/>
                <w:i/>
              </w:rPr>
              <w:t>limitación de la finalidad establecidos en dicho Reglamento.</w:t>
            </w:r>
            <w:r w:rsidRPr="008623DC">
              <w:t xml:space="preserve"> </w:t>
            </w:r>
            <w:r w:rsidRPr="008623DC">
              <w:rPr>
                <w:b/>
                <w:i/>
              </w:rPr>
              <w:t>Además, es necesario introducir disposiciones claras que permitan a las autoridades nacionales designadas de los Estados miembros y a los organismos de la Unión que tengan acceso a Eurodac ver ún</w:t>
            </w:r>
            <w:r w:rsidRPr="008623DC">
              <w:rPr>
                <w:b/>
                <w:i/>
              </w:rPr>
              <w:t>icamente los datos que sean estrictamente pertinentes para el desempeño de sus funciones específicas.</w:t>
            </w:r>
          </w:p>
        </w:tc>
      </w:tr>
      <w:tr w:rsidR="006565AA" w:rsidRPr="008623DC" w:rsidTr="007605D8">
        <w:trPr>
          <w:jc w:val="center"/>
        </w:trPr>
        <w:tc>
          <w:tcPr>
            <w:tcW w:w="4876" w:type="dxa"/>
            <w:hideMark/>
          </w:tcPr>
          <w:p w:rsidR="007605D8" w:rsidRPr="008623DC" w:rsidRDefault="008623DC" w:rsidP="007605D8">
            <w:pPr>
              <w:pStyle w:val="Normal6"/>
            </w:pPr>
            <w:r w:rsidRPr="008623DC">
              <w:t>__________________</w:t>
            </w:r>
          </w:p>
        </w:tc>
        <w:tc>
          <w:tcPr>
            <w:tcW w:w="4876" w:type="dxa"/>
            <w:hideMark/>
          </w:tcPr>
          <w:p w:rsidR="007605D8" w:rsidRPr="008623DC" w:rsidRDefault="008623DC" w:rsidP="007605D8">
            <w:pPr>
              <w:pStyle w:val="Normal6"/>
              <w:rPr>
                <w:szCs w:val="24"/>
              </w:rPr>
            </w:pPr>
            <w:r w:rsidRPr="008623DC">
              <w:t>__________________</w:t>
            </w:r>
          </w:p>
        </w:tc>
      </w:tr>
      <w:tr w:rsidR="006565AA" w:rsidRPr="008623DC" w:rsidTr="007605D8">
        <w:trPr>
          <w:jc w:val="center"/>
        </w:trPr>
        <w:tc>
          <w:tcPr>
            <w:tcW w:w="4876" w:type="dxa"/>
            <w:hideMark/>
          </w:tcPr>
          <w:p w:rsidR="007605D8" w:rsidRPr="008623DC" w:rsidRDefault="008623DC" w:rsidP="007605D8">
            <w:pPr>
              <w:pStyle w:val="Normal6"/>
            </w:pPr>
            <w:r w:rsidRPr="008623DC">
              <w:rPr>
                <w:vertAlign w:val="superscript"/>
              </w:rPr>
              <w:t>25</w:t>
            </w:r>
            <w:r w:rsidRPr="008623DC">
              <w:t> Reglamento (UE) 2019/817 del Parlamento Europeo y del Consejo, de 20 de mayo de 2019, relativo al establecimien</w:t>
            </w:r>
            <w:r w:rsidRPr="008623DC">
              <w:t>to de un marco para la interoperabilidad de los sistemas de información de la UE en el ámbito de las fronteras y los visados y por el que se modifican los Reglamentos (CE) n.º 767/2008, (UE) 2016/399, (UE) 2017/2226, (UE) 2018/1240, (UE) 2018/1726 y (UE) 2</w:t>
            </w:r>
            <w:r w:rsidRPr="008623DC">
              <w:t>018/1861 del Parlamento Europeo y del Consejo, y las Decisiones 2004/512/CE y 2008/633/JAI del Consejo (DO L 135 de 22.5.2019, p. 27).</w:t>
            </w:r>
          </w:p>
        </w:tc>
        <w:tc>
          <w:tcPr>
            <w:tcW w:w="4876" w:type="dxa"/>
            <w:hideMark/>
          </w:tcPr>
          <w:p w:rsidR="007605D8" w:rsidRPr="008623DC" w:rsidRDefault="008623DC" w:rsidP="007605D8">
            <w:pPr>
              <w:pStyle w:val="Normal6"/>
              <w:rPr>
                <w:szCs w:val="24"/>
              </w:rPr>
            </w:pPr>
            <w:r w:rsidRPr="008623DC">
              <w:rPr>
                <w:vertAlign w:val="superscript"/>
              </w:rPr>
              <w:t>25</w:t>
            </w:r>
            <w:r w:rsidRPr="008623DC">
              <w:t> Reglamento (UE) 2019/817 del Parlamento Europeo y del Consejo, de 20 de mayo de 2019, relativo al establecimiento de u</w:t>
            </w:r>
            <w:r w:rsidRPr="008623DC">
              <w:t>n marco para la interoperabilidad de los sistemas de información de la UE en el ámbito de las fronteras y los visados y por el que se modifican los Reglamentos (CE) n.º 767/2008, (UE) 2016/399, (UE) 2017/2226, (UE) 2018/1240, (UE) 2018/1726 y (UE) 2018/186</w:t>
            </w:r>
            <w:r w:rsidRPr="008623DC">
              <w:t>1 del Parlamento Europeo y del Consejo, y las Decisiones 2004/512/CE y 2008/633/JAI del Consejo (DO L 135 de 22.5.2019, p. 27).</w:t>
            </w:r>
          </w:p>
        </w:tc>
      </w:tr>
      <w:tr w:rsidR="006565AA" w:rsidRPr="008623DC" w:rsidTr="007605D8">
        <w:trPr>
          <w:jc w:val="center"/>
        </w:trPr>
        <w:tc>
          <w:tcPr>
            <w:tcW w:w="4876" w:type="dxa"/>
            <w:hideMark/>
          </w:tcPr>
          <w:p w:rsidR="007605D8" w:rsidRPr="008623DC" w:rsidRDefault="008623DC" w:rsidP="007605D8">
            <w:pPr>
              <w:pStyle w:val="Normal6"/>
            </w:pPr>
            <w:r w:rsidRPr="008623DC">
              <w:rPr>
                <w:vertAlign w:val="superscript"/>
              </w:rPr>
              <w:t>26</w:t>
            </w:r>
            <w:r w:rsidRPr="008623DC">
              <w:t> Reglamento (UE) 2019/818 del Parlamento Europeo y del Consejo, de 20 de mayo de 2019, relativo al establecimiento de un marc</w:t>
            </w:r>
            <w:r w:rsidRPr="008623DC">
              <w:t>o para la interoperabilidad entre los sistemas de información de la UE en el ámbito de la cooperación policial y judicial, el asilo y la migración y por el que se modifican los Reglamentos (UE) 2018/1726, (UE) 2018/1862 y (UE) 2019/816 (DO L 135 de 22.5.20</w:t>
            </w:r>
            <w:r w:rsidRPr="008623DC">
              <w:t>19, p. 85).</w:t>
            </w:r>
          </w:p>
        </w:tc>
        <w:tc>
          <w:tcPr>
            <w:tcW w:w="4876" w:type="dxa"/>
            <w:hideMark/>
          </w:tcPr>
          <w:p w:rsidR="007605D8" w:rsidRPr="008623DC" w:rsidRDefault="008623DC" w:rsidP="007605D8">
            <w:pPr>
              <w:pStyle w:val="Normal6"/>
              <w:rPr>
                <w:szCs w:val="24"/>
              </w:rPr>
            </w:pPr>
            <w:r w:rsidRPr="008623DC">
              <w:rPr>
                <w:vertAlign w:val="superscript"/>
              </w:rPr>
              <w:t>26</w:t>
            </w:r>
            <w:r w:rsidRPr="008623DC">
              <w:t> Reglamento (UE) 2019/818 del Parlamento Europeo y del Consejo, de 20 de mayo de 2019, relativo al establecimiento de un marco para la interoperabilidad entre los sistemas de información de la UE en el ámbito de la cooperación policial y judi</w:t>
            </w:r>
            <w:r w:rsidRPr="008623DC">
              <w:t>cial, el asilo y la migración y por el que se modifican los Reglamentos (UE) 2018/1726, (UE) 2018/1862 y (UE) 2019/816 (DO L 135 de 22.5.2019, p. 85).</w:t>
            </w:r>
          </w:p>
        </w:tc>
      </w:tr>
      <w:tr w:rsidR="006565AA" w:rsidRPr="008623DC" w:rsidTr="007605D8">
        <w:trPr>
          <w:jc w:val="center"/>
        </w:trPr>
        <w:tc>
          <w:tcPr>
            <w:tcW w:w="4876" w:type="dxa"/>
          </w:tcPr>
          <w:p w:rsidR="00337F1F" w:rsidRPr="008623DC" w:rsidRDefault="00337F1F" w:rsidP="007605D8">
            <w:pPr>
              <w:pStyle w:val="Normal6"/>
              <w:rPr>
                <w:vertAlign w:val="superscript"/>
              </w:rPr>
            </w:pPr>
          </w:p>
        </w:tc>
        <w:tc>
          <w:tcPr>
            <w:tcW w:w="4876" w:type="dxa"/>
          </w:tcPr>
          <w:p w:rsidR="00337F1F" w:rsidRPr="008623DC" w:rsidRDefault="008623DC" w:rsidP="007605D8">
            <w:pPr>
              <w:pStyle w:val="Normal6"/>
              <w:rPr>
                <w:b/>
                <w:i/>
                <w:vertAlign w:val="superscript"/>
              </w:rPr>
            </w:pPr>
            <w:r w:rsidRPr="008623DC">
              <w:rPr>
                <w:b/>
                <w:i/>
                <w:vertAlign w:val="superscript"/>
              </w:rPr>
              <w:t>26 bis</w:t>
            </w:r>
            <w:r w:rsidRPr="008623DC">
              <w:rPr>
                <w:b/>
                <w:i/>
              </w:rPr>
              <w:tab/>
              <w:t xml:space="preserve">Reglamento (UE) 2016/679 del Parlamento Europeo y del Consejo, de 27 de abril de 2016, relativo </w:t>
            </w:r>
            <w:r w:rsidRPr="008623DC">
              <w:rPr>
                <w:b/>
                <w:i/>
              </w:rPr>
              <w:t>a la protección de las personas físicas en lo que respecta al tratamiento de datos personales y a la libre circulación de estos datos y por el que se deroga la Directiva 95/46/CE (Reglamento general de protección de datos) (DO L 119 de 4.5.2016, p. 1).</w:t>
            </w:r>
          </w:p>
        </w:tc>
      </w:tr>
    </w:tbl>
    <w:p w:rsidR="007605D8" w:rsidRPr="008623DC" w:rsidRDefault="008623DC" w:rsidP="007605D8">
      <w:pPr>
        <w:pStyle w:val="Olang"/>
        <w:rPr>
          <w:noProof w:val="0"/>
          <w:lang w:val="es-ES_tradnl"/>
        </w:rPr>
      </w:pPr>
      <w:r w:rsidRPr="008623DC">
        <w:rPr>
          <w:noProof w:val="0"/>
          <w:lang w:val="es-ES_tradnl"/>
        </w:rPr>
        <w:t>Or</w:t>
      </w:r>
      <w:r w:rsidRPr="008623DC">
        <w:rPr>
          <w:noProof w:val="0"/>
          <w:lang w:val="es-ES_tradnl"/>
        </w:rPr>
        <w:t xml:space="preserve">.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Preámbulo – punto 2 – considerando 5 ter bis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F10CF9">
            <w:pPr>
              <w:pStyle w:val="Normal6"/>
              <w:rPr>
                <w:szCs w:val="24"/>
              </w:rPr>
            </w:pPr>
            <w:r w:rsidRPr="008623DC">
              <w:rPr>
                <w:b/>
                <w:i/>
              </w:rPr>
              <w:t>5 ter bis)</w:t>
            </w:r>
            <w:r w:rsidRPr="008623DC">
              <w:rPr>
                <w:b/>
                <w:i/>
              </w:rPr>
              <w:tab/>
              <w:t>A fin de desempeñar las funciones establecidas en los Reglamentos (UE) 2019/1896</w:t>
            </w:r>
            <w:r w:rsidRPr="008623DC">
              <w:rPr>
                <w:b/>
                <w:i/>
                <w:vertAlign w:val="superscript"/>
              </w:rPr>
              <w:t>1 bis</w:t>
            </w:r>
            <w:r w:rsidRPr="008623DC">
              <w:rPr>
                <w:b/>
                <w:i/>
              </w:rPr>
              <w:t xml:space="preserve"> y (UE) 2021/2303</w:t>
            </w:r>
            <w:r w:rsidRPr="008623DC">
              <w:rPr>
                <w:b/>
                <w:i/>
                <w:vertAlign w:val="superscript"/>
              </w:rPr>
              <w:t>1 ter</w:t>
            </w:r>
            <w:r w:rsidRPr="008623DC">
              <w:rPr>
                <w:b/>
                <w:i/>
              </w:rPr>
              <w:t xml:space="preserve"> del Parlamento Europeo y del Consejo, es necesario que los miembros del cuerpo permanente de la Guardia Europea de Fronteras y Costas desplegados a través de equipos de gestión de fronteras, equipos de apoyo a la gestión de la migración y equipos de retor</w:t>
            </w:r>
            <w:r w:rsidRPr="008623DC">
              <w:rPr>
                <w:b/>
                <w:i/>
              </w:rPr>
              <w:t>no y los miembros de los equipos de apoyo al asilo de la Agencia de Asilo de la Unión Europea (en lo sucesivo, «equipos de las Agencias») tengan acceso a Eurodac. Cuando así lo solicite el Estado miembro que acoja una operación concreta, los miembros de lo</w:t>
            </w:r>
            <w:r w:rsidRPr="008623DC">
              <w:rPr>
                <w:b/>
                <w:i/>
              </w:rPr>
              <w:t>s equipos de las Agencias deben poder tomar y transmitir los datos pertinentes de Eurodac utilizando las herramientas informáticas de los Estados miembros.</w:t>
            </w:r>
          </w:p>
        </w:tc>
      </w:tr>
      <w:tr w:rsidR="006565AA" w:rsidRPr="008623DC" w:rsidTr="007605D8">
        <w:trPr>
          <w:jc w:val="center"/>
        </w:trPr>
        <w:tc>
          <w:tcPr>
            <w:tcW w:w="4876" w:type="dxa"/>
          </w:tcPr>
          <w:p w:rsidR="00F10CF9" w:rsidRPr="008623DC" w:rsidRDefault="00F10CF9" w:rsidP="007605D8">
            <w:pPr>
              <w:pStyle w:val="Normal6"/>
            </w:pPr>
          </w:p>
        </w:tc>
        <w:tc>
          <w:tcPr>
            <w:tcW w:w="4876" w:type="dxa"/>
          </w:tcPr>
          <w:p w:rsidR="00F10CF9" w:rsidRPr="008623DC" w:rsidRDefault="008623DC" w:rsidP="007605D8">
            <w:pPr>
              <w:pStyle w:val="Normal6"/>
              <w:rPr>
                <w:b/>
                <w:i/>
              </w:rPr>
            </w:pPr>
            <w:r w:rsidRPr="008623DC">
              <w:t>__________________</w:t>
            </w:r>
          </w:p>
        </w:tc>
      </w:tr>
      <w:tr w:rsidR="006565AA" w:rsidRPr="008623DC" w:rsidTr="007605D8">
        <w:trPr>
          <w:jc w:val="center"/>
        </w:trPr>
        <w:tc>
          <w:tcPr>
            <w:tcW w:w="4876" w:type="dxa"/>
          </w:tcPr>
          <w:p w:rsidR="00F10CF9" w:rsidRPr="008623DC" w:rsidRDefault="00F10CF9" w:rsidP="007605D8">
            <w:pPr>
              <w:pStyle w:val="Normal6"/>
            </w:pPr>
          </w:p>
        </w:tc>
        <w:tc>
          <w:tcPr>
            <w:tcW w:w="4876" w:type="dxa"/>
          </w:tcPr>
          <w:p w:rsidR="00F10CF9" w:rsidRPr="008623DC" w:rsidRDefault="008623DC" w:rsidP="007605D8">
            <w:pPr>
              <w:pStyle w:val="Normal6"/>
              <w:rPr>
                <w:b/>
                <w:i/>
              </w:rPr>
            </w:pPr>
            <w:r w:rsidRPr="008623DC">
              <w:rPr>
                <w:b/>
                <w:i/>
                <w:vertAlign w:val="superscript"/>
              </w:rPr>
              <w:t>1 bis</w:t>
            </w:r>
            <w:r w:rsidRPr="008623DC">
              <w:rPr>
                <w:b/>
                <w:i/>
              </w:rPr>
              <w:tab/>
              <w:t xml:space="preserve">Reglamento (UE) 2019/1896 del Parlamento Europeo y del Consejo, de 13 </w:t>
            </w:r>
            <w:r w:rsidRPr="008623DC">
              <w:rPr>
                <w:b/>
                <w:i/>
              </w:rPr>
              <w:t>de noviembre de 2019, sobre la Guardia Europea de Fronteras y Costas y por el que se derogan los Reglamentos (UE) n.º 1052/2013 y (UE) 2016/1624 (DO L 295 de 14.11.2019, p. 1).</w:t>
            </w:r>
          </w:p>
        </w:tc>
      </w:tr>
      <w:tr w:rsidR="006565AA" w:rsidRPr="008623DC" w:rsidTr="007605D8">
        <w:trPr>
          <w:jc w:val="center"/>
        </w:trPr>
        <w:tc>
          <w:tcPr>
            <w:tcW w:w="4876" w:type="dxa"/>
          </w:tcPr>
          <w:p w:rsidR="00F10CF9" w:rsidRPr="008623DC" w:rsidRDefault="00F10CF9" w:rsidP="007605D8">
            <w:pPr>
              <w:pStyle w:val="Normal6"/>
            </w:pPr>
          </w:p>
        </w:tc>
        <w:tc>
          <w:tcPr>
            <w:tcW w:w="4876" w:type="dxa"/>
          </w:tcPr>
          <w:p w:rsidR="00F10CF9" w:rsidRPr="008623DC" w:rsidRDefault="008623DC" w:rsidP="007605D8">
            <w:pPr>
              <w:pStyle w:val="Normal6"/>
              <w:rPr>
                <w:b/>
                <w:i/>
                <w:vertAlign w:val="superscript"/>
              </w:rPr>
            </w:pPr>
            <w:r w:rsidRPr="008623DC">
              <w:rPr>
                <w:b/>
                <w:i/>
                <w:vertAlign w:val="superscript"/>
              </w:rPr>
              <w:t>1 ter</w:t>
            </w:r>
            <w:r w:rsidRPr="008623DC">
              <w:rPr>
                <w:b/>
                <w:i/>
                <w:vertAlign w:val="superscript"/>
              </w:rPr>
              <w:tab/>
            </w:r>
            <w:r w:rsidRPr="008623DC">
              <w:rPr>
                <w:b/>
                <w:i/>
              </w:rPr>
              <w:t>Reglamento (UE) 2021/2303 del Parlamento Europeo y del Consejo, de 15 d</w:t>
            </w:r>
            <w:r w:rsidRPr="008623DC">
              <w:rPr>
                <w:b/>
                <w:i/>
              </w:rPr>
              <w:t>e diciembre de 2021, relativo a la Agencia de Asilo de la Unión Europea y por el que se deroga el Reglamento (UE) n.º 439/2010 (DO L 468 de 30.12.2021, p. 1).</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w:t>
      </w:r>
      <w:r w:rsidRPr="008623DC">
        <w:rPr>
          <w:rStyle w:val="HideTWBExt"/>
        </w:rPr>
        <w:t>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Preámbulo – punto 2 – considerando 5 quater</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5 quater)</w:t>
            </w:r>
            <w:r w:rsidRPr="008623DC">
              <w:tab/>
            </w:r>
            <w:r w:rsidRPr="008623DC">
              <w:rPr>
                <w:b/>
                <w:i/>
              </w:rPr>
              <w:t xml:space="preserve">Igualmente, </w:t>
            </w:r>
            <w:r w:rsidRPr="008623DC">
              <w:t xml:space="preserve">con el fin de </w:t>
            </w:r>
            <w:r w:rsidRPr="008623DC">
              <w:rPr>
                <w:b/>
                <w:i/>
              </w:rPr>
              <w:t>gestionar</w:t>
            </w:r>
            <w:r w:rsidRPr="008623DC">
              <w:t xml:space="preserve"> </w:t>
            </w:r>
            <w:r w:rsidRPr="008623DC">
              <w:rPr>
                <w:b/>
                <w:i/>
              </w:rPr>
              <w:t>la migración</w:t>
            </w:r>
            <w:r w:rsidRPr="008623DC">
              <w:t xml:space="preserve"> irregular</w:t>
            </w:r>
            <w:r w:rsidRPr="008623DC">
              <w:rPr>
                <w:b/>
                <w:i/>
              </w:rPr>
              <w:t>, es necesario permitir que</w:t>
            </w:r>
            <w:r w:rsidRPr="008623DC">
              <w:t xml:space="preserve"> eu-LISA </w:t>
            </w:r>
            <w:r w:rsidRPr="008623DC">
              <w:rPr>
                <w:b/>
                <w:i/>
              </w:rPr>
              <w:t>elabore</w:t>
            </w:r>
            <w:r w:rsidRPr="008623DC">
              <w:t xml:space="preserve"> estadísticas transversales usando datos de Eurodac, </w:t>
            </w:r>
            <w:r w:rsidRPr="008623DC">
              <w:rPr>
                <w:b/>
                <w:i/>
              </w:rPr>
              <w:t>del</w:t>
            </w:r>
            <w:r w:rsidRPr="008623DC">
              <w:t xml:space="preserve"> Sistema de Información de Visados, </w:t>
            </w:r>
            <w:r w:rsidRPr="008623DC">
              <w:rPr>
                <w:b/>
                <w:i/>
              </w:rPr>
              <w:t>del</w:t>
            </w:r>
            <w:r w:rsidRPr="008623DC">
              <w:t xml:space="preserve"> SEIAV y </w:t>
            </w:r>
            <w:r w:rsidRPr="008623DC">
              <w:rPr>
                <w:b/>
                <w:i/>
              </w:rPr>
              <w:t>del</w:t>
            </w:r>
            <w:r w:rsidRPr="008623DC">
              <w:t xml:space="preserve"> Sistema de Entradas y Salidas. Para especificar el contenido de estas estadísticas transversale</w:t>
            </w:r>
            <w:r w:rsidRPr="008623DC">
              <w:t>s, deben conferirse a la Comisión competencias de ejecución. Dichas competencias deben ejercerse de conformidad con el Reglamento (UE) n.º 182/2011 del Parlamento Europeo y del Consejo, de 16 de febrero de 2011, por el que se establecen las normas y los pr</w:t>
            </w:r>
            <w:r w:rsidRPr="008623DC">
              <w:t>incipios generales relativos a las modalidades de control por parte de los Estados miembros del ejercicio de las competencias de ejecución por la Comisión.</w:t>
            </w:r>
          </w:p>
        </w:tc>
        <w:tc>
          <w:tcPr>
            <w:tcW w:w="4876" w:type="dxa"/>
            <w:hideMark/>
          </w:tcPr>
          <w:p w:rsidR="007605D8" w:rsidRPr="008623DC" w:rsidRDefault="008623DC" w:rsidP="00F10CF9">
            <w:pPr>
              <w:pStyle w:val="Normal6"/>
              <w:rPr>
                <w:szCs w:val="24"/>
              </w:rPr>
            </w:pPr>
            <w:r w:rsidRPr="008623DC">
              <w:t>5 quater)</w:t>
            </w:r>
            <w:r w:rsidRPr="008623DC">
              <w:tab/>
              <w:t xml:space="preserve">Con el fin de </w:t>
            </w:r>
            <w:r w:rsidRPr="008623DC">
              <w:rPr>
                <w:b/>
                <w:i/>
              </w:rPr>
              <w:t>prestar asistencia a los Estados miembros en relación con el control de</w:t>
            </w:r>
            <w:r w:rsidRPr="008623DC">
              <w:t xml:space="preserve"> </w:t>
            </w:r>
            <w:r w:rsidRPr="008623DC">
              <w:rPr>
                <w:b/>
                <w:i/>
              </w:rPr>
              <w:t>la i</w:t>
            </w:r>
            <w:r w:rsidRPr="008623DC">
              <w:rPr>
                <w:b/>
                <w:i/>
              </w:rPr>
              <w:t>nmigración</w:t>
            </w:r>
            <w:r w:rsidRPr="008623DC">
              <w:t xml:space="preserve"> irregular</w:t>
            </w:r>
            <w:r w:rsidRPr="008623DC">
              <w:rPr>
                <w:b/>
                <w:i/>
              </w:rPr>
              <w:t xml:space="preserve"> y proporcionar estadísticas útiles a los responsables políticos para favorecer la formulación de políticas basadas en datos contrastados,</w:t>
            </w:r>
            <w:r w:rsidRPr="008623DC">
              <w:t xml:space="preserve"> eu-LISA </w:t>
            </w:r>
            <w:r w:rsidRPr="008623DC">
              <w:rPr>
                <w:b/>
                <w:i/>
              </w:rPr>
              <w:t>debe poder elaborar</w:t>
            </w:r>
            <w:r w:rsidRPr="008623DC">
              <w:t xml:space="preserve"> estadísticas transversales usando datos de </w:t>
            </w:r>
            <w:r w:rsidRPr="008623DC">
              <w:rPr>
                <w:b/>
                <w:i/>
              </w:rPr>
              <w:t>las bases de datos pertine</w:t>
            </w:r>
            <w:r w:rsidRPr="008623DC">
              <w:rPr>
                <w:b/>
                <w:i/>
              </w:rPr>
              <w:t xml:space="preserve">ntes de la Unión, en particular </w:t>
            </w:r>
            <w:r w:rsidRPr="008623DC">
              <w:t xml:space="preserve">Eurodac, </w:t>
            </w:r>
            <w:r w:rsidRPr="008623DC">
              <w:rPr>
                <w:b/>
                <w:i/>
              </w:rPr>
              <w:t>el</w:t>
            </w:r>
            <w:r w:rsidRPr="008623DC">
              <w:t xml:space="preserve"> Sistema de Información de Visados, </w:t>
            </w:r>
            <w:r w:rsidRPr="008623DC">
              <w:rPr>
                <w:b/>
                <w:i/>
              </w:rPr>
              <w:t>el</w:t>
            </w:r>
            <w:r w:rsidRPr="008623DC">
              <w:t xml:space="preserve"> SEIAV y </w:t>
            </w:r>
            <w:r w:rsidRPr="008623DC">
              <w:rPr>
                <w:b/>
                <w:i/>
              </w:rPr>
              <w:t>el</w:t>
            </w:r>
            <w:r w:rsidRPr="008623DC">
              <w:t xml:space="preserve"> Sistema de Entradas y Salidas. Para especificar el contenido de estas estadísticas transversales, deben conferirse a la Comisión competencias de ejecución. Dichas </w:t>
            </w:r>
            <w:r w:rsidRPr="008623DC">
              <w:t xml:space="preserve">competencias deben ejercerse de conformidad con el Reglamento (UE) n.º 182/2011 del Parlamento Europeo y del Consejo, de 16 de febrero de 2011, por el que se establecen las normas y los principios generales relativos a las modalidades de control por parte </w:t>
            </w:r>
            <w:r w:rsidRPr="008623DC">
              <w:t>de los Estados miembros del ejercicio de las competencias de ejecución por la Comisión.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Preámbulo – punto 3 – considerando 6</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(6)</w:t>
            </w:r>
            <w:r w:rsidRPr="008623DC">
              <w:tab/>
              <w:t>A estos efectos, es necesario crear un sistema, al que se llamará «Eurodac», consistente en un Sistema Central y el registro com</w:t>
            </w:r>
            <w:r w:rsidRPr="008623DC">
              <w:t>ún de datos de identidad establecido por el Reglamento (UE) 2019/818, que gestionará una base central informatizada de datos biométricos , así como en los medios electrónicos de transmisión entre estos [el Sistema Central y el registro común de datos de id</w:t>
            </w:r>
            <w:r w:rsidRPr="008623DC">
              <w:t>entidad] y los Estados miembros, en lo sucesivo, la «Infraestructura de Comunicación».</w:t>
            </w:r>
          </w:p>
        </w:tc>
        <w:tc>
          <w:tcPr>
            <w:tcW w:w="4876" w:type="dxa"/>
            <w:hideMark/>
          </w:tcPr>
          <w:p w:rsidR="007605D8" w:rsidRPr="008623DC" w:rsidRDefault="008623DC" w:rsidP="007605D8">
            <w:pPr>
              <w:pStyle w:val="Normal6"/>
              <w:rPr>
                <w:szCs w:val="24"/>
              </w:rPr>
            </w:pPr>
            <w:r w:rsidRPr="008623DC">
              <w:t>(6)</w:t>
            </w:r>
            <w:r w:rsidRPr="008623DC">
              <w:tab/>
              <w:t xml:space="preserve">A estos efectos, es necesario crear un sistema, al que se llamará «Eurodac», consistente en un Sistema Central y el registro común de datos de identidad establecido </w:t>
            </w:r>
            <w:r w:rsidRPr="008623DC">
              <w:t xml:space="preserve">por el Reglamento (UE) 2019/818, que gestionará una base central informatizada de datos biométricos </w:t>
            </w:r>
            <w:r w:rsidRPr="008623DC">
              <w:rPr>
                <w:b/>
                <w:i/>
              </w:rPr>
              <w:t>y alfanuméricos</w:t>
            </w:r>
            <w:r w:rsidRPr="008623DC">
              <w:t>, así como en los medios electrónicos de transmisión entre estos [el Sistema Central y el registro común de datos de identidad] y los Estados</w:t>
            </w:r>
            <w:r w:rsidRPr="008623DC">
              <w:t xml:space="preserve"> miembros, en lo sucesivo, la «Infraestructura de Comunicación».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Preámbulo – punto 5 – considerando 14</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14)</w:t>
            </w:r>
            <w:r w:rsidRPr="008623DC">
              <w:tab/>
              <w:t xml:space="preserve">Asimismo, para que Eurodac pueda asistir eficazmente en el control de la </w:t>
            </w:r>
            <w:r w:rsidRPr="008623DC">
              <w:rPr>
                <w:b/>
                <w:i/>
              </w:rPr>
              <w:t>migración</w:t>
            </w:r>
            <w:r w:rsidRPr="008623DC">
              <w:t xml:space="preserve"> irregular y la detección de movimientos secundarios dentro de la </w:t>
            </w:r>
            <w:r w:rsidRPr="008623DC">
              <w:rPr>
                <w:b/>
                <w:i/>
              </w:rPr>
              <w:t>UE</w:t>
            </w:r>
            <w:r w:rsidRPr="008623DC">
              <w:t>, es preciso permitir que el sistema cuente solicitantes, además de solicitudes, vinculando todos los conjuntos de datos correspondientes a una persona, independientemente de su categoría, en una única secuencia.</w:t>
            </w:r>
          </w:p>
        </w:tc>
        <w:tc>
          <w:tcPr>
            <w:tcW w:w="4876" w:type="dxa"/>
            <w:hideMark/>
          </w:tcPr>
          <w:p w:rsidR="007605D8" w:rsidRPr="008623DC" w:rsidRDefault="008623DC" w:rsidP="008C51F4">
            <w:pPr>
              <w:pStyle w:val="Normal6"/>
              <w:rPr>
                <w:szCs w:val="24"/>
              </w:rPr>
            </w:pPr>
            <w:r w:rsidRPr="008623DC">
              <w:t>14)</w:t>
            </w:r>
            <w:r w:rsidRPr="008623DC">
              <w:tab/>
            </w:r>
            <w:r w:rsidRPr="008623DC">
              <w:t xml:space="preserve">Asimismo, para que Eurodac pueda asistir eficazmente en el control de la </w:t>
            </w:r>
            <w:r w:rsidRPr="008623DC">
              <w:rPr>
                <w:b/>
                <w:i/>
              </w:rPr>
              <w:t>inmigración</w:t>
            </w:r>
            <w:r w:rsidRPr="008623DC">
              <w:t xml:space="preserve"> irregular</w:t>
            </w:r>
            <w:r w:rsidRPr="008623DC">
              <w:rPr>
                <w:b/>
                <w:i/>
              </w:rPr>
              <w:t xml:space="preserve"> a la Unión</w:t>
            </w:r>
            <w:r w:rsidRPr="008623DC">
              <w:t xml:space="preserve"> y la detección de movimientos secundarios dentro de la </w:t>
            </w:r>
            <w:r w:rsidRPr="008623DC">
              <w:rPr>
                <w:b/>
                <w:i/>
              </w:rPr>
              <w:t>Unión</w:t>
            </w:r>
            <w:r w:rsidRPr="008623DC">
              <w:t>, es preciso permitir que el sistema cuente solicitantes, además de solicitudes, vinculand</w:t>
            </w:r>
            <w:r w:rsidRPr="008623DC">
              <w:t xml:space="preserve">o todos los conjuntos de datos correspondientes a una persona, independientemente de su categoría, en una única secuencia. </w:t>
            </w:r>
            <w:r w:rsidRPr="008623DC">
              <w:rPr>
                <w:b/>
                <w:i/>
              </w:rPr>
              <w:t>Las autoridades nacionales y los organismos de la Unión solo deben poder ver aquellos datos personales que sean estrictamente pertine</w:t>
            </w:r>
            <w:r w:rsidRPr="008623DC">
              <w:rPr>
                <w:b/>
                <w:i/>
              </w:rPr>
              <w:t>ntes para el desempeño de sus funciones, incluso aunque los datos estén vinculados en una secuencia. Esto no afecta al período de conservación de cada conjunto de datos.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rPr>
          <w:rStyle w:val="HideTWBExt"/>
        </w:rPr>
      </w:pPr>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w:t>
      </w:r>
      <w:r w:rsidRPr="008623DC">
        <w:rPr>
          <w:rStyle w:val="HideTWBExt"/>
          <w:lang w:val="es-ES_tradnl"/>
        </w:rPr>
        <w:t>&lt;/NumAm&gt;</w:t>
      </w:r>
    </w:p>
    <w:p w:rsidR="007605D8" w:rsidRPr="008623DC" w:rsidRDefault="008623DC" w:rsidP="007605D8">
      <w:pPr>
        <w:pStyle w:val="NormalBold"/>
      </w:pPr>
      <w:r w:rsidRPr="008623DC">
        <w:rPr>
          <w:rStyle w:val="HideTWBExt"/>
        </w:rPr>
        <w:t>&lt;RepeatBlo</w:t>
      </w:r>
      <w:r w:rsidRPr="008623DC">
        <w:rPr>
          <w:rStyle w:val="HideTWBExt"/>
        </w:rPr>
        <w:t>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Preámbulo – punto 6 – considerando 24 bis</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rPr>
                <w:b/>
                <w:i/>
              </w:rPr>
              <w:t>6)</w:t>
            </w:r>
            <w:r w:rsidRPr="008623DC">
              <w:rPr>
                <w:b/>
                <w:i/>
              </w:rPr>
              <w:tab/>
              <w:t xml:space="preserve">a continuación del considerando 24 se inserta el </w:t>
            </w:r>
            <w:r w:rsidRPr="008623DC">
              <w:rPr>
                <w:b/>
                <w:i/>
              </w:rPr>
              <w:t>considerando siguiente:</w:t>
            </w:r>
          </w:p>
        </w:tc>
        <w:tc>
          <w:tcPr>
            <w:tcW w:w="4876" w:type="dxa"/>
            <w:hideMark/>
          </w:tcPr>
          <w:p w:rsidR="007605D8" w:rsidRPr="008623DC" w:rsidRDefault="008623DC" w:rsidP="007605D8">
            <w:pPr>
              <w:pStyle w:val="Normal6"/>
              <w:rPr>
                <w:szCs w:val="24"/>
              </w:rPr>
            </w:pPr>
            <w:r w:rsidRPr="008623DC">
              <w:rPr>
                <w:b/>
                <w:i/>
              </w:rPr>
              <w:t>suprimido</w:t>
            </w:r>
          </w:p>
        </w:tc>
      </w:tr>
      <w:tr w:rsidR="006565AA" w:rsidRPr="008623DC" w:rsidTr="007605D8">
        <w:trPr>
          <w:jc w:val="center"/>
        </w:trPr>
        <w:tc>
          <w:tcPr>
            <w:tcW w:w="4876" w:type="dxa"/>
            <w:hideMark/>
          </w:tcPr>
          <w:p w:rsidR="007605D8" w:rsidRPr="008623DC" w:rsidRDefault="008623DC" w:rsidP="007605D8">
            <w:pPr>
              <w:pStyle w:val="Normal6"/>
            </w:pPr>
            <w:r w:rsidRPr="008623DC">
              <w:rPr>
                <w:b/>
                <w:i/>
              </w:rPr>
              <w:t>(24 bis)</w:t>
            </w:r>
            <w:r w:rsidRPr="008623DC">
              <w:rPr>
                <w:b/>
                <w:i/>
              </w:rPr>
              <w:tab/>
              <w:t>A los efectos del presente Reglamento, se recuerda que debe considerarse que una persona permanece de forma ilegal en el territorio del Estado miembro de reubicación si no solicita protección internacional tras l</w:t>
            </w:r>
            <w:r w:rsidRPr="008623DC">
              <w:rPr>
                <w:b/>
                <w:i/>
              </w:rPr>
              <w:t>a reubicación, o no cumple por otros motivos, o deja de cumplir las condiciones de entrada previstas en el artículo 6 del Reglamento (UE) 2016/399 u otras condiciones de entrada, estancia o residencia en el Estado miembro de reubicación.»;</w:t>
            </w:r>
          </w:p>
        </w:tc>
        <w:tc>
          <w:tcPr>
            <w:tcW w:w="4876" w:type="dxa"/>
          </w:tcPr>
          <w:p w:rsidR="007605D8" w:rsidRPr="008623DC" w:rsidRDefault="007605D8" w:rsidP="007605D8">
            <w:pPr>
              <w:pStyle w:val="Normal6"/>
              <w:rPr>
                <w:szCs w:val="24"/>
              </w:rPr>
            </w:pP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Preámbulo – punto 6 – considerando 24 bis bis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hideMark/>
          </w:tcPr>
          <w:p w:rsidR="007605D8" w:rsidRPr="008623DC" w:rsidRDefault="008623DC" w:rsidP="007605D8">
            <w:pPr>
              <w:keepNext/>
            </w:pPr>
            <w:r w:rsidRPr="008623DC">
              <w:t xml:space="preserve"> </w:t>
            </w: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8C51F4">
            <w:pPr>
              <w:pStyle w:val="Normal6"/>
              <w:rPr>
                <w:b/>
                <w:i/>
              </w:rPr>
            </w:pPr>
            <w:r w:rsidRPr="008623DC">
              <w:rPr>
                <w:b/>
                <w:i/>
              </w:rPr>
              <w:t>24 bis bis)</w:t>
            </w:r>
            <w:r w:rsidRPr="008623DC">
              <w:rPr>
                <w:b/>
                <w:i/>
              </w:rPr>
              <w:tab/>
              <w:t xml:space="preserve">Cuando un nacional de un tercer país o un apátrida que se encuentre en situación irregular en un Estado miembro presente una solicitud de protección internacional en el momento de su interceptación o tras esta, </w:t>
            </w:r>
            <w:r w:rsidRPr="008623DC">
              <w:rPr>
                <w:b/>
                <w:i/>
              </w:rPr>
              <w:t>dicho Estado miembro no debe estar exento de la obligación de tomar y registrar los datos biométricos de esa persona de conformidad con el presente Reglamento.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rPr>
          <w:rStyle w:val="HideTWBExt"/>
        </w:rPr>
      </w:pPr>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10</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Preámbulo – punto 6 – considerando 24 bis ter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4C2FE7">
            <w:pPr>
              <w:pStyle w:val="Normal6"/>
              <w:rPr>
                <w:b/>
                <w:i/>
              </w:rPr>
            </w:pPr>
            <w:r w:rsidRPr="008623DC">
              <w:rPr>
                <w:b/>
                <w:i/>
              </w:rPr>
              <w:t>24 bis ter)</w:t>
            </w:r>
            <w:r w:rsidRPr="008623DC">
              <w:rPr>
                <w:b/>
                <w:i/>
              </w:rPr>
              <w:tab/>
              <w:t xml:space="preserve">Cuando un </w:t>
            </w:r>
            <w:r w:rsidRPr="008623DC">
              <w:rPr>
                <w:b/>
                <w:i/>
              </w:rPr>
              <w:t>nacional de un tercer país o un apátrida que haya sido interceptado con ocasión del cruce irregular de una frontera exterior presente una solicitud de protección internacional en el momento de su interceptación o tras esta, el Estado miembro que haya reali</w:t>
            </w:r>
            <w:r w:rsidRPr="008623DC">
              <w:rPr>
                <w:b/>
                <w:i/>
              </w:rPr>
              <w:t>zado la interceptación no debe estar exento de la obligación de tomar y registrar los datos biométricos de esa persona de conformidad con el presente Reglamento.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rPr>
          <w:rStyle w:val="HideTWBExt"/>
        </w:rPr>
      </w:pPr>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w:t>
      </w:r>
      <w:r w:rsidRPr="008623DC">
        <w:rPr>
          <w:rStyle w:val="HideTWBExt"/>
        </w:rPr>
        <w: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Preámbulo – punto 6 – considerando 24 bis quater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D1390F">
        <w:trPr>
          <w:trHeight w:val="587"/>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372617">
            <w:pPr>
              <w:pStyle w:val="Normal6"/>
              <w:rPr>
                <w:b/>
                <w:i/>
              </w:rPr>
            </w:pPr>
            <w:r w:rsidRPr="008623DC">
              <w:rPr>
                <w:b/>
                <w:i/>
              </w:rPr>
              <w:t>24 bis quater)</w:t>
            </w:r>
            <w:r w:rsidRPr="008623DC">
              <w:rPr>
                <w:b/>
                <w:i/>
              </w:rPr>
              <w:tab/>
              <w:t xml:space="preserve">Los Estados miembros deben </w:t>
            </w:r>
            <w:r w:rsidRPr="008623DC">
              <w:rPr>
                <w:b/>
                <w:i/>
              </w:rPr>
              <w:t>reutilizar los datos biométricos de los nacionales de terceros países o apátridas interceptados con ocasión del cruce irregular de una frontera exterior o que se encuentren en situación irregular en un Estado miembro, tomados en virtud del presente Reglame</w:t>
            </w:r>
            <w:r w:rsidRPr="008623DC">
              <w:rPr>
                <w:b/>
                <w:i/>
              </w:rPr>
              <w:t xml:space="preserve">nto para su transmisión al Sistema Central y al RCDI, de conformidad con las condiciones establecidas en el presente Reglamento. </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pStyle w:val="AMNumberTabs0"/>
        <w:keepNext/>
        <w:rPr>
          <w:rStyle w:val="HideTWBExt"/>
          <w:lang w:val="es-ES_tradnl"/>
        </w:rPr>
      </w:pPr>
      <w:r w:rsidRPr="008623DC">
        <w:rPr>
          <w:rStyle w:val="HideTWBExt"/>
          <w:lang w:val="es-ES_tradnl"/>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Preámbulo – punto 6 bis (nuevo) – considerando 57 bis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9449BF">
            <w:pPr>
              <w:pStyle w:val="Normal6"/>
              <w:rPr>
                <w:rFonts w:ascii="Calibri" w:hAnsi="Calibri" w:cs="Calibri"/>
                <w:b/>
                <w:bCs/>
                <w:color w:val="1F497D"/>
                <w:sz w:val="20"/>
              </w:rPr>
            </w:pPr>
            <w:r w:rsidRPr="008623DC">
              <w:rPr>
                <w:b/>
                <w:i/>
              </w:rPr>
              <w:t>(6 bis)</w:t>
            </w:r>
            <w:r w:rsidRPr="008623DC">
              <w:rPr>
                <w:b/>
                <w:i/>
              </w:rPr>
              <w:tab/>
              <w:t xml:space="preserve">a continuación del considerando 57 se inserta el </w:t>
            </w:r>
            <w:r w:rsidRPr="008623DC">
              <w:rPr>
                <w:b/>
                <w:i/>
              </w:rPr>
              <w:t>considerando siguiente:</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3C548B">
            <w:pPr>
              <w:pStyle w:val="Normal6"/>
              <w:rPr>
                <w:szCs w:val="24"/>
              </w:rPr>
            </w:pPr>
            <w:r w:rsidRPr="008623DC">
              <w:rPr>
                <w:b/>
                <w:i/>
              </w:rPr>
              <w:t>«57 bis)</w:t>
            </w:r>
            <w:r w:rsidRPr="008623DC">
              <w:rPr>
                <w:b/>
                <w:i/>
              </w:rPr>
              <w:tab/>
              <w:t>Para que eu-LISA pueda iniciar el proceso de aplicación de Eurodac tan pronto como el presente Reglamento entre en vigor, el Parlamento Europeo, el Consejo y la Comisión deben garantizar que los recursos financieros y hum</w:t>
            </w:r>
            <w:r w:rsidRPr="008623DC">
              <w:rPr>
                <w:b/>
                <w:i/>
              </w:rPr>
              <w:t>anos puestos a disposición a efectos del presente Reglamento alcancen el nivel indicado en la ficha financiera legislativa de la Comisión relativa al presente Reglamento.».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13</w:t>
      </w:r>
      <w:r w:rsidRPr="008623DC">
        <w:rPr>
          <w:rStyle w:val="HideTWBExt"/>
          <w:lang w:val="es-ES_tradnl"/>
        </w:rPr>
        <w:t>&lt;/NumAm&gt;</w:t>
      </w:r>
    </w:p>
    <w:p w:rsidR="007605D8" w:rsidRPr="008623DC" w:rsidRDefault="008623DC" w:rsidP="007605D8">
      <w:pPr>
        <w:pStyle w:val="NormalBold"/>
      </w:pPr>
      <w:r w:rsidRPr="008623DC">
        <w:rPr>
          <w:rStyle w:val="HideTWBExt"/>
        </w:rPr>
        <w:t>&lt;Repea</w:t>
      </w:r>
      <w:r w:rsidRPr="008623DC">
        <w:rPr>
          <w:rStyle w:val="HideTWBExt"/>
        </w:rPr>
        <w:t>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apartado 1 – letra b</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b)</w:t>
            </w:r>
            <w:r w:rsidRPr="008623DC">
              <w:tab/>
              <w:t xml:space="preserve">asistir en la </w:t>
            </w:r>
            <w:r w:rsidRPr="008623DC">
              <w:rPr>
                <w:b/>
                <w:i/>
              </w:rPr>
              <w:t>aplicación del</w:t>
            </w:r>
            <w:r w:rsidRPr="008623DC">
              <w:t xml:space="preserve"> Reglamento (UE) XXX/XXX [Reglamento sobre el Marco de Reasentamiento] de conformidad con las condiciones previstas en el presente Reglamento;</w:t>
            </w:r>
          </w:p>
        </w:tc>
        <w:tc>
          <w:tcPr>
            <w:tcW w:w="4876" w:type="dxa"/>
            <w:hideMark/>
          </w:tcPr>
          <w:p w:rsidR="007605D8" w:rsidRPr="008623DC" w:rsidRDefault="008623DC" w:rsidP="00777DF3">
            <w:pPr>
              <w:pStyle w:val="Normal6"/>
              <w:rPr>
                <w:szCs w:val="24"/>
              </w:rPr>
            </w:pPr>
            <w:r w:rsidRPr="008623DC">
              <w:t>b)</w:t>
            </w:r>
            <w:r w:rsidRPr="008623DC">
              <w:tab/>
              <w:t xml:space="preserve">asistir en la </w:t>
            </w:r>
            <w:r w:rsidRPr="008623DC">
              <w:rPr>
                <w:b/>
                <w:i/>
              </w:rPr>
              <w:t xml:space="preserve">determinación de los movimientos secundarios de los nacionales de terceros países </w:t>
            </w:r>
            <w:r w:rsidRPr="008623DC">
              <w:rPr>
                <w:b/>
                <w:i/>
              </w:rPr>
              <w:t>reasentados con arreglo al</w:t>
            </w:r>
            <w:r w:rsidRPr="008623DC">
              <w:t xml:space="preserve"> Reglamento (UE) XXX/XXX [Reglamento sobre el Marco de Reasentamiento] de conformidad con las condiciones previstas en el presente Reglamento;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14</w:t>
      </w:r>
      <w:r w:rsidRPr="008623DC">
        <w:rPr>
          <w:rStyle w:val="HideTWBExt"/>
          <w:lang w:val="es-ES_tradnl"/>
        </w:rPr>
        <w:t>&lt;/NumAm&gt;</w:t>
      </w:r>
    </w:p>
    <w:p w:rsidR="007605D8" w:rsidRPr="008623DC" w:rsidRDefault="008623DC" w:rsidP="007605D8">
      <w:pPr>
        <w:pStyle w:val="NormalBold"/>
      </w:pPr>
      <w:r w:rsidRPr="008623DC">
        <w:rPr>
          <w:rStyle w:val="HideTWBExt"/>
        </w:rPr>
        <w:t>&lt;RepeatBlo</w:t>
      </w:r>
      <w:r w:rsidRPr="008623DC">
        <w:rPr>
          <w:rStyle w:val="HideTWBExt"/>
        </w:rPr>
        <w:t>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apartado 1 – letra c bis</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c bis)</w:t>
            </w:r>
            <w:r w:rsidRPr="008623DC">
              <w:rPr>
                <w:b/>
                <w:i/>
              </w:rPr>
              <w:tab/>
              <w:t>prestar asistencia</w:t>
            </w:r>
            <w:r w:rsidRPr="008623DC">
              <w:rPr>
                <w:b/>
                <w:i/>
              </w:rPr>
              <w:t xml:space="preserve"> en relación con la protección de los niños víctimas de la trata de seres humanos y la identificación y protección de niños desaparecidos;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15</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 xml:space="preserve">Jorge Buxadé </w:t>
      </w:r>
      <w:r w:rsidRPr="008623DC">
        <w:t>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apartado 1 – letra d</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d)</w:t>
            </w:r>
            <w:r w:rsidRPr="008623DC">
              <w:tab/>
              <w:t xml:space="preserve">establecer las condiciones en las que las autoridades </w:t>
            </w:r>
            <w:r w:rsidRPr="008623DC">
              <w:t>designadas de los Estados miembros y la Oficina Europea de Policía (Europol) podrán solicitar la comparación de datos biométricos o alfanuméricos con los almacenados en el Sistema Central de Eurodac a efectos de aplicación de la ley para la prevención, det</w:t>
            </w:r>
            <w:r w:rsidRPr="008623DC">
              <w:t>ección o investigación de los delitos de terrorismo u otros delitos graves;</w:t>
            </w:r>
          </w:p>
        </w:tc>
        <w:tc>
          <w:tcPr>
            <w:tcW w:w="4876" w:type="dxa"/>
            <w:hideMark/>
          </w:tcPr>
          <w:p w:rsidR="007605D8" w:rsidRPr="008623DC" w:rsidRDefault="008623DC" w:rsidP="007605D8">
            <w:pPr>
              <w:pStyle w:val="Normal6"/>
              <w:rPr>
                <w:szCs w:val="24"/>
              </w:rPr>
            </w:pPr>
            <w:r w:rsidRPr="008623DC">
              <w:t>d)</w:t>
            </w:r>
            <w:r w:rsidRPr="008623DC">
              <w:tab/>
              <w:t>establecer las condiciones en las que las autoridades designadas de los Estados miembros y la Oficina Europea de Policía (Europol) podrán solicitar la comparación de datos biomé</w:t>
            </w:r>
            <w:r w:rsidRPr="008623DC">
              <w:t xml:space="preserve">tricos o alfanuméricos con los almacenados en el Sistema Central de Eurodac </w:t>
            </w:r>
            <w:r w:rsidRPr="008623DC">
              <w:rPr>
                <w:b/>
                <w:i/>
              </w:rPr>
              <w:t xml:space="preserve">o en el registro común de datos de identidad (RCDI), </w:t>
            </w:r>
            <w:r w:rsidRPr="008623DC">
              <w:t>a efectos de aplicación de la ley para la prevención, detección o investigación de los delitos de terrorismo u otros delitos gr</w:t>
            </w:r>
            <w:r w:rsidRPr="008623DC">
              <w:t>aves;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w:t>
      </w:r>
      <w:r w:rsidRPr="008623DC">
        <w:t>partado 1 – letra f</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f)</w:t>
            </w:r>
            <w:r w:rsidRPr="008623DC">
              <w:tab/>
              <w:t xml:space="preserve">apoyar </w:t>
            </w:r>
            <w:r w:rsidRPr="008623DC">
              <w:rPr>
                <w:b/>
                <w:i/>
              </w:rPr>
              <w:t>los objetivos del</w:t>
            </w:r>
            <w:r w:rsidRPr="008623DC">
              <w:t xml:space="preserve"> Sistema Europeo de Información y Autorización de Viajes («SEIAV») establecido por el Reglamento (UE) 2018/1240;</w:t>
            </w:r>
          </w:p>
        </w:tc>
        <w:tc>
          <w:tcPr>
            <w:tcW w:w="4876" w:type="dxa"/>
            <w:hideMark/>
          </w:tcPr>
          <w:p w:rsidR="007605D8" w:rsidRPr="008623DC" w:rsidRDefault="008623DC" w:rsidP="00352984">
            <w:pPr>
              <w:pStyle w:val="Normal6"/>
              <w:rPr>
                <w:szCs w:val="24"/>
              </w:rPr>
            </w:pPr>
            <w:r w:rsidRPr="008623DC">
              <w:t>f)</w:t>
            </w:r>
            <w:r w:rsidRPr="008623DC">
              <w:tab/>
              <w:t xml:space="preserve">apoyar </w:t>
            </w:r>
            <w:r w:rsidRPr="008623DC">
              <w:rPr>
                <w:b/>
                <w:i/>
              </w:rPr>
              <w:t>el intercambio de información con el</w:t>
            </w:r>
            <w:r w:rsidRPr="008623DC">
              <w:t xml:space="preserve"> Sistema Europeo de Información y Autorización de Viajes («SEIAV») establecido por el Reglamento (UE) 2018/1240;</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w:t>
      </w:r>
      <w:r w:rsidRPr="008623DC">
        <w:rPr>
          <w:rStyle w:val="HideTWBExt"/>
        </w:rPr>
        <w:t>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9 – artículo 1 – apartado 1 – letra g</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g)</w:t>
            </w:r>
            <w:r w:rsidRPr="008623DC">
              <w:tab/>
              <w:t xml:space="preserve">apoyar </w:t>
            </w:r>
            <w:r w:rsidRPr="008623DC">
              <w:rPr>
                <w:b/>
                <w:i/>
              </w:rPr>
              <w:t>los objetivos del</w:t>
            </w:r>
            <w:r w:rsidRPr="008623DC">
              <w:t xml:space="preserve"> Sistema de Información de Visados (VIS) a que hace referencia el Reglamento (CE) n.º 767/2008</w:t>
            </w:r>
            <w:r w:rsidRPr="008623DC">
              <w:rPr>
                <w:b/>
                <w:i/>
              </w:rPr>
              <w:t>.</w:t>
            </w:r>
          </w:p>
        </w:tc>
        <w:tc>
          <w:tcPr>
            <w:tcW w:w="4876" w:type="dxa"/>
            <w:hideMark/>
          </w:tcPr>
          <w:p w:rsidR="007605D8" w:rsidRPr="008623DC" w:rsidRDefault="008623DC" w:rsidP="00352984">
            <w:pPr>
              <w:pStyle w:val="Normal6"/>
              <w:rPr>
                <w:szCs w:val="24"/>
              </w:rPr>
            </w:pPr>
            <w:r w:rsidRPr="008623DC">
              <w:t>g)</w:t>
            </w:r>
            <w:r w:rsidRPr="008623DC">
              <w:tab/>
              <w:t xml:space="preserve">apoyar </w:t>
            </w:r>
            <w:r w:rsidRPr="008623DC">
              <w:rPr>
                <w:b/>
                <w:i/>
              </w:rPr>
              <w:t>el intercambio de información con el</w:t>
            </w:r>
            <w:r w:rsidRPr="008623DC">
              <w:t xml:space="preserve"> Sistema de Información de Visados (VIS) a que hace referencia el Reglamento (CE) n.º 767/2008</w:t>
            </w:r>
            <w:r w:rsidRPr="008623DC">
              <w:rPr>
                <w:b/>
                <w:i/>
              </w:rPr>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rStyle w:val="HideTWBInt"/>
          <w:noProof w:val="0"/>
          <w:lang w:val="es-ES_tradnl"/>
        </w:rPr>
        <w:t>}</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18</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 xml:space="preserve">Parte dispositiva – punto 9 – artículo 1 – apartado 1 – letra g bis </w:t>
      </w:r>
      <w:r w:rsidRPr="008623DC">
        <w:t>(nueva)</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77DF3">
            <w:pPr>
              <w:pStyle w:val="Normal6"/>
              <w:rPr>
                <w:szCs w:val="24"/>
              </w:rPr>
            </w:pPr>
            <w:r w:rsidRPr="008623DC">
              <w:rPr>
                <w:b/>
                <w:i/>
              </w:rPr>
              <w:t>g bis)</w:t>
            </w:r>
            <w:r w:rsidRPr="008623DC">
              <w:tab/>
            </w:r>
            <w:r w:rsidRPr="008623DC">
              <w:rPr>
                <w:b/>
                <w:i/>
              </w:rPr>
              <w:t>permitir la elaboración de estadísticas sobre las personas que soliciten protección internacional, sobre las personas que lleguen con fines de reasentamiento o admisión humanitaria y sobre las pers</w:t>
            </w:r>
            <w:r w:rsidRPr="008623DC">
              <w:rPr>
                <w:b/>
                <w:i/>
              </w:rPr>
              <w:t>onas a las que se conceda o deniegue la protección internacional, para contribuir a la formulación de políticas de la Unión en materia de asilo y migración basadas en datos contrastados.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19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apartado 2</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2.</w:t>
            </w:r>
            <w:r w:rsidRPr="008623DC">
              <w:tab/>
              <w:t xml:space="preserve">Sin perjuicio del </w:t>
            </w:r>
            <w:r w:rsidRPr="008623DC">
              <w:t>tratamiento por el Estado miembro de origen de los datos destinados a Eurodac en otras bases de datos establecidas en virtud de su Derecho nacional, los datos biométricos y demás datos personales únicamente podrán ser procesados en Eurodac a los efectos pr</w:t>
            </w:r>
            <w:r w:rsidRPr="008623DC">
              <w:t>evistos en el presente Reglamento</w:t>
            </w:r>
            <w:r w:rsidRPr="008623DC">
              <w:rPr>
                <w:b/>
                <w:i/>
              </w:rPr>
              <w:t>,</w:t>
            </w:r>
            <w:r w:rsidRPr="008623DC">
              <w:t xml:space="preserve"> en </w:t>
            </w:r>
            <w:r w:rsidRPr="008623DC">
              <w:rPr>
                <w:b/>
                <w:i/>
              </w:rPr>
              <w:t>el Reglamento</w:t>
            </w:r>
            <w:r w:rsidRPr="008623DC">
              <w:t> (UE) XXX/XXX [Reglamento sobre la gestión del asilo y la migración]</w:t>
            </w:r>
            <w:r w:rsidRPr="008623DC">
              <w:rPr>
                <w:b/>
                <w:i/>
              </w:rPr>
              <w:t xml:space="preserve"> y en el</w:t>
            </w:r>
            <w:r w:rsidRPr="008623DC">
              <w:t xml:space="preserve"> </w:t>
            </w:r>
            <w:r w:rsidRPr="008623DC">
              <w:rPr>
                <w:b/>
                <w:i/>
              </w:rPr>
              <w:t>Reglamento</w:t>
            </w:r>
            <w:r w:rsidRPr="008623DC">
              <w:t xml:space="preserve"> (UE) XXX/XXX [Reglamento sobre el Marco de Reasentamiento].</w:t>
            </w:r>
          </w:p>
        </w:tc>
        <w:tc>
          <w:tcPr>
            <w:tcW w:w="4876" w:type="dxa"/>
            <w:hideMark/>
          </w:tcPr>
          <w:p w:rsidR="007605D8" w:rsidRPr="008623DC" w:rsidRDefault="008623DC" w:rsidP="00397221">
            <w:pPr>
              <w:pStyle w:val="Normal6"/>
              <w:rPr>
                <w:szCs w:val="24"/>
              </w:rPr>
            </w:pPr>
            <w:r w:rsidRPr="008623DC">
              <w:t>2.</w:t>
            </w:r>
            <w:r w:rsidRPr="008623DC">
              <w:tab/>
              <w:t>Sin perjuicio del tratamiento por el Estado miembro de</w:t>
            </w:r>
            <w:r w:rsidRPr="008623DC">
              <w:t xml:space="preserve"> origen de los datos destinados a Eurodac en otras bases de datos establecidas en virtud de su Derecho nacional, los datos biométricos y demás datos personales únicamente podrán ser procesados en Eurodac a los efectos previstos en el presente Reglamento</w:t>
            </w:r>
            <w:r w:rsidRPr="008623DC">
              <w:rPr>
                <w:b/>
                <w:i/>
              </w:rPr>
              <w:t xml:space="preserve"> y</w:t>
            </w:r>
            <w:r w:rsidRPr="008623DC">
              <w:t xml:space="preserve"> </w:t>
            </w:r>
            <w:r w:rsidRPr="008623DC">
              <w:t xml:space="preserve">en </w:t>
            </w:r>
            <w:r w:rsidRPr="008623DC">
              <w:rPr>
                <w:b/>
                <w:i/>
              </w:rPr>
              <w:t>los Reglamentos</w:t>
            </w:r>
            <w:r w:rsidRPr="008623DC">
              <w:t> (UE) XXX/XXX [Reglamento sobre la gestión del asilo y la migración]</w:t>
            </w:r>
            <w:r w:rsidRPr="008623DC">
              <w:rPr>
                <w:b/>
                <w:i/>
              </w:rPr>
              <w:t xml:space="preserve">, </w:t>
            </w:r>
            <w:r w:rsidRPr="008623DC">
              <w:t>(UE) XXX/XXX [Reglamento sobre el Marco de Reasentamiento]</w:t>
            </w:r>
            <w:r w:rsidRPr="008623DC">
              <w:rPr>
                <w:b/>
                <w:i/>
              </w:rPr>
              <w:t>, (UE) 2019/818, (UE) XXX/XXX por el que se modifica el</w:t>
            </w:r>
            <w:r w:rsidRPr="008623DC">
              <w:t xml:space="preserve"> </w:t>
            </w:r>
            <w:r w:rsidRPr="008623DC">
              <w:rPr>
                <w:b/>
                <w:i/>
              </w:rPr>
              <w:t>[Reglamento VIS] y (UE) 2018/1240</w:t>
            </w:r>
            <w:r w:rsidRPr="008623DC">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20</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apartado 2 bis (nuevo)</w:t>
      </w:r>
      <w:r w:rsidRPr="008623DC">
        <w:rPr>
          <w:rStyle w:val="HideTWBExt"/>
        </w:rPr>
        <w:t>&lt;/Ar</w:t>
      </w:r>
      <w:r w:rsidRPr="008623DC">
        <w:rPr>
          <w:rStyle w:val="HideTWBExt"/>
        </w:rPr>
        <w:t>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352984">
            <w:pPr>
              <w:pStyle w:val="Normal6"/>
              <w:rPr>
                <w:szCs w:val="24"/>
              </w:rPr>
            </w:pPr>
            <w:r w:rsidRPr="008623DC">
              <w:rPr>
                <w:b/>
                <w:i/>
              </w:rPr>
              <w:t>2 bis.</w:t>
            </w:r>
            <w:r w:rsidRPr="008623DC">
              <w:tab/>
            </w:r>
            <w:r w:rsidRPr="008623DC">
              <w:rPr>
                <w:b/>
                <w:i/>
              </w:rPr>
              <w:t xml:space="preserve">El presente Reglamento respeta plenamente la dignidad humana y los derechos fundamentales de conformidad con la Carta de los Derechos Fundamentales de la Unión Europea, en particular el derecho al respeto de </w:t>
            </w:r>
            <w:r w:rsidRPr="008623DC">
              <w:rPr>
                <w:b/>
                <w:i/>
              </w:rPr>
              <w:t>la vida privada, el derecho a la protección de los datos de carácter personal, el derecho de asilo, el derecho a la no devolución y la prohibición de la tortura y los tratos inhumanos o degradantes. A este respecto, el tratamiento de datos personales de co</w:t>
            </w:r>
            <w:r w:rsidRPr="008623DC">
              <w:rPr>
                <w:b/>
                <w:i/>
              </w:rPr>
              <w:t>nformidad con el presente Reglamento no dará lugar a ningún tipo de discriminación.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 xml:space="preserve">Propuesta </w:t>
      </w:r>
      <w:r w:rsidRPr="008623DC">
        <w:t>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apartado 2 ter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471EC9">
            <w:pPr>
              <w:pStyle w:val="Normal6"/>
              <w:rPr>
                <w:szCs w:val="24"/>
              </w:rPr>
            </w:pPr>
            <w:r w:rsidRPr="008623DC">
              <w:rPr>
                <w:b/>
                <w:i/>
              </w:rPr>
              <w:t>2 ter.</w:t>
            </w:r>
            <w:r w:rsidRPr="008623DC">
              <w:tab/>
            </w:r>
            <w:r w:rsidRPr="008623DC">
              <w:rPr>
                <w:b/>
                <w:i/>
              </w:rPr>
              <w:t>Al aplicar el presente Reglamento, se tendrá en cuenta de manera primordial el interés superior del niño.</w:t>
            </w:r>
            <w:r w:rsidRPr="008623DC">
              <w:rPr>
                <w:b/>
                <w:i/>
              </w:rPr>
              <w:t xml:space="preserve"> Esto incluye la aplicación de las disposiciones pertinentes y las salvaguardias relativas a los derechos del niño a la hora de aplicar el presente Reglamento a una persona que declare ser niño o, según el caso, a una persona respecto de la cual existan ra</w:t>
            </w:r>
            <w:r w:rsidRPr="008623DC">
              <w:rPr>
                <w:b/>
                <w:i/>
              </w:rPr>
              <w:t>zones para creer que es un niño y para la que no se disponga de una prueba que acredite su edad. En caso de falta de certeza en relación con la edad del niño, las autoridades concederán a dicha persona el beneficio de la duda. En caso de falta de certeza e</w:t>
            </w:r>
            <w:r w:rsidRPr="008623DC">
              <w:rPr>
                <w:b/>
                <w:i/>
              </w:rPr>
              <w:t>n relación con la edad de una persona que haya declarado ser niño, las autoridades concederán a dicha persona el beneficio de la duda. Esto significa que, si es posible que esa persona tenga menos de seis años, las autoridades la tratarán como tal.</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w:t>
      </w:r>
      <w:r w:rsidRPr="008623DC">
        <w:rPr>
          <w:rStyle w:val="HideTWBExt"/>
          <w:noProof w:val="0"/>
          <w:lang w:val="es-ES_tradnl"/>
        </w:rPr>
        <w:t>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apartado 2 qua</w:t>
      </w:r>
      <w:r w:rsidRPr="008623DC">
        <w:t>ter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F37A1D">
            <w:pPr>
              <w:pStyle w:val="Normal6"/>
              <w:rPr>
                <w:szCs w:val="24"/>
              </w:rPr>
            </w:pPr>
            <w:r w:rsidRPr="008623DC">
              <w:rPr>
                <w:b/>
                <w:i/>
              </w:rPr>
              <w:t>2 quater.</w:t>
            </w:r>
            <w:r w:rsidRPr="008623DC">
              <w:tab/>
            </w:r>
            <w:r w:rsidRPr="008623DC">
              <w:rPr>
                <w:b/>
                <w:i/>
              </w:rPr>
              <w:t xml:space="preserve">Cuando los datos de Eurodac se refieran a un niño menor de catorce años, dichos datos solo se utilizarán a efectos de aplicación de la ley, salvo si es para fines relacionados con la trata </w:t>
            </w:r>
            <w:r w:rsidRPr="008623DC">
              <w:rPr>
                <w:b/>
                <w:i/>
              </w:rPr>
              <w:t>de niños, cuando existan pruebas adicionales que demuestren que dichos datos son pertinentes para la prevención, detección o investigación de delitos de terrorismo u otros delitos graves.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23</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9 – artículo 1 – apartado 2 quinquies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F37A1D">
            <w:pPr>
              <w:pStyle w:val="Normal6"/>
              <w:rPr>
                <w:szCs w:val="24"/>
              </w:rPr>
            </w:pPr>
            <w:r w:rsidRPr="008623DC">
              <w:rPr>
                <w:b/>
                <w:i/>
              </w:rPr>
              <w:t>2 quinquies.</w:t>
            </w:r>
            <w:r w:rsidRPr="008623DC">
              <w:tab/>
            </w:r>
            <w:r w:rsidRPr="008623DC">
              <w:rPr>
                <w:b/>
                <w:i/>
              </w:rPr>
              <w:t>No se internará a niños con el fin de determinar o verificar su identidad o tomar sus datos biométricos independientemente de su edad y de si no están acompañados o lo están por sus familias. Cuando se trate de niños y sus familias, se recurri</w:t>
            </w:r>
            <w:r w:rsidRPr="008623DC">
              <w:rPr>
                <w:b/>
                <w:i/>
              </w:rPr>
              <w:t>rá a alternativas al internamiento basadas en la comunidad y no privativas de libertad.</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24</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10 – letra –a (nueva) – artículo 3 – apartado 1 – letra a bis (nueva)</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4855CD" w:rsidRPr="008623DC" w:rsidRDefault="004855CD" w:rsidP="007605D8">
            <w:pPr>
              <w:pStyle w:val="Normal6"/>
            </w:pPr>
          </w:p>
        </w:tc>
        <w:tc>
          <w:tcPr>
            <w:tcW w:w="4876" w:type="dxa"/>
          </w:tcPr>
          <w:p w:rsidR="004855CD" w:rsidRPr="008623DC" w:rsidRDefault="008623DC" w:rsidP="004855CD">
            <w:pPr>
              <w:pStyle w:val="Normal6"/>
              <w:rPr>
                <w:b/>
                <w:i/>
              </w:rPr>
            </w:pPr>
            <w:r w:rsidRPr="008623DC">
              <w:rPr>
                <w:b/>
                <w:i/>
              </w:rPr>
              <w:t xml:space="preserve">–a) </w:t>
            </w:r>
            <w:r w:rsidRPr="008623DC">
              <w:rPr>
                <w:b/>
                <w:i/>
              </w:rPr>
              <w:tab/>
              <w:t>en el apartado 1, se inserta la letra siguiente:</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«a bis)</w:t>
            </w:r>
            <w:r w:rsidRPr="008623DC">
              <w:rPr>
                <w:b/>
                <w:i/>
              </w:rPr>
              <w:tab/>
            </w:r>
            <w:r w:rsidRPr="008623DC">
              <w:rPr>
                <w:b/>
                <w:i/>
              </w:rPr>
              <w:t>“nacional de un tercer país o apátrida reasentado”: los nacionales de un tercer país o apátridas que, a raíz de un procedimiento de reasentamiento de conformidad con el Derecho nacional o con el [Reglamento (UE) XXX/XXX] [Reglamento sobre el Marco de Rease</w:t>
            </w:r>
            <w:r w:rsidRPr="008623DC">
              <w:rPr>
                <w:b/>
                <w:i/>
              </w:rPr>
              <w:t>ntamiento], lleguen al territorio del Estado miembro de reasentamiento;».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25</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 xml:space="preserve">Propuesta de </w:t>
      </w:r>
      <w:r w:rsidRPr="008623DC">
        <w:t>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10 – letra b – artículo 3 – apartado 1 – letra p</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p)</w:t>
            </w:r>
            <w:r w:rsidRPr="008623DC">
              <w:rPr>
                <w:b/>
                <w:i/>
              </w:rPr>
              <w:tab/>
            </w:r>
            <w:r w:rsidRPr="008623DC">
              <w:t xml:space="preserve">“RCDI”: el registro común de datos de identidad creado mediante el artículo 17 del Reglamento </w:t>
            </w:r>
            <w:r w:rsidRPr="008623DC">
              <w:t>(UE) 2019/818;</w:t>
            </w:r>
          </w:p>
        </w:tc>
        <w:tc>
          <w:tcPr>
            <w:tcW w:w="4876" w:type="dxa"/>
            <w:hideMark/>
          </w:tcPr>
          <w:p w:rsidR="007605D8" w:rsidRPr="008623DC" w:rsidRDefault="008623DC" w:rsidP="007605D8">
            <w:pPr>
              <w:pStyle w:val="Normal6"/>
              <w:rPr>
                <w:szCs w:val="24"/>
              </w:rPr>
            </w:pPr>
            <w:r w:rsidRPr="008623DC">
              <w:t>p)</w:t>
            </w:r>
            <w:r w:rsidRPr="008623DC">
              <w:rPr>
                <w:b/>
                <w:i/>
              </w:rPr>
              <w:tab/>
            </w:r>
            <w:r w:rsidRPr="008623DC">
              <w:t>«RCDI»: el registro común de datos de identidad creado mediante el artículo 17 del Reglamento (UE) 2019/818</w:t>
            </w:r>
            <w:r w:rsidRPr="008623DC">
              <w:rPr>
                <w:b/>
                <w:i/>
              </w:rPr>
              <w:t>, que sustituirá al Sistema Central de Eurodac en la medida en que almacene los datos personales a que se refiere el artículo 18 de</w:t>
            </w:r>
            <w:r w:rsidRPr="008623DC">
              <w:rPr>
                <w:b/>
                <w:i/>
              </w:rPr>
              <w:t xml:space="preserve"> dicho Reglamento</w:t>
            </w:r>
            <w:r w:rsidRPr="008623DC">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 xml:space="preserve"> 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 Parte dispositiva – punto 10 </w:t>
      </w:r>
      <w:r w:rsidRPr="008623DC">
        <w:t>– letra b – artículo 3 – apartado 1 – letra r bis (nueva)</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F37A1D">
            <w:pPr>
              <w:pStyle w:val="Normal6"/>
              <w:rPr>
                <w:szCs w:val="24"/>
              </w:rPr>
            </w:pPr>
            <w:r w:rsidRPr="008623DC">
              <w:rPr>
                <w:b/>
                <w:i/>
              </w:rPr>
              <w:t>r bis)</w:t>
            </w:r>
            <w:r w:rsidRPr="008623DC">
              <w:rPr>
                <w:b/>
                <w:i/>
              </w:rPr>
              <w:tab/>
              <w:t>«niño»: todo ser humano menor de dieciocho años, tal como se define en la Convención sobre los Derechos del Niño.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11 – artículo 4 – apartado 1 – letra c</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 xml:space="preserve">Texto </w:t>
            </w:r>
            <w:r w:rsidRPr="008623DC">
              <w:rPr>
                <w:lang w:val="es-ES_tradnl"/>
              </w:rPr>
              <w:t>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c)</w:t>
            </w:r>
            <w:r w:rsidRPr="008623DC">
              <w:tab/>
              <w:t>el registro común de datos de identidad (RCDI) a que hace referencia el artículo 17, apartado 2, del Reglamento 2019/818;</w:t>
            </w:r>
          </w:p>
        </w:tc>
        <w:tc>
          <w:tcPr>
            <w:tcW w:w="4876" w:type="dxa"/>
            <w:hideMark/>
          </w:tcPr>
          <w:p w:rsidR="007605D8" w:rsidRPr="008623DC" w:rsidRDefault="008623DC" w:rsidP="00F37A1D">
            <w:pPr>
              <w:pStyle w:val="Normal6"/>
            </w:pPr>
            <w:r w:rsidRPr="008623DC">
              <w:t>c)</w:t>
            </w:r>
            <w:r w:rsidRPr="008623DC">
              <w:tab/>
              <w:t>el registro común de datos de identidad (RCDI) a que hace referencia el artículo 17, apartado 2, del Re</w:t>
            </w:r>
            <w:r w:rsidRPr="008623DC">
              <w:t>glamento 2019/818</w:t>
            </w:r>
            <w:r w:rsidRPr="008623DC">
              <w:rPr>
                <w:b/>
                <w:i/>
              </w:rPr>
              <w:t>, que sustituirá al Sistema Central en la medida en que almacene los datos personales a que se refiere el artículo 18 de dicho Reglamento</w:t>
            </w:r>
            <w:r w:rsidRPr="008623DC">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28</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w:t>
      </w:r>
      <w:r w:rsidRPr="008623DC">
        <w:rPr>
          <w:rStyle w:val="HideTWBExt"/>
        </w:rPr>
        <w:t>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11 – artículo 4 – apartado 2</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2.</w:t>
            </w:r>
            <w:r w:rsidRPr="008623DC">
              <w:tab/>
              <w:t xml:space="preserve">El RCDI contendrá los datos a que se refieren el </w:t>
            </w:r>
            <w:r w:rsidRPr="008623DC">
              <w:t>artículo 12, letras a) a f), h) e i), el artículo 13, apartado 2, letras a) a f), h) e i), el artículo 14, apartado 2, letras a) a f), h) e i), y el artículo 14 bis, letras a) a f), h) e i). Los datos de Eurodac restantes serán almacenados en el Sistema Ce</w:t>
            </w:r>
            <w:r w:rsidRPr="008623DC">
              <w:t>ntral.</w:t>
            </w:r>
          </w:p>
        </w:tc>
        <w:tc>
          <w:tcPr>
            <w:tcW w:w="4876" w:type="dxa"/>
            <w:hideMark/>
          </w:tcPr>
          <w:p w:rsidR="007605D8" w:rsidRPr="008623DC" w:rsidRDefault="008623DC" w:rsidP="007605D8">
            <w:pPr>
              <w:pStyle w:val="Normal6"/>
              <w:rPr>
                <w:szCs w:val="24"/>
              </w:rPr>
            </w:pPr>
            <w:r w:rsidRPr="008623DC">
              <w:t>2.</w:t>
            </w:r>
            <w:r w:rsidRPr="008623DC">
              <w:tab/>
              <w:t xml:space="preserve">El RCDI contendrá los datos </w:t>
            </w:r>
            <w:r w:rsidRPr="008623DC">
              <w:rPr>
                <w:b/>
                <w:i/>
              </w:rPr>
              <w:t xml:space="preserve">personales </w:t>
            </w:r>
            <w:r w:rsidRPr="008623DC">
              <w:t>a que se refieren el artículo 12, letras a) a f), h) e i), el artículo 13, apartado 2, letras a) a f), h) e i), el artículo 14, apartado 2, letras a) a f), h) e i), y el artículo 14 bis, letras a) a f), h) e</w:t>
            </w:r>
            <w:r w:rsidRPr="008623DC">
              <w:t xml:space="preserve"> i). Los datos de Eurodac restantes serán almacenados en el Sistema Central.</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29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 xml:space="preserve">Propuesta de </w:t>
      </w:r>
      <w:r w:rsidRPr="008623DC">
        <w:t>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11 – artículo 4 – apartado 5</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5.</w:t>
            </w:r>
            <w:r w:rsidRPr="008623DC">
              <w:tab/>
              <w:t>Los datos relativos a las personas contempladas en el artículo 10, apartado</w:t>
            </w:r>
            <w:r w:rsidRPr="008623DC">
              <w:rPr>
                <w:b/>
                <w:i/>
              </w:rPr>
              <w:t xml:space="preserve"> </w:t>
            </w:r>
            <w:r w:rsidRPr="008623DC">
              <w:t>1, el artículo 13, apartado</w:t>
            </w:r>
            <w:r w:rsidRPr="008623DC">
              <w:rPr>
                <w:b/>
                <w:i/>
              </w:rPr>
              <w:t xml:space="preserve"> </w:t>
            </w:r>
            <w:r w:rsidRPr="008623DC">
              <w:t>1, el artículo 14, a</w:t>
            </w:r>
            <w:r w:rsidRPr="008623DC">
              <w:t>partado</w:t>
            </w:r>
            <w:r w:rsidRPr="008623DC">
              <w:rPr>
                <w:b/>
                <w:i/>
              </w:rPr>
              <w:t xml:space="preserve"> </w:t>
            </w:r>
            <w:r w:rsidRPr="008623DC">
              <w:t>1, y el artículo 14 bis, apartado</w:t>
            </w:r>
            <w:r w:rsidRPr="008623DC">
              <w:rPr>
                <w:b/>
                <w:i/>
              </w:rPr>
              <w:t xml:space="preserve"> </w:t>
            </w:r>
            <w:r w:rsidRPr="008623DC">
              <w:t>1, que sean tratados por el Sistema Central lo serán por cuenta del Estado miembro de origen de conformidad con lo dispuesto en el presente Reglamento y separados con los medios técnicos adecuados.</w:t>
            </w:r>
          </w:p>
        </w:tc>
        <w:tc>
          <w:tcPr>
            <w:tcW w:w="4876" w:type="dxa"/>
            <w:hideMark/>
          </w:tcPr>
          <w:p w:rsidR="007605D8" w:rsidRPr="008623DC" w:rsidRDefault="008623DC" w:rsidP="007605D8">
            <w:pPr>
              <w:pStyle w:val="Normal6"/>
            </w:pPr>
            <w:r w:rsidRPr="008623DC">
              <w:t>5.</w:t>
            </w:r>
            <w:r w:rsidRPr="008623DC">
              <w:tab/>
              <w:t>Los datos rel</w:t>
            </w:r>
            <w:r w:rsidRPr="008623DC">
              <w:t>ativos a las personas contempladas en el artículo 10, apartado</w:t>
            </w:r>
            <w:r w:rsidRPr="008623DC">
              <w:rPr>
                <w:b/>
                <w:i/>
              </w:rPr>
              <w:t> </w:t>
            </w:r>
            <w:r w:rsidRPr="008623DC">
              <w:t>1, el artículo 13, apartado</w:t>
            </w:r>
            <w:r w:rsidRPr="008623DC">
              <w:rPr>
                <w:b/>
                <w:i/>
              </w:rPr>
              <w:t> </w:t>
            </w:r>
            <w:r w:rsidRPr="008623DC">
              <w:t>1, el artículo 14, apartado</w:t>
            </w:r>
            <w:r w:rsidRPr="008623DC">
              <w:rPr>
                <w:b/>
                <w:i/>
              </w:rPr>
              <w:t> </w:t>
            </w:r>
            <w:r w:rsidRPr="008623DC">
              <w:t>1, y el artículo 14 bis, apartado</w:t>
            </w:r>
            <w:r w:rsidRPr="008623DC">
              <w:rPr>
                <w:b/>
                <w:i/>
              </w:rPr>
              <w:t> </w:t>
            </w:r>
            <w:r w:rsidRPr="008623DC">
              <w:t>1, que sean tratados por el Sistema Central lo serán por cuenta del Estado miembro de origen de conform</w:t>
            </w:r>
            <w:r w:rsidRPr="008623DC">
              <w:t>idad con lo dispuesto en el presente Reglamento</w:t>
            </w:r>
            <w:r w:rsidRPr="008623DC">
              <w:rPr>
                <w:b/>
                <w:i/>
              </w:rPr>
              <w:t>, con arreglo al Reglamento (UE) 2016/679, el Reglamento</w:t>
            </w:r>
            <w:r w:rsidRPr="008623DC">
              <w:t xml:space="preserve"> </w:t>
            </w:r>
            <w:r w:rsidRPr="008623DC">
              <w:rPr>
                <w:b/>
                <w:i/>
              </w:rPr>
              <w:t xml:space="preserve">(UE) 2018/1725 o la Directiva (UE) 2016/680, según proceda, </w:t>
            </w:r>
            <w:r w:rsidRPr="008623DC">
              <w:t>y</w:t>
            </w:r>
            <w:r w:rsidRPr="008623DC">
              <w:rPr>
                <w:b/>
                <w:i/>
              </w:rPr>
              <w:t xml:space="preserve"> serán</w:t>
            </w:r>
            <w:r w:rsidRPr="008623DC">
              <w:t xml:space="preserve"> separados con los medios técnicos adecuados.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30</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11 – artículo 4 – apartado 6</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w:t>
            </w:r>
            <w:r w:rsidRPr="008623DC">
              <w:rPr>
                <w:lang w:val="es-ES_tradnl"/>
              </w:rPr>
              <w:t>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6.</w:t>
            </w:r>
            <w:r w:rsidRPr="008623DC">
              <w:tab/>
              <w:t xml:space="preserve">Todos los conjuntos de datos registrados en Eurodac correspondientes al mismo nacional de un tercer país o apátrida se vincularán en una secuencia. Cuando se </w:t>
            </w:r>
            <w:r w:rsidRPr="008623DC">
              <w:rPr>
                <w:b/>
                <w:i/>
              </w:rPr>
              <w:t>inicie una búsqueda con las impresiones dactilares en el conjunto</w:t>
            </w:r>
            <w:r w:rsidRPr="008623DC">
              <w:t xml:space="preserve"> </w:t>
            </w:r>
            <w:r w:rsidRPr="008623DC">
              <w:rPr>
                <w:b/>
                <w:i/>
              </w:rPr>
              <w:t>de datos de un</w:t>
            </w:r>
            <w:r w:rsidRPr="008623DC">
              <w:rPr>
                <w:b/>
                <w:i/>
              </w:rPr>
              <w:t xml:space="preserve"> nacional de un tercer país o apátrida</w:t>
            </w:r>
            <w:r w:rsidRPr="008623DC">
              <w:t xml:space="preserve"> y se obtenga una respuesta positiva respecto de al menos otro conjunto de </w:t>
            </w:r>
            <w:r w:rsidRPr="008623DC">
              <w:rPr>
                <w:b/>
                <w:i/>
              </w:rPr>
              <w:t>impresiones dactilares</w:t>
            </w:r>
            <w:r w:rsidRPr="008623DC">
              <w:t xml:space="preserve"> de otro conjunto de datos correspondiente al mismo nacional de un tercer país o apátrida, Eurodac vinculará automáticame</w:t>
            </w:r>
            <w:r w:rsidRPr="008623DC">
              <w:t xml:space="preserve">nte ambos conjuntos de datos a partir de la comparación </w:t>
            </w:r>
            <w:r w:rsidRPr="008623DC">
              <w:rPr>
                <w:b/>
                <w:i/>
              </w:rPr>
              <w:t>de las impresiones dactilares</w:t>
            </w:r>
            <w:r w:rsidRPr="008623DC">
              <w:t xml:space="preserve">. </w:t>
            </w:r>
            <w:r w:rsidRPr="008623DC">
              <w:rPr>
                <w:b/>
                <w:i/>
              </w:rPr>
              <w:t>Si fuera necesario, los resultados de la comparación de las impresiones dactilares serán verificados y confirmados por un experto en impresiones dactilares según lo prev</w:t>
            </w:r>
            <w:r w:rsidRPr="008623DC">
              <w:rPr>
                <w:b/>
                <w:i/>
              </w:rPr>
              <w:t xml:space="preserve">isto en el artículo 26. </w:t>
            </w:r>
            <w:r w:rsidRPr="008623DC">
              <w:t>Cuando el Estado miembro receptor confirme la respuesta positiva, enviará una notificación a eu-LISA en la que se confirme la vinculación.</w:t>
            </w:r>
          </w:p>
        </w:tc>
        <w:tc>
          <w:tcPr>
            <w:tcW w:w="4876" w:type="dxa"/>
            <w:hideMark/>
          </w:tcPr>
          <w:p w:rsidR="007605D8" w:rsidRPr="008623DC" w:rsidRDefault="008623DC" w:rsidP="00F37A1D">
            <w:pPr>
              <w:pStyle w:val="Normal6"/>
              <w:rPr>
                <w:szCs w:val="24"/>
              </w:rPr>
            </w:pPr>
            <w:r w:rsidRPr="008623DC">
              <w:t>6.</w:t>
            </w:r>
            <w:r w:rsidRPr="008623DC">
              <w:tab/>
              <w:t xml:space="preserve">Todos los conjuntos de datos registrados en Eurodac correspondientes al mismo nacional de </w:t>
            </w:r>
            <w:r w:rsidRPr="008623DC">
              <w:t xml:space="preserve">un tercer país o apátrida se vincularán en una secuencia. Cuando se </w:t>
            </w:r>
            <w:r w:rsidRPr="008623DC">
              <w:rPr>
                <w:b/>
                <w:i/>
              </w:rPr>
              <w:t>realice</w:t>
            </w:r>
            <w:r w:rsidRPr="008623DC">
              <w:t xml:space="preserve"> </w:t>
            </w:r>
            <w:r w:rsidRPr="008623DC">
              <w:rPr>
                <w:b/>
                <w:i/>
              </w:rPr>
              <w:t>una comparación automática</w:t>
            </w:r>
            <w:r w:rsidRPr="008623DC">
              <w:t xml:space="preserve"> </w:t>
            </w:r>
            <w:r w:rsidRPr="008623DC">
              <w:rPr>
                <w:b/>
                <w:i/>
              </w:rPr>
              <w:t>de conformidad con los artículos 15 y 16</w:t>
            </w:r>
            <w:r w:rsidRPr="008623DC">
              <w:t xml:space="preserve"> y se obtenga una respuesta positiva respecto de al menos otro conjunto de </w:t>
            </w:r>
            <w:r w:rsidRPr="008623DC">
              <w:rPr>
                <w:b/>
                <w:i/>
              </w:rPr>
              <w:t>datos dactiloscópicos y de datos de im</w:t>
            </w:r>
            <w:r w:rsidRPr="008623DC">
              <w:rPr>
                <w:b/>
                <w:i/>
              </w:rPr>
              <w:t>agen facial, o exclusivamente de datos de imagen facial,</w:t>
            </w:r>
            <w:r w:rsidRPr="008623DC">
              <w:t xml:space="preserve"> de otro conjunto de datos correspondiente al mismo nacional de un tercer país o apátrida, Eurodac vinculará automáticamente ambos conjuntos de datos a partir de la comparación</w:t>
            </w:r>
            <w:r w:rsidRPr="008623DC">
              <w:rPr>
                <w:b/>
                <w:i/>
              </w:rPr>
              <w:t>.</w:t>
            </w:r>
            <w:r w:rsidRPr="008623DC">
              <w:t xml:space="preserve"> </w:t>
            </w:r>
            <w:r w:rsidRPr="008623DC">
              <w:rPr>
                <w:b/>
                <w:i/>
              </w:rPr>
              <w:t>No obstante, el acceso</w:t>
            </w:r>
            <w:r w:rsidRPr="008623DC">
              <w:rPr>
                <w:b/>
                <w:i/>
              </w:rPr>
              <w:t xml:space="preserve"> a estos tanto por parte de las autoridades designadas de los Estados miembros como por las agencias autorizadas de la Unión estará estrictamente regulado, con el fin de salvaguardar efectivamente el derecho del interesado a la intimidad y a la protección </w:t>
            </w:r>
            <w:r w:rsidRPr="008623DC">
              <w:rPr>
                <w:b/>
                <w:i/>
              </w:rPr>
              <w:t xml:space="preserve">de los datos. Por tanto, dicho acceso, en concreto, estará limitado en el tiempo y se ceñirá a los datos pertinentes para el desempeño específico de sus funciones. </w:t>
            </w:r>
            <w:r w:rsidRPr="008623DC">
              <w:rPr>
                <w:b/>
                <w:i/>
              </w:rPr>
              <w:t>Además, en caso de duda</w:t>
            </w:r>
            <w:r w:rsidRPr="008623DC">
              <w:t xml:space="preserve">, </w:t>
            </w:r>
            <w:r w:rsidRPr="008623DC">
              <w:rPr>
                <w:b/>
                <w:i/>
              </w:rPr>
              <w:t>un experto comprobará, de conformidad con el artículo 26, apartado</w:t>
            </w:r>
            <w:r w:rsidRPr="008623DC">
              <w:rPr>
                <w:b/>
                <w:i/>
              </w:rPr>
              <w:t>s 4 y 5, el resultado</w:t>
            </w:r>
            <w:r w:rsidRPr="008623DC">
              <w:t xml:space="preserve"> </w:t>
            </w:r>
            <w:r w:rsidRPr="008623DC">
              <w:rPr>
                <w:b/>
                <w:i/>
              </w:rPr>
              <w:t>de la comparación automática efectuada de conformidad con los artículos 15 y 16. Cuando se elimine un conjunto de datos registrado en Eurodac, se eliminarán también automáticamente los vínculos a dicho conjunto de datos.</w:t>
            </w:r>
            <w:r w:rsidRPr="008623DC">
              <w:t xml:space="preserve"> Cuando el Est</w:t>
            </w:r>
            <w:r w:rsidRPr="008623DC">
              <w:t>ado miembro receptor confirme la respuesta positiva, enviará una notificación a eu-LISA en la que se confirme la vinculación.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11 – artículo 4 – apartado 7</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w:t>
            </w:r>
            <w:r w:rsidRPr="008623DC">
              <w:tab/>
              <w:t xml:space="preserve">Las normas que rigen Eurodac se aplicarán también a las operaciones </w:t>
            </w:r>
            <w:r w:rsidRPr="008623DC">
              <w:t>efectuadas por los Estados miembros desde la transmisión de los datos al Sistema Central hasta la utilización de los resultados de la comparación.</w:t>
            </w:r>
          </w:p>
        </w:tc>
        <w:tc>
          <w:tcPr>
            <w:tcW w:w="4876" w:type="dxa"/>
            <w:hideMark/>
          </w:tcPr>
          <w:p w:rsidR="007605D8" w:rsidRPr="008623DC" w:rsidRDefault="008623DC" w:rsidP="007605D8">
            <w:pPr>
              <w:pStyle w:val="Normal6"/>
            </w:pPr>
            <w:r w:rsidRPr="008623DC">
              <w:t>1.</w:t>
            </w:r>
            <w:r w:rsidRPr="008623DC">
              <w:tab/>
              <w:t>Las normas que rigen Eurodac se aplicarán también a las operaciones efectuadas por los Estados miembros de</w:t>
            </w:r>
            <w:r w:rsidRPr="008623DC">
              <w:t xml:space="preserve">sde la transmisión de los datos al Sistema Central </w:t>
            </w:r>
            <w:r w:rsidRPr="008623DC">
              <w:rPr>
                <w:b/>
                <w:i/>
              </w:rPr>
              <w:t xml:space="preserve">o al RCDI </w:t>
            </w:r>
            <w:r w:rsidRPr="008623DC">
              <w:t>hasta la utilización de los resultados de la comparación.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w:t>
      </w:r>
      <w:r w:rsidRPr="008623DC">
        <w:rPr>
          <w:rStyle w:val="HideTWBExt"/>
        </w:rPr>
        <w:t>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 Parte dispositiva – punto 11 bis (nuevo) – artículo 5 – apartado 1</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11 bis)</w:t>
            </w:r>
            <w:r w:rsidRPr="008623DC">
              <w:rPr>
                <w:b/>
                <w:i/>
              </w:rPr>
              <w:tab/>
              <w:t xml:space="preserve"> En el artículo 5, el apartado 1 se sustituye por el texto </w:t>
            </w:r>
            <w:r w:rsidRPr="008623DC">
              <w:rPr>
                <w:b/>
                <w:i/>
              </w:rPr>
              <w:t>siguiente:</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851DB0">
            <w:pPr>
              <w:pStyle w:val="Normal6"/>
              <w:rPr>
                <w:szCs w:val="24"/>
              </w:rPr>
            </w:pPr>
            <w:r w:rsidRPr="008623DC">
              <w:rPr>
                <w:b/>
                <w:i/>
              </w:rPr>
              <w:t>«1.</w:t>
            </w:r>
            <w:r w:rsidRPr="008623DC">
              <w:rPr>
                <w:b/>
                <w:i/>
              </w:rPr>
              <w:tab/>
              <w:t xml:space="preserve">Antes de que comience el uso operativo de Eurodac, se actualizará adecuadamente el marco de seguridad para el entorno empresarial y técnico de Eurodac, de conformidad con el artículo 33 del Reglamento (UE) 2018/1725 del Parlamento Europeo </w:t>
            </w:r>
            <w:r w:rsidRPr="008623DC">
              <w:rPr>
                <w:b/>
                <w:i/>
              </w:rPr>
              <w:t>y del Consejo</w:t>
            </w:r>
            <w:r w:rsidRPr="008623DC">
              <w:rPr>
                <w:b/>
                <w:i/>
                <w:vertAlign w:val="superscript"/>
              </w:rPr>
              <w:t>1 bis</w:t>
            </w:r>
            <w:r w:rsidRPr="008623DC">
              <w:rPr>
                <w:b/>
                <w:i/>
              </w:rPr>
              <w:t>; de la gestión operativa de Eurodac se encargará eu-LISA.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__________________</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851DB0">
            <w:pPr>
              <w:pStyle w:val="Normal6"/>
              <w:rPr>
                <w:b/>
                <w:i/>
                <w:szCs w:val="24"/>
              </w:rPr>
            </w:pPr>
            <w:r w:rsidRPr="008623DC">
              <w:rPr>
                <w:b/>
                <w:i/>
                <w:vertAlign w:val="superscript"/>
              </w:rPr>
              <w:t>1 bis</w:t>
            </w:r>
            <w:r w:rsidRPr="008623DC">
              <w:rPr>
                <w:b/>
                <w:i/>
              </w:rPr>
              <w:t xml:space="preserve"> Reglamento (UE) 2018/1725 del Parlamento Europeo y del Consejo, de 23 de octubre de 2018, relativo a la protección de las personas físicas en lo que r</w:t>
            </w:r>
            <w:r w:rsidRPr="008623DC">
              <w:rPr>
                <w:b/>
                <w:i/>
              </w:rPr>
              <w:t>especta al tratamiento de datos personales por las instituciones, órganos y organismos de la Unión, y a la libre circulación de esos datos, y por el que se derogan el Reglamento (CE) n.º 45/2001 y la Decisión n.º 1247/2002/CE (DO L 295 de 21.11.2018, p. 39</w:t>
            </w:r>
            <w:r w:rsidRPr="008623DC">
              <w:rPr>
                <w:b/>
                <w:i/>
              </w:rPr>
              <w:t>).</w:t>
            </w:r>
            <w:r w:rsidRPr="008623DC">
              <w:rPr>
                <w:b/>
              </w:rPr>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33</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12 – artículo 8 bis</w:t>
      </w:r>
      <w:r w:rsidRPr="008623DC">
        <w:t xml:space="preserve"> – apartado 1</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w:t>
            </w:r>
            <w:r w:rsidRPr="008623DC">
              <w:tab/>
              <w:t xml:space="preserve">Desde [la fecha de aplicación del presente Reglamento], el </w:t>
            </w:r>
            <w:r w:rsidRPr="008623DC">
              <w:rPr>
                <w:b/>
                <w:i/>
              </w:rPr>
              <w:t xml:space="preserve">Sistema Central de </w:t>
            </w:r>
            <w:r w:rsidRPr="008623DC">
              <w:t>Eurodac estará conectado con el portal europeo de búsqueda a que se refiere el artículo 6 del Reglamento (UE) 2019/818</w:t>
            </w:r>
            <w:r w:rsidRPr="008623DC">
              <w:t xml:space="preserve"> con el fin de permitir el tratamiento automatizado que se menciona en el artículo 11 del Reglamento (UE) 2018/1240.</w:t>
            </w:r>
          </w:p>
        </w:tc>
        <w:tc>
          <w:tcPr>
            <w:tcW w:w="4876" w:type="dxa"/>
            <w:hideMark/>
          </w:tcPr>
          <w:p w:rsidR="007605D8" w:rsidRPr="008623DC" w:rsidRDefault="008623DC" w:rsidP="007605D8">
            <w:pPr>
              <w:pStyle w:val="Normal6"/>
            </w:pPr>
            <w:r w:rsidRPr="008623DC">
              <w:t>1.</w:t>
            </w:r>
            <w:r w:rsidRPr="008623DC">
              <w:tab/>
              <w:t xml:space="preserve">Desde [la fecha de aplicación del presente Reglamento], el </w:t>
            </w:r>
            <w:r w:rsidRPr="008623DC">
              <w:rPr>
                <w:b/>
                <w:i/>
              </w:rPr>
              <w:t xml:space="preserve">componente </w:t>
            </w:r>
            <w:r w:rsidRPr="008623DC">
              <w:t xml:space="preserve">Eurodac </w:t>
            </w:r>
            <w:r w:rsidRPr="008623DC">
              <w:rPr>
                <w:b/>
                <w:i/>
              </w:rPr>
              <w:t>del RCDI</w:t>
            </w:r>
            <w:r w:rsidRPr="008623DC">
              <w:t xml:space="preserve"> estará conectado con el portal europeo de búsqued</w:t>
            </w:r>
            <w:r w:rsidRPr="008623DC">
              <w:t>a a que se refiere el artículo 6 del Reglamento (UE) 2019/818 con el fin de permitir el tratamiento automatizado que se menciona en el artículo 11 del Reglamento (UE) 2018/1240.</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34</w:t>
      </w:r>
      <w:r w:rsidRPr="008623DC">
        <w:rPr>
          <w:rStyle w:val="HideTWBExt"/>
          <w:lang w:val="es-ES_tradnl"/>
        </w:rPr>
        <w:t>&lt;/NumAm&gt;</w:t>
      </w:r>
    </w:p>
    <w:p w:rsidR="007605D8" w:rsidRPr="008623DC" w:rsidRDefault="008623DC" w:rsidP="007605D8">
      <w:pPr>
        <w:pStyle w:val="NormalBold"/>
      </w:pPr>
      <w:r w:rsidRPr="008623DC">
        <w:rPr>
          <w:rStyle w:val="HideTWBExt"/>
        </w:rPr>
        <w:t>&lt;</w:t>
      </w:r>
      <w:r w:rsidRPr="008623DC">
        <w:rPr>
          <w:rStyle w:val="HideTWBExt"/>
        </w:rPr>
        <w: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12 – artículo 8 bis – apartado 2</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2.</w:t>
            </w:r>
            <w:r w:rsidRPr="008623DC">
              <w:tab/>
              <w:t xml:space="preserve">El tratamiento </w:t>
            </w:r>
            <w:r w:rsidRPr="008623DC">
              <w:t>automatizado a que se refiere el artículo </w:t>
            </w:r>
            <w:r w:rsidRPr="008623DC">
              <w:rPr>
                <w:b/>
                <w:i/>
              </w:rPr>
              <w:t>11</w:t>
            </w:r>
            <w:r w:rsidRPr="008623DC">
              <w:t xml:space="preserve"> del Reglamento (UE) 2018/1240 permitirá las comprobaciones previstas en el artículo 20 y las subsiguientes comprobaciones de los artículos 22 y 26 de dicho Reglamento.</w:t>
            </w:r>
          </w:p>
        </w:tc>
        <w:tc>
          <w:tcPr>
            <w:tcW w:w="4876" w:type="dxa"/>
            <w:hideMark/>
          </w:tcPr>
          <w:p w:rsidR="007605D8" w:rsidRPr="008623DC" w:rsidRDefault="008623DC" w:rsidP="007605D8">
            <w:pPr>
              <w:pStyle w:val="Normal6"/>
              <w:rPr>
                <w:szCs w:val="24"/>
              </w:rPr>
            </w:pPr>
            <w:r w:rsidRPr="008623DC">
              <w:t>2.</w:t>
            </w:r>
            <w:r w:rsidRPr="008623DC">
              <w:tab/>
              <w:t>El tratamiento automatizado a que se ref</w:t>
            </w:r>
            <w:r w:rsidRPr="008623DC">
              <w:t>iere el artículo </w:t>
            </w:r>
            <w:r w:rsidRPr="008623DC">
              <w:rPr>
                <w:b/>
                <w:i/>
              </w:rPr>
              <w:t>20</w:t>
            </w:r>
            <w:r w:rsidRPr="008623DC">
              <w:t xml:space="preserve"> del Reglamento (UE) 2018/1240 permitirá las comprobaciones previstas en el artículo 20 y las subsiguientes comprobaciones de los artículos 22 y 26 de dicho Reglamento. </w:t>
            </w:r>
          </w:p>
        </w:tc>
      </w:tr>
      <w:tr w:rsidR="006565AA" w:rsidRPr="008623DC" w:rsidTr="007605D8">
        <w:trPr>
          <w:jc w:val="center"/>
        </w:trPr>
        <w:tc>
          <w:tcPr>
            <w:tcW w:w="4876" w:type="dxa"/>
            <w:hideMark/>
          </w:tcPr>
          <w:p w:rsidR="007605D8" w:rsidRPr="008623DC" w:rsidRDefault="008623DC" w:rsidP="007605D8">
            <w:pPr>
              <w:pStyle w:val="Normal6"/>
            </w:pPr>
            <w:r w:rsidRPr="008623DC">
              <w:t xml:space="preserve">A efectos de la realización de las comprobaciones previstas en el </w:t>
            </w:r>
            <w:r w:rsidRPr="008623DC">
              <w:t>artículo 20, apartado 2, letra k, del Reglamento (UE) 2018/1240, el Sistema Central del SEIAV utilizará el portal europeo de búsqueda con el fin de comparar los datos del SEIAV con los datos de Eurodac, recogidos con arreglo a lo previsto en los artículos </w:t>
            </w:r>
            <w:r w:rsidRPr="008623DC">
              <w:t>12, 13, 14 y 14 bis del presente Reglamento, relativos a personas que hayan abandonado o hayan sido expulsadas del territorio de los Estados miembros en cumplimiento de una decisión de retorno o una orden de expulsión, y utilizando las correspondencias que</w:t>
            </w:r>
            <w:r w:rsidRPr="008623DC">
              <w:t xml:space="preserve"> figuran en el cuadro del Anexo II del presente Reglamento.</w:t>
            </w:r>
          </w:p>
        </w:tc>
        <w:tc>
          <w:tcPr>
            <w:tcW w:w="4876" w:type="dxa"/>
            <w:hideMark/>
          </w:tcPr>
          <w:p w:rsidR="007605D8" w:rsidRPr="008623DC" w:rsidRDefault="008623DC" w:rsidP="007605D8">
            <w:pPr>
              <w:pStyle w:val="Normal6"/>
              <w:rPr>
                <w:szCs w:val="24"/>
              </w:rPr>
            </w:pPr>
            <w:r w:rsidRPr="008623DC">
              <w:t>A efectos de la realización de las comprobaciones previstas en el artículo 20, apartado 2, letra k, del Reglamento (UE) 2018/1240, el Sistema Central del SEIAV utilizará el portal europeo de búsqueda con el fin de comparar los datos del SEIAV con los datos</w:t>
            </w:r>
            <w:r w:rsidRPr="008623DC">
              <w:t xml:space="preserve"> de Eurodac, recogidos con arreglo a lo previsto en los artículos 12, 13, 14 y 14 bis del presente Reglamento, </w:t>
            </w:r>
            <w:r w:rsidRPr="008623DC">
              <w:rPr>
                <w:b/>
                <w:i/>
              </w:rPr>
              <w:t xml:space="preserve">en formato de solo lectura, </w:t>
            </w:r>
            <w:r w:rsidRPr="008623DC">
              <w:t>relativos a personas que hayan abandonado o hayan sido expulsadas del territorio de los Estados miembros en cumplimie</w:t>
            </w:r>
            <w:r w:rsidRPr="008623DC">
              <w:t>nto de una decisión de retorno o una orden de expulsión, y utilizando las correspondencias que figuran en el cuadro del Anexo II del presente Reglamento.</w:t>
            </w:r>
          </w:p>
        </w:tc>
      </w:tr>
      <w:tr w:rsidR="006565AA" w:rsidRPr="008623DC" w:rsidTr="007605D8">
        <w:trPr>
          <w:jc w:val="center"/>
        </w:trPr>
        <w:tc>
          <w:tcPr>
            <w:tcW w:w="4876" w:type="dxa"/>
            <w:hideMark/>
          </w:tcPr>
          <w:p w:rsidR="007605D8" w:rsidRPr="008623DC" w:rsidRDefault="008623DC" w:rsidP="007605D8">
            <w:pPr>
              <w:pStyle w:val="Normal6"/>
            </w:pPr>
            <w:r w:rsidRPr="008623DC">
              <w:t>Las comprobaciones se entenderán sin perjuicio de las normas específicas previstas en el artículo 24,</w:t>
            </w:r>
            <w:r w:rsidRPr="008623DC">
              <w:t xml:space="preserve"> apartado 3, del Reglamento (UE) 2018/1240.</w:t>
            </w:r>
          </w:p>
        </w:tc>
        <w:tc>
          <w:tcPr>
            <w:tcW w:w="4876" w:type="dxa"/>
            <w:hideMark/>
          </w:tcPr>
          <w:p w:rsidR="007605D8" w:rsidRPr="008623DC" w:rsidRDefault="008623DC" w:rsidP="007605D8">
            <w:pPr>
              <w:pStyle w:val="Normal6"/>
              <w:rPr>
                <w:szCs w:val="24"/>
              </w:rPr>
            </w:pPr>
            <w:r w:rsidRPr="008623DC">
              <w:t>Las comprobaciones se entenderán sin perjuicio de las normas específicas previstas en el artículo 24, apartado 3, del Reglamento (UE) 2018/1240.</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35</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12 – artículo 8 ter – apartado 2</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2.</w:t>
            </w:r>
            <w:r w:rsidRPr="008623DC">
              <w:tab/>
            </w:r>
            <w:r w:rsidRPr="008623DC">
              <w:rPr>
                <w:b/>
                <w:i/>
              </w:rPr>
              <w:t xml:space="preserve">A los </w:t>
            </w:r>
            <w:r w:rsidRPr="008623DC">
              <w:rPr>
                <w:b/>
                <w:i/>
              </w:rPr>
              <w:t>efectos del artículo 1, apartado 1, letra f),</w:t>
            </w:r>
            <w:r w:rsidRPr="008623DC">
              <w:t xml:space="preserve"> las unidades nacionales del SEIAV tendrán acceso </w:t>
            </w:r>
            <w:r w:rsidRPr="008623DC">
              <w:rPr>
                <w:b/>
                <w:i/>
              </w:rPr>
              <w:t>a</w:t>
            </w:r>
            <w:r w:rsidRPr="008623DC">
              <w:t xml:space="preserve"> Eurodac</w:t>
            </w:r>
            <w:r w:rsidRPr="008623DC">
              <w:rPr>
                <w:b/>
                <w:i/>
              </w:rPr>
              <w:t xml:space="preserve"> y podrán consultarlo</w:t>
            </w:r>
            <w:r w:rsidRPr="008623DC">
              <w:t>, en formato de solo lectura, para examinar las solicitudes de autorización de viaje. En particular, las unidades nacionales del SE</w:t>
            </w:r>
            <w:r w:rsidRPr="008623DC">
              <w:t>IAV podrán consultar los datos a que se refieren los artículos 12, 13, 14 y 14 bis.</w:t>
            </w:r>
          </w:p>
        </w:tc>
        <w:tc>
          <w:tcPr>
            <w:tcW w:w="4876" w:type="dxa"/>
            <w:hideMark/>
          </w:tcPr>
          <w:p w:rsidR="007605D8" w:rsidRPr="008623DC" w:rsidRDefault="008623DC" w:rsidP="007605D8">
            <w:pPr>
              <w:pStyle w:val="Normal6"/>
            </w:pPr>
            <w:r w:rsidRPr="008623DC">
              <w:t>2.</w:t>
            </w:r>
            <w:r w:rsidRPr="008623DC">
              <w:tab/>
              <w:t xml:space="preserve">Las unidades nacionales del SEIAV tendrán acceso </w:t>
            </w:r>
            <w:r w:rsidRPr="008623DC">
              <w:rPr>
                <w:b/>
                <w:i/>
              </w:rPr>
              <w:t xml:space="preserve">temporal de consulta a </w:t>
            </w:r>
            <w:r w:rsidRPr="008623DC">
              <w:t>Eurodac, en formato de solo lectura, para examinar las solicitudes de autorización de viaje. En p</w:t>
            </w:r>
            <w:r w:rsidRPr="008623DC">
              <w:t>articular, las unidades nacionales del SEIAV podrán consultar los datos a que se refieren los artículos 12, 13, 14 y 14 bis.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w:t>
      </w:r>
      <w:r w:rsidRPr="008623DC">
        <w:rPr>
          <w:rStyle w:val="HideTWBExt"/>
        </w:rPr>
        <w:t>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12 – artículo 8 quater</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 xml:space="preserve">Con el fin de comprobar manualmente las respuestas positivas activadas por las consultas </w:t>
            </w:r>
            <w:r w:rsidRPr="008623DC">
              <w:t>automatizadas realizadas por el Sistema de Información de Visados de conformidad con los artículos [9 bis y 9 ter] del Reglamento (CE) n.º 767/2008 y de examinar solicitudes de visado y decidir sobre ellas de conformidad con el artículo 21 del Reglamento (</w:t>
            </w:r>
            <w:r w:rsidRPr="008623DC">
              <w:t>CE) n.º 810/2009 del Parlamento Europeo y del Consejo, las autoridades competentes en materia de visados tendrán acceso a Eurodac para consultar datos en formato de solo lectura.</w:t>
            </w:r>
          </w:p>
        </w:tc>
        <w:tc>
          <w:tcPr>
            <w:tcW w:w="4876" w:type="dxa"/>
            <w:hideMark/>
          </w:tcPr>
          <w:p w:rsidR="007605D8" w:rsidRPr="008623DC" w:rsidRDefault="008623DC" w:rsidP="007605D8">
            <w:pPr>
              <w:pStyle w:val="Normal6"/>
            </w:pPr>
            <w:r w:rsidRPr="008623DC">
              <w:t>Con el fin de comprobar manualmente las respuestas positivas activadas por la</w:t>
            </w:r>
            <w:r w:rsidRPr="008623DC">
              <w:t xml:space="preserve">s consultas automatizadas realizadas por el Sistema de Información de Visados de conformidad con los artículos [9 bis y 9 ter] del Reglamento (CE) n.º 767/2008 y de examinar solicitudes de visado y decidir sobre ellas de conformidad con el artículo 21 del </w:t>
            </w:r>
            <w:r w:rsidRPr="008623DC">
              <w:t>Reglamento (CE) n.º 810/2009 del Parlamento Europeo y del Consejo</w:t>
            </w:r>
            <w:r w:rsidRPr="008623DC">
              <w:rPr>
                <w:b/>
                <w:i/>
                <w:vertAlign w:val="superscript"/>
              </w:rPr>
              <w:t>1</w:t>
            </w:r>
            <w:r w:rsidRPr="008623DC">
              <w:t>, las autoridades competentes en materia de visados tendrán acceso</w:t>
            </w:r>
            <w:r w:rsidRPr="008623DC">
              <w:rPr>
                <w:b/>
                <w:i/>
              </w:rPr>
              <w:t xml:space="preserve"> temporal</w:t>
            </w:r>
            <w:r w:rsidRPr="008623DC">
              <w:t xml:space="preserve"> a Eurodac para consultar datos en formato de solo lectura.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pPr>
            <w:r w:rsidRPr="008623DC">
              <w:rPr>
                <w:b/>
                <w:i/>
              </w:rPr>
              <w:t>______________</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pPr>
            <w:r w:rsidRPr="008623DC">
              <w:rPr>
                <w:b/>
                <w:i/>
                <w:vertAlign w:val="superscript"/>
              </w:rPr>
              <w:t>1</w:t>
            </w:r>
            <w:r w:rsidRPr="008623DC">
              <w:rPr>
                <w:b/>
                <w:i/>
              </w:rPr>
              <w:t xml:space="preserve"> Reglamento (CE) n.º 810/2009 del Parlamento Europeo y del Consejo, de 13 de julio de 2009, por el que se establece un Código comunitario sobre visados (Código de visados) (DO L 243 de 15.9.2009, p. 1).</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3D39FD" w:rsidRPr="008623DC" w:rsidRDefault="008623DC" w:rsidP="003D39FD">
      <w:pPr>
        <w:pStyle w:val="AMNumberTabs0"/>
        <w:keepNext/>
        <w:rPr>
          <w:lang w:val="es-ES_tradnl"/>
        </w:rPr>
      </w:pPr>
      <w:r w:rsidRPr="008623DC">
        <w:rPr>
          <w:rStyle w:val="HideTWBExt"/>
          <w:lang w:val="es-ES_tradnl"/>
        </w:rPr>
        <w:t>&lt;Amend&gt;</w:t>
      </w:r>
      <w:r w:rsidRPr="008623DC">
        <w:rPr>
          <w:lang w:val="es-ES_tradnl"/>
        </w:rPr>
        <w:t>Enmi</w:t>
      </w:r>
      <w:r w:rsidRPr="008623DC">
        <w:rPr>
          <w:lang w:val="es-ES_tradnl"/>
        </w:rPr>
        <w:t>enda</w:t>
      </w:r>
      <w:r w:rsidRPr="008623DC">
        <w:rPr>
          <w:lang w:val="es-ES_tradnl"/>
        </w:rPr>
        <w:tab/>
      </w:r>
      <w:r w:rsidRPr="008623DC">
        <w:rPr>
          <w:lang w:val="es-ES_tradnl"/>
        </w:rPr>
        <w:tab/>
      </w:r>
      <w:r w:rsidRPr="008623DC">
        <w:rPr>
          <w:rStyle w:val="HideTWBExt"/>
          <w:lang w:val="es-ES_tradnl"/>
        </w:rPr>
        <w:t>&lt;NumAm&gt;</w:t>
      </w:r>
      <w:r w:rsidRPr="008623DC">
        <w:rPr>
          <w:lang w:val="es-ES_tradnl"/>
        </w:rPr>
        <w:t>37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12 – artículo 8 quater bis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851DB0">
            <w:pPr>
              <w:pStyle w:val="Normal6"/>
              <w:jc w:val="center"/>
              <w:rPr>
                <w:b/>
                <w:i/>
                <w:szCs w:val="24"/>
              </w:rPr>
            </w:pPr>
            <w:r w:rsidRPr="008623DC">
              <w:rPr>
                <w:b/>
                <w:i/>
              </w:rPr>
              <w:t>Artículo 8 quater bis</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jc w:val="center"/>
              <w:rPr>
                <w:b/>
                <w:i/>
              </w:rPr>
            </w:pPr>
            <w:r w:rsidRPr="008623DC">
              <w:rPr>
                <w:b/>
                <w:i/>
              </w:rPr>
              <w:t>Acceso a Eurodac por parte de los equipos del cuerpo permanente de la Guardia Europea de Fronteras y Costas y de los equipos de apoyo al asilo</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851DB0">
            <w:pPr>
              <w:pStyle w:val="Normal6"/>
              <w:rPr>
                <w:b/>
                <w:i/>
                <w:szCs w:val="24"/>
              </w:rPr>
            </w:pPr>
            <w:r w:rsidRPr="008623DC">
              <w:rPr>
                <w:b/>
                <w:i/>
              </w:rPr>
              <w:t>1.</w:t>
            </w:r>
            <w:r w:rsidRPr="008623DC">
              <w:rPr>
                <w:b/>
                <w:i/>
              </w:rPr>
              <w:tab/>
              <w:t xml:space="preserve">Para el desempeño de las funciones establecidas en el artículo 40, apartado 4, y </w:t>
            </w:r>
            <w:r w:rsidRPr="008623DC">
              <w:rPr>
                <w:b/>
                <w:i/>
              </w:rPr>
              <w:t>el artículo 55, apartado 7, del Reglamento (UE) 2019/1896 y en el artículo 16 del Reglamento (UE) XXX [Reglamento sobre la Agencia de Asilo de la Unión Europea], los miembros del cuerpo permanente de la Guardia Europea de Fronteras y Costas desplegados a t</w:t>
            </w:r>
            <w:r w:rsidRPr="008623DC">
              <w:rPr>
                <w:b/>
                <w:i/>
              </w:rPr>
              <w:t>ravés de equipos de gestión de fronteras, equipos de apoyo a la gestión de la migración y equipos de retorno y los miembros de los equipos de apoyo al asilo de la Agencia de Asilo de la Unión Europea (en lo sucesivo, «equipos de las Agencias») podrán acced</w:t>
            </w:r>
            <w:r w:rsidRPr="008623DC">
              <w:rPr>
                <w:b/>
                <w:i/>
              </w:rPr>
              <w:t>er a Eurodac para tomar y transmitir datos biométricos y alfanuméricos de conformidad con el artículo 10, apartado 3, el artículo 12 bis, apartado 2, el artículo 13 , apartado 7, y el artículo 14 bis, apartado 7, del presente Reglamento.</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851DB0">
            <w:pPr>
              <w:pStyle w:val="Normal6"/>
              <w:rPr>
                <w:b/>
                <w:i/>
                <w:szCs w:val="24"/>
              </w:rPr>
            </w:pPr>
            <w:r w:rsidRPr="008623DC">
              <w:rPr>
                <w:b/>
                <w:i/>
              </w:rPr>
              <w:t>2.</w:t>
            </w:r>
            <w:r w:rsidRPr="008623DC">
              <w:rPr>
                <w:b/>
                <w:i/>
              </w:rPr>
              <w:tab/>
              <w:t xml:space="preserve">Los miembros </w:t>
            </w:r>
            <w:r w:rsidRPr="008623DC">
              <w:rPr>
                <w:b/>
                <w:i/>
              </w:rPr>
              <w:t>de los equipos de las Agencias solo tratarán los datos a que se refiere el apartado 1 cuando así lo solicite el Estado miembro que acoja la operación de que se trate y de conformidad con el plan operativo acordado entre dicho Estado miembro y la Agencia Eu</w:t>
            </w:r>
            <w:r w:rsidRPr="008623DC">
              <w:rPr>
                <w:b/>
                <w:i/>
              </w:rPr>
              <w:t>ropea de la Guardia de Fronteras y Costas o la Agencia de Asilo de la Unión Europea, según proceda.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397221">
            <w:pPr>
              <w:pStyle w:val="Normal6"/>
              <w:rPr>
                <w:b/>
                <w:i/>
                <w:szCs w:val="24"/>
              </w:rPr>
            </w:pPr>
            <w:r w:rsidRPr="008623DC">
              <w:rPr>
                <w:b/>
                <w:i/>
              </w:rPr>
              <w:t>3.</w:t>
            </w:r>
            <w:r w:rsidRPr="008623DC">
              <w:rPr>
                <w:b/>
                <w:i/>
              </w:rPr>
              <w:tab/>
              <w:t>Al tratar los datos de Eurodac, los miembros de los equipos de las Agencias actuarán en nombre de las autoridades competentes del Estado miembro de aco</w:t>
            </w:r>
            <w:r w:rsidRPr="008623DC">
              <w:rPr>
                <w:b/>
                <w:i/>
              </w:rPr>
              <w:t>gida y siguiendo sus instrucciones, según lo establecido en el plan operativo. Será de aplicación el Reglamento (UE) 2018/1725, en particular las obligaciones establecidas en dicho Reglamento en relación con los responsables del tratamiento de datos. De co</w:t>
            </w:r>
            <w:r w:rsidRPr="008623DC">
              <w:rPr>
                <w:b/>
                <w:i/>
              </w:rPr>
              <w:t>nformidad con el artículo 30, apartado 6, del Reglamento (UE) 2021/2303, el Reglamento (UE) 2016/679 se aplicará a los miembros de los equipos de apoyo al asilo.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38</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w:t>
      </w:r>
      <w:r w:rsidRPr="008623DC">
        <w:rPr>
          <w:rStyle w:val="HideTWBExt"/>
        </w:rPr>
        <w: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8 quinquies</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 xml:space="preserve">Desde la [fecha de aplicación del Reglamento </w:t>
            </w:r>
            <w:r w:rsidRPr="008623DC">
              <w:t>(UE) XXX/XXX por el que se modifica el Reglamento VIS], según lo previsto en el artículo [9] de dicho Reglamento, Eurodac estará conectado con el portal europeo de búsqueda a que se refiere al artículo</w:t>
            </w:r>
            <w:r w:rsidRPr="008623DC">
              <w:rPr>
                <w:b/>
                <w:i/>
              </w:rPr>
              <w:t xml:space="preserve"> </w:t>
            </w:r>
            <w:r w:rsidRPr="008623DC">
              <w:t>6 del Reglamento (UE) 2019/817 para permitir el tratam</w:t>
            </w:r>
            <w:r w:rsidRPr="008623DC">
              <w:t xml:space="preserve">iento automatizado que se menciona en el artículo [9 bis] del Reglamento (CE) n.º 767/2008 </w:t>
            </w:r>
            <w:r w:rsidRPr="008623DC">
              <w:rPr>
                <w:b/>
                <w:i/>
              </w:rPr>
              <w:t>con el fin de</w:t>
            </w:r>
            <w:r w:rsidRPr="008623DC">
              <w:t xml:space="preserve"> realizar consultas en Eurodac y comparar los datos pertinentes del Sistema de Información de Visados con los datos pertinentes de Eurodac. Las comproba</w:t>
            </w:r>
            <w:r w:rsidRPr="008623DC">
              <w:t>ciones se entenderán sin perjuicio de las normas específicas previstas en el artículo 9, letra b), del Reglamento (UE) n.º 767/2008.</w:t>
            </w:r>
          </w:p>
        </w:tc>
        <w:tc>
          <w:tcPr>
            <w:tcW w:w="4876" w:type="dxa"/>
            <w:hideMark/>
          </w:tcPr>
          <w:p w:rsidR="007605D8" w:rsidRPr="008623DC" w:rsidRDefault="008623DC" w:rsidP="007605D8">
            <w:pPr>
              <w:pStyle w:val="Normal6"/>
              <w:rPr>
                <w:szCs w:val="24"/>
              </w:rPr>
            </w:pPr>
            <w:r w:rsidRPr="008623DC">
              <w:t xml:space="preserve">Desde la [fecha de aplicación del Reglamento (UE) XXX/XXX por el que se modifica el Reglamento VIS], según lo previsto en </w:t>
            </w:r>
            <w:r w:rsidRPr="008623DC">
              <w:t>el artículo [9] de dicho Reglamento, Eurodac estará conectado con el portal europeo de búsqueda a que se refiere al artículo</w:t>
            </w:r>
            <w:r w:rsidRPr="008623DC">
              <w:rPr>
                <w:b/>
                <w:i/>
              </w:rPr>
              <w:t> </w:t>
            </w:r>
            <w:r w:rsidRPr="008623DC">
              <w:t>6 del Reglamento (UE) 2019/817 para permitir el tratamiento automatizado que se menciona en el artículo [9 bis] del Reglamento (CE)</w:t>
            </w:r>
            <w:r w:rsidRPr="008623DC">
              <w:t xml:space="preserve"> n.º 767/2008 </w:t>
            </w:r>
            <w:r w:rsidRPr="008623DC">
              <w:rPr>
                <w:b/>
                <w:i/>
              </w:rPr>
              <w:t>y, en consecuencia,</w:t>
            </w:r>
            <w:r w:rsidRPr="008623DC">
              <w:t xml:space="preserve"> realizar consultas en Eurodac y comparar los datos pertinentes del Sistema de Información de Visados con los datos pertinentes de Eurodac. Las comprobaciones se entenderán sin perjuicio de las normas específicas previstas </w:t>
            </w:r>
            <w:r w:rsidRPr="008623DC">
              <w:t>en el artículo 9, letra b), del Reglamento (UE) n.º 767/2008.</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39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1 – parte introductoria</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w:t>
            </w:r>
            <w:r w:rsidRPr="008623DC">
              <w:tab/>
              <w:t>eu-LISA elaborará cada mes un informe estadístico sobre el trabajo del Sistema Central en el que figurarán, en p</w:t>
            </w:r>
            <w:r w:rsidRPr="008623DC">
              <w:t>articular:</w:t>
            </w:r>
          </w:p>
        </w:tc>
        <w:tc>
          <w:tcPr>
            <w:tcW w:w="4876" w:type="dxa"/>
            <w:hideMark/>
          </w:tcPr>
          <w:p w:rsidR="007605D8" w:rsidRPr="008623DC" w:rsidRDefault="008623DC" w:rsidP="007605D8">
            <w:pPr>
              <w:pStyle w:val="Normal6"/>
              <w:rPr>
                <w:szCs w:val="24"/>
              </w:rPr>
            </w:pPr>
            <w:r w:rsidRPr="008623DC">
              <w:t>1.</w:t>
            </w:r>
            <w:r w:rsidRPr="008623DC">
              <w:tab/>
              <w:t xml:space="preserve">eu-LISA elaborará cada mes un informe estadístico sobre el trabajo del Sistema Central </w:t>
            </w:r>
            <w:r w:rsidRPr="008623DC">
              <w:rPr>
                <w:b/>
                <w:i/>
              </w:rPr>
              <w:t xml:space="preserve">y el RCDI </w:t>
            </w:r>
            <w:r w:rsidRPr="008623DC">
              <w:t>en el que figurarán, en particular:</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40</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 xml:space="preserve">Jorge </w:t>
      </w:r>
      <w:r w:rsidRPr="008623DC">
        <w:t>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13 – artículo 9 – apartado 1 – letra b</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b)</w:t>
            </w:r>
            <w:r w:rsidRPr="008623DC">
              <w:tab/>
              <w:t xml:space="preserve">el número de solicitantes rechazados obtenidos </w:t>
            </w:r>
            <w:r w:rsidRPr="008623DC">
              <w:t>al aplicar el proceso de vinculación a que se refiere el artículo 4, apartado</w:t>
            </w:r>
            <w:r w:rsidRPr="008623DC">
              <w:rPr>
                <w:b/>
                <w:i/>
              </w:rPr>
              <w:t xml:space="preserve"> </w:t>
            </w:r>
            <w:r w:rsidRPr="008623DC">
              <w:t xml:space="preserve">6, y de conformidad con el artículo 12, letra </w:t>
            </w:r>
            <w:r w:rsidRPr="008623DC">
              <w:rPr>
                <w:b/>
                <w:i/>
              </w:rPr>
              <w:t>z bis</w:t>
            </w:r>
            <w:r w:rsidRPr="008623DC">
              <w:t>);</w:t>
            </w:r>
          </w:p>
        </w:tc>
        <w:tc>
          <w:tcPr>
            <w:tcW w:w="4876" w:type="dxa"/>
            <w:hideMark/>
          </w:tcPr>
          <w:p w:rsidR="007605D8" w:rsidRPr="008623DC" w:rsidRDefault="008623DC" w:rsidP="007605D8">
            <w:pPr>
              <w:pStyle w:val="Normal6"/>
              <w:rPr>
                <w:szCs w:val="24"/>
              </w:rPr>
            </w:pPr>
            <w:r w:rsidRPr="008623DC">
              <w:t>b)</w:t>
            </w:r>
            <w:r w:rsidRPr="008623DC">
              <w:tab/>
              <w:t xml:space="preserve">el número de solicitantes rechazados obtenidos al aplicar el proceso de vinculación a que se refiere el artículo 4, </w:t>
            </w:r>
            <w:r w:rsidRPr="008623DC">
              <w:t>apartado</w:t>
            </w:r>
            <w:r w:rsidRPr="008623DC">
              <w:rPr>
                <w:b/>
                <w:i/>
              </w:rPr>
              <w:t> </w:t>
            </w:r>
            <w:r w:rsidRPr="008623DC">
              <w:t xml:space="preserve">6, y de conformidad con el artículo 12, letra </w:t>
            </w:r>
            <w:r w:rsidRPr="008623DC">
              <w:rPr>
                <w:b/>
                <w:i/>
              </w:rPr>
              <w:t>x</w:t>
            </w:r>
            <w:r w:rsidRPr="008623DC">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1 – letra c</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8623DC" w:rsidP="007605D8">
            <w:pPr>
              <w:pStyle w:val="Normal6"/>
            </w:pPr>
            <w:r w:rsidRPr="008623DC">
              <w:t>c)</w:t>
            </w:r>
            <w:r w:rsidRPr="008623DC">
              <w:tab/>
              <w:t>el número de conjuntos de datos que le hayan sido transmitidos en relación con las personas a que se refieren el artículo</w:t>
            </w:r>
            <w:r w:rsidRPr="008623DC">
              <w:rPr>
                <w:b/>
                <w:i/>
              </w:rPr>
              <w:t xml:space="preserve"> </w:t>
            </w:r>
            <w:r w:rsidRPr="008623DC">
              <w:t xml:space="preserve">10, apartado </w:t>
            </w:r>
            <w:r w:rsidRPr="008623DC">
              <w:t>1, el artículo</w:t>
            </w:r>
            <w:r w:rsidRPr="008623DC">
              <w:rPr>
                <w:b/>
                <w:i/>
              </w:rPr>
              <w:t xml:space="preserve"> </w:t>
            </w:r>
            <w:r w:rsidRPr="008623DC">
              <w:t>13, apartado 1, el artículo 14, apartado</w:t>
            </w:r>
            <w:r w:rsidRPr="008623DC">
              <w:rPr>
                <w:b/>
                <w:i/>
              </w:rPr>
              <w:t xml:space="preserve"> </w:t>
            </w:r>
            <w:r w:rsidRPr="008623DC">
              <w:t>1,</w:t>
            </w:r>
            <w:r w:rsidRPr="008623DC">
              <w:rPr>
                <w:b/>
                <w:i/>
              </w:rPr>
              <w:t xml:space="preserve"> y el artículo 14 bis, apartado 1</w:t>
            </w:r>
            <w:r w:rsidRPr="008623DC">
              <w:t>;</w:t>
            </w:r>
          </w:p>
          <w:p w:rsidR="007605D8" w:rsidRPr="008623DC" w:rsidRDefault="007605D8" w:rsidP="007605D8">
            <w:pPr>
              <w:pStyle w:val="Normal6"/>
            </w:pPr>
          </w:p>
        </w:tc>
        <w:tc>
          <w:tcPr>
            <w:tcW w:w="4876" w:type="dxa"/>
            <w:hideMark/>
          </w:tcPr>
          <w:p w:rsidR="007605D8" w:rsidRPr="008623DC" w:rsidRDefault="008623DC" w:rsidP="00DA1A8E">
            <w:pPr>
              <w:pStyle w:val="Normal6"/>
            </w:pPr>
            <w:r w:rsidRPr="008623DC">
              <w:t>c)</w:t>
            </w:r>
            <w:r w:rsidRPr="008623DC">
              <w:tab/>
              <w:t>el número de conjuntos de datos que le hayan sido transmitidos en relación con las personas a que se refieren el artículo</w:t>
            </w:r>
            <w:r w:rsidRPr="008623DC">
              <w:rPr>
                <w:b/>
                <w:i/>
              </w:rPr>
              <w:t> </w:t>
            </w:r>
            <w:r w:rsidRPr="008623DC">
              <w:t>10, apartado 1, el artículo</w:t>
            </w:r>
            <w:r w:rsidRPr="008623DC">
              <w:rPr>
                <w:b/>
                <w:i/>
              </w:rPr>
              <w:t> </w:t>
            </w:r>
            <w:r w:rsidRPr="008623DC">
              <w:t>13, apart</w:t>
            </w:r>
            <w:r w:rsidRPr="008623DC">
              <w:t xml:space="preserve">ado 1, </w:t>
            </w:r>
            <w:r w:rsidRPr="008623DC">
              <w:rPr>
                <w:b/>
                <w:i/>
              </w:rPr>
              <w:t xml:space="preserve">siempre que dichas personas no estén cubiertas por los conjuntos de datos mencionados en el artículo 10, apartado 1, </w:t>
            </w:r>
            <w:r w:rsidRPr="008623DC">
              <w:t>y el artículo</w:t>
            </w:r>
            <w:r w:rsidRPr="008623DC">
              <w:rPr>
                <w:b/>
                <w:i/>
              </w:rPr>
              <w:t> </w:t>
            </w:r>
            <w:r w:rsidRPr="008623DC">
              <w:t>14, apartado 1;</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1 – letra d – inciso iv</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rPr>
                <w:b/>
                <w:i/>
              </w:rPr>
            </w:pPr>
            <w:r w:rsidRPr="008623DC">
              <w:rPr>
                <w:b/>
                <w:i/>
              </w:rPr>
              <w:t>iv)</w:t>
            </w:r>
            <w:r w:rsidRPr="008623DC">
              <w:rPr>
                <w:b/>
                <w:i/>
              </w:rPr>
              <w:tab/>
              <w:t>que hayan sido desembarcadas</w:t>
            </w:r>
            <w:r w:rsidRPr="008623DC">
              <w:rPr>
                <w:b/>
                <w:i/>
              </w:rPr>
              <w:t xml:space="preserve"> tras una operación de búsqueda y salvamento;</w:t>
            </w:r>
          </w:p>
        </w:tc>
        <w:tc>
          <w:tcPr>
            <w:tcW w:w="4876" w:type="dxa"/>
            <w:hideMark/>
          </w:tcPr>
          <w:p w:rsidR="007605D8" w:rsidRPr="008623DC" w:rsidRDefault="008623DC" w:rsidP="007605D8">
            <w:pPr>
              <w:pStyle w:val="Normal6"/>
              <w:rPr>
                <w:b/>
                <w:i/>
              </w:rPr>
            </w:pPr>
            <w:r w:rsidRPr="008623DC">
              <w:rPr>
                <w:b/>
                <w:i/>
              </w:rPr>
              <w:t>suprimido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43</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13 – artículo 9 – apartado 1 – letra d – inciso iv bis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iv bis)</w:t>
            </w:r>
            <w:r w:rsidRPr="008623DC">
              <w:rPr>
                <w:b/>
                <w:i/>
              </w:rPr>
              <w:tab/>
              <w:t>a las que se haya concedido protección internacional en un Estado miembro;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44</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13 – artículo 9 – apartado 1 – letra d – inci</w:t>
      </w:r>
      <w:r w:rsidRPr="008623DC">
        <w:t>so iv ter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iv ter)</w:t>
            </w:r>
            <w:r w:rsidRPr="008623DC">
              <w:rPr>
                <w:b/>
                <w:i/>
              </w:rPr>
              <w:tab/>
              <w:t xml:space="preserve">que fuesen menores de edad en el momento en el que el conjunto de datos se registró en Eurodac; </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45</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1 – letra e – inciso iv</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rPr>
                <w:b/>
                <w:i/>
              </w:rPr>
            </w:pPr>
            <w:r w:rsidRPr="008623DC">
              <w:rPr>
                <w:b/>
                <w:i/>
              </w:rPr>
              <w:t>iv bis)</w:t>
            </w:r>
            <w:r w:rsidRPr="008623DC">
              <w:rPr>
                <w:b/>
                <w:i/>
              </w:rPr>
              <w:tab/>
              <w:t>que hayan sido desembarcadas tras una operación de búsqueda y salvamento;</w:t>
            </w:r>
          </w:p>
        </w:tc>
        <w:tc>
          <w:tcPr>
            <w:tcW w:w="4876" w:type="dxa"/>
            <w:hideMark/>
          </w:tcPr>
          <w:p w:rsidR="007605D8" w:rsidRPr="008623DC" w:rsidRDefault="008623DC" w:rsidP="007605D8">
            <w:pPr>
              <w:pStyle w:val="Normal6"/>
              <w:rPr>
                <w:b/>
                <w:i/>
              </w:rPr>
            </w:pPr>
            <w:r w:rsidRPr="008623DC">
              <w:rPr>
                <w:b/>
                <w:i/>
              </w:rPr>
              <w:t>suprimido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w:t>
      </w:r>
      <w:r w:rsidRPr="008623DC">
        <w:t xml:space="preserve">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13 – artículo 9 – apartado 1 – letra e – inciso iv bis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iv bis)</w:t>
            </w:r>
            <w:r w:rsidRPr="008623DC">
              <w:rPr>
                <w:b/>
                <w:i/>
              </w:rPr>
              <w:tab/>
              <w:t>a las que se haya concedido protección internacional en un Estado miembro;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 xml:space="preserve">Parte dispositiva – punto 13 – artículo 9 – apartado 1 </w:t>
      </w:r>
      <w:r w:rsidRPr="008623DC">
        <w:t>– letra e – inciso iv ter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iv ter)</w:t>
            </w:r>
            <w:r w:rsidRPr="008623DC">
              <w:rPr>
                <w:b/>
                <w:i/>
              </w:rPr>
              <w:tab/>
              <w:t xml:space="preserve">que fuesen menores de edad en el momento en el que el conjunto de datos se registró en Eurodac; </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48</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1 – letra f – inciso iv</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rPr>
                <w:b/>
                <w:i/>
              </w:rPr>
              <w:t>iv)</w:t>
            </w:r>
            <w:r w:rsidRPr="008623DC">
              <w:rPr>
                <w:b/>
                <w:i/>
              </w:rPr>
              <w:tab/>
              <w:t>que hayan sido desembarcadas tras una operación de búsqueda y salvamento;</w:t>
            </w:r>
          </w:p>
        </w:tc>
        <w:tc>
          <w:tcPr>
            <w:tcW w:w="4876" w:type="dxa"/>
            <w:hideMark/>
          </w:tcPr>
          <w:p w:rsidR="007605D8" w:rsidRPr="008623DC" w:rsidRDefault="008623DC" w:rsidP="007605D8">
            <w:pPr>
              <w:pStyle w:val="Normal6"/>
              <w:rPr>
                <w:b/>
                <w:i/>
              </w:rPr>
            </w:pPr>
            <w:r w:rsidRPr="008623DC">
              <w:rPr>
                <w:b/>
                <w:i/>
              </w:rPr>
              <w:t>suprimido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49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w:t>
      </w:r>
      <w:r w:rsidRPr="008623DC">
        <w:t>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13 – artículo 9 – apartado 1 – letra f – inciso iv bis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iv bis)</w:t>
            </w:r>
            <w:r w:rsidRPr="008623DC">
              <w:rPr>
                <w:b/>
                <w:i/>
              </w:rPr>
              <w:tab/>
              <w:t>a las que se haya concedido protección internacional en un Estado miembro;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50</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 xml:space="preserve">Parte dispositiva – punto 13 – artículo 9 – </w:t>
      </w:r>
      <w:r w:rsidRPr="008623DC">
        <w:t>apartado 1 – letra f – inciso iv ter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iv ter)</w:t>
            </w:r>
            <w:r w:rsidRPr="008623DC">
              <w:rPr>
                <w:b/>
                <w:i/>
              </w:rPr>
              <w:tab/>
              <w:t xml:space="preserve">que fuesen menores de edad en el momento en el que el conjunto de datos se registró en Eurodac; </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lang w:val="es-ES_tradnl"/>
        </w:rPr>
        <w:tab/>
      </w:r>
      <w:r w:rsidRPr="008623DC">
        <w:rPr>
          <w:rStyle w:val="HideTWBExt"/>
          <w:lang w:val="es-ES_tradnl"/>
        </w:rPr>
        <w:t>&lt;NumAm&gt;</w:t>
      </w:r>
      <w:r w:rsidRPr="008623DC">
        <w:rPr>
          <w:lang w:val="es-ES_tradnl"/>
        </w:rPr>
        <w:t>51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13 – artículo 9 – apartado 1 – letra g – inciso iv bis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w:t>
            </w:r>
            <w:r w:rsidRPr="008623DC">
              <w:rPr>
                <w:lang w:val="es-ES_tradnl"/>
              </w:rPr>
              <w:t xml:space="preserv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iv bis)</w:t>
            </w:r>
            <w:r w:rsidRPr="008623DC">
              <w:rPr>
                <w:b/>
                <w:i/>
              </w:rPr>
              <w:tab/>
              <w:t>a las que se haya concedido protección internacional en un Estado miembro;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13 – artículo 9 – apartado 1 – letra g – inciso iv ter (nuevo)</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iv ter)</w:t>
            </w:r>
            <w:r w:rsidRPr="008623DC">
              <w:rPr>
                <w:b/>
                <w:i/>
              </w:rPr>
              <w:tab/>
              <w:t>que fuesen menores de edad en el momento en</w:t>
            </w:r>
            <w:r w:rsidRPr="008623DC">
              <w:rPr>
                <w:b/>
                <w:i/>
              </w:rPr>
              <w:t xml:space="preserve"> el que el conjunto de datos se registró en Eurodac; </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53</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1 – letra m</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m)</w:t>
            </w:r>
            <w:r w:rsidRPr="008623DC">
              <w:tab/>
              <w:t xml:space="preserve">el número de solicitudes presentadas </w:t>
            </w:r>
            <w:r w:rsidRPr="008623DC">
              <w:rPr>
                <w:b/>
                <w:i/>
              </w:rPr>
              <w:t>por las personas a que se refiere el</w:t>
            </w:r>
            <w:r w:rsidRPr="008623DC">
              <w:t xml:space="preserve"> artículo 31;</w:t>
            </w:r>
          </w:p>
        </w:tc>
        <w:tc>
          <w:tcPr>
            <w:tcW w:w="4876" w:type="dxa"/>
            <w:hideMark/>
          </w:tcPr>
          <w:p w:rsidR="007605D8" w:rsidRPr="008623DC" w:rsidRDefault="008623DC" w:rsidP="007605D8">
            <w:pPr>
              <w:pStyle w:val="Normal6"/>
            </w:pPr>
            <w:r w:rsidRPr="008623DC">
              <w:t>m)</w:t>
            </w:r>
            <w:r w:rsidRPr="008623DC">
              <w:tab/>
              <w:t xml:space="preserve">el número de solicitudes presentadas </w:t>
            </w:r>
            <w:r w:rsidRPr="008623DC">
              <w:rPr>
                <w:b/>
                <w:i/>
              </w:rPr>
              <w:t>con arreg</w:t>
            </w:r>
            <w:r w:rsidRPr="008623DC">
              <w:rPr>
                <w:b/>
                <w:i/>
              </w:rPr>
              <w:t>lo al</w:t>
            </w:r>
            <w:r w:rsidRPr="008623DC">
              <w:t xml:space="preserve"> artículo 31;</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54</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Parte dispositiva – punto 13 – </w:t>
      </w:r>
      <w:r w:rsidRPr="008623DC">
        <w:t>artículo 9 – apartado 2</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2.</w:t>
            </w:r>
            <w:r w:rsidRPr="008623DC">
              <w:tab/>
              <w:t>Los datos estadísticos mensuales relativos a las personas a que se refiere el apartado 1, letras a) a n), se publicarán y harán públicos cada mes. Al final de cada año, eu-LISA publicará</w:t>
            </w:r>
            <w:r w:rsidRPr="008623DC">
              <w:t xml:space="preserve"> y hará públicos los datos estadísticos anuales relativos a las personas a que se refiere el apartado 1, letras a) a n). Los datos estadísticos estarán desglosados por Estados miembros. Los datos estadísticos relativos a las personas a que se refiere el ap</w:t>
            </w:r>
            <w:r w:rsidRPr="008623DC">
              <w:t>artado 1, letra c), se desglosarán, siempre que sea posible, por año de nacimiento y sexo.</w:t>
            </w:r>
          </w:p>
        </w:tc>
        <w:tc>
          <w:tcPr>
            <w:tcW w:w="4876" w:type="dxa"/>
            <w:hideMark/>
          </w:tcPr>
          <w:p w:rsidR="007605D8" w:rsidRPr="008623DC" w:rsidRDefault="008623DC" w:rsidP="009C5DC8">
            <w:pPr>
              <w:pStyle w:val="Normal6"/>
            </w:pPr>
            <w:r w:rsidRPr="008623DC">
              <w:t>2.</w:t>
            </w:r>
            <w:r w:rsidRPr="008623DC">
              <w:tab/>
              <w:t>Los datos estadísticos mensuales relativos a las personas a que se refiere el apartado 1, letras a) a n), se publicarán y harán públicos cada mes. Al final de cad</w:t>
            </w:r>
            <w:r w:rsidRPr="008623DC">
              <w:t>a año, eu-LISA publicará y hará públicos los datos estadísticos anuales relativos a las personas a que se refiere el apartado 1, letras a) a n). Los datos estadísticos estarán desglosados por Estados miembros. Los datos estadísticos relativos a las persona</w:t>
            </w:r>
            <w:r w:rsidRPr="008623DC">
              <w:t xml:space="preserve">s a que se refiere el apartado 1, letra c), se desglosarán, siempre que sea posible, por año de nacimiento y sexo. </w:t>
            </w:r>
            <w:r w:rsidRPr="008623DC">
              <w:rPr>
                <w:b/>
                <w:i/>
              </w:rPr>
              <w:t>Todos los datos relativos a las personas serán anonimizados y la producción de los datos estadísticos estará supeditada a disposiciones relat</w:t>
            </w:r>
            <w:r w:rsidRPr="008623DC">
              <w:rPr>
                <w:b/>
                <w:i/>
              </w:rPr>
              <w:t>ivas a la posible rectificación de datos incorrectos.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55</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w:t>
      </w:r>
      <w:r w:rsidRPr="008623DC">
        <w:rPr>
          <w:rStyle w:val="HideTWBExt"/>
          <w:b w:val="0"/>
        </w:rPr>
        <w:t>cle&gt;</w:t>
      </w:r>
      <w:r w:rsidRPr="008623DC">
        <w:t>Parte dispositiva – punto 13 – artículo 9 – apartado 3 – párrafo 1</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3.</w:t>
            </w:r>
            <w:r w:rsidRPr="008623DC">
              <w:tab/>
              <w:t xml:space="preserve">Con el fin de apoyar el objetivo a que se refiere el artículo 1, </w:t>
            </w:r>
            <w:r w:rsidRPr="008623DC">
              <w:rPr>
                <w:b/>
                <w:i/>
              </w:rPr>
              <w:t>letra</w:t>
            </w:r>
            <w:r w:rsidRPr="008623DC">
              <w:t xml:space="preserve"> c), eu-LISA elaborará mensualmente estadísticas transversales. </w:t>
            </w:r>
            <w:r w:rsidRPr="008623DC">
              <w:t>Dichas estadísticas no permitirán la identificación de personas y utilizarán datos de Eurodac, el Sistema de Información de Visados, el SEIAV y el Sistema de Entradas/Salidas.</w:t>
            </w:r>
          </w:p>
        </w:tc>
        <w:tc>
          <w:tcPr>
            <w:tcW w:w="4876" w:type="dxa"/>
            <w:hideMark/>
          </w:tcPr>
          <w:p w:rsidR="007605D8" w:rsidRPr="008623DC" w:rsidRDefault="008623DC" w:rsidP="007605D8">
            <w:pPr>
              <w:pStyle w:val="Normal6"/>
              <w:rPr>
                <w:szCs w:val="24"/>
              </w:rPr>
            </w:pPr>
            <w:r w:rsidRPr="008623DC">
              <w:t>3.</w:t>
            </w:r>
            <w:r w:rsidRPr="008623DC">
              <w:tab/>
              <w:t xml:space="preserve">Con el fin de apoyar el objetivo a que se refiere el artículo 1, </w:t>
            </w:r>
            <w:r w:rsidRPr="008623DC">
              <w:rPr>
                <w:b/>
                <w:i/>
              </w:rPr>
              <w:t>letras</w:t>
            </w:r>
            <w:r w:rsidRPr="008623DC">
              <w:t xml:space="preserve"> c) </w:t>
            </w:r>
            <w:r w:rsidRPr="008623DC">
              <w:rPr>
                <w:b/>
                <w:i/>
              </w:rPr>
              <w:t xml:space="preserve">y </w:t>
            </w:r>
            <w:r w:rsidRPr="008623DC">
              <w:rPr>
                <w:b/>
                <w:i/>
              </w:rPr>
              <w:t>h)</w:t>
            </w:r>
            <w:r w:rsidRPr="008623DC">
              <w:t>, eu-LISA elaborará mensualmente estadísticas transversales. Dichas estadísticas no permitirán la identificación de personas y utilizarán datos de Eurodac, el Sistema de Información de Visados, el SEIAV y el Sistema de Entradas/Salidas.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w:t>
      </w:r>
      <w:r w:rsidRPr="008623DC">
        <w:rPr>
          <w:rStyle w:val="HideTWBInt"/>
          <w:noProof w:val="0"/>
          <w:lang w:val="es-ES_tradnl"/>
        </w:rPr>
        <w:t>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13 – artículo 9 – apartado 3 – párrafo 2</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 xml:space="preserve">Estas estadísticas se pondrán a disposición de la Comisión, de la [Agencia de Asilo de la Unión Europea], </w:t>
            </w:r>
            <w:r w:rsidRPr="008623DC">
              <w:rPr>
                <w:b/>
                <w:i/>
              </w:rPr>
              <w:t>de</w:t>
            </w:r>
            <w:r w:rsidRPr="008623DC">
              <w:t xml:space="preserve"> la Agencia Europea de la Guardia de Fronteras y Costas y </w:t>
            </w:r>
            <w:r w:rsidRPr="008623DC">
              <w:rPr>
                <w:b/>
                <w:i/>
              </w:rPr>
              <w:t>de</w:t>
            </w:r>
            <w:r w:rsidRPr="008623DC">
              <w:t xml:space="preserve"> </w:t>
            </w:r>
            <w:r w:rsidRPr="008623DC">
              <w:rPr>
                <w:b/>
                <w:i/>
              </w:rPr>
              <w:t>los Estados miembros</w:t>
            </w:r>
            <w:r w:rsidRPr="008623DC">
              <w:t>. La Comisión, mediante</w:t>
            </w:r>
            <w:r w:rsidRPr="008623DC">
              <w:t xml:space="preserve"> actos de ejecución, especificará el contenido de las estadísticas transversales mensuales. Dichos actos de ejecución se adoptarán con arreglo al procedimiento de examen previsto en el artículo 41 bis, apartado 2.</w:t>
            </w:r>
          </w:p>
        </w:tc>
        <w:tc>
          <w:tcPr>
            <w:tcW w:w="4876" w:type="dxa"/>
            <w:hideMark/>
          </w:tcPr>
          <w:p w:rsidR="007605D8" w:rsidRPr="008623DC" w:rsidRDefault="008623DC" w:rsidP="009C5DC8">
            <w:pPr>
              <w:pStyle w:val="Normal6"/>
              <w:rPr>
                <w:szCs w:val="24"/>
              </w:rPr>
            </w:pPr>
            <w:r w:rsidRPr="008623DC">
              <w:t>Estas estadísticas se pondrán a disposició</w:t>
            </w:r>
            <w:r w:rsidRPr="008623DC">
              <w:t xml:space="preserve">n de la Comisión, </w:t>
            </w:r>
            <w:r w:rsidRPr="008623DC">
              <w:rPr>
                <w:b/>
                <w:i/>
              </w:rPr>
              <w:t>del Parlamento Europeo,</w:t>
            </w:r>
            <w:r w:rsidRPr="008623DC">
              <w:t xml:space="preserve"> de </w:t>
            </w:r>
            <w:r w:rsidRPr="008623DC">
              <w:rPr>
                <w:b/>
                <w:i/>
              </w:rPr>
              <w:t>los Estados miembros y de las agencias pertinentes de la Unión, en particular</w:t>
            </w:r>
            <w:r w:rsidRPr="008623DC">
              <w:t xml:space="preserve"> la [Agencia de Asilo de la Unión Europea], la Agencia Europea de la Guardia de Fronteras y Costas y </w:t>
            </w:r>
            <w:r w:rsidRPr="008623DC">
              <w:rPr>
                <w:b/>
                <w:i/>
              </w:rPr>
              <w:t>Europol</w:t>
            </w:r>
            <w:r w:rsidRPr="008623DC">
              <w:t>. La Comisión, mediante ac</w:t>
            </w:r>
            <w:r w:rsidRPr="008623DC">
              <w:t xml:space="preserve">tos de ejecución, especificará el contenido de las estadísticas transversales mensuales. Dichos actos de ejecución se adoptarán con arreglo al procedimiento de examen previsto en el artículo 41 bis, apartado 2. </w:t>
            </w:r>
            <w:r w:rsidRPr="008623DC">
              <w:rPr>
                <w:b/>
                <w:i/>
              </w:rPr>
              <w:t>Las estadísticas transversales no deberán uti</w:t>
            </w:r>
            <w:r w:rsidRPr="008623DC">
              <w:rPr>
                <w:b/>
                <w:i/>
              </w:rPr>
              <w:t>lizarse en relación con personas, no deberán permitir la identificación de personas, y no deberán utilizarse para denegar el acceso al territorio de la Unión.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4</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4.</w:t>
            </w:r>
            <w:r w:rsidRPr="008623DC">
              <w:tab/>
              <w:t>A petición de la Comisión,</w:t>
            </w:r>
            <w:r w:rsidRPr="008623DC">
              <w:t xml:space="preserve"> eu-LISA, le facilitará estadísticas sobre aspectos específicos relacionados con la aplicación del presente Reglamento, así como las estadísticas previstas en el apartado 1 y, previa petición, las pondrá a disposición de un Estado miembro y de la [Agencia </w:t>
            </w:r>
            <w:r w:rsidRPr="008623DC">
              <w:t>de Asilo de la Unión Europea].</w:t>
            </w:r>
          </w:p>
        </w:tc>
        <w:tc>
          <w:tcPr>
            <w:tcW w:w="4876" w:type="dxa"/>
            <w:hideMark/>
          </w:tcPr>
          <w:p w:rsidR="007605D8" w:rsidRPr="008623DC" w:rsidRDefault="008623DC" w:rsidP="007605D8">
            <w:pPr>
              <w:pStyle w:val="Normal6"/>
              <w:rPr>
                <w:szCs w:val="24"/>
              </w:rPr>
            </w:pPr>
            <w:r w:rsidRPr="008623DC">
              <w:t>4.</w:t>
            </w:r>
            <w:r w:rsidRPr="008623DC">
              <w:tab/>
              <w:t>A petición de la Comisión, eu-LISA, le facilitará estadísticas sobre aspectos específicos relacionados con la aplicación del presente Reglamento, así como las estadísticas previstas en el apartado 1 y, previa petición, las</w:t>
            </w:r>
            <w:r w:rsidRPr="008623DC">
              <w:t xml:space="preserve"> pondrá a disposición de un Estado miembro</w:t>
            </w:r>
            <w:r w:rsidRPr="008623DC">
              <w:rPr>
                <w:b/>
                <w:i/>
              </w:rPr>
              <w:t>, del Parlamento Europeo</w:t>
            </w:r>
            <w:r w:rsidRPr="008623DC">
              <w:t xml:space="preserve"> y de </w:t>
            </w:r>
            <w:r w:rsidRPr="008623DC">
              <w:rPr>
                <w:b/>
                <w:i/>
              </w:rPr>
              <w:t xml:space="preserve">las agencias de la Unión pertinentes, en particular </w:t>
            </w:r>
            <w:r w:rsidRPr="008623DC">
              <w:t>la [Agencia de Asilo de la Unión Europea]</w:t>
            </w:r>
            <w:r w:rsidRPr="008623DC">
              <w:rPr>
                <w:b/>
                <w:i/>
              </w:rPr>
              <w:t>, la Agencia Europea de la Guardia de Fronteras y Costas y Europol</w:t>
            </w:r>
            <w:r w:rsidRPr="008623DC">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58</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5</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w:t>
            </w:r>
            <w:r w:rsidRPr="008623DC">
              <w:rPr>
                <w:lang w:val="es-ES_tradnl"/>
              </w:rPr>
              <w: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5.</w:t>
            </w:r>
            <w:r w:rsidRPr="008623DC">
              <w:tab/>
              <w:t>eu-LISA conservará los datos a que se refieren los apartados 1 a 4 del presente artículo, que no permitirán la identificación de personas, con fines de investigación y análisis</w:t>
            </w:r>
            <w:r w:rsidRPr="008623DC">
              <w:rPr>
                <w:b/>
                <w:i/>
              </w:rPr>
              <w:t>, lo que permitirá a las autoridades citadas en el</w:t>
            </w:r>
            <w:r w:rsidRPr="008623DC">
              <w:rPr>
                <w:b/>
                <w:i/>
              </w:rPr>
              <w:t xml:space="preserve"> apartado 3 del presente artículo obtener informes y estadísticas personalizados en el repositorio central de informes y estadísticas a que se refiere el artículo 39 del Reglamento (UE) 2019/818</w:t>
            </w:r>
            <w:r w:rsidRPr="008623DC">
              <w:t>.</w:t>
            </w:r>
          </w:p>
        </w:tc>
        <w:tc>
          <w:tcPr>
            <w:tcW w:w="4876" w:type="dxa"/>
            <w:hideMark/>
          </w:tcPr>
          <w:p w:rsidR="007605D8" w:rsidRPr="008623DC" w:rsidRDefault="008623DC" w:rsidP="007605D8">
            <w:pPr>
              <w:pStyle w:val="Normal6"/>
              <w:rPr>
                <w:szCs w:val="24"/>
              </w:rPr>
            </w:pPr>
            <w:r w:rsidRPr="008623DC">
              <w:t>5.</w:t>
            </w:r>
            <w:r w:rsidRPr="008623DC">
              <w:tab/>
              <w:t>eu-LISA conservará</w:t>
            </w:r>
            <w:r w:rsidRPr="008623DC">
              <w:rPr>
                <w:b/>
                <w:i/>
              </w:rPr>
              <w:t>, durante cinco años como máximo,</w:t>
            </w:r>
            <w:r w:rsidRPr="008623DC">
              <w:t xml:space="preserve"> los d</w:t>
            </w:r>
            <w:r w:rsidRPr="008623DC">
              <w:t xml:space="preserve">atos a que se refieren los apartados 1 a 4 del presente artículo, que no permitirán </w:t>
            </w:r>
            <w:r w:rsidRPr="008623DC">
              <w:rPr>
                <w:b/>
                <w:i/>
              </w:rPr>
              <w:t>bajo ningún concepto</w:t>
            </w:r>
            <w:r w:rsidRPr="008623DC">
              <w:t xml:space="preserve"> la identificación de personas, con fines de investigación y análisis.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59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13 – artículo 9 – apartado 6</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6.</w:t>
            </w:r>
            <w:r w:rsidRPr="008623DC">
              <w:tab/>
              <w:t xml:space="preserve">Se concederá acceso al </w:t>
            </w:r>
            <w:r w:rsidRPr="008623DC">
              <w:t>repositorio central de informes y estadísticas a que se refiere el artículo 39 del Reglamento (UE) 2019/818 a eu-LISA, a la Comisión</w:t>
            </w:r>
            <w:r w:rsidRPr="008623DC">
              <w:rPr>
                <w:b/>
                <w:i/>
              </w:rPr>
              <w:t>, a la [Agencia de Asilo de la Unión Europea]</w:t>
            </w:r>
            <w:r w:rsidRPr="008623DC">
              <w:t xml:space="preserve"> y a las autoridades designadas por cada Estado miembro de conformidad con el a</w:t>
            </w:r>
            <w:r w:rsidRPr="008623DC">
              <w:t xml:space="preserve">rtículo 28, apartado 2. También se podrá conceder acceso a usuarios autorizados de </w:t>
            </w:r>
            <w:r w:rsidRPr="008623DC">
              <w:rPr>
                <w:b/>
                <w:i/>
              </w:rPr>
              <w:t>otras</w:t>
            </w:r>
            <w:r w:rsidRPr="008623DC">
              <w:t xml:space="preserve"> agencias de justicia y asuntos de interior siempre que dicho acceso sea pertinente para el desempeño de sus funciones.»;</w:t>
            </w:r>
          </w:p>
        </w:tc>
        <w:tc>
          <w:tcPr>
            <w:tcW w:w="4876" w:type="dxa"/>
            <w:hideMark/>
          </w:tcPr>
          <w:p w:rsidR="007605D8" w:rsidRPr="008623DC" w:rsidRDefault="008623DC" w:rsidP="00397221">
            <w:pPr>
              <w:pStyle w:val="Normal6"/>
              <w:rPr>
                <w:szCs w:val="24"/>
              </w:rPr>
            </w:pPr>
            <w:r w:rsidRPr="008623DC">
              <w:t>6.</w:t>
            </w:r>
            <w:r w:rsidRPr="008623DC">
              <w:tab/>
              <w:t xml:space="preserve">Se concederá acceso al repositorio central </w:t>
            </w:r>
            <w:r w:rsidRPr="008623DC">
              <w:t>de informes y estadísticas a que se refiere el artículo 39 del Reglamento (UE) 2019/818 a eu-LISA, a la Comisión y a las autoridades designadas por cada Estado miembro de conformidad con el artículo 28, apartado 2. También se podrá conceder acceso a usuari</w:t>
            </w:r>
            <w:r w:rsidRPr="008623DC">
              <w:t xml:space="preserve">os autorizados de </w:t>
            </w:r>
            <w:r w:rsidRPr="008623DC">
              <w:rPr>
                <w:b/>
                <w:i/>
              </w:rPr>
              <w:t>las</w:t>
            </w:r>
            <w:r w:rsidRPr="008623DC">
              <w:t xml:space="preserve"> agencias de justicia y asuntos de interior </w:t>
            </w:r>
            <w:r w:rsidRPr="008623DC">
              <w:rPr>
                <w:b/>
                <w:i/>
              </w:rPr>
              <w:t>pertinentes de la Unión, en particular a la [Agencia de Asilo de la Unión Europea], a la Agencia Europea de la Guardia de Fronteras y Costas y a Europol,</w:t>
            </w:r>
            <w:r w:rsidRPr="008623DC">
              <w:t xml:space="preserve"> siempre que dicho acceso sea pertinen</w:t>
            </w:r>
            <w:r w:rsidRPr="008623DC">
              <w:t>te para el desempeño de sus funciones.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60</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Parte </w:t>
      </w:r>
      <w:r w:rsidRPr="008623DC">
        <w:t>dispositiva – punto 13 – artículo 9 – apartado 6 bis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9C5DC8">
            <w:pPr>
              <w:pStyle w:val="Normal6"/>
              <w:rPr>
                <w:b/>
                <w:i/>
              </w:rPr>
            </w:pPr>
            <w:r w:rsidRPr="008623DC">
              <w:rPr>
                <w:b/>
                <w:i/>
              </w:rPr>
              <w:t>6 bis.</w:t>
            </w:r>
            <w:r w:rsidRPr="008623DC">
              <w:rPr>
                <w:b/>
                <w:i/>
              </w:rPr>
              <w:tab/>
              <w:t>Con objeto de garantizar la exactitud de los datos recopilados y la calidad de las estadísticas elaboradas, la elaboración de datos estadísticos</w:t>
            </w:r>
            <w:r w:rsidRPr="008623DC">
              <w:rPr>
                <w:b/>
                <w:i/>
              </w:rPr>
              <w:t xml:space="preserve"> irá acompañada de normas estrictas que exijan la rectificación de los datos incorrectos por parte de los Estados miembros dentro de unos plazos determinados.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b w:val="0"/>
        </w:rPr>
        <w:t>&lt;Article&gt;</w:t>
      </w:r>
      <w:r w:rsidRPr="008623DC">
        <w:t>Parte dispositiva – punto 14 – artículo 10 – apartado 1 – párrafo 1</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w:t>
            </w:r>
            <w:r w:rsidRPr="008623DC">
              <w:tab/>
              <w:t>Los Estados m</w:t>
            </w:r>
            <w:r w:rsidRPr="008623DC">
              <w:t xml:space="preserve">iembros tomarán los datos biométricos de cada solicitante de protección internacional de al menos seis años de edad </w:t>
            </w:r>
            <w:r w:rsidRPr="008623DC">
              <w:rPr>
                <w:b/>
                <w:i/>
              </w:rPr>
              <w:t>durante el control a que se refiere el Reglamento (UE) XXX/XXX [Reglamento sobre el control] o, cuando no se pudieran tomar los datos biomét</w:t>
            </w:r>
            <w:r w:rsidRPr="008623DC">
              <w:rPr>
                <w:b/>
                <w:i/>
              </w:rPr>
              <w:t>ricos durante el control o el solicitante no fuera objeto de dicho control,</w:t>
            </w:r>
            <w:r w:rsidRPr="008623DC">
              <w:t xml:space="preserve"> en el momento en que se registre la solicitud de protección internacional a que se refiere el artículo 27 del Reglamento (UE) XXX/XXX [Reglamento sobre los procedimientos de asilo]</w:t>
            </w:r>
            <w:r w:rsidRPr="008623DC">
              <w:t xml:space="preserve"> </w:t>
            </w:r>
            <w:r w:rsidRPr="008623DC">
              <w:rPr>
                <w:b/>
                <w:i/>
              </w:rPr>
              <w:t xml:space="preserve">y </w:t>
            </w:r>
            <w:r w:rsidRPr="008623DC">
              <w:t xml:space="preserve">los transmitirán cuanto antes, y a más tardar en las setenta y dos horas siguientes a la toma de los datos biométricos, junto con los datos enumerados en </w:t>
            </w:r>
            <w:r w:rsidRPr="008623DC">
              <w:rPr>
                <w:b/>
                <w:i/>
              </w:rPr>
              <w:t>las letras c) a p) del</w:t>
            </w:r>
            <w:r w:rsidRPr="008623DC">
              <w:t xml:space="preserve"> artículo 12 </w:t>
            </w:r>
            <w:r w:rsidRPr="008623DC">
              <w:rPr>
                <w:b/>
                <w:i/>
              </w:rPr>
              <w:t>del presente Reglamento</w:t>
            </w:r>
            <w:r w:rsidRPr="008623DC">
              <w:t>, al Sistema Central y al RCDI, según pro</w:t>
            </w:r>
            <w:r w:rsidRPr="008623DC">
              <w:t>ceda, de conformidad con el artículo 4, apartado 2.</w:t>
            </w:r>
          </w:p>
        </w:tc>
        <w:tc>
          <w:tcPr>
            <w:tcW w:w="4876" w:type="dxa"/>
            <w:hideMark/>
          </w:tcPr>
          <w:p w:rsidR="007605D8" w:rsidRPr="008623DC" w:rsidRDefault="008623DC" w:rsidP="007605D8">
            <w:pPr>
              <w:pStyle w:val="Normal6"/>
              <w:rPr>
                <w:szCs w:val="24"/>
              </w:rPr>
            </w:pPr>
            <w:r w:rsidRPr="008623DC">
              <w:t>1.</w:t>
            </w:r>
            <w:r w:rsidRPr="008623DC">
              <w:tab/>
              <w:t>Los Estados miembros tomarán</w:t>
            </w:r>
            <w:r w:rsidRPr="008623DC">
              <w:rPr>
                <w:b/>
                <w:i/>
              </w:rPr>
              <w:t>, garantizando la protección necesaria,</w:t>
            </w:r>
            <w:r w:rsidRPr="008623DC">
              <w:t xml:space="preserve"> los datos biométricos de cada solicitante de protección internacional de al menos seis años de edad</w:t>
            </w:r>
            <w:r w:rsidRPr="008623DC">
              <w:rPr>
                <w:b/>
                <w:i/>
              </w:rPr>
              <w:t>:</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a)</w:t>
            </w:r>
            <w:r w:rsidRPr="008623DC">
              <w:t xml:space="preserve"> en el momento en que se </w:t>
            </w:r>
            <w:r w:rsidRPr="008623DC">
              <w:t>registre la solicitud de protección internacional a que se refiere el artículo 27 del Reglamento (UE) XXX/XXX [Reglamento sobre los procedimientos de asilo]</w:t>
            </w:r>
            <w:r w:rsidRPr="008623DC">
              <w:rPr>
                <w:b/>
                <w:i/>
              </w:rPr>
              <w:t>;</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b) en el momento de la presentación de la solicitud de protección internacional, cuando la solic</w:t>
            </w:r>
            <w:r w:rsidRPr="008623DC">
              <w:rPr>
                <w:b/>
                <w:i/>
              </w:rPr>
              <w:t>itud sea presentada en un paso fronterizo o en una zona de tránsito por una persona que no cumpla las condiciones de entrada establecidas en el artículo 6 del Reglamento (UE) n.º 2016/399.</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 xml:space="preserve">Los Estados miembros </w:t>
            </w:r>
            <w:r w:rsidRPr="008623DC">
              <w:t>los transmitirán cuanto antes, y a más tarda</w:t>
            </w:r>
            <w:r w:rsidRPr="008623DC">
              <w:t xml:space="preserve">r en las setenta y dos horas siguientes a la toma de los datos biométricos </w:t>
            </w:r>
            <w:r w:rsidRPr="008623DC">
              <w:rPr>
                <w:b/>
                <w:i/>
              </w:rPr>
              <w:t>del solicitante de protección internacional</w:t>
            </w:r>
            <w:r w:rsidRPr="008623DC">
              <w:t xml:space="preserve">, junto con los datos enumerados en </w:t>
            </w:r>
            <w:r w:rsidRPr="008623DC">
              <w:rPr>
                <w:b/>
                <w:i/>
              </w:rPr>
              <w:t>el</w:t>
            </w:r>
            <w:r w:rsidRPr="008623DC">
              <w:t xml:space="preserve"> artículo 12</w:t>
            </w:r>
            <w:r w:rsidRPr="008623DC">
              <w:rPr>
                <w:b/>
                <w:i/>
              </w:rPr>
              <w:t>, apartado 1</w:t>
            </w:r>
            <w:r w:rsidRPr="008623DC">
              <w:t>, al Sistema Central y al RCDI, según proceda, de conformidad con el artícul</w:t>
            </w:r>
            <w:r w:rsidRPr="008623DC">
              <w:t>o 4, apartado 2.</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Parte dispositiva – punto 14 – </w:t>
      </w:r>
      <w:r w:rsidRPr="008623DC">
        <w:t>artículo 10 – apartado 3</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3.</w:t>
            </w:r>
            <w:r w:rsidRPr="008623DC">
              <w:tab/>
              <w:t xml:space="preserve">Cuando así lo solicite el Estado miembro en cuestión, también podrán tomar y transmitir datos biométricos en nombre de ese Estado miembro los miembros de los equipos de la Guardia </w:t>
            </w:r>
            <w:r w:rsidRPr="008623DC">
              <w:t>Europea de Fronteras y Costas o los expertos de los equipos de apoyo al asilo en el cumplimiento de las tareas y el ejercicio de las competencias que establecen el Reglamento (UE) 2019/1896 y el Reglamento (UE) XXX/XXX [Reglamento sobre la Agencia de Asilo</w:t>
            </w:r>
            <w:r w:rsidRPr="008623DC">
              <w:t xml:space="preserve"> de la Unión Europea].</w:t>
            </w:r>
          </w:p>
        </w:tc>
        <w:tc>
          <w:tcPr>
            <w:tcW w:w="4876" w:type="dxa"/>
            <w:hideMark/>
          </w:tcPr>
          <w:p w:rsidR="007605D8" w:rsidRPr="008623DC" w:rsidRDefault="008623DC" w:rsidP="007605D8">
            <w:pPr>
              <w:pStyle w:val="Normal6"/>
              <w:rPr>
                <w:szCs w:val="24"/>
              </w:rPr>
            </w:pPr>
            <w:r w:rsidRPr="008623DC">
              <w:t>3.</w:t>
            </w:r>
            <w:r w:rsidRPr="008623DC">
              <w:tab/>
              <w:t xml:space="preserve">Cuando así lo solicite el Estado miembro en cuestión, también podrán tomar y transmitir datos biométricos </w:t>
            </w:r>
            <w:r w:rsidRPr="008623DC">
              <w:rPr>
                <w:b/>
                <w:i/>
              </w:rPr>
              <w:t>y alfanuméricos</w:t>
            </w:r>
            <w:r w:rsidRPr="008623DC">
              <w:t xml:space="preserve"> en nombre de ese Estado miembro los miembros de los equipos de la Guardia Europea de Fronteras y Costas o lo</w:t>
            </w:r>
            <w:r w:rsidRPr="008623DC">
              <w:t xml:space="preserve">s expertos de los equipos de apoyo al asilo </w:t>
            </w:r>
            <w:r w:rsidRPr="008623DC">
              <w:rPr>
                <w:b/>
                <w:i/>
              </w:rPr>
              <w:t>formados específicamente para ello</w:t>
            </w:r>
            <w:r w:rsidRPr="008623DC">
              <w:t xml:space="preserve"> en el cumplimiento de las tareas y el ejercicio de las competencias que establecen el Reglamento (UE) 2019/1896 y el Reglamento (UE) XXX/XXX [Reglamento sobre la Agencia de Asil</w:t>
            </w:r>
            <w:r w:rsidRPr="008623DC">
              <w:t>o de la Unión Europea].</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63</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Parte dispositiva – punto </w:t>
      </w:r>
      <w:r w:rsidRPr="008623DC">
        <w:t>14 – artículo 10 – apartado 4</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4.</w:t>
            </w:r>
            <w:r w:rsidRPr="008623DC">
              <w:rPr>
                <w:b/>
                <w:i/>
              </w:rPr>
              <w:tab/>
            </w:r>
            <w:r w:rsidRPr="008623DC">
              <w:t>Cada conjunto de datos recogido y transmitido de conformidad con el apartado 1 se vinculará con otros conjuntos de datos correspondientes al mismo nacional de un tercer país o apát</w:t>
            </w:r>
            <w:r w:rsidRPr="008623DC">
              <w:t>rida en una secuencia tal como prevé el artículo 4, apartado 6.»;</w:t>
            </w:r>
          </w:p>
        </w:tc>
        <w:tc>
          <w:tcPr>
            <w:tcW w:w="4876" w:type="dxa"/>
            <w:hideMark/>
          </w:tcPr>
          <w:p w:rsidR="007605D8" w:rsidRPr="008623DC" w:rsidRDefault="008623DC" w:rsidP="0015056E">
            <w:pPr>
              <w:pStyle w:val="Normal6"/>
              <w:rPr>
                <w:szCs w:val="24"/>
              </w:rPr>
            </w:pPr>
            <w:r w:rsidRPr="008623DC">
              <w:t>4.</w:t>
            </w:r>
            <w:r w:rsidRPr="008623DC">
              <w:rPr>
                <w:b/>
                <w:i/>
              </w:rPr>
              <w:tab/>
            </w:r>
            <w:r w:rsidRPr="008623DC">
              <w:t>Cada conjunto de datos recogido y transmitido de conformidad con el apartado 1 se vinculará con otros conjuntos de datos correspondientes al mismo nacional de un tercer país o apátrida en</w:t>
            </w:r>
            <w:r w:rsidRPr="008623DC">
              <w:t xml:space="preserve"> una secuencia tal como prevé el artículo 4, apartado 6</w:t>
            </w:r>
            <w:r w:rsidRPr="008623DC">
              <w:rPr>
                <w:b/>
                <w:i/>
              </w:rPr>
              <w:t>, y respetando los límites establecidos en dicho artículo</w:t>
            </w:r>
            <w:r w:rsidRPr="008623DC">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64</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14 – artículo 10 – apartado 4 bis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4 bis.</w:t>
            </w:r>
            <w:r w:rsidRPr="008623DC">
              <w:rPr>
                <w:b/>
                <w:i/>
              </w:rPr>
              <w:tab/>
              <w:t xml:space="preserve">De la toma de datos biométricos de los menores de seis años se </w:t>
            </w:r>
            <w:r w:rsidRPr="008623DC">
              <w:rPr>
                <w:b/>
                <w:i/>
              </w:rPr>
              <w:t>encargarán funcionarios formados específicamente para tomar los datos biométricos de menores, de manera adaptada a sus necesidades y con sensibilidad, respetando plenamente el interés superior del niño y las salvaguardias establecidas en la Convención de l</w:t>
            </w:r>
            <w:r w:rsidRPr="008623DC">
              <w:rPr>
                <w:b/>
                <w:i/>
              </w:rPr>
              <w:t>as Naciones Unidas sobre los Derechos del Niño.</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El menor irá acompañado, cuando sea posible, de un adulto miembro de su familia mientras se toman sus datos biométricos. El menor no acompañado deberá ir acompañado de un tutor, representante o, cuando no s</w:t>
            </w:r>
            <w:r w:rsidRPr="008623DC">
              <w:rPr>
                <w:b/>
                <w:i/>
              </w:rPr>
              <w:t>e haya designado un representante, de una persona formada para salvaguardar el interés superior del menor y su bienestar general, mientras se procede a la toma de sus datos biométricos. Dicha persona con formación no será el funcionario responsable de toma</w:t>
            </w:r>
            <w:r w:rsidRPr="008623DC">
              <w:rPr>
                <w:b/>
                <w:i/>
              </w:rPr>
              <w:t>r los datos biométricos, actuará con independencia y no recibirá órdenes del funcionario o del servicio encargado de los datos biométricos.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65</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w:t>
      </w:r>
      <w:r w:rsidRPr="008623DC">
        <w:t>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16 – artículo 12 – parte introductoria</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 xml:space="preserve">En el Sistema Central </w:t>
            </w:r>
            <w:r w:rsidRPr="008623DC">
              <w:rPr>
                <w:b/>
                <w:i/>
              </w:rPr>
              <w:t>y</w:t>
            </w:r>
            <w:r w:rsidRPr="008623DC">
              <w:t xml:space="preserve"> en el RCDI, según proceda, se registrarán exclusivamente los datos siguientes:</w:t>
            </w:r>
          </w:p>
        </w:tc>
        <w:tc>
          <w:tcPr>
            <w:tcW w:w="4876" w:type="dxa"/>
            <w:hideMark/>
          </w:tcPr>
          <w:p w:rsidR="007605D8" w:rsidRPr="008623DC" w:rsidRDefault="008623DC" w:rsidP="007605D8">
            <w:pPr>
              <w:pStyle w:val="Normal6"/>
              <w:rPr>
                <w:szCs w:val="24"/>
              </w:rPr>
            </w:pPr>
            <w:r w:rsidRPr="008623DC">
              <w:t xml:space="preserve">En el Sistema Central </w:t>
            </w:r>
            <w:r w:rsidRPr="008623DC">
              <w:rPr>
                <w:b/>
                <w:i/>
              </w:rPr>
              <w:t>o</w:t>
            </w:r>
            <w:r w:rsidRPr="008623DC">
              <w:t xml:space="preserve"> en el RCDI, según proceda, </w:t>
            </w:r>
            <w:r w:rsidRPr="008623DC">
              <w:rPr>
                <w:b/>
                <w:i/>
              </w:rPr>
              <w:t>de conformidad con el artículo 4, apartado 2,</w:t>
            </w:r>
            <w:r w:rsidRPr="008623DC">
              <w:t xml:space="preserve"> se registrarán exclusivamente los datos siguientes: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w:t>
      </w:r>
      <w:r w:rsidRPr="008623DC">
        <w:rPr>
          <w:rStyle w:val="HideTWBExt"/>
          <w:noProof w:val="0"/>
          <w:lang w:val="es-ES_tradnl"/>
        </w:rPr>
        <w:t>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16 – artículo 12 – letra 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 xml:space="preserve">Texto de la </w:t>
            </w:r>
            <w:r w:rsidRPr="008623DC">
              <w:rPr>
                <w:lang w:val="es-ES_tradnl"/>
              </w:rPr>
              <w:t>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o)</w:t>
            </w:r>
            <w:r w:rsidRPr="008623DC">
              <w:tab/>
              <w:t>fecha de transmisión de los datos al Sistema Central y al RCDI, según proceda</w:t>
            </w:r>
            <w:r w:rsidRPr="008623DC">
              <w:rPr>
                <w:b/>
                <w:i/>
              </w:rPr>
              <w:t>;</w:t>
            </w:r>
          </w:p>
        </w:tc>
        <w:tc>
          <w:tcPr>
            <w:tcW w:w="4876" w:type="dxa"/>
            <w:hideMark/>
          </w:tcPr>
          <w:p w:rsidR="007605D8" w:rsidRPr="008623DC" w:rsidRDefault="008623DC" w:rsidP="007605D8">
            <w:pPr>
              <w:pStyle w:val="Normal6"/>
              <w:rPr>
                <w:szCs w:val="24"/>
              </w:rPr>
            </w:pPr>
            <w:r w:rsidRPr="008623DC">
              <w:t>o)</w:t>
            </w:r>
            <w:r w:rsidRPr="008623DC">
              <w:tab/>
            </w:r>
            <w:r w:rsidRPr="008623DC">
              <w:rPr>
                <w:b/>
                <w:i/>
              </w:rPr>
              <w:t>la</w:t>
            </w:r>
            <w:r w:rsidRPr="008623DC">
              <w:t xml:space="preserve"> fecha de transmisión de los datos al Sistema Central y al RCDI, según proceda</w:t>
            </w:r>
            <w:r w:rsidRPr="008623DC">
              <w:rPr>
                <w:b/>
                <w:i/>
              </w:rPr>
              <w:t>, de conformidad con el artículo 4, apartado 2:</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16 – artículo 12 – letra v</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 xml:space="preserve">Texto </w:t>
            </w:r>
            <w:r w:rsidRPr="008623DC">
              <w:rPr>
                <w:lang w:val="es-ES_tradnl"/>
              </w:rPr>
              <w:t>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v)</w:t>
            </w:r>
            <w:r w:rsidRPr="008623DC">
              <w:tab/>
              <w:t xml:space="preserve">El hecho de que la persona podría ser una amenaza para la seguridad interna </w:t>
            </w:r>
            <w:r w:rsidRPr="008623DC">
              <w:rPr>
                <w:b/>
                <w:i/>
              </w:rPr>
              <w:t>tras el control a que se refiere el Reglamento (UE) XXX/XXX [Reglamento sobre el control] o</w:t>
            </w:r>
            <w:r w:rsidRPr="008623DC">
              <w:t xml:space="preserve"> tras un examen de conformidad con el artículo 8, apartado 4,</w:t>
            </w:r>
            <w:r w:rsidRPr="008623DC">
              <w:t xml:space="preserve"> del Reglamento (UE) XXX/XXX [Reglamento sobre la gestión del asilo y la migración];</w:t>
            </w:r>
          </w:p>
        </w:tc>
        <w:tc>
          <w:tcPr>
            <w:tcW w:w="4876" w:type="dxa"/>
            <w:hideMark/>
          </w:tcPr>
          <w:p w:rsidR="007605D8" w:rsidRPr="008623DC" w:rsidRDefault="008623DC" w:rsidP="007605D8">
            <w:pPr>
              <w:pStyle w:val="Normal6"/>
              <w:rPr>
                <w:szCs w:val="24"/>
              </w:rPr>
            </w:pPr>
            <w:r w:rsidRPr="008623DC">
              <w:t>v)</w:t>
            </w:r>
            <w:r w:rsidRPr="008623DC">
              <w:tab/>
              <w:t>El hecho de que la persona podría ser una amenaza para la seguridad interna tras un examen de conformidad con el artículo 8, apartado 4, del Reglamento (UE) XXX/XXX [Re</w:t>
            </w:r>
            <w:r w:rsidRPr="008623DC">
              <w:t>glamento sobre la gestión del asilo y la migración];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68</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w:t>
      </w:r>
      <w:r w:rsidRPr="008623DC">
        <w:rPr>
          <w:rStyle w:val="HideTWBExt"/>
        </w:rPr>
        <w:t>le&gt;</w:t>
      </w:r>
      <w:r w:rsidRPr="008623DC">
        <w:t>Parte dispositiva – punto 16 – artículo 12 – apartado 3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15056E">
            <w:pPr>
              <w:pStyle w:val="Normal6"/>
              <w:rPr>
                <w:b/>
                <w:i/>
                <w:szCs w:val="24"/>
              </w:rPr>
            </w:pPr>
            <w:r w:rsidRPr="008623DC">
              <w:rPr>
                <w:b/>
                <w:i/>
              </w:rPr>
              <w:t>3.</w:t>
            </w:r>
            <w:r w:rsidRPr="008623DC">
              <w:rPr>
                <w:b/>
                <w:i/>
              </w:rPr>
              <w:tab/>
              <w:t>El Estado miembro de origen que haya llegado a la conclusión de que la amenaza para la seguridad interior detectada tras un examen con arreglo</w:t>
            </w:r>
            <w:r w:rsidRPr="008623DC">
              <w:rPr>
                <w:b/>
                <w:i/>
              </w:rPr>
              <w:t xml:space="preserve"> al artículo 8, apartado 4, del Reglamento (UE) XXX/XXX (Reglamento sobre la gestión del asilo y la migración) ya no es aplicable suprimirá la alerta de seguridad del conjunto de datos. El Sistema Central informará, lo antes posible y en un plazo máximo de</w:t>
            </w:r>
            <w:r w:rsidRPr="008623DC">
              <w:rPr>
                <w:b/>
                <w:i/>
              </w:rPr>
              <w:t xml:space="preserve"> setenta y dos horas tras la supresión de la alerta de seguridad por parte de otro Estado miembro de origen que haya generado una respuesta positiva con respecto a datos que aquellos hubieran transmitido en relación con las personas a que se hace referenci</w:t>
            </w:r>
            <w:r w:rsidRPr="008623DC">
              <w:rPr>
                <w:b/>
                <w:i/>
              </w:rPr>
              <w:t>a en el artículo 13, apartado 1, el artículo 14, apartado 1, o el artículo 14 bis, apartado 1, a todos los Estados miembros de origen acerca de dicha supresión. Dichos Estados miembros de origen suprimirán también la alerta de seguridad de su correspondien</w:t>
            </w:r>
            <w:r w:rsidRPr="008623DC">
              <w:rPr>
                <w:b/>
                <w:i/>
              </w:rPr>
              <w:t>te conjunto de datos.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69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16</w:t>
      </w:r>
      <w:r w:rsidRPr="008623DC">
        <w:t xml:space="preserve"> bis (nuevo) – artículo 12 bis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jc w:val="center"/>
              <w:rPr>
                <w:szCs w:val="24"/>
              </w:rPr>
            </w:pPr>
            <w:r w:rsidRPr="008623DC">
              <w:rPr>
                <w:b/>
                <w:i/>
              </w:rPr>
              <w:t>Artículo 12 bis</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jc w:val="center"/>
              <w:rPr>
                <w:szCs w:val="24"/>
              </w:rPr>
            </w:pPr>
            <w:r w:rsidRPr="008623DC">
              <w:rPr>
                <w:b/>
                <w:i/>
              </w:rPr>
              <w:t>Toma y transmisión de datos dactiloscópicos y de imagen facial</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397221">
            <w:pPr>
              <w:pStyle w:val="Normal6"/>
              <w:rPr>
                <w:szCs w:val="24"/>
              </w:rPr>
            </w:pPr>
            <w:r w:rsidRPr="008623DC">
              <w:rPr>
                <w:b/>
                <w:i/>
              </w:rPr>
              <w:t xml:space="preserve">1. </w:t>
            </w:r>
            <w:r w:rsidRPr="008623DC">
              <w:rPr>
                <w:b/>
                <w:i/>
              </w:rPr>
              <w:tab/>
              <w:t xml:space="preserve">Cada Estado miembro tomará sin demora las impresiones dactilares de todos los dedos y </w:t>
            </w:r>
            <w:r w:rsidRPr="008623DC">
              <w:rPr>
                <w:b/>
                <w:i/>
              </w:rPr>
              <w:t>una imagen facial de los nacionales de terceros países o apátridas reasentados de al menos seis años de edad a su llegada a su territorio. Cada Estado miembro transmitirá dichos datos biométricos, junto con los demás datos a que se refiere el artículo 10 d</w:t>
            </w:r>
            <w:r w:rsidRPr="008623DC">
              <w:rPr>
                <w:b/>
                <w:i/>
              </w:rPr>
              <w:t>el Reglamento (UE).../..., al Sistema Central.</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15056E">
            <w:pPr>
              <w:pStyle w:val="Normal6"/>
              <w:rPr>
                <w:szCs w:val="24"/>
              </w:rPr>
            </w:pPr>
            <w:r w:rsidRPr="008623DC">
              <w:rPr>
                <w:b/>
                <w:i/>
              </w:rPr>
              <w:t>Cuando un Estado miembro no cumpla el requisito de tomar sin demora los datos biométricos de las personas a que se refiere el párrafo primero del presente apartado, no quedará eximido de la obligación de tom</w:t>
            </w:r>
            <w:r w:rsidRPr="008623DC">
              <w:rPr>
                <w:b/>
                <w:i/>
              </w:rPr>
              <w:t>ar los datos biométricos y transmitirlos al Sistema Central. Cuando las condiciones de las yemas de los dedos no permitan tomar impresiones dactilares de calidad que puedan compararse adecuadamente con arreglo al artículo 26, el Estado miembro de reasentam</w:t>
            </w:r>
            <w:r w:rsidRPr="008623DC">
              <w:rPr>
                <w:b/>
                <w:i/>
              </w:rPr>
              <w:t>iento volverá a tomar las impresiones dactilares del solicitante y las volverá a enviar cuanto antes, a más tardar en las 48 horas siguientes al momento en que se tomen correctamente.</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2. </w:t>
            </w:r>
            <w:r w:rsidRPr="008623DC">
              <w:rPr>
                <w:b/>
                <w:i/>
              </w:rPr>
              <w:tab/>
              <w:t>No obstante lo dispuesto en el apartado 1, cuando no sea posible t</w:t>
            </w:r>
            <w:r w:rsidRPr="008623DC">
              <w:rPr>
                <w:b/>
                <w:i/>
              </w:rPr>
              <w:t>omar las impresiones dactilares, una imagen facial o ambas de un nacional de un tercer país o un apátrida reasentado debido a medidas adoptadas para proteger su salud o la salud pública, los Estados miembros tomarán y enviarán dichas impresiones dactilares</w:t>
            </w:r>
            <w:r w:rsidRPr="008623DC">
              <w:rPr>
                <w:b/>
                <w:i/>
              </w:rPr>
              <w:t>, dicha imagen facial o ambas a la mayor brevedad posible, y en un plazo no superior a 48 horas desde que dejen de prevalecer las mencionadas razones de salud.</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70</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16 ter (nuevo) – artículo 12 ter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jc w:val="center"/>
              <w:rPr>
                <w:szCs w:val="24"/>
              </w:rPr>
            </w:pPr>
            <w:r w:rsidRPr="008623DC">
              <w:rPr>
                <w:b/>
                <w:i/>
              </w:rPr>
              <w:t>Artículo 12 ter</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jc w:val="center"/>
              <w:rPr>
                <w:b/>
                <w:i/>
              </w:rPr>
            </w:pPr>
            <w:r w:rsidRPr="008623DC">
              <w:rPr>
                <w:b/>
                <w:i/>
              </w:rPr>
              <w:t>Registro de datos</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b/>
                <w:i/>
              </w:rPr>
            </w:pPr>
            <w:r w:rsidRPr="008623DC">
              <w:rPr>
                <w:b/>
                <w:i/>
              </w:rPr>
              <w:t xml:space="preserve">En el Sistema Central se registrarán exclusivamente los datos siguientes: </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a) </w:t>
            </w:r>
            <w:r w:rsidRPr="008623DC">
              <w:rPr>
                <w:b/>
                <w:i/>
              </w:rPr>
              <w:tab/>
              <w:t>datos dactiloscópicos;</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b) </w:t>
            </w:r>
            <w:r w:rsidRPr="008623DC">
              <w:rPr>
                <w:b/>
                <w:i/>
              </w:rPr>
              <w:tab/>
              <w:t>una imagen facial;</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c) </w:t>
            </w:r>
            <w:r w:rsidRPr="008623DC">
              <w:rPr>
                <w:b/>
                <w:i/>
              </w:rPr>
              <w:tab/>
              <w:t>nombre o nombres y apellido o apellidos, nombre o nombres de nacimiento y nombres usados con anteri</w:t>
            </w:r>
            <w:r w:rsidRPr="008623DC">
              <w:rPr>
                <w:b/>
                <w:i/>
              </w:rPr>
              <w:t>oridad, así como cualquier alias, que podrán consignarse separadamente;</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d) </w:t>
            </w:r>
            <w:r w:rsidRPr="008623DC">
              <w:rPr>
                <w:b/>
                <w:i/>
              </w:rPr>
              <w:tab/>
              <w:t>nacionalidad o nacionalidades;</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e) </w:t>
            </w:r>
            <w:r w:rsidRPr="008623DC">
              <w:rPr>
                <w:b/>
                <w:i/>
              </w:rPr>
              <w:tab/>
              <w:t>lugar y fecha de nacimiento;</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f) </w:t>
            </w:r>
            <w:r w:rsidRPr="008623DC">
              <w:rPr>
                <w:b/>
                <w:i/>
              </w:rPr>
              <w:tab/>
              <w:t>Estado miembro de reasentamiento, lugar y fecha de registro;</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g) </w:t>
            </w:r>
            <w:r w:rsidRPr="008623DC">
              <w:rPr>
                <w:b/>
                <w:i/>
              </w:rPr>
              <w:tab/>
              <w:t>sexo;</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h) </w:t>
            </w:r>
            <w:r w:rsidRPr="008623DC">
              <w:rPr>
                <w:b/>
                <w:i/>
              </w:rPr>
              <w:tab/>
              <w:t xml:space="preserve">si procede, tipo y número </w:t>
            </w:r>
            <w:r w:rsidRPr="008623DC">
              <w:rPr>
                <w:b/>
                <w:i/>
              </w:rPr>
              <w:t>del documento de identidad o del documento de viaje; código de tres letras del país expedidor y período de validez;</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i) </w:t>
            </w:r>
            <w:r w:rsidRPr="008623DC">
              <w:rPr>
                <w:b/>
                <w:i/>
              </w:rPr>
              <w:tab/>
              <w:t>número de referencia atribuido por el Estado miembro de origen;</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j) </w:t>
            </w:r>
            <w:r w:rsidRPr="008623DC">
              <w:rPr>
                <w:b/>
                <w:i/>
              </w:rPr>
              <w:tab/>
              <w:t>fecha en que se tomaron las impresiones dactilares, la imagen fa</w:t>
            </w:r>
            <w:r w:rsidRPr="008623DC">
              <w:rPr>
                <w:b/>
                <w:i/>
              </w:rPr>
              <w:t>cial o ambas;</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k) </w:t>
            </w:r>
            <w:r w:rsidRPr="008623DC">
              <w:rPr>
                <w:b/>
                <w:i/>
              </w:rPr>
              <w:tab/>
              <w:t>fecha de transmisión de los datos al Sistema Central;</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 xml:space="preserve">l) </w:t>
            </w:r>
            <w:r w:rsidRPr="008623DC">
              <w:rPr>
                <w:b/>
                <w:i/>
              </w:rPr>
              <w:tab/>
              <w:t>identificación de usuario del operador.</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17 – artículo 13 – apartado 1</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w:t>
            </w:r>
            <w:r w:rsidRPr="008623DC">
              <w:tab/>
              <w:t xml:space="preserve">Cada Estado miembro tomará sin demora los datos biométricos de todos los </w:t>
            </w:r>
            <w:r w:rsidRPr="008623DC">
              <w:t>nacionales de terceros países o apátridas que tengan, como mínimo, seis años de edad y que hayan sido interceptados por las autoridades competentes de control con ocasión del cruce irregular de fronteras terrestres, marítimas o aéreas de dicho Estado miemb</w:t>
            </w:r>
            <w:r w:rsidRPr="008623DC">
              <w:t>ro desde un tercer país y a los que no se devuelva al lugar de procedencia o que permanezcan físicamente en el territorio de los Estados miembros sin estar bajo custodia, reclusión o internamiento durante todo el período comprendido entre la interceptación</w:t>
            </w:r>
            <w:r w:rsidRPr="008623DC">
              <w:t xml:space="preserve"> y la expulsión con arreglo a la decisión de devolución.</w:t>
            </w:r>
          </w:p>
        </w:tc>
        <w:tc>
          <w:tcPr>
            <w:tcW w:w="4876" w:type="dxa"/>
            <w:hideMark/>
          </w:tcPr>
          <w:p w:rsidR="007605D8" w:rsidRPr="008623DC" w:rsidRDefault="008623DC" w:rsidP="007605D8">
            <w:pPr>
              <w:pStyle w:val="Normal6"/>
            </w:pPr>
            <w:r w:rsidRPr="008623DC">
              <w:t>1.</w:t>
            </w:r>
            <w:r w:rsidRPr="008623DC">
              <w:tab/>
              <w:t>Cada Estado miembro tomará</w:t>
            </w:r>
            <w:r w:rsidRPr="008623DC">
              <w:rPr>
                <w:b/>
                <w:i/>
              </w:rPr>
              <w:t>, garantizando la protección necesaria y</w:t>
            </w:r>
            <w:r w:rsidRPr="008623DC">
              <w:t xml:space="preserve"> sin demora</w:t>
            </w:r>
            <w:r w:rsidRPr="008623DC">
              <w:rPr>
                <w:b/>
                <w:i/>
              </w:rPr>
              <w:t>,</w:t>
            </w:r>
            <w:r w:rsidRPr="008623DC">
              <w:t xml:space="preserve"> los datos biométricos de todos los nacionales de terceros países o apátridas que tengan, como mínimo, seis años de ed</w:t>
            </w:r>
            <w:r w:rsidRPr="008623DC">
              <w:t>ad y que hayan sido interceptados por las autoridades competentes de control con ocasión del cruce irregular de fronteras terrestres, marítimas o aéreas de dicho Estado miembro desde un tercer país y a los que no se devuelva al lugar de procedencia o que p</w:t>
            </w:r>
            <w:r w:rsidRPr="008623DC">
              <w:t>ermanezcan físicamente en el territorio de los Estados miembros sin estar bajo custodia, reclusión o internamiento durante todo el período comprendido entre la interceptación y la expulsión con arreglo a la decisión de devolución.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rPr>
          <w:rStyle w:val="HideTWBExt"/>
        </w:rPr>
      </w:pPr>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17 – artículo 13 – apartado 2 – parte introdu</w:t>
      </w:r>
      <w:r w:rsidRPr="008623DC">
        <w:t>ctoria</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2.</w:t>
            </w:r>
            <w:r w:rsidRPr="008623DC">
              <w:tab/>
              <w:t xml:space="preserve">El Estado miembro de que se trate transmitirá lo antes posible, y a más tardar antes de que transcurran setenta y dos horas desde la fecha de interceptación, al Sistema Central </w:t>
            </w:r>
            <w:r w:rsidRPr="008623DC">
              <w:rPr>
                <w:b/>
                <w:i/>
              </w:rPr>
              <w:t>y</w:t>
            </w:r>
            <w:r w:rsidRPr="008623DC">
              <w:t xml:space="preserve"> al RCDI, según proceda, los siguientes datos relativos a los nacionales de terceros países o apátridas mencionados en el apartado 1 que no hayan sido devueltos al lugar de procedencia:</w:t>
            </w:r>
          </w:p>
        </w:tc>
        <w:tc>
          <w:tcPr>
            <w:tcW w:w="4876" w:type="dxa"/>
            <w:hideMark/>
          </w:tcPr>
          <w:p w:rsidR="007605D8" w:rsidRPr="008623DC" w:rsidRDefault="008623DC" w:rsidP="007605D8">
            <w:pPr>
              <w:pStyle w:val="Normal6"/>
              <w:rPr>
                <w:szCs w:val="24"/>
              </w:rPr>
            </w:pPr>
            <w:r w:rsidRPr="008623DC">
              <w:t>2.</w:t>
            </w:r>
            <w:r w:rsidRPr="008623DC">
              <w:tab/>
              <w:t>El Estado miembro de que se trate transmitirá lo antes posible, y a</w:t>
            </w:r>
            <w:r w:rsidRPr="008623DC">
              <w:t xml:space="preserve"> más tardar antes de que transcurran setenta y dos horas desde la fecha de interceptación, al Sistema Central </w:t>
            </w:r>
            <w:r w:rsidRPr="008623DC">
              <w:rPr>
                <w:b/>
                <w:i/>
              </w:rPr>
              <w:t>o</w:t>
            </w:r>
            <w:r w:rsidRPr="008623DC">
              <w:t xml:space="preserve"> al RCDI, según proceda, </w:t>
            </w:r>
            <w:r w:rsidRPr="008623DC">
              <w:rPr>
                <w:b/>
                <w:i/>
              </w:rPr>
              <w:t>de conformidad con el artículo 4, apartado 2,</w:t>
            </w:r>
            <w:r w:rsidRPr="008623DC">
              <w:t xml:space="preserve"> los siguientes datos relativos a los nacionales de terceros países o apátr</w:t>
            </w:r>
            <w:r w:rsidRPr="008623DC">
              <w:t>idas mencionados en el apartado 1 que no hayan sido devueltos al lugar de procedencia:</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rPr>
          <w:rStyle w:val="HideTWBExt"/>
        </w:rPr>
      </w:pPr>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73</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w:t>
      </w:r>
      <w:r w:rsidRPr="008623DC">
        <w:t>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17 – artículo 13 – apartado 2 – letra r</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rPr>
                <w:b/>
                <w:i/>
              </w:rPr>
            </w:pPr>
            <w:r w:rsidRPr="008623DC">
              <w:rPr>
                <w:b/>
                <w:i/>
              </w:rPr>
              <w:t>r)</w:t>
            </w:r>
            <w:r w:rsidRPr="008623DC">
              <w:rPr>
                <w:b/>
                <w:i/>
              </w:rPr>
              <w:tab/>
              <w:t xml:space="preserve">el hecho de que la persona podría ser una amenaza para la seguridad interna tras el control a que se </w:t>
            </w:r>
            <w:r w:rsidRPr="008623DC">
              <w:rPr>
                <w:b/>
                <w:i/>
              </w:rPr>
              <w:t>refiere el Reglamento (UE) XXX/XXX [Reglamento sobre el control].</w:t>
            </w:r>
          </w:p>
        </w:tc>
        <w:tc>
          <w:tcPr>
            <w:tcW w:w="4876" w:type="dxa"/>
          </w:tcPr>
          <w:p w:rsidR="007605D8" w:rsidRPr="008623DC" w:rsidRDefault="008623DC" w:rsidP="007605D8">
            <w:pPr>
              <w:pStyle w:val="Normal6"/>
              <w:rPr>
                <w:b/>
                <w:i/>
              </w:rPr>
            </w:pPr>
            <w:r w:rsidRPr="008623DC">
              <w:rPr>
                <w:b/>
                <w:i/>
              </w:rPr>
              <w:t xml:space="preserve">suprimida </w:t>
            </w:r>
          </w:p>
          <w:p w:rsidR="007605D8" w:rsidRPr="008623DC" w:rsidRDefault="007605D8" w:rsidP="007605D8">
            <w:pPr>
              <w:pStyle w:val="Normal6"/>
              <w:rPr>
                <w:b/>
                <w:i/>
              </w:rPr>
            </w:pP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rPr>
          <w:rStyle w:val="HideTWBExt"/>
        </w:rPr>
      </w:pPr>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74</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 xml:space="preserve">Propuesta de </w:t>
      </w:r>
      <w:r w:rsidRPr="008623DC">
        <w:t>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 Parte dispositiva – punto 17 – artículo 13 – apartado 7</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7.</w:t>
            </w:r>
            <w:r w:rsidRPr="008623DC">
              <w:tab/>
              <w:t>Cuando así lo solicite el Estado miembro en cuestión, también podrán tomar y transmitir datos biométricos en nombre de ese</w:t>
            </w:r>
            <w:r w:rsidRPr="008623DC">
              <w:t xml:space="preserve"> Estado miembro los miembros de los equipos de la Guardia Europea de Fronteras y Costas o los expertos de los equipos de apoyo al asilo en el cumplimiento de las tareas y el ejercicio de las competencias que establecen el Reglamento (UE) 2019/1896 y el Reg</w:t>
            </w:r>
            <w:r w:rsidRPr="008623DC">
              <w:t>lamento (UE) XXX/XXX [Reglamento sobre la Agencia de Asilo de la Unión Europea].</w:t>
            </w:r>
          </w:p>
        </w:tc>
        <w:tc>
          <w:tcPr>
            <w:tcW w:w="4876" w:type="dxa"/>
            <w:hideMark/>
          </w:tcPr>
          <w:p w:rsidR="007605D8" w:rsidRPr="008623DC" w:rsidRDefault="008623DC" w:rsidP="007605D8">
            <w:pPr>
              <w:pStyle w:val="Normal6"/>
              <w:rPr>
                <w:szCs w:val="24"/>
              </w:rPr>
            </w:pPr>
            <w:r w:rsidRPr="008623DC">
              <w:t>7.</w:t>
            </w:r>
            <w:r w:rsidRPr="008623DC">
              <w:tab/>
              <w:t xml:space="preserve">Cuando así lo solicite el Estado miembro en cuestión, también podrán tomar y transmitir datos biométricos </w:t>
            </w:r>
            <w:r w:rsidRPr="008623DC">
              <w:rPr>
                <w:b/>
                <w:i/>
              </w:rPr>
              <w:t>y alfanuméricos</w:t>
            </w:r>
            <w:r w:rsidRPr="008623DC">
              <w:t xml:space="preserve"> en nombre de ese Estado miembro los miembros de lo</w:t>
            </w:r>
            <w:r w:rsidRPr="008623DC">
              <w:t>s equipos de la Guardia Europea de Fronteras y Costas o los expertos de los equipos de apoyo al asilo en el cumplimiento de las tareas y el ejercicio de las competencias que establecen el Reglamento (UE) 2019/1896 y el Reglamento (UE) XXX/XXX [Reglamento s</w:t>
            </w:r>
            <w:r w:rsidRPr="008623DC">
              <w:t>obre la Agencia de Asilo de la Unión Europea].</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75</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 </w:t>
      </w:r>
      <w:r w:rsidRPr="008623DC">
        <w:t>Parte dispositiva – punto 17 – artículo 13 – apartado 8</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8.</w:t>
            </w:r>
            <w:r w:rsidRPr="008623DC">
              <w:tab/>
              <w:t xml:space="preserve">Cada conjunto de datos recogido y transmitido de conformidad con el apartado 1 se vinculará con otros conjuntos de datos correspondientes al mismo </w:t>
            </w:r>
            <w:r w:rsidRPr="008623DC">
              <w:t>nacional de un tercer país o apátrida en una secuencia tal como prevé el artículo 4, apartado 6.</w:t>
            </w:r>
          </w:p>
        </w:tc>
        <w:tc>
          <w:tcPr>
            <w:tcW w:w="4876" w:type="dxa"/>
            <w:hideMark/>
          </w:tcPr>
          <w:p w:rsidR="007605D8" w:rsidRPr="008623DC" w:rsidRDefault="008623DC" w:rsidP="0015056E">
            <w:pPr>
              <w:pStyle w:val="Normal6"/>
              <w:rPr>
                <w:szCs w:val="24"/>
              </w:rPr>
            </w:pPr>
            <w:r w:rsidRPr="008623DC">
              <w:t>8.</w:t>
            </w:r>
            <w:r w:rsidRPr="008623DC">
              <w:tab/>
              <w:t xml:space="preserve">Cada conjunto de datos recogido y transmitido de conformidad con el apartado 1 se vinculará con otros conjuntos de datos correspondientes al mismo nacional </w:t>
            </w:r>
            <w:r w:rsidRPr="008623DC">
              <w:t>de un tercer país o apátrida en una secuencia tal como prevé el artículo 4, apartado 6</w:t>
            </w:r>
            <w:r w:rsidRPr="008623DC">
              <w:rPr>
                <w:b/>
                <w:i/>
              </w:rPr>
              <w:t>, y respetando los límites establecidos en dicho artículo</w:t>
            </w:r>
            <w:r w:rsidRPr="008623DC">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w:t>
      </w:r>
      <w:r w:rsidRPr="008623DC">
        <w:t>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18 – artículo 14 – apartado 1</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w:t>
            </w:r>
            <w:r w:rsidRPr="008623DC">
              <w:tab/>
              <w:t>Cada Estado miembro tomará sin demora los datos biométricos</w:t>
            </w:r>
            <w:r w:rsidRPr="008623DC">
              <w:t xml:space="preserve"> de todos los nacionales de terceros países o apátridas de al menos seis años de edad que se encuentren ilegalmente en su territorio.</w:t>
            </w:r>
          </w:p>
        </w:tc>
        <w:tc>
          <w:tcPr>
            <w:tcW w:w="4876" w:type="dxa"/>
            <w:hideMark/>
          </w:tcPr>
          <w:p w:rsidR="007605D8" w:rsidRPr="008623DC" w:rsidRDefault="008623DC" w:rsidP="007605D8">
            <w:pPr>
              <w:pStyle w:val="Normal6"/>
              <w:rPr>
                <w:szCs w:val="24"/>
              </w:rPr>
            </w:pPr>
            <w:r w:rsidRPr="008623DC">
              <w:t>1.</w:t>
            </w:r>
            <w:r w:rsidRPr="008623DC">
              <w:tab/>
              <w:t>Cada Estado miembro tomará</w:t>
            </w:r>
            <w:r w:rsidRPr="008623DC">
              <w:rPr>
                <w:b/>
                <w:i/>
              </w:rPr>
              <w:t>, garantizando la protección necesaria y</w:t>
            </w:r>
            <w:r w:rsidRPr="008623DC">
              <w:t xml:space="preserve"> sin demora</w:t>
            </w:r>
            <w:r w:rsidRPr="008623DC">
              <w:rPr>
                <w:b/>
                <w:i/>
              </w:rPr>
              <w:t>,</w:t>
            </w:r>
            <w:r w:rsidRPr="008623DC">
              <w:t xml:space="preserve"> los datos biométricos de todos los nacio</w:t>
            </w:r>
            <w:r w:rsidRPr="008623DC">
              <w:t>nales de terceros países o apátridas de al menos seis años de edad que se encuentren ilegalmente en su territorio.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w:t>
      </w:r>
      <w:r w:rsidRPr="008623DC">
        <w:rPr>
          <w:rStyle w:val="HideTWBExt"/>
        </w:rPr>
        <w:t>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18 – artículo 14 – apartado 2 – parte introductoria</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2.</w:t>
            </w:r>
            <w:r w:rsidRPr="008623DC">
              <w:tab/>
              <w:t>El Estado miembro de que se trate transmitirá lo antes posible, y a</w:t>
            </w:r>
            <w:r w:rsidRPr="008623DC">
              <w:t xml:space="preserve"> más tardar antes de que transcurran setenta y dos horas desde que se detecte que el nacional de un tercer país o apátrida se encuentra ilegalmente en su territorio , al Sistema Central y al RCDI, según proceda, los siguientes datos relativos a los naciona</w:t>
            </w:r>
            <w:r w:rsidRPr="008623DC">
              <w:t>les de terceros países o apátridas mencionados en el apartado 1:</w:t>
            </w:r>
          </w:p>
        </w:tc>
        <w:tc>
          <w:tcPr>
            <w:tcW w:w="4876" w:type="dxa"/>
            <w:hideMark/>
          </w:tcPr>
          <w:p w:rsidR="007605D8" w:rsidRPr="008623DC" w:rsidRDefault="008623DC" w:rsidP="007605D8">
            <w:pPr>
              <w:pStyle w:val="Normal6"/>
              <w:rPr>
                <w:szCs w:val="24"/>
              </w:rPr>
            </w:pPr>
            <w:r w:rsidRPr="008623DC">
              <w:t>2.</w:t>
            </w:r>
            <w:r w:rsidRPr="008623DC">
              <w:tab/>
              <w:t>El Estado miembro de que se trate transmitirá lo antes posible, y a más tardar antes de que transcurran setenta y dos horas desde que se detecte que el nacional de un tercer país o apátrid</w:t>
            </w:r>
            <w:r w:rsidRPr="008623DC">
              <w:t xml:space="preserve">a se encuentra ilegalmente en su territorio , al Sistema Central y al RCDI, según proceda, </w:t>
            </w:r>
            <w:r w:rsidRPr="008623DC">
              <w:rPr>
                <w:b/>
                <w:i/>
              </w:rPr>
              <w:t>de conformidad con el artículo 4, apartado 2,</w:t>
            </w:r>
            <w:r w:rsidRPr="008623DC">
              <w:t xml:space="preserve"> los siguientes datos relativos a los nacionales de terceros países o apátridas mencionados en el apartado 1:</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w:t>
      </w:r>
      <w:r w:rsidRPr="008623DC">
        <w:rPr>
          <w:rStyle w:val="HideTWBExt"/>
          <w:noProof w:val="0"/>
          <w:lang w:val="es-ES_tradnl"/>
        </w:rPr>
        <w:t>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78</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Parte dispositiva – punto 18 – artículo 14 – apartado 2 – </w:t>
      </w:r>
      <w:r w:rsidRPr="008623DC">
        <w:t>letra s</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rPr>
                <w:b/>
                <w:i/>
              </w:rPr>
            </w:pPr>
            <w:r w:rsidRPr="008623DC">
              <w:rPr>
                <w:b/>
                <w:i/>
              </w:rPr>
              <w:t>s)</w:t>
            </w:r>
            <w:r w:rsidRPr="008623DC">
              <w:rPr>
                <w:b/>
                <w:i/>
              </w:rPr>
              <w:tab/>
              <w:t>cuando proceda, el hecho de que la persona podría ser una amenaza para la seguridad interna tras el control a que se refiere el Reglamento (UE) XXX/XXX [Reglamento sobre el control].</w:t>
            </w:r>
          </w:p>
        </w:tc>
        <w:tc>
          <w:tcPr>
            <w:tcW w:w="4876" w:type="dxa"/>
            <w:hideMark/>
          </w:tcPr>
          <w:p w:rsidR="007605D8" w:rsidRPr="008623DC" w:rsidRDefault="008623DC" w:rsidP="007605D8">
            <w:pPr>
              <w:pStyle w:val="Normal6"/>
              <w:rPr>
                <w:b/>
                <w:i/>
              </w:rPr>
            </w:pPr>
            <w:r w:rsidRPr="008623DC">
              <w:rPr>
                <w:b/>
                <w:i/>
              </w:rPr>
              <w:t>suprimida</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79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18 – artículo 14 – apartado 6</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6.</w:t>
            </w:r>
            <w:r w:rsidRPr="008623DC">
              <w:tab/>
              <w:t xml:space="preserve">Cada conjunto de datos recogido y transmitido de conformidad con el apartado 1 se vinculará con otros conjuntos de datos correspondientes al mismo nacional de un tercer país o apátrida en una secuencia tal </w:t>
            </w:r>
            <w:r w:rsidRPr="008623DC">
              <w:t>como prevé el artículo 4, apartado 6.</w:t>
            </w:r>
          </w:p>
        </w:tc>
        <w:tc>
          <w:tcPr>
            <w:tcW w:w="4876" w:type="dxa"/>
            <w:hideMark/>
          </w:tcPr>
          <w:p w:rsidR="007605D8" w:rsidRPr="008623DC" w:rsidRDefault="008623DC" w:rsidP="0015056E">
            <w:pPr>
              <w:pStyle w:val="Normal6"/>
            </w:pPr>
            <w:r w:rsidRPr="008623DC">
              <w:t>6.</w:t>
            </w:r>
            <w:r w:rsidRPr="008623DC">
              <w:tab/>
              <w:t>Cada conjunto de datos recogido y transmitido de conformidad con el apartado 1 se vinculará con otros conjuntos de datos correspondientes al mismo nacional de un tercer país o apátrida en una secuencia tal como prev</w:t>
            </w:r>
            <w:r w:rsidRPr="008623DC">
              <w:t>é el artículo 4, apartado 6</w:t>
            </w:r>
            <w:r w:rsidRPr="008623DC">
              <w:rPr>
                <w:b/>
                <w:i/>
              </w:rPr>
              <w:t>, y respetando los límites establecidos en dicho artículo</w:t>
            </w:r>
            <w:r w:rsidRPr="008623DC">
              <w:t>.</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4A52D4" w:rsidRPr="008623DC" w:rsidRDefault="008623DC" w:rsidP="004A52D4">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80</w:t>
      </w:r>
      <w:r w:rsidRPr="008623DC">
        <w:rPr>
          <w:rStyle w:val="HideTWBExt"/>
          <w:lang w:val="es-ES_tradnl"/>
        </w:rPr>
        <w:t>&lt;/NumAm&gt;</w:t>
      </w:r>
    </w:p>
    <w:p w:rsidR="004A52D4" w:rsidRPr="008623DC" w:rsidRDefault="008623DC" w:rsidP="004A52D4">
      <w:pPr>
        <w:pStyle w:val="NormalBold"/>
      </w:pPr>
      <w:r w:rsidRPr="008623DC">
        <w:rPr>
          <w:rStyle w:val="HideTWBExt"/>
        </w:rPr>
        <w:t>&lt;RepeatBlock-By&gt;&lt;Members&gt;</w:t>
      </w:r>
      <w:r w:rsidRPr="008623DC">
        <w:t>Jorge Buxadé Villalba</w:t>
      </w:r>
      <w:r w:rsidRPr="008623DC">
        <w:rPr>
          <w:rStyle w:val="HideTWBExt"/>
        </w:rPr>
        <w:t>&lt;/Members&gt;</w:t>
      </w:r>
    </w:p>
    <w:p w:rsidR="004A52D4" w:rsidRPr="008623DC" w:rsidRDefault="008623DC" w:rsidP="004A52D4">
      <w:r w:rsidRPr="008623DC">
        <w:rPr>
          <w:rStyle w:val="HideTWBExt"/>
        </w:rPr>
        <w:t>&lt;/RepeatBlock-By&gt;</w:t>
      </w:r>
    </w:p>
    <w:p w:rsidR="004A52D4" w:rsidRPr="008623DC" w:rsidRDefault="008623DC" w:rsidP="004A52D4">
      <w:pPr>
        <w:pStyle w:val="NormalBold"/>
        <w:keepNext/>
      </w:pPr>
      <w:r w:rsidRPr="008623DC">
        <w:rPr>
          <w:rStyle w:val="HideTWBExt"/>
        </w:rPr>
        <w:t>&lt;DocAmend&gt;</w:t>
      </w:r>
      <w:r w:rsidRPr="008623DC">
        <w:t>Propuest</w:t>
      </w:r>
      <w:r w:rsidRPr="008623DC">
        <w:t>a de Reglamento</w:t>
      </w:r>
      <w:r w:rsidRPr="008623DC">
        <w:rPr>
          <w:rStyle w:val="HideTWBExt"/>
        </w:rPr>
        <w:t>&lt;/DocAmend&gt;</w:t>
      </w:r>
    </w:p>
    <w:p w:rsidR="004A52D4" w:rsidRPr="008623DC" w:rsidRDefault="008623DC" w:rsidP="004A52D4">
      <w:pPr>
        <w:pStyle w:val="NormalBold"/>
      </w:pPr>
      <w:r w:rsidRPr="008623DC">
        <w:rPr>
          <w:rStyle w:val="HideTWBExt"/>
        </w:rPr>
        <w:t>&lt;Article&gt;</w:t>
      </w:r>
      <w:r w:rsidRPr="008623DC">
        <w:t>Punto 19 – capítulo IV bis</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3A3762">
        <w:trPr>
          <w:jc w:val="center"/>
        </w:trPr>
        <w:tc>
          <w:tcPr>
            <w:tcW w:w="9752" w:type="dxa"/>
            <w:gridSpan w:val="2"/>
          </w:tcPr>
          <w:p w:rsidR="004A52D4" w:rsidRPr="008623DC" w:rsidRDefault="004A52D4" w:rsidP="003A3762">
            <w:pPr>
              <w:keepNext/>
            </w:pPr>
          </w:p>
        </w:tc>
      </w:tr>
      <w:tr w:rsidR="006565AA" w:rsidRPr="008623DC" w:rsidTr="003A3762">
        <w:trPr>
          <w:jc w:val="center"/>
        </w:trPr>
        <w:tc>
          <w:tcPr>
            <w:tcW w:w="4876" w:type="dxa"/>
            <w:hideMark/>
          </w:tcPr>
          <w:p w:rsidR="004A52D4" w:rsidRPr="008623DC" w:rsidRDefault="008623DC" w:rsidP="003A3762">
            <w:pPr>
              <w:pStyle w:val="ColumnHeading"/>
              <w:keepNext/>
              <w:rPr>
                <w:lang w:val="es-ES_tradnl"/>
              </w:rPr>
            </w:pPr>
            <w:r w:rsidRPr="008623DC">
              <w:rPr>
                <w:lang w:val="es-ES_tradnl"/>
              </w:rPr>
              <w:t>Texto de la Comisión</w:t>
            </w:r>
          </w:p>
        </w:tc>
        <w:tc>
          <w:tcPr>
            <w:tcW w:w="4876" w:type="dxa"/>
            <w:hideMark/>
          </w:tcPr>
          <w:p w:rsidR="004A52D4" w:rsidRPr="008623DC" w:rsidRDefault="008623DC" w:rsidP="003A3762">
            <w:pPr>
              <w:pStyle w:val="ColumnHeading"/>
              <w:keepNext/>
              <w:rPr>
                <w:lang w:val="es-ES_tradnl"/>
              </w:rPr>
            </w:pPr>
            <w:r w:rsidRPr="008623DC">
              <w:rPr>
                <w:lang w:val="es-ES_tradnl"/>
              </w:rPr>
              <w:t>Enmienda</w:t>
            </w: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19) </w:t>
            </w:r>
            <w:r w:rsidRPr="008623DC">
              <w:rPr>
                <w:b/>
                <w:i/>
              </w:rPr>
              <w:tab/>
              <w:t>Se inserta el siguiente capítulo después del artículo 14:</w:t>
            </w:r>
          </w:p>
        </w:tc>
        <w:tc>
          <w:tcPr>
            <w:tcW w:w="4876" w:type="dxa"/>
            <w:hideMark/>
          </w:tcPr>
          <w:p w:rsidR="004A52D4" w:rsidRPr="008623DC" w:rsidRDefault="008623DC" w:rsidP="003A3762">
            <w:pPr>
              <w:pStyle w:val="Normal6"/>
              <w:rPr>
                <w:szCs w:val="24"/>
              </w:rPr>
            </w:pPr>
            <w:r w:rsidRPr="008623DC">
              <w:rPr>
                <w:b/>
                <w:i/>
              </w:rPr>
              <w:t>suprimido</w:t>
            </w:r>
            <w:r w:rsidRPr="008623DC">
              <w:rPr>
                <w:i/>
              </w:rPr>
              <w:t xml:space="preserve"> </w:t>
            </w:r>
          </w:p>
        </w:tc>
      </w:tr>
      <w:tr w:rsidR="006565AA" w:rsidRPr="008623DC" w:rsidTr="003A3762">
        <w:trPr>
          <w:jc w:val="center"/>
        </w:trPr>
        <w:tc>
          <w:tcPr>
            <w:tcW w:w="4876" w:type="dxa"/>
            <w:hideMark/>
          </w:tcPr>
          <w:p w:rsidR="004A52D4" w:rsidRPr="008623DC" w:rsidRDefault="008623DC" w:rsidP="003A3762">
            <w:pPr>
              <w:pStyle w:val="Normal6"/>
              <w:jc w:val="center"/>
              <w:rPr>
                <w:b/>
                <w:i/>
              </w:rPr>
            </w:pPr>
            <w:r w:rsidRPr="008623DC">
              <w:rPr>
                <w:b/>
                <w:i/>
              </w:rPr>
              <w:t>«Capítulo IV bis</w:t>
            </w:r>
          </w:p>
        </w:tc>
        <w:tc>
          <w:tcPr>
            <w:tcW w:w="4876" w:type="dxa"/>
            <w:hideMark/>
          </w:tcPr>
          <w:p w:rsidR="004A52D4" w:rsidRPr="008623DC" w:rsidRDefault="008623DC" w:rsidP="003A3762">
            <w:pPr>
              <w:pStyle w:val="Normal6"/>
              <w:rPr>
                <w:i/>
              </w:rPr>
            </w:pPr>
            <w:r w:rsidRPr="008623DC">
              <w:rPr>
                <w:i/>
              </w:rPr>
              <w:t xml:space="preserve">(Esta modificación se aplica a la totalidad del texto </w:t>
            </w:r>
            <w:r w:rsidRPr="008623DC">
              <w:rPr>
                <w:i/>
              </w:rPr>
              <w:t>legislativo objeto de examen. Su adopción impone adaptaciones técnicas en todo el texto.)</w:t>
            </w:r>
          </w:p>
        </w:tc>
      </w:tr>
      <w:tr w:rsidR="006565AA" w:rsidRPr="008623DC" w:rsidTr="003A3762">
        <w:trPr>
          <w:jc w:val="center"/>
        </w:trPr>
        <w:tc>
          <w:tcPr>
            <w:tcW w:w="4876" w:type="dxa"/>
            <w:hideMark/>
          </w:tcPr>
          <w:p w:rsidR="004A52D4" w:rsidRPr="008623DC" w:rsidRDefault="008623DC" w:rsidP="003A3762">
            <w:pPr>
              <w:pStyle w:val="Normal6"/>
              <w:jc w:val="center"/>
              <w:rPr>
                <w:b/>
                <w:i/>
              </w:rPr>
            </w:pPr>
            <w:r w:rsidRPr="008623DC">
              <w:rPr>
                <w:b/>
                <w:i/>
              </w:rPr>
              <w:t>Nacionales de terceros países o apátridas desembarcados tras una operación de búsqueda y salvamento</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jc w:val="center"/>
              <w:rPr>
                <w:b/>
                <w:i/>
              </w:rPr>
            </w:pPr>
            <w:r w:rsidRPr="008623DC">
              <w:rPr>
                <w:b/>
                <w:i/>
              </w:rPr>
              <w:t>Artículo 14 bis</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jc w:val="center"/>
              <w:rPr>
                <w:b/>
                <w:i/>
              </w:rPr>
            </w:pPr>
            <w:r w:rsidRPr="008623DC">
              <w:rPr>
                <w:b/>
                <w:i/>
              </w:rPr>
              <w:t>Toma y transmisión de los datos biométricos</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1. </w:t>
            </w:r>
            <w:r w:rsidRPr="008623DC">
              <w:rPr>
                <w:b/>
                <w:i/>
              </w:rPr>
              <w:tab/>
              <w:t>Cada Estado miembro tomará sin demora los datos biométricos de todos los nacionales de terceros países o apátridas que tengan, como mínimo, seis años de edad y que hayan sido desembarcados tras una operación de búsqueda y salvamento según la definició</w:t>
            </w:r>
            <w:r w:rsidRPr="008623DC">
              <w:rPr>
                <w:b/>
                <w:i/>
              </w:rPr>
              <w:t>n del Reglamento (UE) XXX/XXX [Reglamento sobre la gestión del asilo y la migración].</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2. </w:t>
            </w:r>
            <w:r w:rsidRPr="008623DC">
              <w:rPr>
                <w:b/>
                <w:i/>
              </w:rPr>
              <w:tab/>
              <w:t>El Estado miembro de que se trate transmitirá al Sistema Central, lo antes posible y en un plazo máximo de setenta y dos horas desde la fecha de desembarque, los si</w:t>
            </w:r>
            <w:r w:rsidRPr="008623DC">
              <w:rPr>
                <w:b/>
                <w:i/>
              </w:rPr>
              <w:t>guientes datos relativos a los nacionales de terceros países o apátridas mencionados en el apartado 1:</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a)</w:t>
            </w:r>
            <w:r w:rsidRPr="008623DC">
              <w:rPr>
                <w:b/>
                <w:i/>
              </w:rPr>
              <w:tab/>
              <w:t>datos dactiloscópicos;</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b)</w:t>
            </w:r>
            <w:r w:rsidRPr="008623DC">
              <w:rPr>
                <w:b/>
                <w:i/>
              </w:rPr>
              <w:tab/>
              <w:t>una imagen facial;</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c)</w:t>
            </w:r>
            <w:r w:rsidRPr="008623DC">
              <w:rPr>
                <w:b/>
                <w:i/>
              </w:rPr>
              <w:tab/>
              <w:t>nombre o nombres y apellido o apellidos, nombre o nombres de nacimiento y nombres usados con ant</w:t>
            </w:r>
            <w:r w:rsidRPr="008623DC">
              <w:rPr>
                <w:b/>
                <w:i/>
              </w:rPr>
              <w:t>erioridad, así como cualquier alias, que podrán consignarse separadamente;</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d)</w:t>
            </w:r>
            <w:r w:rsidRPr="008623DC">
              <w:rPr>
                <w:b/>
                <w:i/>
              </w:rPr>
              <w:tab/>
              <w:t>nacionalidad o nacionalidades;</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e)</w:t>
            </w:r>
            <w:r w:rsidRPr="008623DC">
              <w:rPr>
                <w:b/>
                <w:i/>
              </w:rPr>
              <w:tab/>
              <w:t>fecha de nacimiento;</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f)</w:t>
            </w:r>
            <w:r w:rsidRPr="008623DC">
              <w:rPr>
                <w:b/>
                <w:i/>
              </w:rPr>
              <w:tab/>
              <w:t>lugar de nacimiento;</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g)</w:t>
            </w:r>
            <w:r w:rsidRPr="008623DC">
              <w:rPr>
                <w:b/>
                <w:i/>
              </w:rPr>
              <w:tab/>
              <w:t>Estado miembro de origen, lugar y fecha del desembarque;</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h)</w:t>
            </w:r>
            <w:r w:rsidRPr="008623DC">
              <w:rPr>
                <w:b/>
                <w:i/>
              </w:rPr>
              <w:tab/>
              <w:t>sexo;</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i)</w:t>
            </w:r>
            <w:r w:rsidRPr="008623DC">
              <w:rPr>
                <w:b/>
                <w:i/>
              </w:rPr>
              <w:tab/>
              <w:t xml:space="preserve">cuando está </w:t>
            </w:r>
            <w:r w:rsidRPr="008623DC">
              <w:rPr>
                <w:b/>
                <w:i/>
              </w:rPr>
              <w:t>disponible, tipo y número del documento de identidad o del documento de viaje; código de tres letras del país expedidor y fecha de expiración;</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j)</w:t>
            </w:r>
            <w:r w:rsidRPr="008623DC">
              <w:rPr>
                <w:b/>
                <w:i/>
              </w:rPr>
              <w:tab/>
              <w:t xml:space="preserve">cuando esté disponible, una copia escaneada en color de un documento de identidad o de viaje, junto con una </w:t>
            </w:r>
            <w:r w:rsidRPr="008623DC">
              <w:rPr>
                <w:b/>
                <w:i/>
              </w:rPr>
              <w:t>indicación de su autenticidad o, cuando no esté disponible, otro documento que facilite la identificación del nacional de un tercer país o apátrida y una indicación de su autenticidad;</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k)</w:t>
            </w:r>
            <w:r w:rsidRPr="008623DC">
              <w:rPr>
                <w:b/>
                <w:i/>
              </w:rPr>
              <w:tab/>
              <w:t>número de referencia atribuido por el Estado miembro de origen;</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l)</w:t>
            </w:r>
            <w:r w:rsidRPr="008623DC">
              <w:rPr>
                <w:b/>
                <w:i/>
              </w:rPr>
              <w:tab/>
              <w:t>fecha de toma de los datos biométricos;</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m)</w:t>
            </w:r>
            <w:r w:rsidRPr="008623DC">
              <w:rPr>
                <w:b/>
                <w:i/>
              </w:rPr>
              <w:tab/>
              <w:t>fecha de transmisión de los datos al Sistema Central y al RCDI, según proceda;</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n)</w:t>
            </w:r>
            <w:r w:rsidRPr="008623DC">
              <w:rPr>
                <w:b/>
                <w:i/>
              </w:rPr>
              <w:tab/>
              <w:t>identificación de usuario del operador;</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o)</w:t>
            </w:r>
            <w:r w:rsidRPr="008623DC">
              <w:rPr>
                <w:b/>
                <w:i/>
              </w:rPr>
              <w:tab/>
              <w:t>fecha en que la persona interesada abandonó el territorio de los Estados miembr</w:t>
            </w:r>
            <w:r w:rsidRPr="008623DC">
              <w:rPr>
                <w:b/>
                <w:i/>
              </w:rPr>
              <w:t>os o fue expulsada de él, cuando proceda de conformidad con el apartado 6;</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p)</w:t>
            </w:r>
            <w:r w:rsidRPr="008623DC">
              <w:rPr>
                <w:b/>
                <w:i/>
              </w:rPr>
              <w:tab/>
              <w:t>el Estado miembro de reubicación con arreglo al artículo 14 ter, apartado 1;</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q)</w:t>
            </w:r>
            <w:r w:rsidRPr="008623DC">
              <w:rPr>
                <w:b/>
                <w:i/>
              </w:rPr>
              <w:tab/>
              <w:t>cuando proceda, el hecho de que se ha concedido retorno voluntario asistido y reintegración,</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r)</w:t>
            </w:r>
            <w:r w:rsidRPr="008623DC">
              <w:rPr>
                <w:b/>
                <w:i/>
              </w:rPr>
              <w:tab/>
              <w:t>el hecho de que la persona podría ser una amenaza para la seguridad interna tras el control a que se refiere el Reglamento (UE) XXX/XXX [Reglamento sobre el control].</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4. </w:t>
            </w:r>
            <w:r w:rsidRPr="008623DC">
              <w:rPr>
                <w:b/>
                <w:i/>
              </w:rPr>
              <w:tab/>
              <w:t xml:space="preserve">El incumplimiento del plazo límite de setenta y dos horas a que se refiere el </w:t>
            </w:r>
            <w:r w:rsidRPr="008623DC">
              <w:rPr>
                <w:b/>
                <w:i/>
              </w:rPr>
              <w:t>apartado 2 del presente artículo no eximirá a los Estados miembros de la obligación de tomar los datos biométricos y transmitirlos al RCDI. Cuando las condiciones de las yemas de los dedos no permitan tomar impresiones dactilares de calidad que puedan comp</w:t>
            </w:r>
            <w:r w:rsidRPr="008623DC">
              <w:rPr>
                <w:b/>
                <w:i/>
              </w:rPr>
              <w:t>ararse adecuadamente con arreglo al artículo 26, el Estado miembro de origen volverá a tomar las impresiones dactilares de las personas desembarcadas como se describe en el apartado 1 de este artículo y las volverá a enviar cuanto antes, a más tardar en la</w:t>
            </w:r>
            <w:r w:rsidRPr="008623DC">
              <w:rPr>
                <w:b/>
                <w:i/>
              </w:rPr>
              <w:t>s cuarenta y ocho horas siguientes al momento en que se tomen correctamente.</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5. </w:t>
            </w:r>
            <w:r w:rsidRPr="008623DC">
              <w:rPr>
                <w:b/>
                <w:i/>
              </w:rPr>
              <w:tab/>
              <w:t>No obstante lo dispuesto en el apartado 1, cuando no sea posible tomar los datos biométricos de una persona desembarcada debido a medidas adoptadas para proteger la salud de</w:t>
            </w:r>
            <w:r w:rsidRPr="008623DC">
              <w:rPr>
                <w:b/>
                <w:i/>
              </w:rPr>
              <w:t xml:space="preserve"> dicha persona o la salud pública, el Estado miembro interesado tomará y enviará los datos biométricos de dicha persona lo antes posible y en un plazo máximo de cuarenta y ocho horas, una vez que hayan dejado de prevalecer esas razones de salud.</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En caso </w:t>
            </w:r>
            <w:r w:rsidRPr="008623DC">
              <w:rPr>
                <w:b/>
                <w:i/>
              </w:rPr>
              <w:t>de problemas técnicos graves, los Estados miembros podrán ampliar el plazo límite inicial de setenta y dos horas previsto en el apartado 2 en un máximo de cuarenta y ocho horas con el fin de llevar a cabo sus planes nacionales de continuidad.</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6. </w:t>
            </w:r>
            <w:r w:rsidRPr="008623DC">
              <w:rPr>
                <w:b/>
                <w:i/>
              </w:rPr>
              <w:tab/>
              <w:t>Tan pro</w:t>
            </w:r>
            <w:r w:rsidRPr="008623DC">
              <w:rPr>
                <w:b/>
                <w:i/>
              </w:rPr>
              <w:t>nto como garantice que la persona interesada cuyos datos hayan sido registrados en Eurodac con arreglo al apartado 1 ha abandonado el territorio de los Estados miembros en cumplimiento de una decisión de retorno o de una orden de expulsión, el Estado miemb</w:t>
            </w:r>
            <w:r w:rsidRPr="008623DC">
              <w:rPr>
                <w:b/>
                <w:i/>
              </w:rPr>
              <w:t>ro de origen actualizará su conjunto de datos registrados de conformidad con el apartado 2 con respecto a la persona interesada, añadiendo la fecha en que fue expulsada o en que abandonó el territorio.</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7. </w:t>
            </w:r>
            <w:r w:rsidRPr="008623DC">
              <w:rPr>
                <w:b/>
                <w:i/>
              </w:rPr>
              <w:tab/>
              <w:t>Cuando así lo solicite el Estado miembro en cues</w:t>
            </w:r>
            <w:r w:rsidRPr="008623DC">
              <w:rPr>
                <w:b/>
                <w:i/>
              </w:rPr>
              <w:t>tión, también podrán tomar y transmitir datos biométricos en nombre de ese Estado miembro los miembros de los equipos de la Guardia Europea de Fronteras y Costas o los expertos de los equipos de apoyo al asilo en el cumplimiento de las tareas y el ejercici</w:t>
            </w:r>
            <w:r w:rsidRPr="008623DC">
              <w:rPr>
                <w:b/>
                <w:i/>
              </w:rPr>
              <w:t>o de las competencias que establecen el Reglamento (UE) 2019/1896 y el Reglamento (UE) XXX/XXX [Reglamento sobre la Agencia de Asilo de la Unión Europea].</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8. </w:t>
            </w:r>
            <w:r w:rsidRPr="008623DC">
              <w:rPr>
                <w:b/>
                <w:i/>
              </w:rPr>
              <w:tab/>
              <w:t>Cada conjunto de datos recogido y transmitido de conformidad con el apartado 1 se vinculará con</w:t>
            </w:r>
            <w:r w:rsidRPr="008623DC">
              <w:rPr>
                <w:b/>
                <w:i/>
              </w:rPr>
              <w:t xml:space="preserve"> otros conjuntos de datos correspondientes al mismo nacional de un tercer país o apátrida en una secuencia tal como prevé el artículo 4, apartado 6.</w:t>
            </w:r>
          </w:p>
        </w:tc>
        <w:tc>
          <w:tcPr>
            <w:tcW w:w="4876" w:type="dxa"/>
          </w:tcPr>
          <w:p w:rsidR="004A52D4" w:rsidRPr="008623DC" w:rsidRDefault="004A52D4" w:rsidP="003A3762">
            <w:pPr>
              <w:pStyle w:val="Normal6"/>
              <w:rPr>
                <w:i/>
              </w:rPr>
            </w:pPr>
          </w:p>
        </w:tc>
      </w:tr>
      <w:tr w:rsidR="006565AA" w:rsidRPr="008623DC" w:rsidTr="003A3762">
        <w:trPr>
          <w:jc w:val="center"/>
        </w:trPr>
        <w:tc>
          <w:tcPr>
            <w:tcW w:w="4876" w:type="dxa"/>
            <w:hideMark/>
          </w:tcPr>
          <w:p w:rsidR="004A52D4" w:rsidRPr="008623DC" w:rsidRDefault="008623DC" w:rsidP="003A3762">
            <w:pPr>
              <w:pStyle w:val="Normal6"/>
              <w:rPr>
                <w:b/>
                <w:i/>
              </w:rPr>
            </w:pPr>
            <w:r w:rsidRPr="008623DC">
              <w:rPr>
                <w:b/>
                <w:i/>
              </w:rPr>
              <w:t xml:space="preserve">9. </w:t>
            </w:r>
            <w:r w:rsidRPr="008623DC">
              <w:rPr>
                <w:b/>
                <w:i/>
              </w:rPr>
              <w:tab/>
              <w:t>Se considera que un conjunto de datos con arreglo al apartado 1 se ha creado a los efectos del artícu</w:t>
            </w:r>
            <w:r w:rsidRPr="008623DC">
              <w:rPr>
                <w:b/>
                <w:i/>
              </w:rPr>
              <w:t>lo 27, apartado 1, del Reglamento (UE) n.º 818/2019 cuando se hayan registrado todos los datos previstos en las letras a) a f) y h).»;</w:t>
            </w:r>
          </w:p>
        </w:tc>
        <w:tc>
          <w:tcPr>
            <w:tcW w:w="4876" w:type="dxa"/>
          </w:tcPr>
          <w:p w:rsidR="004A52D4" w:rsidRPr="008623DC" w:rsidRDefault="004A52D4" w:rsidP="003A3762">
            <w:pPr>
              <w:pStyle w:val="Normal6"/>
              <w:rPr>
                <w:i/>
              </w:rPr>
            </w:pPr>
          </w:p>
        </w:tc>
      </w:tr>
    </w:tbl>
    <w:p w:rsidR="004A52D4" w:rsidRPr="008623DC" w:rsidRDefault="008623DC" w:rsidP="004A52D4">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4A52D4" w:rsidRPr="008623DC" w:rsidRDefault="008623DC" w:rsidP="004A52D4">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81</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 xml:space="preserve">Jorge Buxadé </w:t>
      </w:r>
      <w:r w:rsidRPr="008623DC">
        <w:t>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20 – artículo 14 ter – apartado 1</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w:t>
            </w:r>
            <w:r w:rsidRPr="008623DC">
              <w:tab/>
              <w:t xml:space="preserve">En cuanto el Estado miembro de reubicación </w:t>
            </w:r>
            <w:r w:rsidRPr="008623DC">
              <w:rPr>
                <w:b/>
                <w:i/>
              </w:rPr>
              <w:t xml:space="preserve">esté obligado a </w:t>
            </w:r>
            <w:r w:rsidRPr="008623DC">
              <w:rPr>
                <w:b/>
                <w:i/>
              </w:rPr>
              <w:t>reubicar a la persona interesada</w:t>
            </w:r>
            <w:r w:rsidRPr="008623DC">
              <w:t xml:space="preserve"> en virtud del artículo 57, apartado 7, del Reglamento (UE) XXX/XXX [Reglamento sobre la gestión del asilo y la migración], el Estado miembro beneficiario actualizará el conjunto de datos registrados con respecto a la person</w:t>
            </w:r>
            <w:r w:rsidRPr="008623DC">
              <w:t>a interesada, de conformidad con los artículos 12</w:t>
            </w:r>
            <w:r w:rsidRPr="008623DC">
              <w:rPr>
                <w:b/>
                <w:i/>
              </w:rPr>
              <w:t xml:space="preserve">, </w:t>
            </w:r>
            <w:r w:rsidRPr="008623DC">
              <w:t>13</w:t>
            </w:r>
            <w:r w:rsidRPr="008623DC">
              <w:rPr>
                <w:b/>
                <w:i/>
              </w:rPr>
              <w:t>, 14 o 14 bis</w:t>
            </w:r>
            <w:r w:rsidRPr="008623DC">
              <w:t xml:space="preserve"> del presente Reglamento, añadiendo el Estado miembro de reubicación.</w:t>
            </w:r>
          </w:p>
        </w:tc>
        <w:tc>
          <w:tcPr>
            <w:tcW w:w="4876" w:type="dxa"/>
            <w:hideMark/>
          </w:tcPr>
          <w:p w:rsidR="007605D8" w:rsidRPr="008623DC" w:rsidRDefault="008623DC" w:rsidP="007605D8">
            <w:pPr>
              <w:pStyle w:val="Normal6"/>
              <w:rPr>
                <w:szCs w:val="24"/>
              </w:rPr>
            </w:pPr>
            <w:r w:rsidRPr="008623DC">
              <w:t>1.</w:t>
            </w:r>
            <w:r w:rsidRPr="008623DC">
              <w:tab/>
              <w:t xml:space="preserve">En cuanto </w:t>
            </w:r>
            <w:r w:rsidRPr="008623DC">
              <w:rPr>
                <w:b/>
                <w:i/>
              </w:rPr>
              <w:t>se determine</w:t>
            </w:r>
            <w:r w:rsidRPr="008623DC">
              <w:t xml:space="preserve"> el Estado miembro de reubicación en virtud del artículo 57, apartado 7, del Reglamento (UE) XX</w:t>
            </w:r>
            <w:r w:rsidRPr="008623DC">
              <w:t xml:space="preserve">X/XXX [Reglamento sobre la gestión del asilo y la migración], el Estado miembro beneficiario actualizará el conjunto de datos registrados con respecto a la persona interesada, de conformidad con los artículos 12 </w:t>
            </w:r>
            <w:r w:rsidRPr="008623DC">
              <w:rPr>
                <w:b/>
                <w:i/>
              </w:rPr>
              <w:t>o</w:t>
            </w:r>
            <w:r w:rsidRPr="008623DC">
              <w:t xml:space="preserve"> 13 del presente Reglamento, añadiendo el E</w:t>
            </w:r>
            <w:r w:rsidRPr="008623DC">
              <w:t>stado miembro de reubicación.</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82</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Parte dispositiva – </w:t>
      </w:r>
      <w:r w:rsidRPr="008623DC">
        <w:t>punto 21 – letra –a (nueva) – artículo 17 – apartado 1 bis (nuevo)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397221">
            <w:pPr>
              <w:pStyle w:val="Normal6"/>
              <w:rPr>
                <w:szCs w:val="24"/>
              </w:rPr>
            </w:pPr>
            <w:r w:rsidRPr="008623DC">
              <w:rPr>
                <w:b/>
                <w:i/>
              </w:rPr>
              <w:t>1 bis.</w:t>
            </w:r>
            <w:r w:rsidRPr="008623DC">
              <w:rPr>
                <w:b/>
                <w:i/>
              </w:rPr>
              <w:tab/>
              <w:t xml:space="preserve">Para los fines establecidos en el artículo 12 bis, cada serie de datos relativa a un nacional de un tercer país o apátrida reasentado se </w:t>
            </w:r>
            <w:r w:rsidRPr="008623DC">
              <w:rPr>
                <w:b/>
                <w:i/>
              </w:rPr>
              <w:t>conservará en el Sistema Central durante cinco años a partir de la fecha en que se hayan tomado sus datos biométricos.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rPr>
          <w:rStyle w:val="HideTWBExt"/>
        </w:rPr>
      </w:pPr>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83</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21 – letra b – artículo 17 – apartado 4</w:t>
      </w:r>
      <w:r w:rsidRPr="008623DC">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4.</w:t>
            </w:r>
            <w:r w:rsidRPr="008623DC">
              <w:tab/>
              <w:t>Los datos de los interesados se borrarán del Sistema Central y del RCDI,</w:t>
            </w:r>
            <w:r w:rsidRPr="008623DC">
              <w:t xml:space="preserve"> según proceda, al expirar los períodos de conservación de datos a que se refieren los apartados 1 a 3 bis del presente artículo.»;</w:t>
            </w:r>
          </w:p>
        </w:tc>
        <w:tc>
          <w:tcPr>
            <w:tcW w:w="4876" w:type="dxa"/>
            <w:hideMark/>
          </w:tcPr>
          <w:p w:rsidR="007605D8" w:rsidRPr="008623DC" w:rsidRDefault="008623DC" w:rsidP="007605D8">
            <w:pPr>
              <w:pStyle w:val="Normal6"/>
              <w:rPr>
                <w:szCs w:val="24"/>
              </w:rPr>
            </w:pPr>
            <w:r w:rsidRPr="008623DC">
              <w:t>4.</w:t>
            </w:r>
            <w:r w:rsidRPr="008623DC">
              <w:tab/>
              <w:t xml:space="preserve">Los datos de los interesados se borrarán </w:t>
            </w:r>
            <w:r w:rsidRPr="008623DC">
              <w:rPr>
                <w:b/>
                <w:i/>
              </w:rPr>
              <w:t>automáticamente</w:t>
            </w:r>
            <w:r w:rsidRPr="008623DC">
              <w:t xml:space="preserve"> del Sistema Central y del RCDI, según proceda, al expirar los pe</w:t>
            </w:r>
            <w:r w:rsidRPr="008623DC">
              <w:t>ríodos de conservación de datos a que se refieren los apartados 1 a 3 bis del presente artículo.»;</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84</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22 – artículo 19 – título</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 xml:space="preserve">Marcado </w:t>
            </w:r>
            <w:r w:rsidRPr="008623DC">
              <w:rPr>
                <w:b/>
                <w:i/>
              </w:rPr>
              <w:t>y bloqueo</w:t>
            </w:r>
            <w:r w:rsidRPr="008623DC">
              <w:t xml:space="preserve"> de los datos</w:t>
            </w:r>
          </w:p>
        </w:tc>
        <w:tc>
          <w:tcPr>
            <w:tcW w:w="4876" w:type="dxa"/>
            <w:hideMark/>
          </w:tcPr>
          <w:p w:rsidR="007605D8" w:rsidRPr="008623DC" w:rsidRDefault="008623DC" w:rsidP="007605D8">
            <w:pPr>
              <w:pStyle w:val="Normal6"/>
              <w:rPr>
                <w:szCs w:val="24"/>
              </w:rPr>
            </w:pPr>
            <w:r w:rsidRPr="008623DC">
              <w:t>Marcado de los datos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rPr>
          <w:b/>
        </w:rPr>
      </w:pPr>
      <w:r w:rsidRPr="008623DC">
        <w:rPr>
          <w:rStyle w:val="HideTWBExt"/>
          <w:b/>
        </w:rPr>
        <w:t>&lt;Amend&gt;</w:t>
      </w:r>
      <w:r w:rsidRPr="008623DC">
        <w:rPr>
          <w:b/>
        </w:rPr>
        <w:t>Enmienda</w:t>
      </w:r>
      <w:r w:rsidRPr="008623DC">
        <w:rPr>
          <w:b/>
        </w:rPr>
        <w:tab/>
      </w:r>
      <w:r w:rsidRPr="008623DC">
        <w:rPr>
          <w:rStyle w:val="HideTWBExt"/>
          <w:b/>
        </w:rPr>
        <w:t>&lt;NumAm&gt;</w:t>
      </w:r>
      <w:r w:rsidRPr="008623DC">
        <w:rPr>
          <w:b/>
        </w:rPr>
        <w:t>85</w:t>
      </w:r>
      <w:r w:rsidRPr="008623DC">
        <w:rPr>
          <w:rStyle w:val="HideTWBExt"/>
          <w:b/>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22 – artículo 19 – apartado 1</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1.</w:t>
            </w:r>
            <w:r w:rsidRPr="008623DC">
              <w:tab/>
              <w:t>A efectos de lo previsto en el artículo</w:t>
            </w:r>
            <w:r w:rsidRPr="008623DC">
              <w:rPr>
                <w:b/>
                <w:i/>
              </w:rPr>
              <w:t> </w:t>
            </w:r>
            <w:r w:rsidRPr="008623DC">
              <w:t xml:space="preserve">1, apartado 1, </w:t>
            </w:r>
            <w:r w:rsidRPr="008623DC">
              <w:rPr>
                <w:b/>
                <w:i/>
              </w:rPr>
              <w:t>letra</w:t>
            </w:r>
            <w:r w:rsidRPr="008623DC">
              <w:t xml:space="preserve"> a), el Estado miembro de origen que concediere protección internacional a una persona cuyos datos hubieran sido registrados previamente con arreglo </w:t>
            </w:r>
            <w:r w:rsidRPr="008623DC">
              <w:rPr>
                <w:b/>
                <w:i/>
              </w:rPr>
              <w:t>al artículo</w:t>
            </w:r>
            <w:r w:rsidRPr="008623DC">
              <w:t xml:space="preserve"> 12 en el Sistema Central y en el RCDI, según proceda, deberá marcar los datos correspondientes de conformidad con los requisitos de comunicación electrónica con el Sistema Central establecidos por eu-LISA. Esta marca se guardará en el Sistema Central de c</w:t>
            </w:r>
            <w:r w:rsidRPr="008623DC">
              <w:t>onformidad con el artículo</w:t>
            </w:r>
            <w:r w:rsidRPr="008623DC">
              <w:rPr>
                <w:b/>
                <w:i/>
              </w:rPr>
              <w:t> </w:t>
            </w:r>
            <w:r w:rsidRPr="008623DC">
              <w:t xml:space="preserve">17, </w:t>
            </w:r>
            <w:r w:rsidRPr="008623DC">
              <w:rPr>
                <w:b/>
                <w:i/>
              </w:rPr>
              <w:t>apartado</w:t>
            </w:r>
            <w:r w:rsidRPr="008623DC">
              <w:t xml:space="preserve"> 1, a efectos de la transmisión prevista en los artículos</w:t>
            </w:r>
            <w:r w:rsidRPr="008623DC">
              <w:rPr>
                <w:b/>
                <w:i/>
              </w:rPr>
              <w:t> </w:t>
            </w:r>
            <w:r w:rsidRPr="008623DC">
              <w:t>15 y 16. El Sistema Central informará, lo antes posible y en un plazo máximo de setenta y dos horas, a todos los Estados miembros de origen acerca del marcado,</w:t>
            </w:r>
            <w:r w:rsidRPr="008623DC">
              <w:t xml:space="preserve"> por parte de otro Estado miembro de origen, de los datos que hayan generado una respuesta positiva con respecto a datos que aquellos hubieran transmitido en relación con las personas a que se hace referencia en el artículo 10, apartado 1, el artículo 13, </w:t>
            </w:r>
            <w:r w:rsidRPr="008623DC">
              <w:t>apartado 1, el artículo 14, apartado 1, o el artículo 14 bis, apartado 1. Dichos Estados miembros de origen marcarán también las series de datos correspondientes.</w:t>
            </w:r>
          </w:p>
        </w:tc>
        <w:tc>
          <w:tcPr>
            <w:tcW w:w="4876" w:type="dxa"/>
            <w:hideMark/>
          </w:tcPr>
          <w:p w:rsidR="007605D8" w:rsidRPr="008623DC" w:rsidRDefault="008623DC" w:rsidP="007605D8">
            <w:pPr>
              <w:pStyle w:val="Normal6"/>
              <w:rPr>
                <w:szCs w:val="24"/>
              </w:rPr>
            </w:pPr>
            <w:r w:rsidRPr="008623DC">
              <w:t>1.</w:t>
            </w:r>
            <w:r w:rsidRPr="008623DC">
              <w:tab/>
              <w:t>A efectos de lo previsto en el artículo</w:t>
            </w:r>
            <w:r w:rsidRPr="008623DC">
              <w:rPr>
                <w:b/>
                <w:i/>
              </w:rPr>
              <w:t xml:space="preserve"> </w:t>
            </w:r>
            <w:r w:rsidRPr="008623DC">
              <w:t xml:space="preserve">1, apartado 1, </w:t>
            </w:r>
            <w:r w:rsidRPr="008623DC">
              <w:rPr>
                <w:b/>
                <w:i/>
              </w:rPr>
              <w:t>letras</w:t>
            </w:r>
            <w:r w:rsidRPr="008623DC">
              <w:t xml:space="preserve"> a</w:t>
            </w:r>
            <w:r w:rsidRPr="008623DC">
              <w:rPr>
                <w:b/>
                <w:i/>
              </w:rPr>
              <w:t>) y b</w:t>
            </w:r>
            <w:r w:rsidRPr="008623DC">
              <w:t>), el Estado miembro d</w:t>
            </w:r>
            <w:r w:rsidRPr="008623DC">
              <w:t xml:space="preserve">e origen que concediere protección internacional a una persona cuyos datos hubieran sido registrados previamente con arreglo </w:t>
            </w:r>
            <w:r w:rsidRPr="008623DC">
              <w:rPr>
                <w:b/>
                <w:i/>
              </w:rPr>
              <w:t>a los artículos</w:t>
            </w:r>
            <w:r w:rsidRPr="008623DC">
              <w:t xml:space="preserve"> 12</w:t>
            </w:r>
            <w:r w:rsidRPr="008623DC">
              <w:rPr>
                <w:b/>
                <w:i/>
              </w:rPr>
              <w:t xml:space="preserve"> o 12 bis</w:t>
            </w:r>
            <w:r w:rsidRPr="008623DC">
              <w:t xml:space="preserve"> en el Sistema Central y en el RCDI, según proceda, deberá marcar los datos correspondientes de conformi</w:t>
            </w:r>
            <w:r w:rsidRPr="008623DC">
              <w:t>dad con los requisitos de comunicación electrónica con el Sistema Central establecidos por eu-LISA. Esta marca se guardará en el Sistema Central de conformidad con el artículo</w:t>
            </w:r>
            <w:r w:rsidRPr="008623DC">
              <w:rPr>
                <w:b/>
                <w:i/>
              </w:rPr>
              <w:t xml:space="preserve"> </w:t>
            </w:r>
            <w:r w:rsidRPr="008623DC">
              <w:t xml:space="preserve">17, </w:t>
            </w:r>
            <w:r w:rsidRPr="008623DC">
              <w:rPr>
                <w:b/>
                <w:i/>
              </w:rPr>
              <w:t>apartados</w:t>
            </w:r>
            <w:r w:rsidRPr="008623DC">
              <w:t xml:space="preserve"> 1</w:t>
            </w:r>
            <w:r w:rsidRPr="008623DC">
              <w:rPr>
                <w:b/>
                <w:i/>
              </w:rPr>
              <w:t xml:space="preserve"> y 1 bis</w:t>
            </w:r>
            <w:r w:rsidRPr="008623DC">
              <w:t>, a efectos de la transmisión prevista en los artículos</w:t>
            </w:r>
            <w:r w:rsidRPr="008623DC">
              <w:rPr>
                <w:b/>
                <w:i/>
              </w:rPr>
              <w:t xml:space="preserve"> </w:t>
            </w:r>
            <w:r w:rsidRPr="008623DC">
              <w:t>1</w:t>
            </w:r>
            <w:r w:rsidRPr="008623DC">
              <w:t>5 y 16. El Sistema Central informará, lo antes posible y en un plazo máximo de setenta y dos horas, a todos los Estados miembros de origen acerca del marcado, por parte de otro Estado miembro de origen, de los datos que hayan generado una respuesta positiv</w:t>
            </w:r>
            <w:r w:rsidRPr="008623DC">
              <w:t>a con respecto a datos que aquellos hubieran transmitido en relación con las personas a que se hace referencia en el artículo 10, apartado 1</w:t>
            </w:r>
            <w:r w:rsidRPr="008623DC">
              <w:rPr>
                <w:b/>
                <w:i/>
              </w:rPr>
              <w:t>, el artículo 12 ter</w:t>
            </w:r>
            <w:r w:rsidRPr="008623DC">
              <w:t>, el artículo 13, apartado 1, el artículo 14, apartado 1, o el artículo 14 bis, apartado 1. Dich</w:t>
            </w:r>
            <w:r w:rsidRPr="008623DC">
              <w:t>os Estados miembros de origen marcarán también las series de datos correspondientes.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86</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w:t>
      </w:r>
      <w:r w:rsidRPr="008623DC">
        <w:t xml:space="preserve">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dispositiva – punto 22 – artículo 19 – apartado 2</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2.</w:t>
            </w:r>
            <w:r w:rsidRPr="008623DC">
              <w:tab/>
              <w:t xml:space="preserve">Los datos de los beneficiarios de protección internacional almacenados en el Sistema Central y en el RCDI, según </w:t>
            </w:r>
            <w:r w:rsidRPr="008623DC">
              <w:t>proceda, y marcados de conformidad con el apartado 1 estarán disponibles para la comparación a efectos de lo dispuesto en el artículo 1, apartado 1, letra d), hasta que esos datos se borren automáticamente del Sistema Central y del RCDI, según proceda, seg</w:t>
            </w:r>
            <w:r w:rsidRPr="008623DC">
              <w:t>ún lo dispuesto en el artículo 17, apartado 4.</w:t>
            </w:r>
          </w:p>
        </w:tc>
        <w:tc>
          <w:tcPr>
            <w:tcW w:w="4876" w:type="dxa"/>
            <w:hideMark/>
          </w:tcPr>
          <w:p w:rsidR="007605D8" w:rsidRPr="008623DC" w:rsidRDefault="008623DC" w:rsidP="007605D8">
            <w:pPr>
              <w:pStyle w:val="Normal6"/>
              <w:rPr>
                <w:szCs w:val="24"/>
              </w:rPr>
            </w:pPr>
            <w:r w:rsidRPr="008623DC">
              <w:t>2.</w:t>
            </w:r>
            <w:r w:rsidRPr="008623DC">
              <w:tab/>
              <w:t xml:space="preserve">Los datos de los beneficiarios de protección internacional almacenados en el Sistema Central y en el RCDI, según proceda, </w:t>
            </w:r>
            <w:r w:rsidRPr="008623DC">
              <w:rPr>
                <w:b/>
                <w:i/>
              </w:rPr>
              <w:t>de conformidad con el artículo 4, apartado 2,</w:t>
            </w:r>
            <w:r w:rsidRPr="008623DC">
              <w:t xml:space="preserve"> y marcados de conformidad con el apartado 1 estarán disponibles para la comparación a efectos de lo dispuesto en el artículo 1, apartado 1, letra d), hasta que esos datos se borren automáticamente del Sistema Central y del RCDI, según proceda, según lo di</w:t>
            </w:r>
            <w:r w:rsidRPr="008623DC">
              <w:t>spuesto en el artículo 17, apartado 4.</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87</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Parte dispo</w:t>
      </w:r>
      <w:r w:rsidRPr="008623DC">
        <w:t>sitiva – punto 22 – artículo 19 – apartado 4</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4.</w:t>
            </w:r>
            <w:r w:rsidRPr="008623DC">
              <w:tab/>
              <w:t xml:space="preserve">A los efectos establecidos en el artículo 1, apartado 1, </w:t>
            </w:r>
            <w:r w:rsidRPr="008623DC">
              <w:rPr>
                <w:b/>
                <w:i/>
              </w:rPr>
              <w:t>letras</w:t>
            </w:r>
            <w:r w:rsidRPr="008623DC">
              <w:t xml:space="preserve"> a</w:t>
            </w:r>
            <w:r w:rsidRPr="008623DC">
              <w:rPr>
                <w:b/>
                <w:i/>
              </w:rPr>
              <w:t>) y c</w:t>
            </w:r>
            <w:r w:rsidRPr="008623DC">
              <w:t xml:space="preserve">), el Estado miembro de origen que expidiere un documento de residencia a un nacional de un </w:t>
            </w:r>
            <w:r w:rsidRPr="008623DC">
              <w:t>tercer país o apátrida en situación irregular cuyos datos hubieran sido registrados previamente en el Sistema Central y en el RCDI, según proceda, con arreglo al artículo 13, apartado 2, y al artículo 14, apartado 2</w:t>
            </w:r>
            <w:r w:rsidRPr="008623DC">
              <w:rPr>
                <w:b/>
                <w:i/>
              </w:rPr>
              <w:t>, o a un nacional de un tercer país o apá</w:t>
            </w:r>
            <w:r w:rsidRPr="008623DC">
              <w:rPr>
                <w:b/>
                <w:i/>
              </w:rPr>
              <w:t>trida desembarcado tras una operación de búsqueda y salvamento cuyos datos hubieran sido registrados previamente en el Sistema Central y en el RCDI, según proceda, con arreglo al artículo 14 bis, apartado 2,</w:t>
            </w:r>
            <w:r w:rsidRPr="008623DC">
              <w:t xml:space="preserve"> deberá marcar los datos correspondientes de conf</w:t>
            </w:r>
            <w:r w:rsidRPr="008623DC">
              <w:t>ormidad con los requisitos de comunicación electrónica con el Sistema Central establecidos por eu-LISA. Esta marca se guardará en el Sistema Central de conformidad con el artículo 17, apartados 2, 3 y 3 bis, a efectos de la transmisión prevista en los artí</w:t>
            </w:r>
            <w:r w:rsidRPr="008623DC">
              <w:t xml:space="preserve">culos 15 y 16. El Sistema Central informará, lo antes posible y en un plazo máximo de setenta y dos horas, a todos los Estados miembros de origen acerca del marcado, por parte de otro Estado miembro de origen, de los datos que hayan generado una respuesta </w:t>
            </w:r>
            <w:r w:rsidRPr="008623DC">
              <w:t>positiva con respecto a datos que aquellos hubieran transmitido en relación con las personas a que se hace referencia en el artículo 10, apartado 1</w:t>
            </w:r>
            <w:r w:rsidRPr="008623DC">
              <w:rPr>
                <w:b/>
                <w:i/>
              </w:rPr>
              <w:t>,</w:t>
            </w:r>
            <w:r w:rsidRPr="008623DC">
              <w:t xml:space="preserve"> el artículo 13, apartado 1</w:t>
            </w:r>
            <w:r w:rsidRPr="008623DC">
              <w:rPr>
                <w:b/>
                <w:i/>
              </w:rPr>
              <w:t>, el artículo 14, apartado 1, o el artículo</w:t>
            </w:r>
            <w:r w:rsidRPr="008623DC">
              <w:t> </w:t>
            </w:r>
            <w:r w:rsidRPr="008623DC">
              <w:rPr>
                <w:b/>
                <w:i/>
              </w:rPr>
              <w:t>14 bis, apartado 1</w:t>
            </w:r>
            <w:r w:rsidRPr="008623DC">
              <w:t>. Dichos Estados mi</w:t>
            </w:r>
            <w:r w:rsidRPr="008623DC">
              <w:t>embros de origen marcarán también las series de datos correspondientes.</w:t>
            </w:r>
          </w:p>
        </w:tc>
        <w:tc>
          <w:tcPr>
            <w:tcW w:w="4876" w:type="dxa"/>
            <w:hideMark/>
          </w:tcPr>
          <w:p w:rsidR="007605D8" w:rsidRPr="008623DC" w:rsidRDefault="008623DC" w:rsidP="00F022DC">
            <w:pPr>
              <w:pStyle w:val="Normal6"/>
              <w:rPr>
                <w:szCs w:val="24"/>
              </w:rPr>
            </w:pPr>
            <w:r w:rsidRPr="008623DC">
              <w:t>4.</w:t>
            </w:r>
            <w:r w:rsidRPr="008623DC">
              <w:tab/>
              <w:t xml:space="preserve">A los efectos establecidos en el artículo 1, apartado 1, </w:t>
            </w:r>
            <w:r w:rsidRPr="008623DC">
              <w:rPr>
                <w:b/>
                <w:i/>
              </w:rPr>
              <w:t>letra</w:t>
            </w:r>
            <w:r w:rsidRPr="008623DC">
              <w:t xml:space="preserve"> a), el Estado miembro de origen que expidiere un documento de residencia a un nacional de un tercer país o apátrida en</w:t>
            </w:r>
            <w:r w:rsidRPr="008623DC">
              <w:t xml:space="preserve"> situación irregular cuyos datos hubieran sido registrados previamente en el Sistema Central y en el RCDI, según proceda, con arreglo al artículo 13, apartado 2, y al artículo 14, apartado 2, deberá marcar los datos correspondientes de conformidad con los </w:t>
            </w:r>
            <w:r w:rsidRPr="008623DC">
              <w:t>requisitos de comunicación electrónica con el Sistema Central establecidos por eu-LISA. Esta marca se guardará en el Sistema Central de conformidad con el artículo 17, apartados 2, 3 y 3 bis, a efectos de la transmisión prevista en los artículos 15 y 16. E</w:t>
            </w:r>
            <w:r w:rsidRPr="008623DC">
              <w:t>l Sistema Central informará, lo antes posible y en un plazo máximo de setenta y dos horas, a todos los Estados miembros de origen acerca del marcado, por parte de otro Estado miembro de origen, de los datos que hayan generado una respuesta positiva con res</w:t>
            </w:r>
            <w:r w:rsidRPr="008623DC">
              <w:t xml:space="preserve">pecto a datos que aquellos hubieran transmitido en relación con las personas a que se hace referencia en el artículo 10, apartado 1, </w:t>
            </w:r>
            <w:r w:rsidRPr="008623DC">
              <w:rPr>
                <w:b/>
                <w:i/>
              </w:rPr>
              <w:t>o</w:t>
            </w:r>
            <w:r w:rsidRPr="008623DC">
              <w:t xml:space="preserve"> el artículo 13, apartado 1. Dichos Estados miembros de origen marcarán también las series de datos correspondientes.</w:t>
            </w:r>
          </w:p>
        </w:tc>
      </w:tr>
    </w:tbl>
    <w:p w:rsidR="007605D8" w:rsidRPr="008623DC" w:rsidRDefault="008623DC" w:rsidP="007605D8">
      <w:pPr>
        <w:pStyle w:val="Olang"/>
        <w:rPr>
          <w:noProof w:val="0"/>
          <w:lang w:val="es-ES_tradnl"/>
        </w:rPr>
      </w:pPr>
      <w:r w:rsidRPr="008623DC">
        <w:rPr>
          <w:noProof w:val="0"/>
          <w:lang w:val="es-ES_tradnl"/>
        </w:rPr>
        <w:t>Or.</w:t>
      </w:r>
      <w:r w:rsidRPr="008623DC">
        <w:rPr>
          <w:noProof w:val="0"/>
          <w:lang w:val="es-ES_tradnl"/>
        </w:rPr>
        <w:t xml:space="preserve">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88</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 Parte dispositiva – punto 22 – artículo 19 – apartado</w:t>
      </w:r>
      <w:r w:rsidRPr="008623DC">
        <w:t xml:space="preserve"> 5</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5.</w:t>
            </w:r>
            <w:r w:rsidRPr="008623DC">
              <w:tab/>
              <w:t xml:space="preserve">Los datos de los nacionales de terceros países o apátridas en situación </w:t>
            </w:r>
            <w:r w:rsidRPr="008623DC">
              <w:rPr>
                <w:b/>
                <w:i/>
              </w:rPr>
              <w:t>irregular</w:t>
            </w:r>
            <w:r w:rsidRPr="008623DC">
              <w:t xml:space="preserve"> conservados en el Sistema Central y en el RCDI y marcados de conformidad con el apartado 4 del presente artículo estarán disp</w:t>
            </w:r>
            <w:r w:rsidRPr="008623DC">
              <w:t>onibles para la comparación a efectos de lo dispuesto en el artículo 1, apartado 1, letra d), hasta que estos datos se supriman automáticamente del Sistema Central y del RCDI de conformidad con el artículo 17, apartado 4.</w:t>
            </w:r>
          </w:p>
        </w:tc>
        <w:tc>
          <w:tcPr>
            <w:tcW w:w="4876" w:type="dxa"/>
            <w:hideMark/>
          </w:tcPr>
          <w:p w:rsidR="007605D8" w:rsidRPr="008623DC" w:rsidRDefault="008623DC" w:rsidP="007605D8">
            <w:pPr>
              <w:pStyle w:val="Normal6"/>
              <w:rPr>
                <w:szCs w:val="24"/>
              </w:rPr>
            </w:pPr>
            <w:r w:rsidRPr="008623DC">
              <w:t>5.</w:t>
            </w:r>
            <w:r w:rsidRPr="008623DC">
              <w:tab/>
            </w:r>
            <w:r w:rsidRPr="008623DC">
              <w:rPr>
                <w:i/>
              </w:rPr>
              <w:t>(No afecta a la versión español</w:t>
            </w:r>
            <w:r w:rsidRPr="008623DC">
              <w:rPr>
                <w:i/>
              </w:rPr>
              <w:t>a).</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89</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 Parte dispositiva – punto 25 – artículo 28 – </w:t>
      </w:r>
      <w:r w:rsidRPr="008623DC">
        <w:t>apartado 3 bis</w:t>
      </w:r>
      <w:r w:rsidRPr="008623DC">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7605D8">
        <w:trPr>
          <w:jc w:val="center"/>
        </w:trPr>
        <w:tc>
          <w:tcPr>
            <w:tcW w:w="9752" w:type="dxa"/>
            <w:gridSpan w:val="2"/>
          </w:tcPr>
          <w:p w:rsidR="007605D8" w:rsidRPr="008623DC" w:rsidRDefault="007605D8" w:rsidP="007605D8">
            <w:pPr>
              <w:keepNext/>
            </w:pPr>
          </w:p>
        </w:tc>
      </w:tr>
      <w:tr w:rsidR="006565AA" w:rsidRPr="008623DC" w:rsidTr="007605D8">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7605D8">
        <w:trPr>
          <w:jc w:val="center"/>
        </w:trPr>
        <w:tc>
          <w:tcPr>
            <w:tcW w:w="4876" w:type="dxa"/>
            <w:hideMark/>
          </w:tcPr>
          <w:p w:rsidR="007605D8" w:rsidRPr="008623DC" w:rsidRDefault="008623DC" w:rsidP="007605D8">
            <w:pPr>
              <w:pStyle w:val="Normal6"/>
            </w:pPr>
            <w:r w:rsidRPr="008623DC">
              <w:t>3 bis.</w:t>
            </w:r>
            <w:r w:rsidRPr="008623DC">
              <w:tab/>
              <w:t xml:space="preserve">El acceso a efectos de la consulta de los datos de Eurodac almacenados en el RCDI se concederá al personal debidamente autorizado de las autoridades nacionales de cada Estado miembro y al </w:t>
            </w:r>
            <w:r w:rsidRPr="008623DC">
              <w:t xml:space="preserve">personal debidamente autorizado de los organismos de la Unión que sean competentes para los fines establecidos en el artículo 20 y el artículo 21 del Reglamento (UE) 2019/818. Este acceso se limitará a la medida necesaria para la realización de las tareas </w:t>
            </w:r>
            <w:r w:rsidRPr="008623DC">
              <w:t>de esas autoridades nacionales y organismos de la UE con arreglo a dichos fines, y será proporcionado a los objetivos perseguidos.</w:t>
            </w:r>
          </w:p>
        </w:tc>
        <w:tc>
          <w:tcPr>
            <w:tcW w:w="4876" w:type="dxa"/>
            <w:hideMark/>
          </w:tcPr>
          <w:p w:rsidR="007605D8" w:rsidRPr="008623DC" w:rsidRDefault="008623DC" w:rsidP="007605D8">
            <w:pPr>
              <w:pStyle w:val="Normal6"/>
              <w:rPr>
                <w:szCs w:val="24"/>
              </w:rPr>
            </w:pPr>
            <w:r w:rsidRPr="008623DC">
              <w:t>3 bis.</w:t>
            </w:r>
            <w:r w:rsidRPr="008623DC">
              <w:tab/>
              <w:t>El acceso a efectos de la consulta de los datos de Eurodac almacenados en el RCDI se concederá al personal debidamente</w:t>
            </w:r>
            <w:r w:rsidRPr="008623DC">
              <w:t xml:space="preserve"> autorizado de las autoridades nacionales </w:t>
            </w:r>
            <w:r w:rsidRPr="008623DC">
              <w:rPr>
                <w:b/>
                <w:i/>
              </w:rPr>
              <w:t>competentes</w:t>
            </w:r>
            <w:r w:rsidRPr="008623DC">
              <w:t xml:space="preserve"> de cada Estado miembro y al personal debidamente autorizado de los organismos de la Unión que sean competentes para los fines establecidos en el artículo 20 y el artículo 21 del Reglamento (UE) 2019/818</w:t>
            </w:r>
            <w:r w:rsidRPr="008623DC">
              <w:t>. Este acceso se limitará a la medida necesaria para la realización de las tareas de esas autoridades nacionales y organismos de la UE con arreglo a dichos fines, y será proporcionado a los objetivos perseguidos.</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r w:rsidRPr="008623DC">
        <w:rPr>
          <w:rStyle w:val="HideTWBExt"/>
        </w:rPr>
        <w:t>&lt;/Amend&gt;</w:t>
      </w:r>
    </w:p>
    <w:p w:rsidR="007605D8" w:rsidRPr="008623DC" w:rsidRDefault="008623DC" w:rsidP="007605D8">
      <w:pPr>
        <w:pStyle w:val="AMNumberTabs0"/>
        <w:keepNext/>
        <w:rPr>
          <w:lang w:val="es-ES_tradnl"/>
        </w:rPr>
      </w:pPr>
      <w:r w:rsidRPr="008623DC">
        <w:rPr>
          <w:rStyle w:val="HideTWBExt"/>
          <w:lang w:val="es-ES_tradnl"/>
        </w:rPr>
        <w:t>&lt;Amend&gt;</w:t>
      </w:r>
      <w:r w:rsidRPr="008623DC">
        <w:rPr>
          <w:lang w:val="es-ES_tradnl"/>
        </w:rPr>
        <w:t>Enmienda</w:t>
      </w:r>
      <w:r w:rsidRPr="008623DC">
        <w:rPr>
          <w:lang w:val="es-ES_tradnl"/>
        </w:rPr>
        <w:tab/>
      </w:r>
      <w:r w:rsidRPr="008623DC">
        <w:rPr>
          <w:lang w:val="es-ES_tradnl"/>
        </w:rPr>
        <w:tab/>
      </w:r>
      <w:r w:rsidRPr="008623DC">
        <w:rPr>
          <w:rStyle w:val="HideTWBExt"/>
          <w:lang w:val="es-ES_tradnl"/>
        </w:rPr>
        <w:t>&lt;NumAm&gt;</w:t>
      </w:r>
      <w:r w:rsidRPr="008623DC">
        <w:rPr>
          <w:lang w:val="es-ES_tradnl"/>
        </w:rPr>
        <w:t>90</w:t>
      </w:r>
      <w:r w:rsidRPr="008623DC">
        <w:rPr>
          <w:rStyle w:val="HideTWBExt"/>
          <w:lang w:val="es-ES_tradnl"/>
        </w:rPr>
        <w:t>&lt;/NumAm&gt;</w:t>
      </w:r>
    </w:p>
    <w:p w:rsidR="007605D8" w:rsidRPr="008623DC" w:rsidRDefault="008623DC" w:rsidP="007605D8">
      <w:pPr>
        <w:pStyle w:val="NormalBold"/>
      </w:pPr>
      <w:r w:rsidRPr="008623DC">
        <w:rPr>
          <w:rStyle w:val="HideTWBExt"/>
        </w:rPr>
        <w:t>&lt;RepeatBlock-By&gt;&lt;Members&gt;</w:t>
      </w:r>
      <w:r w:rsidRPr="008623DC">
        <w:t>Jorge Buxadé Villalba</w:t>
      </w:r>
      <w:r w:rsidRPr="008623DC">
        <w:rPr>
          <w:rStyle w:val="HideTWBExt"/>
        </w:rPr>
        <w:t>&lt;/Members&gt;</w:t>
      </w:r>
    </w:p>
    <w:p w:rsidR="007605D8" w:rsidRPr="008623DC" w:rsidRDefault="008623DC" w:rsidP="007605D8">
      <w:r w:rsidRPr="008623DC">
        <w:rPr>
          <w:rStyle w:val="HideTWBExt"/>
        </w:rPr>
        <w:t>&lt;/RepeatBlock-By&gt;</w:t>
      </w:r>
    </w:p>
    <w:p w:rsidR="007605D8" w:rsidRPr="008623DC" w:rsidRDefault="008623DC" w:rsidP="007605D8">
      <w:pPr>
        <w:pStyle w:val="NormalBold"/>
        <w:keepNext/>
      </w:pPr>
      <w:r w:rsidRPr="008623DC">
        <w:rPr>
          <w:rStyle w:val="HideTWBExt"/>
        </w:rPr>
        <w:t>&lt;DocAmend&gt;</w:t>
      </w:r>
      <w:r w:rsidRPr="008623DC">
        <w:t>Propuesta de Reglamento</w:t>
      </w:r>
      <w:r w:rsidRPr="008623DC">
        <w:rPr>
          <w:rStyle w:val="HideTWBExt"/>
        </w:rPr>
        <w:t>&lt;/DocAmend&gt;</w:t>
      </w:r>
    </w:p>
    <w:p w:rsidR="007605D8" w:rsidRPr="008623DC" w:rsidRDefault="008623DC" w:rsidP="007605D8">
      <w:pPr>
        <w:pStyle w:val="NormalBold"/>
      </w:pPr>
      <w:r w:rsidRPr="008623DC">
        <w:rPr>
          <w:rStyle w:val="HideTWBExt"/>
        </w:rPr>
        <w:t>&lt;Article&gt;</w:t>
      </w:r>
      <w:r w:rsidRPr="008623DC">
        <w:t xml:space="preserve"> Parte dispositiva – punto 26 bis (nuevo) – artículo 34 – apartado 1</w:t>
      </w:r>
      <w:r w:rsidRPr="008623DC">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565AA" w:rsidRPr="008623DC" w:rsidTr="00D1390F">
        <w:trPr>
          <w:jc w:val="center"/>
        </w:trPr>
        <w:tc>
          <w:tcPr>
            <w:tcW w:w="9752" w:type="dxa"/>
            <w:gridSpan w:val="2"/>
          </w:tcPr>
          <w:p w:rsidR="007605D8" w:rsidRPr="008623DC" w:rsidRDefault="007605D8" w:rsidP="007605D8">
            <w:pPr>
              <w:keepNext/>
            </w:pPr>
          </w:p>
        </w:tc>
      </w:tr>
      <w:tr w:rsidR="006565AA" w:rsidRPr="008623DC" w:rsidTr="00D1390F">
        <w:trPr>
          <w:jc w:val="center"/>
        </w:trPr>
        <w:tc>
          <w:tcPr>
            <w:tcW w:w="4876" w:type="dxa"/>
            <w:hideMark/>
          </w:tcPr>
          <w:p w:rsidR="007605D8" w:rsidRPr="008623DC" w:rsidRDefault="008623DC" w:rsidP="007605D8">
            <w:pPr>
              <w:pStyle w:val="ColumnHeading"/>
              <w:keepNext/>
              <w:rPr>
                <w:lang w:val="es-ES_tradnl"/>
              </w:rPr>
            </w:pPr>
            <w:r w:rsidRPr="008623DC">
              <w:rPr>
                <w:lang w:val="es-ES_tradnl"/>
              </w:rPr>
              <w:t>Texto de la</w:t>
            </w:r>
            <w:r w:rsidRPr="008623DC">
              <w:rPr>
                <w:lang w:val="es-ES_tradnl"/>
              </w:rPr>
              <w:t xml:space="preserve"> Comisión</w:t>
            </w:r>
          </w:p>
        </w:tc>
        <w:tc>
          <w:tcPr>
            <w:tcW w:w="4876" w:type="dxa"/>
            <w:hideMark/>
          </w:tcPr>
          <w:p w:rsidR="007605D8" w:rsidRPr="008623DC" w:rsidRDefault="008623DC" w:rsidP="007605D8">
            <w:pPr>
              <w:pStyle w:val="ColumnHeading"/>
              <w:keepNext/>
              <w:rPr>
                <w:lang w:val="es-ES_tradnl"/>
              </w:rPr>
            </w:pPr>
            <w:r w:rsidRPr="008623DC">
              <w:rPr>
                <w:lang w:val="es-ES_tradnl"/>
              </w:rPr>
              <w:t>Enmienda</w:t>
            </w:r>
          </w:p>
        </w:tc>
      </w:tr>
      <w:tr w:rsidR="006565AA" w:rsidRPr="008623DC" w:rsidTr="00D1390F">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7605D8">
            <w:pPr>
              <w:pStyle w:val="Normal6"/>
              <w:rPr>
                <w:szCs w:val="24"/>
              </w:rPr>
            </w:pPr>
            <w:r w:rsidRPr="008623DC">
              <w:rPr>
                <w:b/>
                <w:i/>
              </w:rPr>
              <w:t>26 bis)</w:t>
            </w:r>
            <w:r w:rsidRPr="008623DC">
              <w:rPr>
                <w:b/>
                <w:i/>
              </w:rPr>
              <w:tab/>
              <w:t xml:space="preserve"> El artículo 34, apartado 1, queda modificado como sigue:</w:t>
            </w:r>
          </w:p>
        </w:tc>
      </w:tr>
      <w:tr w:rsidR="006565AA" w:rsidRPr="008623DC" w:rsidTr="00D1390F">
        <w:trPr>
          <w:jc w:val="center"/>
        </w:trPr>
        <w:tc>
          <w:tcPr>
            <w:tcW w:w="4876" w:type="dxa"/>
          </w:tcPr>
          <w:p w:rsidR="007605D8" w:rsidRPr="008623DC" w:rsidRDefault="007605D8" w:rsidP="007605D8">
            <w:pPr>
              <w:pStyle w:val="Normal6"/>
            </w:pPr>
          </w:p>
        </w:tc>
        <w:tc>
          <w:tcPr>
            <w:tcW w:w="4876" w:type="dxa"/>
            <w:hideMark/>
          </w:tcPr>
          <w:p w:rsidR="007605D8" w:rsidRPr="008623DC" w:rsidRDefault="008623DC" w:rsidP="00E81E98">
            <w:pPr>
              <w:pStyle w:val="Normal6"/>
              <w:rPr>
                <w:szCs w:val="24"/>
              </w:rPr>
            </w:pPr>
            <w:r w:rsidRPr="008623DC">
              <w:rPr>
                <w:b/>
                <w:i/>
              </w:rPr>
              <w:t xml:space="preserve">1. Las autoridades nacionales de control y el Supervisor Europeo de Protección de Datos, cada uno dentro del ámbito de sus competencias respectivas, cooperarán </w:t>
            </w:r>
            <w:r w:rsidRPr="008623DC">
              <w:rPr>
                <w:b/>
                <w:i/>
              </w:rPr>
              <w:t>activamente en el marco de sus responsabilidades y garantizarán la supervisión coordinada de Eurodac. Las autoridades nacionales de control y el Supervisor Europeo de Protección de Datos aplicarán un modelo único de supervisión coordinada, conforme a lo di</w:t>
            </w:r>
            <w:r w:rsidRPr="008623DC">
              <w:rPr>
                <w:b/>
                <w:i/>
              </w:rPr>
              <w:t>spuesto en el artículo 62 del Reglamento (UE) 2018/1725, a las operaciones conjuntas de las autoridades de control.</w:t>
            </w:r>
          </w:p>
        </w:tc>
      </w:tr>
    </w:tbl>
    <w:p w:rsidR="007605D8" w:rsidRPr="008623DC" w:rsidRDefault="008623DC" w:rsidP="007605D8">
      <w:pPr>
        <w:pStyle w:val="Olang"/>
        <w:rPr>
          <w:noProof w:val="0"/>
          <w:lang w:val="es-ES_tradnl"/>
        </w:rPr>
      </w:pPr>
      <w:r w:rsidRPr="008623DC">
        <w:rPr>
          <w:noProof w:val="0"/>
          <w:lang w:val="es-ES_tradnl"/>
        </w:rPr>
        <w:t xml:space="preserve">Or. </w:t>
      </w:r>
      <w:r w:rsidRPr="008623DC">
        <w:rPr>
          <w:rStyle w:val="HideTWBExt"/>
          <w:noProof w:val="0"/>
          <w:lang w:val="es-ES_tradnl"/>
        </w:rPr>
        <w:t>&lt;Original&gt;</w:t>
      </w:r>
      <w:r w:rsidRPr="008623DC">
        <w:rPr>
          <w:rStyle w:val="HideTWBInt"/>
          <w:noProof w:val="0"/>
          <w:lang w:val="es-ES_tradnl"/>
        </w:rPr>
        <w:t>{EN}</w:t>
      </w:r>
      <w:r w:rsidRPr="008623DC">
        <w:rPr>
          <w:noProof w:val="0"/>
          <w:lang w:val="es-ES_tradnl"/>
        </w:rPr>
        <w:t>en</w:t>
      </w:r>
      <w:r w:rsidRPr="008623DC">
        <w:rPr>
          <w:rStyle w:val="HideTWBExt"/>
          <w:noProof w:val="0"/>
          <w:lang w:val="es-ES_tradnl"/>
        </w:rPr>
        <w:t>&lt;/Original&gt;</w:t>
      </w:r>
    </w:p>
    <w:p w:rsidR="007605D8" w:rsidRPr="008623DC" w:rsidRDefault="008623DC" w:rsidP="007605D8">
      <w:pPr>
        <w:rPr>
          <w:rFonts w:ascii="Arial" w:hAnsi="Arial"/>
          <w:noProof/>
          <w:vanish/>
          <w:color w:val="000080"/>
          <w:sz w:val="20"/>
        </w:rPr>
      </w:pPr>
      <w:r w:rsidRPr="008623DC">
        <w:rPr>
          <w:rStyle w:val="HideTWBExt"/>
        </w:rPr>
        <w:t>&lt;/Amend&gt;&lt;/RepeatBlock-Amend&gt;</w:t>
      </w:r>
    </w:p>
    <w:p w:rsidR="00A64FB9" w:rsidRPr="008623DC" w:rsidRDefault="00A64FB9" w:rsidP="007605D8">
      <w:pPr>
        <w:pStyle w:val="AMNumberTabs0"/>
        <w:keepNext/>
        <w:rPr>
          <w:lang w:val="es-ES_tradnl"/>
        </w:rPr>
      </w:pPr>
    </w:p>
    <w:bookmarkEnd w:id="0"/>
    <w:p w:rsidR="001E3613" w:rsidRPr="008623DC" w:rsidRDefault="001E3613" w:rsidP="00FA192C">
      <w:pPr>
        <w:sectPr w:rsidR="001E3613" w:rsidRPr="008623DC" w:rsidSect="00C67C0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8623DC" w:rsidRDefault="008623DC" w:rsidP="001E3613">
      <w:pPr>
        <w:pStyle w:val="PageHeading"/>
      </w:pPr>
      <w:bookmarkStart w:id="1" w:name="_Toc121842161"/>
      <w:bookmarkStart w:id="2" w:name="RollCallPageRR"/>
      <w:r w:rsidRPr="008623DC">
        <w:t>VOTACIÓN FINAL NOMINAL</w:t>
      </w:r>
      <w:r w:rsidRPr="008623DC">
        <w:br/>
        <w:t>EN LA COMISIÓN COMPETENTE PARA EL FONDO</w:t>
      </w:r>
      <w:bookmarkEnd w:id="1"/>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565AA" w:rsidRPr="008623DC" w:rsidTr="001E3613">
        <w:trPr>
          <w:cantSplit/>
        </w:trPr>
        <w:tc>
          <w:tcPr>
            <w:tcW w:w="1701" w:type="dxa"/>
            <w:shd w:val="pct10" w:color="000000" w:fill="FFFFFF"/>
            <w:vAlign w:val="center"/>
          </w:tcPr>
          <w:p w:rsidR="001E3613" w:rsidRPr="008623DC" w:rsidRDefault="008623DC" w:rsidP="002B59CE">
            <w:pPr>
              <w:pStyle w:val="RollCallVotes"/>
            </w:pPr>
            <w:r w:rsidRPr="008623DC">
              <w:t>39</w:t>
            </w:r>
          </w:p>
        </w:tc>
        <w:tc>
          <w:tcPr>
            <w:tcW w:w="7371" w:type="dxa"/>
            <w:shd w:val="pct10" w:color="000000" w:fill="FFFFFF"/>
          </w:tcPr>
          <w:p w:rsidR="001E3613" w:rsidRPr="008623DC" w:rsidRDefault="008623DC" w:rsidP="002B59CE">
            <w:pPr>
              <w:pStyle w:val="RollCallSymbols14pt"/>
            </w:pPr>
            <w:r w:rsidRPr="008623DC">
              <w:t>+</w:t>
            </w:r>
          </w:p>
        </w:tc>
      </w:tr>
      <w:tr w:rsidR="006565AA" w:rsidRPr="008623DC" w:rsidTr="001E3613">
        <w:trPr>
          <w:cantSplit/>
        </w:trPr>
        <w:tc>
          <w:tcPr>
            <w:tcW w:w="1701" w:type="dxa"/>
            <w:shd w:val="clear" w:color="auto" w:fill="FFFFFF"/>
          </w:tcPr>
          <w:p w:rsidR="001E3613" w:rsidRPr="008623DC" w:rsidRDefault="008623DC" w:rsidP="002B59CE">
            <w:pPr>
              <w:pStyle w:val="RollCallTable"/>
            </w:pPr>
            <w:r w:rsidRPr="008623DC">
              <w:t>PPE</w:t>
            </w:r>
          </w:p>
        </w:tc>
        <w:tc>
          <w:tcPr>
            <w:tcW w:w="7371" w:type="dxa"/>
            <w:shd w:val="clear" w:color="auto" w:fill="FFFFFF"/>
          </w:tcPr>
          <w:p w:rsidR="001E3613" w:rsidRPr="008623DC" w:rsidRDefault="008623DC" w:rsidP="002B59CE">
            <w:pPr>
              <w:pStyle w:val="RollCallTable"/>
            </w:pPr>
            <w:r w:rsidRPr="008623DC">
              <w:t>Magdalena Adamowicz, François-Xavier Bellamy, Vladimír Bilčík, Vasile</w:t>
            </w:r>
            <w:bookmarkStart w:id="3" w:name="_GoBack"/>
            <w:bookmarkEnd w:id="3"/>
            <w:r w:rsidRPr="008623DC">
              <w:t xml:space="preserve"> Blaga, Karolin Braunsberger-Reinhold, Lena Düpont, Andrzej Halicki, Jeroen Lenaers, Lukas Mandl, Nadine Morano, Paulo Rangel, Sara Skyttedal, Axel Voss, Javier Zarzalejos, Tomáš Zdechovs</w:t>
            </w:r>
            <w:r w:rsidRPr="008623DC">
              <w:t>ký</w:t>
            </w:r>
          </w:p>
        </w:tc>
      </w:tr>
      <w:tr w:rsidR="006565AA" w:rsidRPr="008623DC" w:rsidTr="002B59CE">
        <w:trPr>
          <w:cantSplit/>
        </w:trPr>
        <w:tc>
          <w:tcPr>
            <w:tcW w:w="1701" w:type="dxa"/>
            <w:shd w:val="clear" w:color="auto" w:fill="FFFFFF"/>
          </w:tcPr>
          <w:p w:rsidR="001E3613" w:rsidRPr="008623DC" w:rsidRDefault="008623DC" w:rsidP="002B59CE">
            <w:pPr>
              <w:pStyle w:val="RollCallTable"/>
            </w:pPr>
            <w:r w:rsidRPr="008623DC">
              <w:t>S&amp;D</w:t>
            </w:r>
          </w:p>
        </w:tc>
        <w:tc>
          <w:tcPr>
            <w:tcW w:w="7371" w:type="dxa"/>
            <w:shd w:val="clear" w:color="auto" w:fill="FFFFFF"/>
          </w:tcPr>
          <w:p w:rsidR="001E3613" w:rsidRPr="008623DC" w:rsidRDefault="008623DC" w:rsidP="002B59CE">
            <w:pPr>
              <w:pStyle w:val="RollCallTable"/>
            </w:pPr>
            <w:r w:rsidRPr="008623DC">
              <w:t>Elena Yoncheva</w:t>
            </w:r>
          </w:p>
        </w:tc>
      </w:tr>
      <w:tr w:rsidR="006565AA" w:rsidRPr="008623DC" w:rsidTr="002B59CE">
        <w:trPr>
          <w:cantSplit/>
        </w:trPr>
        <w:tc>
          <w:tcPr>
            <w:tcW w:w="1701" w:type="dxa"/>
            <w:shd w:val="clear" w:color="auto" w:fill="FFFFFF"/>
          </w:tcPr>
          <w:p w:rsidR="001E3613" w:rsidRPr="008623DC" w:rsidRDefault="008623DC" w:rsidP="002B59CE">
            <w:pPr>
              <w:pStyle w:val="RollCallTable"/>
            </w:pPr>
            <w:r w:rsidRPr="008623DC">
              <w:t>Renew</w:t>
            </w:r>
          </w:p>
        </w:tc>
        <w:tc>
          <w:tcPr>
            <w:tcW w:w="7371" w:type="dxa"/>
            <w:shd w:val="clear" w:color="auto" w:fill="FFFFFF"/>
          </w:tcPr>
          <w:p w:rsidR="001E3613" w:rsidRPr="008623DC" w:rsidRDefault="008623DC" w:rsidP="002B59CE">
            <w:pPr>
              <w:pStyle w:val="RollCallTable"/>
            </w:pPr>
            <w:r w:rsidRPr="008623DC">
              <w:t>Abir Al-Sahlani, Malik Azmani, Lucia Ďuriš Nicholsonová, Sophia in 't Veld, Irena Joveva, Fabienne Keller, Moritz Körner, Jan-Christoph Oetjen, Maite Pagazaurtundúa, Dragoş Tudorache</w:t>
            </w:r>
          </w:p>
        </w:tc>
      </w:tr>
      <w:tr w:rsidR="006565AA" w:rsidRPr="008623DC" w:rsidTr="001E3613">
        <w:trPr>
          <w:cantSplit/>
        </w:trPr>
        <w:tc>
          <w:tcPr>
            <w:tcW w:w="1701" w:type="dxa"/>
            <w:shd w:val="clear" w:color="auto" w:fill="FFFFFF"/>
          </w:tcPr>
          <w:p w:rsidR="001E3613" w:rsidRPr="008623DC" w:rsidRDefault="008623DC" w:rsidP="002B59CE">
            <w:pPr>
              <w:pStyle w:val="RollCallTable"/>
            </w:pPr>
            <w:r w:rsidRPr="008623DC">
              <w:t>ID</w:t>
            </w:r>
          </w:p>
        </w:tc>
        <w:tc>
          <w:tcPr>
            <w:tcW w:w="7371" w:type="dxa"/>
            <w:shd w:val="clear" w:color="auto" w:fill="FFFFFF"/>
          </w:tcPr>
          <w:p w:rsidR="001E3613" w:rsidRPr="008623DC" w:rsidRDefault="008623DC" w:rsidP="002B59CE">
            <w:pPr>
              <w:pStyle w:val="RollCallTable"/>
            </w:pPr>
            <w:r w:rsidRPr="008623DC">
              <w:t xml:space="preserve">Patricia Chagnon, Nicolaus Fest, </w:t>
            </w:r>
            <w:r w:rsidRPr="008623DC">
              <w:t>Jean-Paul Garraud, Laura Huhtasaari, Annalisa Tardino, Tom Vandendriessche</w:t>
            </w:r>
          </w:p>
        </w:tc>
      </w:tr>
      <w:tr w:rsidR="006565AA" w:rsidRPr="008623DC" w:rsidTr="002B59CE">
        <w:trPr>
          <w:cantSplit/>
        </w:trPr>
        <w:tc>
          <w:tcPr>
            <w:tcW w:w="1701" w:type="dxa"/>
            <w:shd w:val="clear" w:color="auto" w:fill="FFFFFF"/>
          </w:tcPr>
          <w:p w:rsidR="001E3613" w:rsidRPr="008623DC" w:rsidRDefault="008623DC" w:rsidP="002B59CE">
            <w:pPr>
              <w:pStyle w:val="RollCallTable"/>
            </w:pPr>
            <w:r w:rsidRPr="008623DC">
              <w:t>ECR</w:t>
            </w:r>
          </w:p>
        </w:tc>
        <w:tc>
          <w:tcPr>
            <w:tcW w:w="7371" w:type="dxa"/>
            <w:shd w:val="clear" w:color="auto" w:fill="FFFFFF"/>
          </w:tcPr>
          <w:p w:rsidR="001E3613" w:rsidRPr="008623DC" w:rsidRDefault="008623DC" w:rsidP="002B59CE">
            <w:pPr>
              <w:pStyle w:val="RollCallTable"/>
            </w:pPr>
            <w:r w:rsidRPr="008623DC">
              <w:t>Joachim Stanisław Brudziński, Jorge Buxadé Villalba, Patryk Jaki, Assita Kanko, Margarita de la Pisa Carrión, Jadwiga Wiśniewska</w:t>
            </w:r>
          </w:p>
        </w:tc>
      </w:tr>
      <w:tr w:rsidR="006565AA" w:rsidRPr="008623DC" w:rsidTr="001E3613">
        <w:trPr>
          <w:cantSplit/>
        </w:trPr>
        <w:tc>
          <w:tcPr>
            <w:tcW w:w="1701" w:type="dxa"/>
            <w:shd w:val="clear" w:color="auto" w:fill="FFFFFF"/>
          </w:tcPr>
          <w:p w:rsidR="001E3613" w:rsidRPr="008623DC" w:rsidRDefault="008623DC" w:rsidP="002B59CE">
            <w:pPr>
              <w:pStyle w:val="RollCallTable"/>
            </w:pPr>
            <w:r w:rsidRPr="008623DC">
              <w:t>NI</w:t>
            </w:r>
          </w:p>
        </w:tc>
        <w:tc>
          <w:tcPr>
            <w:tcW w:w="7371" w:type="dxa"/>
            <w:shd w:val="clear" w:color="auto" w:fill="FFFFFF"/>
          </w:tcPr>
          <w:p w:rsidR="001E3613" w:rsidRPr="008623DC" w:rsidRDefault="008623DC" w:rsidP="002B59CE">
            <w:pPr>
              <w:pStyle w:val="RollCallTable"/>
            </w:pPr>
            <w:r w:rsidRPr="008623DC">
              <w:t>Milan Uhrík</w:t>
            </w:r>
          </w:p>
        </w:tc>
      </w:tr>
    </w:tbl>
    <w:p w:rsidR="001E3613" w:rsidRPr="008623DC"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565AA" w:rsidRPr="008623DC" w:rsidTr="001E3613">
        <w:trPr>
          <w:cantSplit/>
        </w:trPr>
        <w:tc>
          <w:tcPr>
            <w:tcW w:w="1701" w:type="dxa"/>
            <w:shd w:val="pct10" w:color="000000" w:fill="FFFFFF"/>
            <w:vAlign w:val="center"/>
          </w:tcPr>
          <w:p w:rsidR="001E3613" w:rsidRPr="008623DC" w:rsidRDefault="008623DC" w:rsidP="002B59CE">
            <w:pPr>
              <w:pStyle w:val="RollCallVotes"/>
            </w:pPr>
            <w:r w:rsidRPr="008623DC">
              <w:t>15</w:t>
            </w:r>
          </w:p>
        </w:tc>
        <w:tc>
          <w:tcPr>
            <w:tcW w:w="7371" w:type="dxa"/>
            <w:shd w:val="pct10" w:color="000000" w:fill="FFFFFF"/>
          </w:tcPr>
          <w:p w:rsidR="001E3613" w:rsidRPr="008623DC" w:rsidRDefault="008623DC" w:rsidP="002B59CE">
            <w:pPr>
              <w:pStyle w:val="RollCallSymbols14pt"/>
            </w:pPr>
            <w:r w:rsidRPr="008623DC">
              <w:t>-</w:t>
            </w:r>
          </w:p>
        </w:tc>
      </w:tr>
      <w:tr w:rsidR="006565AA" w:rsidRPr="008623DC" w:rsidTr="001E3613">
        <w:trPr>
          <w:cantSplit/>
        </w:trPr>
        <w:tc>
          <w:tcPr>
            <w:tcW w:w="1701" w:type="dxa"/>
            <w:shd w:val="clear" w:color="auto" w:fill="FFFFFF"/>
          </w:tcPr>
          <w:p w:rsidR="001E3613" w:rsidRPr="008623DC" w:rsidRDefault="008623DC" w:rsidP="002B59CE">
            <w:pPr>
              <w:pStyle w:val="RollCallTable"/>
            </w:pPr>
            <w:r w:rsidRPr="008623DC">
              <w:t>S&amp;D</w:t>
            </w:r>
          </w:p>
        </w:tc>
        <w:tc>
          <w:tcPr>
            <w:tcW w:w="7371" w:type="dxa"/>
            <w:shd w:val="clear" w:color="auto" w:fill="FFFFFF"/>
          </w:tcPr>
          <w:p w:rsidR="001E3613" w:rsidRPr="008623DC" w:rsidRDefault="008623DC" w:rsidP="002B59CE">
            <w:pPr>
              <w:pStyle w:val="RollCallTable"/>
            </w:pPr>
            <w:r w:rsidRPr="008623DC">
              <w:t xml:space="preserve">Pietro Bartolo, </w:t>
            </w:r>
            <w:r w:rsidRPr="008623DC">
              <w:t>Sylvie Guillaume, Theresa Muigg</w:t>
            </w:r>
          </w:p>
        </w:tc>
      </w:tr>
      <w:tr w:rsidR="006565AA" w:rsidRPr="008623DC" w:rsidTr="002B59CE">
        <w:trPr>
          <w:cantSplit/>
        </w:trPr>
        <w:tc>
          <w:tcPr>
            <w:tcW w:w="1701" w:type="dxa"/>
            <w:shd w:val="clear" w:color="auto" w:fill="FFFFFF"/>
          </w:tcPr>
          <w:p w:rsidR="001E3613" w:rsidRPr="008623DC" w:rsidRDefault="008623DC" w:rsidP="002B59CE">
            <w:pPr>
              <w:pStyle w:val="RollCallTable"/>
            </w:pPr>
            <w:r w:rsidRPr="008623DC">
              <w:t>Verts/ALE</w:t>
            </w:r>
          </w:p>
        </w:tc>
        <w:tc>
          <w:tcPr>
            <w:tcW w:w="7371" w:type="dxa"/>
            <w:shd w:val="clear" w:color="auto" w:fill="FFFFFF"/>
          </w:tcPr>
          <w:p w:rsidR="001E3613" w:rsidRPr="008623DC" w:rsidRDefault="008623DC" w:rsidP="002B59CE">
            <w:pPr>
              <w:pStyle w:val="RollCallTable"/>
            </w:pPr>
            <w:r w:rsidRPr="008623DC">
              <w:t>Saskia Bricmont, Damien Carême, Gwendoline Delbos-Corfield, Alice Kuhnke, Ana Miranda, Diana Riba i Giner, Tineke Strik</w:t>
            </w:r>
          </w:p>
        </w:tc>
      </w:tr>
      <w:tr w:rsidR="006565AA" w:rsidRPr="008623DC" w:rsidTr="002B59CE">
        <w:trPr>
          <w:cantSplit/>
        </w:trPr>
        <w:tc>
          <w:tcPr>
            <w:tcW w:w="1701" w:type="dxa"/>
            <w:shd w:val="clear" w:color="auto" w:fill="FFFFFF"/>
          </w:tcPr>
          <w:p w:rsidR="001E3613" w:rsidRPr="008623DC" w:rsidRDefault="008623DC" w:rsidP="002B59CE">
            <w:pPr>
              <w:pStyle w:val="RollCallTable"/>
            </w:pPr>
            <w:r w:rsidRPr="008623DC">
              <w:t>The Left</w:t>
            </w:r>
          </w:p>
        </w:tc>
        <w:tc>
          <w:tcPr>
            <w:tcW w:w="7371" w:type="dxa"/>
            <w:shd w:val="clear" w:color="auto" w:fill="FFFFFF"/>
          </w:tcPr>
          <w:p w:rsidR="001E3613" w:rsidRPr="008623DC" w:rsidRDefault="008623DC" w:rsidP="002B59CE">
            <w:pPr>
              <w:pStyle w:val="RollCallTable"/>
            </w:pPr>
            <w:r w:rsidRPr="008623DC">
              <w:t>Malin Björk, Cornelia Ernst, Sira Rego, Miguel Urbán Crespo</w:t>
            </w:r>
          </w:p>
        </w:tc>
      </w:tr>
      <w:tr w:rsidR="006565AA" w:rsidRPr="008623DC" w:rsidTr="001E3613">
        <w:trPr>
          <w:cantSplit/>
        </w:trPr>
        <w:tc>
          <w:tcPr>
            <w:tcW w:w="1701" w:type="dxa"/>
            <w:shd w:val="clear" w:color="auto" w:fill="FFFFFF"/>
          </w:tcPr>
          <w:p w:rsidR="001E3613" w:rsidRPr="008623DC" w:rsidRDefault="008623DC" w:rsidP="002B59CE">
            <w:pPr>
              <w:pStyle w:val="RollCallTable"/>
            </w:pPr>
            <w:r w:rsidRPr="008623DC">
              <w:t>NI</w:t>
            </w:r>
          </w:p>
        </w:tc>
        <w:tc>
          <w:tcPr>
            <w:tcW w:w="7371" w:type="dxa"/>
            <w:shd w:val="clear" w:color="auto" w:fill="FFFFFF"/>
          </w:tcPr>
          <w:p w:rsidR="001E3613" w:rsidRPr="008623DC" w:rsidRDefault="008623DC" w:rsidP="002B59CE">
            <w:pPr>
              <w:pStyle w:val="RollCallTable"/>
            </w:pPr>
            <w:r w:rsidRPr="008623DC">
              <w:t>Laura Ferrara</w:t>
            </w:r>
          </w:p>
        </w:tc>
      </w:tr>
    </w:tbl>
    <w:p w:rsidR="001E3613" w:rsidRPr="008623DC"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565AA" w:rsidRPr="008623DC" w:rsidTr="002B59CE">
        <w:trPr>
          <w:cantSplit/>
        </w:trPr>
        <w:tc>
          <w:tcPr>
            <w:tcW w:w="1701" w:type="dxa"/>
            <w:shd w:val="pct10" w:color="000000" w:fill="FFFFFF"/>
            <w:vAlign w:val="center"/>
          </w:tcPr>
          <w:p w:rsidR="001E3613" w:rsidRPr="008623DC" w:rsidRDefault="008623DC" w:rsidP="002B59CE">
            <w:pPr>
              <w:pStyle w:val="RollCallVotes"/>
            </w:pPr>
            <w:r w:rsidRPr="008623DC">
              <w:t>7</w:t>
            </w:r>
          </w:p>
        </w:tc>
        <w:tc>
          <w:tcPr>
            <w:tcW w:w="7371" w:type="dxa"/>
            <w:shd w:val="pct10" w:color="000000" w:fill="FFFFFF"/>
          </w:tcPr>
          <w:p w:rsidR="001E3613" w:rsidRPr="008623DC" w:rsidRDefault="008623DC" w:rsidP="002B59CE">
            <w:pPr>
              <w:pStyle w:val="RollCallSymbols14pt"/>
            </w:pPr>
            <w:r w:rsidRPr="008623DC">
              <w:t>0</w:t>
            </w:r>
          </w:p>
        </w:tc>
      </w:tr>
      <w:tr w:rsidR="006565AA" w:rsidRPr="008623DC" w:rsidTr="002B59CE">
        <w:trPr>
          <w:cantSplit/>
        </w:trPr>
        <w:tc>
          <w:tcPr>
            <w:tcW w:w="1701" w:type="dxa"/>
            <w:shd w:val="clear" w:color="auto" w:fill="FFFFFF"/>
          </w:tcPr>
          <w:p w:rsidR="001E3613" w:rsidRPr="008623DC" w:rsidRDefault="008623DC" w:rsidP="002B59CE">
            <w:pPr>
              <w:pStyle w:val="RollCallTable"/>
            </w:pPr>
            <w:r w:rsidRPr="008623DC">
              <w:t>S&amp;D</w:t>
            </w:r>
          </w:p>
        </w:tc>
        <w:tc>
          <w:tcPr>
            <w:tcW w:w="7371" w:type="dxa"/>
            <w:shd w:val="clear" w:color="auto" w:fill="FFFFFF"/>
          </w:tcPr>
          <w:p w:rsidR="001E3613" w:rsidRPr="008623DC" w:rsidRDefault="008623DC" w:rsidP="002B59CE">
            <w:pPr>
              <w:pStyle w:val="RollCallTable"/>
            </w:pPr>
            <w:r w:rsidRPr="008623DC">
              <w:t>Katarina Barley, Delara Burkhardt, Evin Incir, Dietmar Köster, Domènec Ruiz Devesa, Isabel Santos, Birgit Sippel</w:t>
            </w:r>
          </w:p>
        </w:tc>
      </w:tr>
    </w:tbl>
    <w:p w:rsidR="001E3613" w:rsidRPr="008623DC" w:rsidRDefault="001E3613" w:rsidP="001E3613">
      <w:pPr>
        <w:pStyle w:val="Normal12a"/>
      </w:pPr>
    </w:p>
    <w:p w:rsidR="001E3613" w:rsidRPr="008623DC" w:rsidRDefault="008623DC" w:rsidP="001E3613">
      <w:r w:rsidRPr="008623DC">
        <w:t>Explicación de los signos utilizados</w:t>
      </w:r>
    </w:p>
    <w:p w:rsidR="001E3613" w:rsidRPr="008623DC" w:rsidRDefault="008623DC" w:rsidP="001E3613">
      <w:pPr>
        <w:pStyle w:val="RollCallTabs"/>
      </w:pPr>
      <w:r w:rsidRPr="008623DC">
        <w:t>+</w:t>
      </w:r>
      <w:r w:rsidRPr="008623DC">
        <w:tab/>
        <w:t>:</w:t>
      </w:r>
      <w:r w:rsidRPr="008623DC">
        <w:tab/>
        <w:t>a favor</w:t>
      </w:r>
    </w:p>
    <w:p w:rsidR="001E3613" w:rsidRPr="008623DC" w:rsidRDefault="008623DC" w:rsidP="001E3613">
      <w:pPr>
        <w:pStyle w:val="RollCallTabs"/>
      </w:pPr>
      <w:r w:rsidRPr="008623DC">
        <w:t>-</w:t>
      </w:r>
      <w:r w:rsidRPr="008623DC">
        <w:tab/>
        <w:t>:</w:t>
      </w:r>
      <w:r w:rsidRPr="008623DC">
        <w:tab/>
        <w:t>en contra</w:t>
      </w:r>
    </w:p>
    <w:p w:rsidR="001E3613" w:rsidRPr="008623DC" w:rsidRDefault="008623DC" w:rsidP="001E3613">
      <w:pPr>
        <w:pStyle w:val="RollCallTabs"/>
      </w:pPr>
      <w:r w:rsidRPr="008623DC">
        <w:t>0</w:t>
      </w:r>
      <w:r w:rsidRPr="008623DC">
        <w:tab/>
        <w:t>:</w:t>
      </w:r>
      <w:r w:rsidRPr="008623DC">
        <w:tab/>
        <w:t>abstenciones</w:t>
      </w:r>
    </w:p>
    <w:p w:rsidR="001E3613" w:rsidRPr="008623DC" w:rsidRDefault="001E3613" w:rsidP="001E3613"/>
    <w:bookmarkEnd w:id="2"/>
    <w:p w:rsidR="008363E4" w:rsidRPr="008623DC" w:rsidRDefault="008363E4" w:rsidP="00FA192C"/>
    <w:sectPr w:rsidR="008363E4" w:rsidRPr="008623DC"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67C09" w:rsidRDefault="008623DC">
      <w:r w:rsidRPr="00C67C09">
        <w:separator/>
      </w:r>
    </w:p>
  </w:endnote>
  <w:endnote w:type="continuationSeparator" w:id="0">
    <w:p w:rsidR="00000000" w:rsidRPr="00C67C09" w:rsidRDefault="008623DC">
      <w:r w:rsidRPr="00C67C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C09" w:rsidRPr="00C67C09" w:rsidRDefault="00C67C09" w:rsidP="00C67C09">
    <w:pPr>
      <w:pStyle w:val="EPFooter"/>
    </w:pPr>
    <w:r w:rsidRPr="00C67C09">
      <w:t>PE</w:t>
    </w:r>
    <w:r w:rsidRPr="00C67C09">
      <w:rPr>
        <w:rStyle w:val="HideTWBExt"/>
      </w:rPr>
      <w:t>&lt;NoPE&gt;</w:t>
    </w:r>
    <w:r w:rsidRPr="00C67C09">
      <w:t>739.726</w:t>
    </w:r>
    <w:r w:rsidRPr="00C67C09">
      <w:rPr>
        <w:rStyle w:val="HideTWBExt"/>
      </w:rPr>
      <w:t>&lt;/NoPE&gt;&lt;Version&gt;</w:t>
    </w:r>
    <w:r w:rsidRPr="00C67C09">
      <w:t>v03-00</w:t>
    </w:r>
    <w:r w:rsidRPr="00C67C09">
      <w:rPr>
        <w:rStyle w:val="HideTWBExt"/>
      </w:rPr>
      <w:t>&lt;/Version&gt;</w:t>
    </w:r>
    <w:r w:rsidRPr="00C67C09">
      <w:tab/>
    </w:r>
    <w:r w:rsidRPr="00C67C09">
      <w:fldChar w:fldCharType="begin"/>
    </w:r>
    <w:r w:rsidRPr="00C67C09">
      <w:instrText xml:space="preserve"> PAGE  \* MERGEFORMAT </w:instrText>
    </w:r>
    <w:r w:rsidRPr="00C67C09">
      <w:fldChar w:fldCharType="separate"/>
    </w:r>
    <w:r w:rsidR="008623DC">
      <w:rPr>
        <w:noProof/>
      </w:rPr>
      <w:t>56</w:t>
    </w:r>
    <w:r w:rsidRPr="00C67C09">
      <w:fldChar w:fldCharType="end"/>
    </w:r>
    <w:r w:rsidRPr="00C67C09">
      <w:t>/</w:t>
    </w:r>
    <w:fldSimple w:instr=" NUMPAGES  \* MERGEFORMAT ">
      <w:r w:rsidR="008623DC">
        <w:rPr>
          <w:noProof/>
        </w:rPr>
        <w:t>57</w:t>
      </w:r>
    </w:fldSimple>
    <w:r w:rsidRPr="00C67C09">
      <w:tab/>
    </w:r>
    <w:r w:rsidRPr="00C67C09">
      <w:rPr>
        <w:rStyle w:val="HideTWBExt"/>
      </w:rPr>
      <w:t>&lt;PathFdR&gt;</w:t>
    </w:r>
    <w:r w:rsidRPr="00C67C09">
      <w:t>AM\1272524ES.docx</w:t>
    </w:r>
    <w:r w:rsidRPr="00C67C09">
      <w:rPr>
        <w:rStyle w:val="HideTWBExt"/>
      </w:rPr>
      <w:t>&lt;/PathFdR&gt;</w:t>
    </w:r>
  </w:p>
  <w:p w:rsidR="00777B46" w:rsidRPr="00C67C09" w:rsidRDefault="00C67C09" w:rsidP="00C67C09">
    <w:pPr>
      <w:pStyle w:val="EPFooter2"/>
    </w:pPr>
    <w:r w:rsidRPr="00C67C0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C09" w:rsidRPr="00C67C09" w:rsidRDefault="00C67C09" w:rsidP="00C67C09">
    <w:pPr>
      <w:pStyle w:val="EPFooter"/>
    </w:pPr>
    <w:r w:rsidRPr="00C67C09">
      <w:rPr>
        <w:rStyle w:val="HideTWBExt"/>
      </w:rPr>
      <w:t>&lt;PathFdR&gt;</w:t>
    </w:r>
    <w:r w:rsidRPr="00C67C09">
      <w:t>AM\1272524ES.docx</w:t>
    </w:r>
    <w:r w:rsidRPr="00C67C09">
      <w:rPr>
        <w:rStyle w:val="HideTWBExt"/>
      </w:rPr>
      <w:t>&lt;/PathFdR&gt;</w:t>
    </w:r>
    <w:r w:rsidRPr="00C67C09">
      <w:tab/>
    </w:r>
    <w:r w:rsidRPr="00C67C09">
      <w:fldChar w:fldCharType="begin"/>
    </w:r>
    <w:r w:rsidRPr="00C67C09">
      <w:instrText xml:space="preserve"> PAGE  \* MERGEFORMAT </w:instrText>
    </w:r>
    <w:r w:rsidRPr="00C67C09">
      <w:fldChar w:fldCharType="separate"/>
    </w:r>
    <w:r w:rsidR="008623DC">
      <w:rPr>
        <w:noProof/>
      </w:rPr>
      <w:t>57</w:t>
    </w:r>
    <w:r w:rsidRPr="00C67C09">
      <w:fldChar w:fldCharType="end"/>
    </w:r>
    <w:r w:rsidRPr="00C67C09">
      <w:t>/</w:t>
    </w:r>
    <w:fldSimple w:instr=" NUMPAGES  \* MERGEFORMAT ">
      <w:r w:rsidR="008623DC">
        <w:rPr>
          <w:noProof/>
        </w:rPr>
        <w:t>57</w:t>
      </w:r>
    </w:fldSimple>
    <w:r w:rsidRPr="00C67C09">
      <w:tab/>
      <w:t>PE</w:t>
    </w:r>
    <w:r w:rsidRPr="00C67C09">
      <w:rPr>
        <w:rStyle w:val="HideTWBExt"/>
      </w:rPr>
      <w:t>&lt;NoPE&gt;</w:t>
    </w:r>
    <w:r w:rsidRPr="00C67C09">
      <w:t>739.726</w:t>
    </w:r>
    <w:r w:rsidRPr="00C67C09">
      <w:rPr>
        <w:rStyle w:val="HideTWBExt"/>
      </w:rPr>
      <w:t>&lt;/NoPE&gt;&lt;Version&gt;</w:t>
    </w:r>
    <w:r w:rsidRPr="00C67C09">
      <w:t>v03-00</w:t>
    </w:r>
    <w:r w:rsidRPr="00C67C09">
      <w:rPr>
        <w:rStyle w:val="HideTWBExt"/>
      </w:rPr>
      <w:t>&lt;/Version&gt;</w:t>
    </w:r>
  </w:p>
  <w:p w:rsidR="00777B46" w:rsidRPr="00C67C09" w:rsidRDefault="00C67C09" w:rsidP="00C67C09">
    <w:pPr>
      <w:pStyle w:val="EPFooter2"/>
    </w:pPr>
    <w:r w:rsidRPr="00C67C09">
      <w:tab/>
    </w:r>
    <w:r w:rsidRPr="00C67C0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C09" w:rsidRPr="00C67C09" w:rsidRDefault="00C67C09" w:rsidP="00C67C09">
    <w:pPr>
      <w:pStyle w:val="EPFooter"/>
    </w:pPr>
    <w:r w:rsidRPr="00C67C09">
      <w:rPr>
        <w:rStyle w:val="HideTWBExt"/>
      </w:rPr>
      <w:t>&lt;PathFdR&gt;</w:t>
    </w:r>
    <w:r w:rsidRPr="00C67C09">
      <w:t>AM\1272524ES.docx</w:t>
    </w:r>
    <w:r w:rsidRPr="00C67C09">
      <w:rPr>
        <w:rStyle w:val="HideTWBExt"/>
      </w:rPr>
      <w:t>&lt;/PathFdR&gt;</w:t>
    </w:r>
    <w:r w:rsidRPr="00C67C09">
      <w:tab/>
    </w:r>
    <w:r w:rsidRPr="00C67C09">
      <w:tab/>
      <w:t>PE</w:t>
    </w:r>
    <w:r w:rsidRPr="00C67C09">
      <w:rPr>
        <w:rStyle w:val="HideTWBExt"/>
      </w:rPr>
      <w:t>&lt;NoPE&gt;</w:t>
    </w:r>
    <w:r w:rsidRPr="00C67C09">
      <w:t>739.726</w:t>
    </w:r>
    <w:r w:rsidRPr="00C67C09">
      <w:rPr>
        <w:rStyle w:val="HideTWBExt"/>
      </w:rPr>
      <w:t>&lt;/NoPE&gt;&lt;Version&gt;</w:t>
    </w:r>
    <w:r w:rsidRPr="00C67C09">
      <w:t>v03-00</w:t>
    </w:r>
    <w:r w:rsidRPr="00C67C09">
      <w:rPr>
        <w:rStyle w:val="HideTWBExt"/>
      </w:rPr>
      <w:t>&lt;/Version&gt;</w:t>
    </w:r>
  </w:p>
  <w:p w:rsidR="00777B46" w:rsidRPr="00C67C09" w:rsidRDefault="00C67C09" w:rsidP="00C67C09">
    <w:pPr>
      <w:pStyle w:val="EPFooter2"/>
    </w:pPr>
    <w:r w:rsidRPr="00C67C09">
      <w:t>ES</w:t>
    </w:r>
    <w:r w:rsidRPr="00C67C09">
      <w:tab/>
    </w:r>
    <w:r w:rsidRPr="00C67C09">
      <w:rPr>
        <w:b w:val="0"/>
        <w:i/>
        <w:color w:val="C0C0C0"/>
        <w:sz w:val="22"/>
      </w:rPr>
      <w:t>Unida en la diversidad</w:t>
    </w:r>
    <w:r w:rsidRPr="00C67C09">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67C09" w:rsidRDefault="008623DC">
      <w:r w:rsidRPr="00C67C09">
        <w:separator/>
      </w:r>
    </w:p>
  </w:footnote>
  <w:footnote w:type="continuationSeparator" w:id="0">
    <w:p w:rsidR="00000000" w:rsidRPr="00C67C09" w:rsidRDefault="008623DC">
      <w:r w:rsidRPr="00C67C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3DC" w:rsidRDefault="00862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3DC" w:rsidRDefault="008623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3DC" w:rsidRDefault="008623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565AA"/>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623DC"/>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67C09"/>
    <w:rsid w:val="00C92798"/>
    <w:rsid w:val="00CB34F1"/>
    <w:rsid w:val="00CB7B07"/>
    <w:rsid w:val="00CC3983"/>
    <w:rsid w:val="00D00CC7"/>
    <w:rsid w:val="00D100D1"/>
    <w:rsid w:val="00D1390F"/>
    <w:rsid w:val="00D14FCE"/>
    <w:rsid w:val="00D15308"/>
    <w:rsid w:val="00D1583C"/>
    <w:rsid w:val="00D15D1E"/>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lang w:val="es-ES"/>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uiPriority w:val="99"/>
    <w:rsid w:val="00A64FB9"/>
    <w:pPr>
      <w:spacing w:after="240"/>
      <w:jc w:val="center"/>
    </w:pPr>
    <w:rPr>
      <w:i/>
      <w:lang w:val="es-ES"/>
    </w:rPr>
  </w:style>
  <w:style w:type="paragraph" w:customStyle="1" w:styleId="Olang">
    <w:name w:val="Olang"/>
    <w:basedOn w:val="Normal"/>
    <w:uiPriority w:val="99"/>
    <w:rsid w:val="00A64FB9"/>
    <w:pPr>
      <w:spacing w:before="240" w:after="240"/>
      <w:jc w:val="right"/>
    </w:pPr>
    <w:rPr>
      <w:noProof/>
      <w:szCs w:val="24"/>
      <w:lang w:val="es-ES"/>
    </w:rPr>
  </w:style>
  <w:style w:type="paragraph" w:customStyle="1" w:styleId="JustificationTitle">
    <w:name w:val="JustificationTitle"/>
    <w:basedOn w:val="Normal"/>
    <w:next w:val="Normal12"/>
    <w:uiPriority w:val="99"/>
    <w:rsid w:val="00A64FB9"/>
    <w:pPr>
      <w:keepNext/>
      <w:spacing w:before="240" w:after="240"/>
      <w:jc w:val="center"/>
    </w:pPr>
    <w:rPr>
      <w:i/>
      <w:noProof/>
      <w:lang w:val="es-ES"/>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es-ES"/>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3FCDB-EA00-42F7-8491-B94B1B930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14098</Words>
  <Characters>72241</Characters>
  <Application>Microsoft Office Word</Application>
  <DocSecurity>0</DocSecurity>
  <Lines>2970</Lines>
  <Paragraphs>908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KOVACS-MALYI Krisztina</dc:creator>
  <cp:lastModifiedBy>IZARRA Maria Jose</cp:lastModifiedBy>
  <cp:revision>2</cp:revision>
  <cp:lastPrinted>2023-01-24T12:47:00Z</cp:lastPrinted>
  <dcterms:created xsi:type="dcterms:W3CDTF">2023-02-19T15:25:00Z</dcterms:created>
  <dcterms:modified xsi:type="dcterms:W3CDTF">2023-02-19T15:25:00Z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AM\1272524ES.docx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- 2023/02/19 16:24</vt:lpwstr>
  </property>
</Properties>
</file>