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677D7" w:rsidRPr="00DC0A42" w:rsidTr="002B59CE">
        <w:trPr>
          <w:trHeight w:hRule="exact" w:val="1418"/>
        </w:trPr>
        <w:tc>
          <w:tcPr>
            <w:tcW w:w="6804" w:type="dxa"/>
            <w:shd w:val="clear" w:color="auto" w:fill="auto"/>
            <w:vAlign w:val="center"/>
          </w:tcPr>
          <w:p w:rsidR="00BE5062" w:rsidRPr="00DC0A42" w:rsidRDefault="00EE3FC6" w:rsidP="002B59CE">
            <w:pPr>
              <w:pStyle w:val="EPName"/>
            </w:pPr>
            <w:r w:rsidRPr="00DC0A42">
              <w:t>Euroopa Parlament</w:t>
            </w:r>
          </w:p>
          <w:p w:rsidR="00BE5062" w:rsidRPr="00DC0A42" w:rsidRDefault="00EE3FC6" w:rsidP="00510E3A">
            <w:pPr>
              <w:pStyle w:val="EPTerm"/>
            </w:pPr>
            <w:r w:rsidRPr="00DC0A42">
              <w:t>2019-2024</w:t>
            </w:r>
          </w:p>
        </w:tc>
        <w:tc>
          <w:tcPr>
            <w:tcW w:w="2268" w:type="dxa"/>
            <w:shd w:val="clear" w:color="auto" w:fill="auto"/>
          </w:tcPr>
          <w:p w:rsidR="00BE5062" w:rsidRPr="00DC0A42" w:rsidRDefault="00EE3FC6" w:rsidP="002B59CE">
            <w:pPr>
              <w:pStyle w:val="EPLogo"/>
            </w:pPr>
            <w:r w:rsidRPr="00DC0A42">
              <w:rPr>
                <w:noProof/>
                <w:lang w:eastAsia="et-E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C0A42" w:rsidRDefault="000E7234" w:rsidP="000E7234">
      <w:pPr>
        <w:pStyle w:val="LineTop"/>
      </w:pPr>
    </w:p>
    <w:p w:rsidR="000E7234" w:rsidRPr="00DC0A42" w:rsidRDefault="00EE3FC6" w:rsidP="000E7234">
      <w:pPr>
        <w:pStyle w:val="EPBody"/>
      </w:pPr>
      <w:r w:rsidRPr="00DC0A42">
        <w:rPr>
          <w:rStyle w:val="HideTWBExt"/>
        </w:rPr>
        <w:t>&lt;</w:t>
      </w:r>
      <w:r w:rsidRPr="00DC0A42">
        <w:rPr>
          <w:rStyle w:val="HideTWBExt"/>
          <w:i w:val="0"/>
        </w:rPr>
        <w:t>Commission</w:t>
      </w:r>
      <w:r w:rsidRPr="00DC0A42">
        <w:rPr>
          <w:rStyle w:val="HideTWBExt"/>
        </w:rPr>
        <w:t>&gt;</w:t>
      </w:r>
      <w:r w:rsidRPr="00DC0A42">
        <w:rPr>
          <w:rStyle w:val="HideTWBInt"/>
          <w:color w:val="auto"/>
        </w:rPr>
        <w:t>{LIBE}</w:t>
      </w:r>
      <w:r w:rsidRPr="00DC0A42">
        <w:t>Kodanikuvabaduste, justiits- ja siseasjade komisjon</w:t>
      </w:r>
      <w:r w:rsidRPr="00DC0A42">
        <w:rPr>
          <w:rStyle w:val="HideTWBExt"/>
        </w:rPr>
        <w:t>&lt;/</w:t>
      </w:r>
      <w:r w:rsidRPr="00DC0A42">
        <w:rPr>
          <w:rStyle w:val="HideTWBExt"/>
          <w:i w:val="0"/>
        </w:rPr>
        <w:t>Commission</w:t>
      </w:r>
      <w:r w:rsidRPr="00DC0A42">
        <w:rPr>
          <w:rStyle w:val="HideTWBExt"/>
        </w:rPr>
        <w:t>&gt;</w:t>
      </w:r>
    </w:p>
    <w:p w:rsidR="000E7234" w:rsidRPr="00DC0A42" w:rsidRDefault="000E7234" w:rsidP="000E7234">
      <w:pPr>
        <w:pStyle w:val="LineBottom"/>
      </w:pPr>
    </w:p>
    <w:p w:rsidR="00B85286" w:rsidRPr="00DC0A42" w:rsidRDefault="00EE3FC6">
      <w:pPr>
        <w:pStyle w:val="CoverReference"/>
      </w:pPr>
      <w:r w:rsidRPr="00DC0A42">
        <w:rPr>
          <w:rStyle w:val="HideTWBExt"/>
          <w:b w:val="0"/>
        </w:rPr>
        <w:t>&lt;RefProc&gt;</w:t>
      </w:r>
      <w:r w:rsidRPr="00DC0A42">
        <w:t>2016/0132</w:t>
      </w:r>
      <w:r w:rsidRPr="00DC0A42">
        <w:rPr>
          <w:rStyle w:val="HideTWBExt"/>
          <w:b w:val="0"/>
        </w:rPr>
        <w:t>&lt;/RefProc&gt;&lt;RefTypeProc&gt;</w:t>
      </w:r>
      <w:r w:rsidRPr="00DC0A42">
        <w:t>(COD)</w:t>
      </w:r>
      <w:r w:rsidRPr="00DC0A42">
        <w:rPr>
          <w:rStyle w:val="HideTWBExt"/>
          <w:b w:val="0"/>
        </w:rPr>
        <w:t>&lt;/RefTypeProc&gt;</w:t>
      </w:r>
    </w:p>
    <w:p w:rsidR="00B85286" w:rsidRPr="00DC0A42" w:rsidRDefault="00EE3FC6">
      <w:pPr>
        <w:pStyle w:val="CoverDate"/>
      </w:pPr>
      <w:r w:rsidRPr="00DC0A42">
        <w:rPr>
          <w:rStyle w:val="HideTWBExt"/>
        </w:rPr>
        <w:t>&lt;Date&gt;</w:t>
      </w:r>
      <w:r w:rsidRPr="00DC0A42">
        <w:rPr>
          <w:rStyle w:val="HideTWBInt"/>
          <w:color w:val="auto"/>
        </w:rPr>
        <w:t>{10/2/2023}</w:t>
      </w:r>
      <w:r w:rsidRPr="00DC0A42">
        <w:t>10.2.2023</w:t>
      </w:r>
      <w:r w:rsidRPr="00DC0A42">
        <w:rPr>
          <w:rStyle w:val="HideTWBExt"/>
        </w:rPr>
        <w:t>&lt;/Date&gt;</w:t>
      </w:r>
    </w:p>
    <w:p w:rsidR="009B0305" w:rsidRPr="00DC0A42" w:rsidRDefault="00EE3FC6" w:rsidP="009B0305">
      <w:pPr>
        <w:pStyle w:val="CoverDocType"/>
      </w:pPr>
      <w:r w:rsidRPr="00DC0A42">
        <w:rPr>
          <w:rStyle w:val="HideTWBExt"/>
          <w:b w:val="0"/>
        </w:rPr>
        <w:t>&lt;TypeAM&gt;</w:t>
      </w:r>
      <w:r w:rsidRPr="00DC0A42">
        <w:t>MUUDATUSETTEPANEKUD</w:t>
      </w:r>
      <w:r w:rsidRPr="00DC0A42">
        <w:rPr>
          <w:rStyle w:val="HideTWBExt"/>
          <w:b w:val="0"/>
        </w:rPr>
        <w:t>&lt;/TypeAM&gt;</w:t>
      </w:r>
    </w:p>
    <w:p w:rsidR="00A64FB9" w:rsidRPr="00DC0A42" w:rsidRDefault="00EE3FC6" w:rsidP="00A64FB9">
      <w:pPr>
        <w:pStyle w:val="CoverDocType24a"/>
      </w:pPr>
      <w:r w:rsidRPr="00DC0A42">
        <w:rPr>
          <w:rStyle w:val="HideTWBExt"/>
          <w:b w:val="0"/>
        </w:rPr>
        <w:t>&lt;RangeAM&gt;</w:t>
      </w:r>
      <w:r w:rsidRPr="00DC0A42">
        <w:t>1–90</w:t>
      </w:r>
      <w:r w:rsidRPr="00DC0A42">
        <w:rPr>
          <w:rStyle w:val="HideTWBExt"/>
          <w:b w:val="0"/>
        </w:rPr>
        <w:t>&lt;/RangeAM&gt;</w:t>
      </w:r>
    </w:p>
    <w:p w:rsidR="001C2054" w:rsidRPr="00DC0A42" w:rsidRDefault="00EE3FC6" w:rsidP="00A93F8C">
      <w:pPr>
        <w:pStyle w:val="CoverBold"/>
      </w:pPr>
      <w:r w:rsidRPr="00DC0A42">
        <w:rPr>
          <w:rStyle w:val="HideTWBExt"/>
          <w:b w:val="0"/>
        </w:rPr>
        <w:t>&lt;TitreType&gt;</w:t>
      </w:r>
      <w:r w:rsidRPr="00DC0A42">
        <w:t>Ajakohastatud volitused</w:t>
      </w:r>
      <w:r w:rsidRPr="00DC0A42">
        <w:rPr>
          <w:rStyle w:val="HideTWBExt"/>
          <w:b w:val="0"/>
        </w:rPr>
        <w:t>&lt;/TitreType&gt;</w:t>
      </w:r>
    </w:p>
    <w:p w:rsidR="00B85286" w:rsidRPr="00DC0A42" w:rsidRDefault="00EE3FC6" w:rsidP="00A93F8C">
      <w:pPr>
        <w:pStyle w:val="CoverBold"/>
      </w:pPr>
      <w:r w:rsidRPr="00DC0A42">
        <w:rPr>
          <w:rStyle w:val="HideTWBExt"/>
          <w:b w:val="0"/>
        </w:rPr>
        <w:t>&lt;Rapporteur&gt;</w:t>
      </w:r>
      <w:r w:rsidRPr="00DC0A42">
        <w:t>Jorge Buxadé Villalba</w:t>
      </w:r>
      <w:r w:rsidRPr="00DC0A42">
        <w:rPr>
          <w:rStyle w:val="HideTWBExt"/>
          <w:b w:val="0"/>
        </w:rPr>
        <w:t>&lt;/Rapporteur&gt;</w:t>
      </w:r>
    </w:p>
    <w:p w:rsidR="00B85286" w:rsidRPr="00DC0A42" w:rsidRDefault="00EE3FC6">
      <w:pPr>
        <w:pStyle w:val="CoverNormal24a"/>
      </w:pPr>
      <w:r w:rsidRPr="00DC0A42">
        <w:rPr>
          <w:rStyle w:val="HideTWBExt"/>
        </w:rPr>
        <w:t>&lt;DocRefPE&gt;</w:t>
      </w:r>
      <w:r w:rsidRPr="00DC0A42">
        <w:t>(PE661.979v01-00)</w:t>
      </w:r>
      <w:r w:rsidRPr="00DC0A42">
        <w:rPr>
          <w:rStyle w:val="HideTWBExt"/>
        </w:rPr>
        <w:t>&lt;/DocRefPE&gt;</w:t>
      </w:r>
    </w:p>
    <w:p w:rsidR="00B85286" w:rsidRPr="00DC0A42" w:rsidRDefault="00EE3FC6">
      <w:pPr>
        <w:pStyle w:val="CoverNormal24a"/>
      </w:pPr>
      <w:r w:rsidRPr="00DC0A42">
        <w:rPr>
          <w:rStyle w:val="HideTWBExt"/>
        </w:rPr>
        <w:t>&lt;Titre&gt;</w:t>
      </w:r>
      <w:r w:rsidRPr="00DC0A42">
        <w:t>muudetud ettepaneku kohta võtta vastu EUROOPA PARLAMENDI JA NÕUKOGU MÄÄRUS, millega kehtestatakse biomeetriliste andmete võrdlemise Eurodac-süsteem määruse (EL) nr XXX/XXX [varjupaiga- ja rändehalduse määrus] ja määruse (EL) nr XXX/XXX [ümberasustamise määrus] tõhusaks kohaldamiseks, et tuvastada ebaseaduslikult riigis viibivad kolmandate riikide kodanikud ja kodakondsuseta isikud, ning mis käsitleb liikmesriikide õiguskaitseasutuste ja Europoli taotlusi sõrmejälgede andmete võrdlemiseks Eurodac-süsteemi andmetega õiguskaitse eesmärgil ning millega muudetakse määrust (EL) 2018/1240 ja määrust (EL) 2019/818</w:t>
      </w:r>
      <w:r w:rsidRPr="00DC0A42">
        <w:rPr>
          <w:rStyle w:val="HideTWBExt"/>
        </w:rPr>
        <w:t>&lt;/Titre&gt;</w:t>
      </w:r>
    </w:p>
    <w:p w:rsidR="006337D4" w:rsidRPr="00DC0A42" w:rsidRDefault="00EE3FC6" w:rsidP="006337D4">
      <w:pPr>
        <w:pStyle w:val="CoverNormal"/>
      </w:pPr>
      <w:r w:rsidRPr="00DC0A42">
        <w:rPr>
          <w:rStyle w:val="HideTWBExt"/>
        </w:rPr>
        <w:t>&lt;DocAmend&gt;</w:t>
      </w:r>
      <w:r w:rsidRPr="00DC0A42">
        <w:t>Ettepanek võtta vastu määrus</w:t>
      </w:r>
      <w:r w:rsidRPr="00DC0A42">
        <w:rPr>
          <w:rStyle w:val="HideTWBExt"/>
        </w:rPr>
        <w:t>&lt;/DocAmend&gt;</w:t>
      </w:r>
    </w:p>
    <w:p w:rsidR="00B85286" w:rsidRPr="00DC0A42" w:rsidRDefault="00EE3FC6">
      <w:pPr>
        <w:pStyle w:val="CoverNormal24a"/>
      </w:pPr>
      <w:r w:rsidRPr="00DC0A42">
        <w:rPr>
          <w:rStyle w:val="HideTWBExt"/>
        </w:rPr>
        <w:t>&lt;DocRef&gt;</w:t>
      </w:r>
      <w:r w:rsidRPr="00DC0A42">
        <w:t>(COM(2020)0614 – C9</w:t>
      </w:r>
      <w:r w:rsidRPr="00DC0A42">
        <w:noBreakHyphen/>
        <w:t>0131/2020 – 2016/0132(COD))</w:t>
      </w:r>
      <w:r w:rsidRPr="00DC0A42">
        <w:rPr>
          <w:rStyle w:val="HideTWBExt"/>
        </w:rPr>
        <w:t>&lt;/DocRef&gt;</w:t>
      </w:r>
    </w:p>
    <w:p w:rsidR="00B85286" w:rsidRPr="00DC0A42" w:rsidRDefault="00EE3FC6" w:rsidP="00E660E2">
      <w:pPr>
        <w:widowControl/>
        <w:tabs>
          <w:tab w:val="center" w:pos="4677"/>
        </w:tabs>
      </w:pPr>
      <w:r w:rsidRPr="00DC0A42">
        <w:br w:type="page"/>
      </w:r>
      <w:r w:rsidRPr="00DC0A42">
        <w:lastRenderedPageBreak/>
        <w:t>AM_Com_LegReport</w:t>
      </w:r>
    </w:p>
    <w:p w:rsidR="007605D8" w:rsidRPr="00DC0A42" w:rsidRDefault="00EE3FC6" w:rsidP="007605D8">
      <w:pPr>
        <w:pStyle w:val="AMNumberTabs0"/>
        <w:keepNext/>
      </w:pPr>
      <w:r w:rsidRPr="00DC0A42">
        <w:br w:type="page"/>
      </w:r>
      <w:bookmarkStart w:id="0" w:name="IntroB"/>
      <w:r w:rsidRPr="00DC0A42">
        <w:rPr>
          <w:rStyle w:val="HideTWBExt"/>
        </w:rPr>
        <w:lastRenderedPageBreak/>
        <w:t>&lt;RepeatBlock-Amend&gt;&lt;Amend&gt;</w:t>
      </w:r>
      <w:r w:rsidRPr="00DC0A42">
        <w:t>Muudatusettepanek</w:t>
      </w:r>
      <w:r w:rsidRPr="00DC0A42">
        <w:tab/>
      </w:r>
      <w:r w:rsidRPr="00DC0A42">
        <w:tab/>
      </w:r>
      <w:r w:rsidRPr="00DC0A42">
        <w:rPr>
          <w:rStyle w:val="HideTWBExt"/>
        </w:rPr>
        <w:t>&lt;NumAm&gt;</w:t>
      </w:r>
      <w:r w:rsidRPr="00DC0A42">
        <w:t>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1. jaotis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 xml:space="preserve">Muudetud ettepanek: Euroopa Parlamendi ja nõukogu määrus, millega kehtestatakse biomeetriliste andmete võrdlemise Eurodac-süsteem määruse (EL) nr XXX/XXX [varjupaiga- ja rändehalduse määrus] ja määruse (EL) nr XXX/XXX [ümberasustamise määrus] tõhusaks kohaldamiseks, et tuvastada </w:t>
            </w:r>
            <w:r w:rsidRPr="00DC0A42">
              <w:rPr>
                <w:b/>
                <w:i/>
              </w:rPr>
              <w:t>ebaseaduslikult riigis</w:t>
            </w:r>
            <w:r w:rsidRPr="00DC0A42">
              <w:t xml:space="preserve"> viibivad kolmandate riikide kodanikud ja kodakondsuseta isikud, ning mis käsitleb liikmesriikide õiguskaitseasutuste ja Europoli taotlusi sõrmejälgede andmete võrdlemiseks Eurodac-süsteemi andmetega õiguskaitse eesmärgil ning millega muudetakse määrust (EL)</w:t>
            </w:r>
            <w:r w:rsidRPr="00DC0A42">
              <w:rPr>
                <w:b/>
                <w:i/>
              </w:rPr>
              <w:t> </w:t>
            </w:r>
            <w:r w:rsidRPr="00DC0A42">
              <w:t>2018/1240 ja määrust (EL)</w:t>
            </w:r>
            <w:r w:rsidRPr="00DC0A42">
              <w:rPr>
                <w:b/>
                <w:i/>
              </w:rPr>
              <w:t> </w:t>
            </w:r>
            <w:r w:rsidRPr="00DC0A42">
              <w:t>2019/818</w:t>
            </w:r>
            <w:r w:rsidRPr="00DC0A42">
              <w:rPr>
                <w:b/>
                <w:i/>
              </w:rPr>
              <w:t>.</w:t>
            </w:r>
          </w:p>
        </w:tc>
        <w:tc>
          <w:tcPr>
            <w:tcW w:w="4876" w:type="dxa"/>
            <w:hideMark/>
          </w:tcPr>
          <w:p w:rsidR="007605D8" w:rsidRPr="00DC0A42" w:rsidRDefault="00EE3FC6" w:rsidP="007605D8">
            <w:pPr>
              <w:pStyle w:val="Normal6"/>
              <w:rPr>
                <w:szCs w:val="24"/>
              </w:rPr>
            </w:pPr>
            <w:r w:rsidRPr="00DC0A42">
              <w:t xml:space="preserve">Muudetud ettepanek: Euroopa Parlamendi ja nõukogu määrus, millega kehtestatakse biomeetriliste andmete võrdlemise Eurodac-süsteem määruse (EL) nr XXX/XXX [varjupaiga- ja rändehalduse määrus] ja määruse (EL) nr XXX/XXX [ümberasustamise määrus] tõhusaks kohaldamiseks, et tuvastada </w:t>
            </w:r>
            <w:r w:rsidRPr="00DC0A42">
              <w:rPr>
                <w:b/>
                <w:i/>
              </w:rPr>
              <w:t>riigis seadusliku aluseta</w:t>
            </w:r>
            <w:r w:rsidRPr="00DC0A42">
              <w:t xml:space="preserve"> viibivad kolmandate riikide kodanikud ja kodakondsuseta isikud, ning mis käsitleb liikmesriikide õiguskaitseasutuste ja Europoli taotlusi sõrmejälgede andmete võrdlemiseks Eurodac-süsteemi andmetega õiguskaitse eesmärgil ning millega muudetakse määrust (EL)</w:t>
            </w:r>
            <w:r w:rsidRPr="00DC0A42">
              <w:rPr>
                <w:b/>
                <w:i/>
              </w:rPr>
              <w:t xml:space="preserve"> </w:t>
            </w:r>
            <w:r w:rsidRPr="00DC0A42">
              <w:t>2018/1240 ja määrust (EL)</w:t>
            </w:r>
            <w:r w:rsidRPr="00DC0A42">
              <w:rPr>
                <w:b/>
                <w:i/>
              </w:rPr>
              <w:t xml:space="preserve"> </w:t>
            </w:r>
            <w:r w:rsidRPr="00DC0A42">
              <w:t>2019/818</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keepNext/>
      </w:pPr>
      <w:r w:rsidRPr="00DC0A42">
        <w:rPr>
          <w:rStyle w:val="HideTWBExt"/>
        </w:rPr>
        <w:t>&lt;Article&gt;</w:t>
      </w:r>
      <w:r w:rsidRPr="00DC0A42">
        <w:t>Preambul – punkt 1 – põhjendus 4a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„4a)</w:t>
            </w:r>
            <w:r w:rsidRPr="00DC0A42">
              <w:tab/>
              <w:t xml:space="preserve">Lisaks sellele on määruse (EL) XXX/XXX [ varjupaiga- ja rändehalduse määrus] tõhusaks kohaldamiseks ja kooskõlas nimetatud määruse sätetega vaja Eurodac-süsteemis selgelt ära märkida asjaolu, et toimunud on vastutuse üleminek ühelt liikmesriigilt teisele, muu hulgas ümberpaigutamisjuhtumite korral. </w:t>
            </w:r>
            <w:r w:rsidRPr="00DC0A42">
              <w:rPr>
                <w:b/>
                <w:i/>
              </w:rPr>
              <w:t>Selleks et kajastada täpselt liikmesriikide kohustusi korraldada otsingu- ja päästeoperatsioone ning et aidata neid liikmesriike nende ees seisvate spetsiifiliste probleemide lahendamisel, kuna nad ei saa nimetatud operatsioonide järel maabunud isikute puhul kasutada samu vahendeid nagu ebaseadusliku piiriületuse korral maa- või õhuteed pidi, on lisaks sellele vaja registreerida otsingu- ja päästeoperatsiooni järel maabunud kolmandate riikide kodanikud või kodakondsuseta isikud Eurodac-süsteemis eraldi kategooriana.</w:t>
            </w:r>
          </w:p>
        </w:tc>
        <w:tc>
          <w:tcPr>
            <w:tcW w:w="4876" w:type="dxa"/>
            <w:hideMark/>
          </w:tcPr>
          <w:p w:rsidR="007605D8" w:rsidRPr="00DC0A42" w:rsidRDefault="00EE3FC6" w:rsidP="007605D8">
            <w:pPr>
              <w:pStyle w:val="Normal6"/>
              <w:rPr>
                <w:szCs w:val="24"/>
              </w:rPr>
            </w:pPr>
            <w:r w:rsidRPr="00DC0A42">
              <w:t>„4a)</w:t>
            </w:r>
            <w:r w:rsidRPr="00DC0A42">
              <w:tab/>
              <w:t>Lisaks sellele on määruse (EL) XXX/XXX [ varjupaiga- ja rändehalduse määrus] tõhusaks kohaldamiseks ja kooskõlas nimetatud määruse sätetega vaja Eurodac-süsteemis selgelt ära märkida asjaolu, et toimunud on vastutuse üleminek ühelt liikmesriigilt teisele, muu hulgas ümberpaigutamisjuhtumite korral.</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Preambul – punkt 2 – põhjendus 5a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„5a)</w:t>
            </w:r>
            <w:r w:rsidRPr="00DC0A42">
              <w:tab/>
              <w:t xml:space="preserve">Samuti tuleb </w:t>
            </w:r>
            <w:r w:rsidRPr="00DC0A42">
              <w:rPr>
                <w:b/>
                <w:i/>
              </w:rPr>
              <w:t>kehtestada sätted</w:t>
            </w:r>
            <w:r w:rsidRPr="00DC0A42">
              <w:t xml:space="preserve">, </w:t>
            </w:r>
            <w:r w:rsidRPr="00DC0A42">
              <w:rPr>
                <w:b/>
                <w:i/>
              </w:rPr>
              <w:t>mis tagaksid</w:t>
            </w:r>
            <w:r w:rsidRPr="00DC0A42">
              <w:t xml:space="preserve"> nimetatud </w:t>
            </w:r>
            <w:r w:rsidRPr="00DC0A42">
              <w:rPr>
                <w:b/>
                <w:i/>
              </w:rPr>
              <w:t>süsteemi toimimise</w:t>
            </w:r>
            <w:r w:rsidRPr="00DC0A42">
              <w:t xml:space="preserve"> Euroopa Parlamendi ja nõukogu määrusega (EL) 2019/817</w:t>
            </w:r>
            <w:r w:rsidRPr="00DC0A42">
              <w:rPr>
                <w:vertAlign w:val="superscript"/>
              </w:rPr>
              <w:t>25</w:t>
            </w:r>
            <w:r w:rsidRPr="00DC0A42">
              <w:t xml:space="preserve"> ja Euroopa Parlamendi ja nõukogu määrusega 2019/818</w:t>
            </w:r>
            <w:r w:rsidRPr="00DC0A42">
              <w:rPr>
                <w:vertAlign w:val="superscript"/>
              </w:rPr>
              <w:t>26</w:t>
            </w:r>
            <w:r w:rsidRPr="00DC0A42">
              <w:t xml:space="preserve"> loodud koostalitlusvõime raamistikus.</w:t>
            </w:r>
          </w:p>
        </w:tc>
        <w:tc>
          <w:tcPr>
            <w:tcW w:w="4876" w:type="dxa"/>
            <w:hideMark/>
          </w:tcPr>
          <w:p w:rsidR="007605D8" w:rsidRPr="00DC0A42" w:rsidRDefault="00EE3FC6" w:rsidP="00F10CF9">
            <w:pPr>
              <w:pStyle w:val="Normal6"/>
              <w:rPr>
                <w:szCs w:val="24"/>
              </w:rPr>
            </w:pPr>
            <w:r w:rsidRPr="00DC0A42">
              <w:t>„5a)</w:t>
            </w:r>
            <w:r w:rsidRPr="00DC0A42">
              <w:tab/>
              <w:t xml:space="preserve">Samuti tuleb </w:t>
            </w:r>
            <w:r w:rsidRPr="00DC0A42">
              <w:rPr>
                <w:b/>
                <w:i/>
              </w:rPr>
              <w:t>tagada</w:t>
            </w:r>
            <w:r w:rsidRPr="00DC0A42">
              <w:t xml:space="preserve">, </w:t>
            </w:r>
            <w:r w:rsidRPr="00DC0A42">
              <w:rPr>
                <w:b/>
                <w:i/>
              </w:rPr>
              <w:t>et</w:t>
            </w:r>
            <w:r w:rsidRPr="00DC0A42">
              <w:t xml:space="preserve"> nimetatud </w:t>
            </w:r>
            <w:r w:rsidRPr="00DC0A42">
              <w:rPr>
                <w:b/>
                <w:i/>
              </w:rPr>
              <w:t>süsteem toimiks</w:t>
            </w:r>
            <w:r w:rsidRPr="00DC0A42">
              <w:t xml:space="preserve"> Euroopa Parlamendi ja nõukogu määrusega (EL) 2019/817</w:t>
            </w:r>
            <w:r w:rsidRPr="00DC0A42">
              <w:rPr>
                <w:vertAlign w:val="superscript"/>
              </w:rPr>
              <w:t>25</w:t>
            </w:r>
            <w:r w:rsidRPr="00DC0A42">
              <w:t xml:space="preserve"> ja Euroopa Parlamendi ja nõukogu määrusega 2019/818</w:t>
            </w:r>
            <w:r w:rsidRPr="00DC0A42">
              <w:rPr>
                <w:vertAlign w:val="superscript"/>
              </w:rPr>
              <w:t>26</w:t>
            </w:r>
            <w:r w:rsidRPr="00DC0A42">
              <w:t xml:space="preserve"> loodud koostalitlusvõime raamistikus</w:t>
            </w:r>
            <w:r w:rsidRPr="00DC0A42">
              <w:rPr>
                <w:b/>
                <w:i/>
              </w:rPr>
              <w:t xml:space="preserve"> vastavalt käesolevale määrusele ja Euroopa Parlamendi ja nõukogu määrusele 2016/679</w:t>
            </w:r>
            <w:r w:rsidRPr="00DC0A42">
              <w:rPr>
                <w:b/>
                <w:i/>
                <w:vertAlign w:val="superscript"/>
              </w:rPr>
              <w:t>26a</w:t>
            </w:r>
            <w:r w:rsidRPr="00DC0A42">
              <w:rPr>
                <w:b/>
                <w:i/>
              </w:rPr>
              <w:t xml:space="preserve"> ning eelkõige nimetatud määruses sätestatud vajalikkuse, proportsionaalsuse ja eesmärgi piiramise põhimõtetega.</w:t>
            </w:r>
            <w:r w:rsidRPr="00DC0A42">
              <w:t xml:space="preserve"> </w:t>
            </w:r>
            <w:r w:rsidRPr="00DC0A42">
              <w:rPr>
                <w:b/>
                <w:i/>
              </w:rPr>
              <w:t>Lisaks tuleb kehtestada selged sätted, mis võimaldaksid liikmesriikide määratud riigiasutustel ja liidu asutustel, kellel on juurdepääs Eurodac-süsteemile, näha üksnes andmeid, mis on rangelt asjakohased nende konkreetsete ülesannete täitmiseks.</w:t>
            </w:r>
          </w:p>
        </w:tc>
      </w:tr>
      <w:tr w:rsidR="00F677D7" w:rsidRPr="00DC0A42" w:rsidTr="007605D8">
        <w:trPr>
          <w:jc w:val="center"/>
        </w:trPr>
        <w:tc>
          <w:tcPr>
            <w:tcW w:w="4876" w:type="dxa"/>
            <w:hideMark/>
          </w:tcPr>
          <w:p w:rsidR="007605D8" w:rsidRPr="00DC0A42" w:rsidRDefault="00EE3FC6" w:rsidP="007605D8">
            <w:pPr>
              <w:pStyle w:val="Normal6"/>
            </w:pPr>
            <w:r w:rsidRPr="00DC0A42">
              <w:t>__________________</w:t>
            </w:r>
          </w:p>
        </w:tc>
        <w:tc>
          <w:tcPr>
            <w:tcW w:w="4876" w:type="dxa"/>
            <w:hideMark/>
          </w:tcPr>
          <w:p w:rsidR="007605D8" w:rsidRPr="00DC0A42" w:rsidRDefault="00EE3FC6" w:rsidP="007605D8">
            <w:pPr>
              <w:pStyle w:val="Normal6"/>
              <w:rPr>
                <w:szCs w:val="24"/>
              </w:rPr>
            </w:pPr>
            <w:r w:rsidRPr="00DC0A42">
              <w:t>__________________</w:t>
            </w:r>
          </w:p>
        </w:tc>
      </w:tr>
      <w:tr w:rsidR="00F677D7" w:rsidRPr="00DC0A42" w:rsidTr="007605D8">
        <w:trPr>
          <w:jc w:val="center"/>
        </w:trPr>
        <w:tc>
          <w:tcPr>
            <w:tcW w:w="4876" w:type="dxa"/>
            <w:hideMark/>
          </w:tcPr>
          <w:p w:rsidR="007605D8" w:rsidRPr="00DC0A42" w:rsidRDefault="00EE3FC6" w:rsidP="007605D8">
            <w:pPr>
              <w:pStyle w:val="Normal6"/>
            </w:pPr>
            <w:r w:rsidRPr="00DC0A42">
              <w:rPr>
                <w:vertAlign w:val="superscript"/>
              </w:rPr>
              <w:t>25</w:t>
            </w:r>
            <w:r w:rsidRPr="00DC0A42">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27–84).</w:t>
            </w:r>
          </w:p>
        </w:tc>
        <w:tc>
          <w:tcPr>
            <w:tcW w:w="4876" w:type="dxa"/>
            <w:hideMark/>
          </w:tcPr>
          <w:p w:rsidR="007605D8" w:rsidRPr="00DC0A42" w:rsidRDefault="00EE3FC6" w:rsidP="007605D8">
            <w:pPr>
              <w:pStyle w:val="Normal6"/>
              <w:rPr>
                <w:szCs w:val="24"/>
              </w:rPr>
            </w:pPr>
            <w:r w:rsidRPr="00DC0A42">
              <w:rPr>
                <w:vertAlign w:val="superscript"/>
              </w:rPr>
              <w:t>25</w:t>
            </w:r>
            <w:r w:rsidRPr="00DC0A42">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27–84).</w:t>
            </w:r>
          </w:p>
        </w:tc>
      </w:tr>
      <w:tr w:rsidR="00F677D7" w:rsidRPr="00DC0A42" w:rsidTr="007605D8">
        <w:trPr>
          <w:jc w:val="center"/>
        </w:trPr>
        <w:tc>
          <w:tcPr>
            <w:tcW w:w="4876" w:type="dxa"/>
            <w:hideMark/>
          </w:tcPr>
          <w:p w:rsidR="007605D8" w:rsidRPr="00DC0A42" w:rsidRDefault="00EE3FC6" w:rsidP="007605D8">
            <w:pPr>
              <w:pStyle w:val="Normal6"/>
            </w:pPr>
            <w:r w:rsidRPr="00DC0A42">
              <w:rPr>
                <w:vertAlign w:val="superscript"/>
              </w:rPr>
              <w:t>26</w:t>
            </w:r>
            <w:r w:rsidRPr="00DC0A42">
              <w:t xml:space="preserve"> Euroopa Parlamendi ja nõukogu 20. mai 2019. aasta määrus (EL) 2019/818, millega luuakse ELi infosüsteemide koostalitlusvõime raamistik politsei- ja õiguskoostöö, varjupaiga ja rände valdkonnas ning muudetakse määrusi (EL) 2018/1726, (EL) 2018/1862 ja (EL) 2019/816 (ELT L 135, 22.5.2019, lk 85–135).</w:t>
            </w:r>
          </w:p>
        </w:tc>
        <w:tc>
          <w:tcPr>
            <w:tcW w:w="4876" w:type="dxa"/>
            <w:hideMark/>
          </w:tcPr>
          <w:p w:rsidR="007605D8" w:rsidRPr="00DC0A42" w:rsidRDefault="00EE3FC6" w:rsidP="007605D8">
            <w:pPr>
              <w:pStyle w:val="Normal6"/>
              <w:rPr>
                <w:szCs w:val="24"/>
              </w:rPr>
            </w:pPr>
            <w:r w:rsidRPr="00DC0A42">
              <w:rPr>
                <w:vertAlign w:val="superscript"/>
              </w:rPr>
              <w:t>26</w:t>
            </w:r>
            <w:r w:rsidRPr="00DC0A42">
              <w:t xml:space="preserve"> Euroopa Parlamendi ja nõukogu 20. mai 2019. aasta määrus (EL) 2019/818, millega luuakse ELi infosüsteemide koostalitlusvõime raamistik politsei- ja õiguskoostöö, varjupaiga ja rände valdkonnas ning muudetakse määrusi (EL) 2018/1726, (EL) 2018/1862 ja (EL) 2019/816 (ELT L 135, 22.5.2019, lk 85–135).</w:t>
            </w:r>
          </w:p>
        </w:tc>
      </w:tr>
      <w:tr w:rsidR="00F677D7" w:rsidRPr="00DC0A42" w:rsidTr="007605D8">
        <w:trPr>
          <w:jc w:val="center"/>
        </w:trPr>
        <w:tc>
          <w:tcPr>
            <w:tcW w:w="4876" w:type="dxa"/>
          </w:tcPr>
          <w:p w:rsidR="00337F1F" w:rsidRPr="00DC0A42" w:rsidRDefault="00337F1F" w:rsidP="007605D8">
            <w:pPr>
              <w:pStyle w:val="Normal6"/>
              <w:rPr>
                <w:vertAlign w:val="superscript"/>
              </w:rPr>
            </w:pPr>
          </w:p>
        </w:tc>
        <w:tc>
          <w:tcPr>
            <w:tcW w:w="4876" w:type="dxa"/>
          </w:tcPr>
          <w:p w:rsidR="00337F1F" w:rsidRPr="00DC0A42" w:rsidRDefault="00EE3FC6" w:rsidP="007605D8">
            <w:pPr>
              <w:pStyle w:val="Normal6"/>
              <w:rPr>
                <w:b/>
                <w:i/>
                <w:vertAlign w:val="superscript"/>
              </w:rPr>
            </w:pPr>
            <w:r w:rsidRPr="00DC0A42">
              <w:rPr>
                <w:b/>
                <w:i/>
                <w:vertAlign w:val="superscript"/>
              </w:rPr>
              <w:t>26a</w:t>
            </w:r>
            <w:r w:rsidRPr="00DC0A42">
              <w:rPr>
                <w:b/>
                <w:i/>
              </w:rPr>
              <w:tab/>
              <w:t>Euroopa Parlamendi ja nõukogu 27. aprilli 2016. aasta määrus (EL) 2016/679 füüsiliste isikute kaitse kohta isikuandmete töötlemisel ja selliste andmete vaba liikumise ning direktiivi 95/46/EÜ kehtetuks tunnistamise kohta (isikuandmete kaitse üldmäärus) (</w:t>
            </w:r>
            <w:r w:rsidRPr="00DC0A42">
              <w:rPr>
                <w:rStyle w:val="Emphasis"/>
                <w:b/>
              </w:rPr>
              <w:t>ELT L 119, 4.5.2016, lk 1</w:t>
            </w:r>
            <w:r w:rsidRPr="00DC0A42">
              <w:rPr>
                <w:b/>
                <w:i/>
              </w:rPr>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Preambul – punkt 2 – põhjendus 5b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F10CF9">
            <w:pPr>
              <w:pStyle w:val="Normal6"/>
              <w:rPr>
                <w:szCs w:val="24"/>
              </w:rPr>
            </w:pPr>
            <w:r w:rsidRPr="00DC0A42">
              <w:rPr>
                <w:b/>
                <w:i/>
              </w:rPr>
              <w:t>5ba)</w:t>
            </w:r>
            <w:r w:rsidRPr="00DC0A42">
              <w:rPr>
                <w:b/>
                <w:i/>
              </w:rPr>
              <w:tab/>
              <w:t>Euroopa Parlamendi ja nõukogu määrustes (EL) 2019/1896</w:t>
            </w:r>
            <w:r w:rsidRPr="00DC0A42">
              <w:rPr>
                <w:b/>
                <w:i/>
                <w:vertAlign w:val="superscript"/>
              </w:rPr>
              <w:t>1a</w:t>
            </w:r>
            <w:r w:rsidRPr="00DC0A42">
              <w:rPr>
                <w:b/>
                <w:i/>
              </w:rPr>
              <w:t xml:space="preserve"> ja (EL) 2021/2303</w:t>
            </w:r>
            <w:r w:rsidRPr="00DC0A42">
              <w:rPr>
                <w:b/>
                <w:i/>
                <w:vertAlign w:val="superscript"/>
              </w:rPr>
              <w:t>1b</w:t>
            </w:r>
            <w:r w:rsidRPr="00DC0A42">
              <w:rPr>
                <w:b/>
                <w:i/>
              </w:rPr>
              <w:t xml:space="preserve"> sätestatud ülesannete täitmiseks on vaja, et Euroopa piiri- ja rannikuvalve alalise korpuse liikmetel, kes on lähetatud piirihaldusrühmade, rändehalduse tugirühmade ja tagasisaatmisrühmade kaudu, ning Euroopa Liidu Varjupaigaameti varjupaigatugirühmade (edaspidi „ametite rühmad“) liikmetel oleks juurdepääs Eurodac-süsteemile. Kui konkreetset operatsiooni korraldav liikmesriik seda taotleb, peaks ametite rühmade liikmetel olema võimalik asjakohaseid Eurodac-süsteemi andmeid, kasutades liikmesriikide IT-lahendusi, võtta ja edastada.</w:t>
            </w:r>
          </w:p>
        </w:tc>
      </w:tr>
      <w:tr w:rsidR="00F677D7" w:rsidRPr="00DC0A42" w:rsidTr="007605D8">
        <w:trPr>
          <w:jc w:val="center"/>
        </w:trPr>
        <w:tc>
          <w:tcPr>
            <w:tcW w:w="4876" w:type="dxa"/>
          </w:tcPr>
          <w:p w:rsidR="00F10CF9" w:rsidRPr="00DC0A42" w:rsidRDefault="00F10CF9" w:rsidP="007605D8">
            <w:pPr>
              <w:pStyle w:val="Normal6"/>
            </w:pPr>
          </w:p>
        </w:tc>
        <w:tc>
          <w:tcPr>
            <w:tcW w:w="4876" w:type="dxa"/>
          </w:tcPr>
          <w:p w:rsidR="00F10CF9" w:rsidRPr="00DC0A42" w:rsidRDefault="00EE3FC6" w:rsidP="007605D8">
            <w:pPr>
              <w:pStyle w:val="Normal6"/>
              <w:rPr>
                <w:b/>
                <w:i/>
              </w:rPr>
            </w:pPr>
            <w:r w:rsidRPr="00DC0A42">
              <w:t>__________________</w:t>
            </w:r>
          </w:p>
        </w:tc>
      </w:tr>
      <w:tr w:rsidR="00F677D7" w:rsidRPr="00DC0A42" w:rsidTr="007605D8">
        <w:trPr>
          <w:jc w:val="center"/>
        </w:trPr>
        <w:tc>
          <w:tcPr>
            <w:tcW w:w="4876" w:type="dxa"/>
          </w:tcPr>
          <w:p w:rsidR="00F10CF9" w:rsidRPr="00DC0A42" w:rsidRDefault="00F10CF9" w:rsidP="007605D8">
            <w:pPr>
              <w:pStyle w:val="Normal6"/>
            </w:pPr>
          </w:p>
        </w:tc>
        <w:tc>
          <w:tcPr>
            <w:tcW w:w="4876" w:type="dxa"/>
          </w:tcPr>
          <w:p w:rsidR="00F10CF9" w:rsidRPr="00DC0A42" w:rsidRDefault="00EE3FC6" w:rsidP="007605D8">
            <w:pPr>
              <w:pStyle w:val="Normal6"/>
              <w:rPr>
                <w:b/>
                <w:i/>
              </w:rPr>
            </w:pPr>
            <w:r w:rsidRPr="00DC0A42">
              <w:rPr>
                <w:b/>
                <w:i/>
                <w:vertAlign w:val="superscript"/>
              </w:rPr>
              <w:t>1a</w:t>
            </w:r>
            <w:r w:rsidRPr="00DC0A42">
              <w:rPr>
                <w:b/>
                <w:i/>
              </w:rPr>
              <w:tab/>
              <w:t>Euroopa Parlamendi ja nõukogu 13. novembri 2019. aasta määrus (EL) 2019/1896, mis käsitleb Euroopa piiri- ja rannikuvalvet ning millega tunnistatakse kehtetuks määrused (EL) nr 1052/2013 ning (EL) 2016/1624 (ELT L 295, 14.11.2019, lk 1).</w:t>
            </w:r>
          </w:p>
        </w:tc>
      </w:tr>
      <w:tr w:rsidR="00F677D7" w:rsidRPr="00DC0A42" w:rsidTr="007605D8">
        <w:trPr>
          <w:jc w:val="center"/>
        </w:trPr>
        <w:tc>
          <w:tcPr>
            <w:tcW w:w="4876" w:type="dxa"/>
          </w:tcPr>
          <w:p w:rsidR="00F10CF9" w:rsidRPr="00DC0A42" w:rsidRDefault="00F10CF9" w:rsidP="007605D8">
            <w:pPr>
              <w:pStyle w:val="Normal6"/>
            </w:pPr>
          </w:p>
        </w:tc>
        <w:tc>
          <w:tcPr>
            <w:tcW w:w="4876" w:type="dxa"/>
          </w:tcPr>
          <w:p w:rsidR="00F10CF9" w:rsidRPr="00DC0A42" w:rsidRDefault="00EE3FC6" w:rsidP="007605D8">
            <w:pPr>
              <w:pStyle w:val="Normal6"/>
              <w:rPr>
                <w:b/>
                <w:i/>
                <w:vertAlign w:val="superscript"/>
              </w:rPr>
            </w:pPr>
            <w:r w:rsidRPr="00DC0A42">
              <w:rPr>
                <w:b/>
                <w:i/>
                <w:vertAlign w:val="superscript"/>
              </w:rPr>
              <w:t>1b</w:t>
            </w:r>
            <w:r w:rsidRPr="00DC0A42">
              <w:rPr>
                <w:b/>
                <w:i/>
                <w:vertAlign w:val="superscript"/>
              </w:rPr>
              <w:tab/>
            </w:r>
            <w:r w:rsidRPr="00DC0A42">
              <w:rPr>
                <w:b/>
                <w:i/>
              </w:rPr>
              <w:t>Euroopa Parlamendi ja nõukogu määrus (EL) 2021/2303, 15. detsember 2021, mis käsitleb Euroopa Liidu Varjupaigaametit ja millega tunnistatakse kehtetuks määrus (EL) nr 439/2010 (ELT L 468, 30.12.2021, lk 1).</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Preambul – punkt 2 – põhjendus 5c</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5c)</w:t>
            </w:r>
            <w:r w:rsidRPr="00DC0A42">
              <w:tab/>
            </w:r>
            <w:r w:rsidRPr="00DC0A42">
              <w:rPr>
                <w:b/>
                <w:i/>
              </w:rPr>
              <w:t>Samuti on ebaseadusliku rände haldamiseks vaja</w:t>
            </w:r>
            <w:r w:rsidRPr="00DC0A42">
              <w:t xml:space="preserve">, et </w:t>
            </w:r>
            <w:r w:rsidRPr="00DC0A42">
              <w:rPr>
                <w:b/>
                <w:i/>
              </w:rPr>
              <w:t>eu-LISA-le antaks võimalus</w:t>
            </w:r>
            <w:r w:rsidRPr="00DC0A42">
              <w:t xml:space="preserve"> koostada </w:t>
            </w:r>
            <w:r w:rsidRPr="00DC0A42">
              <w:rPr>
                <w:b/>
                <w:i/>
              </w:rPr>
              <w:t>süsteemiülene statistika</w:t>
            </w:r>
            <w:r w:rsidRPr="00DC0A42">
              <w:t>, kasutades Eurodac-süsteemi, viisainfosüsteemi, ETIASe ning riiki sisenemise ja riigist lahkumise süsteemi andmeid. Selleks et määrata kindlaks sellise süsteemiülese statistika sisu, tuleks komisjonile anda rakendamisvolitused. Kõnealuseid volitusi tuleks kasutada vastavalt Euroopa Parlamendi ja nõukogu 16. veebruari 2011. aasta määrusele (EL) 182/2011, millega kehtestatakse eeskirjad ja üldpõhimõtted, mis käsitlevad liikmesriikide läbiviidava kontrolli mehhanisme, mida kohaldatakse komisjoni rakendamisvolituste teostamise suhtes.“;</w:t>
            </w:r>
          </w:p>
        </w:tc>
        <w:tc>
          <w:tcPr>
            <w:tcW w:w="4876" w:type="dxa"/>
            <w:hideMark/>
          </w:tcPr>
          <w:p w:rsidR="007605D8" w:rsidRPr="00DC0A42" w:rsidRDefault="00EE3FC6" w:rsidP="00F10CF9">
            <w:pPr>
              <w:pStyle w:val="Normal6"/>
              <w:rPr>
                <w:szCs w:val="24"/>
              </w:rPr>
            </w:pPr>
            <w:r w:rsidRPr="00DC0A42">
              <w:t>5c)</w:t>
            </w:r>
            <w:r w:rsidRPr="00DC0A42">
              <w:tab/>
            </w:r>
            <w:r w:rsidRPr="00DC0A42">
              <w:rPr>
                <w:b/>
                <w:i/>
              </w:rPr>
              <w:t>Selleks et abistada liikmesriike ebaseadusliku sisserände ohjamisel ja poliitikakujundajatele kasuliku statistika andmisel</w:t>
            </w:r>
            <w:r w:rsidRPr="00DC0A42">
              <w:t xml:space="preserve">, et </w:t>
            </w:r>
            <w:r w:rsidRPr="00DC0A42">
              <w:rPr>
                <w:b/>
                <w:i/>
              </w:rPr>
              <w:t>soodustada tõendipõhist poliitikakujundamist, peaks eu-LISA saama</w:t>
            </w:r>
            <w:r w:rsidRPr="00DC0A42">
              <w:t xml:space="preserve"> koostada </w:t>
            </w:r>
            <w:r w:rsidRPr="00DC0A42">
              <w:rPr>
                <w:b/>
                <w:i/>
              </w:rPr>
              <w:t>süsteemiülest statistikat</w:t>
            </w:r>
            <w:r w:rsidRPr="00DC0A42">
              <w:t>, kasutades</w:t>
            </w:r>
            <w:r w:rsidRPr="00DC0A42">
              <w:rPr>
                <w:b/>
                <w:i/>
              </w:rPr>
              <w:t xml:space="preserve"> asjakohaseid liidu andmebaase, eelkõige</w:t>
            </w:r>
            <w:r w:rsidRPr="00DC0A42">
              <w:t xml:space="preserve"> Eurodac-süsteemi, viisainfosüsteemi, ETIASe ning riiki sisenemise ja riigist lahkumise süsteemi andmeid. Selleks et määrata kindlaks sellise süsteemiülese statistika sisu, tuleks komisjonile anda rakendamisvolitused. Kõnealuseid volitusi tuleks kasutada vastavalt Euroopa Parlamendi ja nõukogu 16. veebruari 2011. aasta määrusele (EL) 182/2011, millega kehtestatakse eeskirjad ja üldpõhimõtted, mis käsitlevad liikmesriikide läbiviidava kontrolli mehhanisme, mida kohaldatakse komisjoni rakendamisvolituste teostamise suhtes.“;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Preambul – punkt 3 – põhjendus 6</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„6.</w:t>
            </w:r>
            <w:r w:rsidRPr="00DC0A42">
              <w:tab/>
              <w:t>Neil eesmärkidel on vaja luua Eurodac-süsteem, mis koosneb kesksüsteemist ja määrusega (EL) 2019/818 loodud ühisest isikuandmete hoidlast, mis haldab biomeetriliste andmete infotehnoloogilist keskandmebaasi, ning nende [kesksüsteemi ja ühise isikuandmete hoidla] ja liikmesriikide vahelistest elektroonilistest edastusvahenditest (edaspidi „sideinfrastruktuur“).“;</w:t>
            </w:r>
          </w:p>
        </w:tc>
        <w:tc>
          <w:tcPr>
            <w:tcW w:w="4876" w:type="dxa"/>
            <w:hideMark/>
          </w:tcPr>
          <w:p w:rsidR="007605D8" w:rsidRPr="00DC0A42" w:rsidRDefault="00EE3FC6" w:rsidP="007605D8">
            <w:pPr>
              <w:pStyle w:val="Normal6"/>
              <w:rPr>
                <w:szCs w:val="24"/>
              </w:rPr>
            </w:pPr>
            <w:r w:rsidRPr="00DC0A42">
              <w:t>„6.</w:t>
            </w:r>
            <w:r w:rsidRPr="00DC0A42">
              <w:tab/>
              <w:t xml:space="preserve">Neil eesmärkidel on vaja luua Eurodac-süsteem, mis koosneb kesksüsteemist ja määrusega (EL) 2019/818 loodud ühisest isikuandmete hoidlast, mis haldab biomeetriliste </w:t>
            </w:r>
            <w:r w:rsidRPr="00DC0A42">
              <w:rPr>
                <w:b/>
                <w:i/>
              </w:rPr>
              <w:t xml:space="preserve">ja tähtnumbriliste </w:t>
            </w:r>
            <w:r w:rsidRPr="00DC0A42">
              <w:t>andmete infotehnoloogilist keskandmebaasi, ning nende [kesksüsteemi ja ühise isikuandmete hoidla] ja liikmesriikide vahelistest elektroonilistest edastusvahenditest (edaspidi „sideinfrastruktuur“).“;</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Preambul – punkt 5 – põhjendus 14</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„(14)</w:t>
            </w:r>
            <w:r w:rsidRPr="00DC0A42">
              <w:tab/>
              <w:t xml:space="preserve">Selleks et Eurodac-süsteem saaks tulemuslikult kaasa aidata ebaseadusliku rände kontrollile ja teisese </w:t>
            </w:r>
            <w:r w:rsidRPr="00DC0A42">
              <w:rPr>
                <w:b/>
                <w:i/>
              </w:rPr>
              <w:t>ELi sisese</w:t>
            </w:r>
            <w:r w:rsidRPr="00DC0A42">
              <w:t xml:space="preserve"> liikumise kindlakstegemisele, tuleb süsteemile anda võimalus loendada lisaks taotlustele ka taotlejaid, linkides kõik ühele isikule vastavad andmekogumid nende kategooriast sõltumata ühte jadasse.“;</w:t>
            </w:r>
          </w:p>
        </w:tc>
        <w:tc>
          <w:tcPr>
            <w:tcW w:w="4876" w:type="dxa"/>
            <w:hideMark/>
          </w:tcPr>
          <w:p w:rsidR="007605D8" w:rsidRPr="00DC0A42" w:rsidRDefault="00EE3FC6" w:rsidP="008C51F4">
            <w:pPr>
              <w:pStyle w:val="Normal6"/>
              <w:rPr>
                <w:szCs w:val="24"/>
              </w:rPr>
            </w:pPr>
            <w:r w:rsidRPr="00DC0A42">
              <w:t>„(14)</w:t>
            </w:r>
            <w:r w:rsidRPr="00DC0A42">
              <w:tab/>
              <w:t xml:space="preserve">Selleks et Eurodac-süsteem saaks tulemuslikult kaasa aidata </w:t>
            </w:r>
            <w:r w:rsidRPr="00DC0A42">
              <w:rPr>
                <w:b/>
                <w:i/>
              </w:rPr>
              <w:t xml:space="preserve">liitu suunduva </w:t>
            </w:r>
            <w:r w:rsidRPr="00DC0A42">
              <w:t xml:space="preserve">ebaseadusliku rände kontrollile ja teisese </w:t>
            </w:r>
            <w:r w:rsidRPr="00DC0A42">
              <w:rPr>
                <w:b/>
                <w:i/>
              </w:rPr>
              <w:t>liidusisese</w:t>
            </w:r>
            <w:r w:rsidRPr="00DC0A42">
              <w:t xml:space="preserve"> liikumise kindlakstegemisele, tuleb süsteemile anda võimalus loendada lisaks taotlustele ka taotlejaid, linkides kõik ühele isikule vastavad andmekogumid nende kategooriast sõltumata ühte jadasse</w:t>
            </w:r>
            <w:r w:rsidRPr="00DC0A42">
              <w:rPr>
                <w:b/>
                <w:i/>
              </w:rPr>
              <w:t>.</w:t>
            </w:r>
            <w:r w:rsidRPr="00DC0A42">
              <w:t xml:space="preserve"> </w:t>
            </w:r>
            <w:r w:rsidRPr="00DC0A42">
              <w:rPr>
                <w:b/>
                <w:i/>
              </w:rPr>
              <w:t>Liikmesriikide ametiasutustel ja liidu asutustel peaks olema võimalik näha ainult isikuandmeid, mis on nende ülesannete täitmiseks rangelt asjakohased, isegi kui andmed on lingitud jadasse. See ei mõjuta iga andmekogumi säilitamisaega</w:t>
            </w:r>
            <w:r w:rsidRPr="00DC0A42">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rPr>
          <w:rStyle w:val="HideTWBExt"/>
        </w:rPr>
      </w:pPr>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Preambul – punkt 6 – põhjendus 24 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rPr>
                <w:b/>
                <w:i/>
              </w:rPr>
              <w:t>(6)</w:t>
            </w:r>
            <w:r w:rsidRPr="00DC0A42">
              <w:rPr>
                <w:b/>
                <w:i/>
              </w:rPr>
              <w:tab/>
              <w:t>põhjenduse 24 järele lisatakse järgmine põhjendus:</w:t>
            </w:r>
          </w:p>
        </w:tc>
        <w:tc>
          <w:tcPr>
            <w:tcW w:w="4876" w:type="dxa"/>
            <w:hideMark/>
          </w:tcPr>
          <w:p w:rsidR="007605D8" w:rsidRPr="00DC0A42" w:rsidRDefault="00EE3FC6" w:rsidP="007605D8">
            <w:pPr>
              <w:pStyle w:val="Normal6"/>
              <w:rPr>
                <w:szCs w:val="24"/>
              </w:rPr>
            </w:pPr>
            <w:r w:rsidRPr="00DC0A42">
              <w:rPr>
                <w:b/>
                <w:i/>
              </w:rPr>
              <w:t>välja jäetud</w:t>
            </w:r>
          </w:p>
        </w:tc>
      </w:tr>
      <w:tr w:rsidR="00F677D7" w:rsidRPr="00DC0A42" w:rsidTr="007605D8">
        <w:trPr>
          <w:jc w:val="center"/>
        </w:trPr>
        <w:tc>
          <w:tcPr>
            <w:tcW w:w="4876" w:type="dxa"/>
            <w:hideMark/>
          </w:tcPr>
          <w:p w:rsidR="007605D8" w:rsidRPr="00DC0A42" w:rsidRDefault="00EE3FC6" w:rsidP="007605D8">
            <w:pPr>
              <w:pStyle w:val="Normal6"/>
            </w:pPr>
            <w:r w:rsidRPr="00DC0A42">
              <w:rPr>
                <w:b/>
                <w:i/>
              </w:rPr>
              <w:t>„24a)</w:t>
            </w:r>
            <w:r w:rsidRPr="00DC0A42">
              <w:rPr>
                <w:b/>
                <w:i/>
              </w:rPr>
              <w:tab/>
              <w:t>Seoses käesoleva määruse kohaldamisega tuletatakse meelde, et isikut tuleb lugeda ebaseaduslikult ümberpaigutamise sihtliikmesriigi territooriumil viibivaks, kui kõnealune isik ei taotle ümberpaigutamise järel rahvusvahelist kaitset või muul viisil ei täida või enam ei täida määruse (EL) 2016/399 artiklis 6 sätestatud sisenemistingimusi või muid ümberpaigutamise sihtliikmesriiki sisenemise või seal viibimise või elamise tingimusi.“;</w:t>
            </w:r>
          </w:p>
        </w:tc>
        <w:tc>
          <w:tcPr>
            <w:tcW w:w="4876" w:type="dxa"/>
          </w:tcPr>
          <w:p w:rsidR="007605D8" w:rsidRPr="00DC0A42" w:rsidRDefault="007605D8" w:rsidP="007605D8">
            <w:pPr>
              <w:pStyle w:val="Normal6"/>
              <w:rPr>
                <w:szCs w:val="24"/>
              </w:rPr>
            </w:pP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Preambul – punkt 6 – põhjendus 24a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hideMark/>
          </w:tcPr>
          <w:p w:rsidR="007605D8" w:rsidRPr="00DC0A42" w:rsidRDefault="00EE3FC6" w:rsidP="007605D8">
            <w:pPr>
              <w:keepNext/>
            </w:pPr>
            <w:r w:rsidRPr="00DC0A42">
              <w:t>b)</w:t>
            </w: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8C51F4">
            <w:pPr>
              <w:pStyle w:val="Normal6"/>
              <w:rPr>
                <w:b/>
                <w:i/>
              </w:rPr>
            </w:pPr>
            <w:r w:rsidRPr="00DC0A42">
              <w:rPr>
                <w:b/>
                <w:i/>
              </w:rPr>
              <w:t>24aa)</w:t>
            </w:r>
            <w:r w:rsidRPr="00DC0A42">
              <w:rPr>
                <w:b/>
                <w:i/>
              </w:rPr>
              <w:tab/>
              <w:t>Kui liikmesriigis seadusliku aluseta viibiv kolmanda riigi kodanik või kodakondsuseta isik esitab rahvusvahelise kaitse taotluse kinnipidamise ajal või pärast seda, ei tuleks seda liikmesriiki vabastada kohustusest võtta ja registreerida selle isiku biomeetrilised andmed vastavalt käesolevale määrusele.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rPr>
          <w:rStyle w:val="HideTWBExt"/>
        </w:rPr>
      </w:pPr>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10</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Preambul – punkt 6 – põhjendus 24 a b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4C2FE7">
            <w:pPr>
              <w:pStyle w:val="Normal6"/>
              <w:rPr>
                <w:b/>
                <w:i/>
              </w:rPr>
            </w:pPr>
            <w:r w:rsidRPr="00DC0A42">
              <w:rPr>
                <w:b/>
                <w:i/>
              </w:rPr>
              <w:t>24ab)</w:t>
            </w:r>
            <w:r w:rsidRPr="00DC0A42">
              <w:rPr>
                <w:b/>
                <w:i/>
              </w:rPr>
              <w:tab/>
              <w:t>Kui kolmanda riigi kodanik või kodakondsuseta isik, kes on kinni peetud välispiiri ebaseadusliku ületamise tõttu, esitab rahvusvahelise kaitse taotluse kinnipidamise ajal või pärast seda, ei tuleks kinnipidavat liikmesriiki vabastada kohustusest võtta ja registreerida selle isiku biomeetrilised andmed vastavalt käesolevale määrusele.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rPr>
          <w:rStyle w:val="HideTWBExt"/>
        </w:rPr>
      </w:pPr>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Preambul – punkt 6 – põhjendus 24 a c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D1390F">
        <w:trPr>
          <w:trHeight w:val="587"/>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372617">
            <w:pPr>
              <w:pStyle w:val="Normal6"/>
              <w:rPr>
                <w:b/>
                <w:i/>
              </w:rPr>
            </w:pPr>
            <w:r w:rsidRPr="00DC0A42">
              <w:rPr>
                <w:b/>
                <w:i/>
              </w:rPr>
              <w:t>24ac)</w:t>
            </w:r>
            <w:r w:rsidRPr="00DC0A42">
              <w:rPr>
                <w:b/>
                <w:i/>
              </w:rPr>
              <w:tab/>
              <w:t xml:space="preserve">Liikmesriigid peaksid taaskasutama biomeetrilisi andmeid, mida nad on käesoleva määruse alusel kogunud kolmandate riikide kodanikelt või kodakondsuseta isikutelt, kes on kinni peetud välispiiri ebaseadusliku ületamise tõttu või viibivad liikmesriigis ebaseaduslikult, et edastada need kesksüsteemi ja ühisele isikuandmete hoidlale vastavalt käesolevas määruses sätestatud tingimustele. </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pStyle w:val="AMNumberTabs0"/>
        <w:keepNext/>
        <w:rPr>
          <w:rStyle w:val="HideTWBExt"/>
        </w:rPr>
      </w:pPr>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Preambul – punkt 6 a (uus) – põhjendus 57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9449BF">
            <w:pPr>
              <w:pStyle w:val="Normal6"/>
              <w:rPr>
                <w:rFonts w:ascii="Calibri" w:hAnsi="Calibri" w:cs="Calibri"/>
                <w:b/>
                <w:bCs/>
                <w:color w:val="1F497D"/>
                <w:sz w:val="20"/>
              </w:rPr>
            </w:pPr>
            <w:r w:rsidRPr="00DC0A42">
              <w:rPr>
                <w:b/>
                <w:i/>
              </w:rPr>
              <w:t>6a)</w:t>
            </w:r>
            <w:r w:rsidRPr="00DC0A42">
              <w:rPr>
                <w:b/>
                <w:i/>
              </w:rPr>
              <w:tab/>
              <w:t>põhjenduse 57 järele lisatakse järgmine põhjendus:</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3C548B">
            <w:pPr>
              <w:pStyle w:val="Normal6"/>
              <w:rPr>
                <w:szCs w:val="24"/>
              </w:rPr>
            </w:pPr>
            <w:r w:rsidRPr="00DC0A42">
              <w:rPr>
                <w:b/>
                <w:i/>
              </w:rPr>
              <w:t>57a)</w:t>
            </w:r>
            <w:r w:rsidRPr="00DC0A42">
              <w:rPr>
                <w:b/>
                <w:i/>
              </w:rPr>
              <w:tab/>
              <w:t>Selleks et eu-LISA saaks alustada Eurodac-süsteemi rakendamist niipea, kui käesolev määrus jõustub, peaksid Euroopa Parlament, nõukogu ja komisjon tagama, et käesoleva määruse kohaldamiseks eraldatud rahalised vahendid ja inimressursid saavutavad taseme, millele on osutatud komisjoni finantsselgituses käesoleva määrus kohta.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1 – punkt b</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(b)</w:t>
            </w:r>
            <w:r w:rsidRPr="00DC0A42">
              <w:tab/>
              <w:t xml:space="preserve">aidata kaasa määruse (EL) XXX/XXX [ümberasustamise määrus] </w:t>
            </w:r>
            <w:r w:rsidRPr="00DC0A42">
              <w:rPr>
                <w:b/>
                <w:i/>
              </w:rPr>
              <w:t>kohaldamisele</w:t>
            </w:r>
            <w:r w:rsidRPr="00DC0A42">
              <w:t xml:space="preserve"> käesolevas määruses sätestatud tingimustel;</w:t>
            </w:r>
          </w:p>
        </w:tc>
        <w:tc>
          <w:tcPr>
            <w:tcW w:w="4876" w:type="dxa"/>
            <w:hideMark/>
          </w:tcPr>
          <w:p w:rsidR="007605D8" w:rsidRPr="00DC0A42" w:rsidRDefault="00EE3FC6" w:rsidP="00777DF3">
            <w:pPr>
              <w:pStyle w:val="Normal6"/>
              <w:rPr>
                <w:szCs w:val="24"/>
              </w:rPr>
            </w:pPr>
            <w:r w:rsidRPr="00DC0A42">
              <w:t>(b)</w:t>
            </w:r>
            <w:r w:rsidRPr="00DC0A42">
              <w:tab/>
              <w:t xml:space="preserve">aidata kaasa määruse (EL) XXX/XXX [ümberasustamise määrus] </w:t>
            </w:r>
            <w:r w:rsidRPr="00DC0A42">
              <w:rPr>
                <w:b/>
                <w:i/>
              </w:rPr>
              <w:t>kohaldamisel ümberasustatud kolmandate riikide kodanike teisese rände tuvastamisele</w:t>
            </w:r>
            <w:r w:rsidRPr="00DC0A42">
              <w:t xml:space="preserve"> käesolevas määruses sätestatud tingimustel;</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1 – punkt c 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(ca)</w:t>
            </w:r>
            <w:r w:rsidRPr="00DC0A42">
              <w:rPr>
                <w:b/>
                <w:i/>
              </w:rPr>
              <w:tab/>
              <w:t>aidata kaasa inimkaubanduse lapsohvrite kaitsele ning tuvastada kadunud laste tuvastamisele ja kaitsele;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15</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1 – punkt d</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(d)</w:t>
            </w:r>
            <w:r w:rsidRPr="00DC0A42">
              <w:tab/>
              <w:t>sätestada tingimused, mille alusel liikmesriikide määratud asutused ja Euroopa Politseiamet (Europol) võivad taotleda biomeetriliste või tähtnumbriliste andmete võrdlemist kesksüsteemi andmetega õiguskaitse eesmärkidel terroriaktide või muude raskete kuritegude ennetamiseks, avastamiseks või uurimiseks;</w:t>
            </w:r>
          </w:p>
        </w:tc>
        <w:tc>
          <w:tcPr>
            <w:tcW w:w="4876" w:type="dxa"/>
            <w:hideMark/>
          </w:tcPr>
          <w:p w:rsidR="007605D8" w:rsidRPr="00DC0A42" w:rsidRDefault="00EE3FC6" w:rsidP="007605D8">
            <w:pPr>
              <w:pStyle w:val="Normal6"/>
              <w:rPr>
                <w:szCs w:val="24"/>
              </w:rPr>
            </w:pPr>
            <w:r w:rsidRPr="00DC0A42">
              <w:t>(d)</w:t>
            </w:r>
            <w:r w:rsidRPr="00DC0A42">
              <w:tab/>
              <w:t xml:space="preserve">sätestada tingimused, mille alusel liikmesriikide määratud asutused ja Euroopa Politseiamet (Europol) võivad taotleda biomeetriliste või tähtnumbriliste andmete võrdlemist kesksüsteemi </w:t>
            </w:r>
            <w:r w:rsidRPr="00DC0A42">
              <w:rPr>
                <w:b/>
                <w:i/>
              </w:rPr>
              <w:t xml:space="preserve">või ühise isikuandmete hoidla </w:t>
            </w:r>
            <w:r w:rsidRPr="00DC0A42">
              <w:t>andmetega õiguskaitse eesmärkidel terroriaktide või muude raskete kuritegude ennetamiseks, avastamiseks või uurimiseks;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1 – punkt f</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(f)</w:t>
            </w:r>
            <w:r w:rsidRPr="00DC0A42">
              <w:tab/>
              <w:t xml:space="preserve">toetada määrusega (EL) 2018/1240 loodud Euroopa reisiinfo ja -lubade </w:t>
            </w:r>
            <w:r w:rsidRPr="00DC0A42">
              <w:rPr>
                <w:b/>
                <w:i/>
              </w:rPr>
              <w:t>süsteemi</w:t>
            </w:r>
            <w:r w:rsidRPr="00DC0A42">
              <w:t xml:space="preserve"> (ETIAS)</w:t>
            </w:r>
            <w:r w:rsidRPr="00DC0A42">
              <w:rPr>
                <w:b/>
                <w:i/>
              </w:rPr>
              <w:t xml:space="preserve"> eesmärke</w:t>
            </w:r>
            <w:r w:rsidRPr="00DC0A42">
              <w:t>;</w:t>
            </w:r>
          </w:p>
        </w:tc>
        <w:tc>
          <w:tcPr>
            <w:tcW w:w="4876" w:type="dxa"/>
            <w:hideMark/>
          </w:tcPr>
          <w:p w:rsidR="007605D8" w:rsidRPr="00DC0A42" w:rsidRDefault="00EE3FC6" w:rsidP="00352984">
            <w:pPr>
              <w:pStyle w:val="Normal6"/>
              <w:rPr>
                <w:szCs w:val="24"/>
              </w:rPr>
            </w:pPr>
            <w:r w:rsidRPr="00DC0A42">
              <w:t>(f)</w:t>
            </w:r>
            <w:r w:rsidRPr="00DC0A42">
              <w:tab/>
              <w:t xml:space="preserve">toetada </w:t>
            </w:r>
            <w:r w:rsidRPr="00DC0A42">
              <w:rPr>
                <w:b/>
                <w:i/>
              </w:rPr>
              <w:t xml:space="preserve">teabe jagamist </w:t>
            </w:r>
            <w:r w:rsidRPr="00DC0A42">
              <w:t xml:space="preserve">määrusega (EL) 2018/1240 loodud Euroopa reisiinfo ja -lubade </w:t>
            </w:r>
            <w:r w:rsidRPr="00DC0A42">
              <w:rPr>
                <w:b/>
                <w:i/>
              </w:rPr>
              <w:t>süsteemiga</w:t>
            </w:r>
            <w:r w:rsidRPr="00DC0A42">
              <w:t xml:space="preserve"> (ETIAS);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9 – artikkel 1 – lõige 1 – punkt g</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(g)</w:t>
            </w:r>
            <w:r w:rsidRPr="00DC0A42">
              <w:tab/>
              <w:t xml:space="preserve">toetada määruses (EÜ) nr 767/2008 osutatud </w:t>
            </w:r>
            <w:r w:rsidRPr="00DC0A42">
              <w:rPr>
                <w:b/>
                <w:i/>
              </w:rPr>
              <w:t>viisainfosüsteemi eesmärke</w:t>
            </w:r>
            <w:r w:rsidRPr="00DC0A42">
              <w:t>.</w:t>
            </w:r>
          </w:p>
        </w:tc>
        <w:tc>
          <w:tcPr>
            <w:tcW w:w="4876" w:type="dxa"/>
            <w:hideMark/>
          </w:tcPr>
          <w:p w:rsidR="007605D8" w:rsidRPr="00DC0A42" w:rsidRDefault="00EE3FC6" w:rsidP="00352984">
            <w:pPr>
              <w:pStyle w:val="Normal6"/>
              <w:rPr>
                <w:szCs w:val="24"/>
              </w:rPr>
            </w:pPr>
            <w:r w:rsidRPr="00DC0A42">
              <w:t>(g)</w:t>
            </w:r>
            <w:r w:rsidRPr="00DC0A42">
              <w:tab/>
              <w:t xml:space="preserve">toetada </w:t>
            </w:r>
            <w:r w:rsidRPr="00DC0A42">
              <w:rPr>
                <w:b/>
                <w:i/>
              </w:rPr>
              <w:t xml:space="preserve">teabe jagamist </w:t>
            </w:r>
            <w:r w:rsidRPr="00DC0A42">
              <w:t xml:space="preserve">määruses (EÜ) nr 767/2008 osutatud </w:t>
            </w:r>
            <w:r w:rsidRPr="00DC0A42">
              <w:rPr>
                <w:b/>
                <w:i/>
              </w:rPr>
              <w:t>viisainfosüsteemiga</w:t>
            </w:r>
            <w:r w:rsidRPr="00DC0A42">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9 – artikkel 1 – lõige 1 – punkt g a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77DF3">
            <w:pPr>
              <w:pStyle w:val="Normal6"/>
              <w:rPr>
                <w:szCs w:val="24"/>
              </w:rPr>
            </w:pPr>
            <w:r w:rsidRPr="00DC0A42">
              <w:rPr>
                <w:b/>
                <w:i/>
              </w:rPr>
              <w:t>(ga)</w:t>
            </w:r>
            <w:r w:rsidRPr="00DC0A42">
              <w:tab/>
            </w:r>
            <w:r w:rsidRPr="00DC0A42">
              <w:rPr>
                <w:b/>
                <w:i/>
              </w:rPr>
              <w:t>võimaldada statistika kogumist rahvusvahelist kaitset taotlevate, ümberasustamise või humanitaarsetel põhjustel vastuvõtmise eesmärgil saabuvate isikute ning isikute kohta, kes on rahvusvahelise kaitse saanud või kellele on selle andmisest keeldutud, et toetada tõenditel põhinevat liidu varjupaiga- ja rändepoliitika kujundamist.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19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2</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2.</w:t>
            </w:r>
            <w:r w:rsidRPr="00DC0A42">
              <w:tab/>
              <w:t>Biomeetrilisi andmeid ja muid isikuandmeid võib Eurodac-süsteemis töödelda üksnes käesolevas määruses</w:t>
            </w:r>
            <w:r w:rsidRPr="00DC0A42">
              <w:rPr>
                <w:b/>
                <w:i/>
              </w:rPr>
              <w:t>, määruses</w:t>
            </w:r>
            <w:r w:rsidRPr="00DC0A42">
              <w:t xml:space="preserve"> (EL) XXX/XXX [varjupaiga-ja rändehalduse </w:t>
            </w:r>
            <w:r w:rsidRPr="00DC0A42">
              <w:rPr>
                <w:b/>
                <w:i/>
              </w:rPr>
              <w:t>määrus ja määruses</w:t>
            </w:r>
            <w:r w:rsidRPr="00DC0A42">
              <w:t xml:space="preserve"> (EL) XXX/XXX</w:t>
            </w:r>
            <w:r w:rsidRPr="00DC0A42">
              <w:rPr>
                <w:b/>
                <w:i/>
              </w:rPr>
              <w:t xml:space="preserve"> [ümberasustamise</w:t>
            </w:r>
            <w:r w:rsidRPr="00DC0A42">
              <w:t xml:space="preserve"> määrus] sätestatud eesmärkidel, ilma et see piiraks päritoluliikmesriigi õigust töödelda Eurodac-süsteemi jaoks mõeldud andmeid oma siseriiklike õigusnormide alusel koostatud andmebaasides.“;</w:t>
            </w:r>
          </w:p>
        </w:tc>
        <w:tc>
          <w:tcPr>
            <w:tcW w:w="4876" w:type="dxa"/>
            <w:hideMark/>
          </w:tcPr>
          <w:p w:rsidR="007605D8" w:rsidRPr="00DC0A42" w:rsidRDefault="00EE3FC6" w:rsidP="00397221">
            <w:pPr>
              <w:pStyle w:val="Normal6"/>
              <w:rPr>
                <w:szCs w:val="24"/>
              </w:rPr>
            </w:pPr>
            <w:r w:rsidRPr="00DC0A42">
              <w:t>2.</w:t>
            </w:r>
            <w:r w:rsidRPr="00DC0A42">
              <w:tab/>
              <w:t>Biomeetrilisi andmeid ja muid isikuandmeid võib Eurodac-süsteemis töödelda üksnes käesolevas määruses</w:t>
            </w:r>
            <w:r w:rsidRPr="00DC0A42">
              <w:rPr>
                <w:b/>
                <w:i/>
              </w:rPr>
              <w:t xml:space="preserve"> ning määrustes</w:t>
            </w:r>
            <w:r w:rsidRPr="00DC0A42">
              <w:t xml:space="preserve"> (EL) XXX/XXX [varjupaiga-ja rändehalduse </w:t>
            </w:r>
            <w:r w:rsidRPr="00DC0A42">
              <w:rPr>
                <w:b/>
                <w:i/>
              </w:rPr>
              <w:t>määrus], (EL) XXX/XXX [ümberasustamise määrus], (EL) 2019/818,</w:t>
            </w:r>
            <w:r w:rsidRPr="00DC0A42">
              <w:t xml:space="preserve"> (EL) XXX/XXX</w:t>
            </w:r>
            <w:r w:rsidRPr="00DC0A42">
              <w:rPr>
                <w:b/>
                <w:i/>
              </w:rPr>
              <w:t>, millega muudetakse [VIS</w:t>
            </w:r>
            <w:r w:rsidRPr="00DC0A42">
              <w:t xml:space="preserve"> määrus]</w:t>
            </w:r>
            <w:r w:rsidRPr="00DC0A42">
              <w:rPr>
                <w:b/>
                <w:i/>
              </w:rPr>
              <w:t xml:space="preserve"> ja (EL) 2018/1240</w:t>
            </w:r>
            <w:r w:rsidRPr="00DC0A42">
              <w:t xml:space="preserve"> sätestatud eesmärkidel, ilma et see piiraks päritoluliikmesriigi õigust töödelda Eurodac-süsteemi jaoks mõeldud andmeid oma siseriiklike õigusnormide alusel koostatud andmebaasides.“;</w:t>
            </w:r>
            <w:r w:rsidRPr="00DC0A42">
              <w:rPr>
                <w:b/>
                <w:i/>
              </w:rPr>
              <w:t xml:space="preserve"> </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20</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2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352984">
            <w:pPr>
              <w:pStyle w:val="Normal6"/>
              <w:rPr>
                <w:szCs w:val="24"/>
              </w:rPr>
            </w:pPr>
            <w:r w:rsidRPr="00DC0A42">
              <w:rPr>
                <w:b/>
                <w:i/>
              </w:rPr>
              <w:t>2a.</w:t>
            </w:r>
            <w:r w:rsidRPr="00DC0A42">
              <w:tab/>
            </w:r>
            <w:r w:rsidRPr="00DC0A42">
              <w:rPr>
                <w:b/>
                <w:i/>
              </w:rPr>
              <w:t>Käesolevas määruses austatakse täiel määral inimväärikust ja põhiõigusi täielikus kooskõlas Euroopa Liidu põhiõiguste hartas sätestatud põhimõtetega, sealhulgas õigust eraelu puutumatusele, isikuandmete kaitsele, varjupaigale, välja- või tagasisaatmise lubamatust ning piinamise, ebainimliku või inimväärikust alandava kohtlemise keeldu. Sellega seoses ei tohi käesoleva määruse kohane isikuandmete töötlemine põhjustada mingit diskrimineerimist.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2 b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471EC9">
            <w:pPr>
              <w:pStyle w:val="Normal6"/>
              <w:rPr>
                <w:szCs w:val="24"/>
              </w:rPr>
            </w:pPr>
            <w:r w:rsidRPr="00DC0A42">
              <w:rPr>
                <w:b/>
                <w:i/>
              </w:rPr>
              <w:t>2b.</w:t>
            </w:r>
            <w:r w:rsidRPr="00DC0A42">
              <w:tab/>
            </w:r>
            <w:r w:rsidRPr="00DC0A42">
              <w:rPr>
                <w:b/>
                <w:i/>
              </w:rPr>
              <w:t>Käesoleva määruse rakendamisel seatakse esikohale lapse huvide kaitsmine. See hõlmab asjakohaste sätete ja lapse õiguste kaitsemeetmete rakendamist käesoleva määruse kohaldamisel isiku suhtes, kes kinnitab, et ta on laps, või, olenevalt juhtumist, isiku suhtes, kelle puhul on põhjust uskuda, et ta on laps, ning kelle puhul puuduvad tõendid vanuse kohta. Kui lapse vanus ei ole kindel, teevad ametiasutused otsuse selle isiku kasuks. Kui end lapsena deklareerinud isiku vanus ei ole kindel, teevad ametiasutused otsuse selle isiku kasuks. See tähendab, et kui on võimalik, et kõnealune isik on vähem kui kuueaastane, kohtlevad ametiasutused seda isikut sellisena.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2 c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F37A1D">
            <w:pPr>
              <w:pStyle w:val="Normal6"/>
              <w:rPr>
                <w:szCs w:val="24"/>
              </w:rPr>
            </w:pPr>
            <w:r w:rsidRPr="00DC0A42">
              <w:rPr>
                <w:b/>
                <w:i/>
              </w:rPr>
              <w:t>2c.</w:t>
            </w:r>
            <w:r w:rsidRPr="00DC0A42">
              <w:tab/>
            </w:r>
            <w:r w:rsidRPr="00DC0A42">
              <w:rPr>
                <w:b/>
                <w:i/>
              </w:rPr>
              <w:t>Kui Eurodac-süsteemi andmed on seotud alla 14-aastase lapsega, kasutatakse neid andmeid üksnes õiguskaitse eesmärkidel, välja arvatud lastega kaubitsemisega seotud eesmärkidel, kui on lisatõendeid, mis näitavad, et need andmed on olulised terroriaktide või muude raskete kuritegude ennetamiseks, avastamiseks või uurimiseks.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9 – artikkel 1 – lõige 2 d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F37A1D">
            <w:pPr>
              <w:pStyle w:val="Normal6"/>
              <w:rPr>
                <w:szCs w:val="24"/>
              </w:rPr>
            </w:pPr>
            <w:r w:rsidRPr="00DC0A42">
              <w:rPr>
                <w:b/>
                <w:i/>
              </w:rPr>
              <w:t>2d.</w:t>
            </w:r>
            <w:r w:rsidRPr="00DC0A42">
              <w:tab/>
            </w:r>
            <w:r w:rsidRPr="00DC0A42">
              <w:rPr>
                <w:b/>
                <w:i/>
              </w:rPr>
              <w:t>Ühtki last ei tohiks kinni pidada selleks, et teha kindlaks tema isik või seda kontrollida, võtta tema biomeetrilised andmed, olenemata tema vanusest ja sellest, kas ta on saatjata või koos oma perekonnaga. Kui asi puudutab lapsi ja nende perekondi, tuleks kinnipidamise asemel alati rakendada kogukonnapõhiseid, vabadusekaotuseta alternatiive.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10 (-a) (uus) – artikkel 3 – lõige 1 – punkt a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4855CD" w:rsidRPr="00DC0A42" w:rsidRDefault="004855CD" w:rsidP="007605D8">
            <w:pPr>
              <w:pStyle w:val="Normal6"/>
            </w:pPr>
          </w:p>
        </w:tc>
        <w:tc>
          <w:tcPr>
            <w:tcW w:w="4876" w:type="dxa"/>
          </w:tcPr>
          <w:p w:rsidR="004855CD" w:rsidRPr="00DC0A42" w:rsidRDefault="00EE3FC6" w:rsidP="004855CD">
            <w:pPr>
              <w:pStyle w:val="Normal6"/>
              <w:rPr>
                <w:b/>
                <w:i/>
              </w:rPr>
            </w:pPr>
            <w:r w:rsidRPr="00DC0A42">
              <w:rPr>
                <w:b/>
                <w:i/>
              </w:rPr>
              <w:t xml:space="preserve">-a) </w:t>
            </w:r>
            <w:r w:rsidRPr="00DC0A42">
              <w:rPr>
                <w:b/>
                <w:i/>
              </w:rPr>
              <w:tab/>
              <w:t>lõikesse 1 lisatakse järgmine punkt:</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aa)</w:t>
            </w:r>
            <w:r w:rsidRPr="00DC0A42">
              <w:rPr>
                <w:b/>
                <w:i/>
              </w:rPr>
              <w:tab/>
              <w:t>„ümberasustatud kolmanda riigi kodanik või kodakondsuseta isik“ – kolmanda riigi kodanik või kodakondsuseta isik, kes saabub pärast siseriikliku õiguse või [määruse (EL) XXX/XXX] [ümberasustamise määrus] kohast ümberasustamismenetlust ümberasustamise liikmesriigi territooriumile;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25</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10 – alapunkt b – artikkel 3 – lõige 1 – punkt p</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„p)</w:t>
            </w:r>
            <w:r w:rsidRPr="00DC0A42">
              <w:rPr>
                <w:b/>
                <w:i/>
              </w:rPr>
              <w:tab/>
            </w:r>
            <w:r w:rsidRPr="00DC0A42">
              <w:t>„ühine isikuandmete hoidla“ – määruse (EL) 2019/818 artiklis 17 määratletud ühine isikuandmete hoidla;</w:t>
            </w:r>
          </w:p>
        </w:tc>
        <w:tc>
          <w:tcPr>
            <w:tcW w:w="4876" w:type="dxa"/>
            <w:hideMark/>
          </w:tcPr>
          <w:p w:rsidR="007605D8" w:rsidRPr="00DC0A42" w:rsidRDefault="00EE3FC6" w:rsidP="007605D8">
            <w:pPr>
              <w:pStyle w:val="Normal6"/>
              <w:rPr>
                <w:szCs w:val="24"/>
              </w:rPr>
            </w:pPr>
            <w:r w:rsidRPr="00DC0A42">
              <w:t>„p)</w:t>
            </w:r>
            <w:r w:rsidRPr="00DC0A42">
              <w:rPr>
                <w:b/>
                <w:i/>
              </w:rPr>
              <w:tab/>
            </w:r>
            <w:r w:rsidRPr="00DC0A42">
              <w:t>„ühine isikuandmete hoidla“ – määruse (EL) 2019/818 artiklis 17 määratletud ühine isikuandmete hoidla</w:t>
            </w:r>
            <w:r w:rsidRPr="00DC0A42">
              <w:rPr>
                <w:b/>
                <w:i/>
              </w:rPr>
              <w:t>, mis asendab Eurodaci kesksüsteemi niivõrd, kui selles säilitatakse kõnealuse määruse artiklis 18 osutatud isikuandmeid</w:t>
            </w:r>
            <w:r w:rsidRPr="00DC0A42">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 xml:space="preserve"> 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 xml:space="preserve"> Regulatiivosa – Punkt 10 – alapunkt b – artikkel 3 – lõige 1 – punkt r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F37A1D">
            <w:pPr>
              <w:pStyle w:val="Normal6"/>
              <w:rPr>
                <w:szCs w:val="24"/>
              </w:rPr>
            </w:pPr>
            <w:r w:rsidRPr="00DC0A42">
              <w:rPr>
                <w:b/>
                <w:i/>
              </w:rPr>
              <w:t>ra)</w:t>
            </w:r>
            <w:r w:rsidRPr="00DC0A42">
              <w:rPr>
                <w:b/>
                <w:i/>
              </w:rPr>
              <w:tab/>
              <w:t>„laps“ – iga alla 18-aastane inimene, nagu on määratletud lapse õiguste konventsioonis.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11 – artikkel 4 – lõige 1 – punkt c</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c)</w:t>
            </w:r>
            <w:r w:rsidRPr="00DC0A42">
              <w:tab/>
              <w:t>määruse 2019/818 artikli 17 lõikes 2 osutatud ühisest isikuandmete hoidlast;</w:t>
            </w:r>
          </w:p>
        </w:tc>
        <w:tc>
          <w:tcPr>
            <w:tcW w:w="4876" w:type="dxa"/>
            <w:hideMark/>
          </w:tcPr>
          <w:p w:rsidR="007605D8" w:rsidRPr="00DC0A42" w:rsidRDefault="00EE3FC6" w:rsidP="00F37A1D">
            <w:pPr>
              <w:pStyle w:val="Normal6"/>
            </w:pPr>
            <w:r w:rsidRPr="00DC0A42">
              <w:t>c)</w:t>
            </w:r>
            <w:r w:rsidRPr="00DC0A42">
              <w:tab/>
              <w:t>määruse 2019/818 artikli 17 lõikes 2 osutatud ühisest isikuandmete hoidlast</w:t>
            </w:r>
            <w:r w:rsidRPr="00DC0A42">
              <w:rPr>
                <w:b/>
                <w:i/>
              </w:rPr>
              <w:t>, mis asendab kesksüsteemi niivõrd, kui selles säilitatakse kõnealuse määruse artiklis 18 osutatud isikuandmeid</w:t>
            </w:r>
            <w:r w:rsidRPr="00DC0A42">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11 – artikkel 4 – lõige 2</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2.</w:t>
            </w:r>
            <w:r w:rsidRPr="00DC0A42">
              <w:tab/>
              <w:t xml:space="preserve">Ühine isikuandmete hoidla sisaldab artikli 12 punktides a–f, h ja i, artikli 13 lõike 2 punktides a–f, h ja i, artikli 14 lõike 2 punktides a–f, h ja i ning artikli 14a punktides a–f, h ja i osutatud </w:t>
            </w:r>
            <w:r w:rsidRPr="00DC0A42">
              <w:rPr>
                <w:b/>
                <w:i/>
              </w:rPr>
              <w:t>teavet</w:t>
            </w:r>
            <w:r w:rsidRPr="00DC0A42">
              <w:t>. Ülejäänud Eurodac-süsteemi andmeid hoitakse kesksüsteemis.</w:t>
            </w:r>
          </w:p>
        </w:tc>
        <w:tc>
          <w:tcPr>
            <w:tcW w:w="4876" w:type="dxa"/>
            <w:hideMark/>
          </w:tcPr>
          <w:p w:rsidR="007605D8" w:rsidRPr="00DC0A42" w:rsidRDefault="00EE3FC6" w:rsidP="007605D8">
            <w:pPr>
              <w:pStyle w:val="Normal6"/>
              <w:rPr>
                <w:szCs w:val="24"/>
              </w:rPr>
            </w:pPr>
            <w:r w:rsidRPr="00DC0A42">
              <w:t>2.</w:t>
            </w:r>
            <w:r w:rsidRPr="00DC0A42">
              <w:tab/>
              <w:t xml:space="preserve">Ühine isikuandmete hoidla sisaldab artikli 12 punktides a–f, h ja i, artikli 13 lõike 2 punktides a–f, h ja i, artikli 14 lõike 2 punktides a–f, h ja i ning artikli 14a punktides a–f, h ja i osutatud </w:t>
            </w:r>
            <w:r w:rsidRPr="00DC0A42">
              <w:rPr>
                <w:b/>
                <w:i/>
              </w:rPr>
              <w:t>isikuandmeid</w:t>
            </w:r>
            <w:r w:rsidRPr="00DC0A42">
              <w:t>. Ülejäänud Eurodac-süsteemi andmeid hoitakse kesksüsteemis.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29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11 – artikkel 4 – lõige 5</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5.</w:t>
            </w:r>
            <w:r w:rsidRPr="00DC0A42">
              <w:tab/>
              <w:t>Artikli 10 lõikega 1, artikli 13 lõikega 1, artikli 14 lõikega 1 ja 14a lõikega 1 hõlmatud isikute andmeid, mida töödeldakse kesksüsteemis, töödeldakse päritoluliikmesriigi nimel vastavalt käesolevas määruses sätestatud tingimustele ja üksteisest asjakohaste tehniliste vahenditega</w:t>
            </w:r>
            <w:r w:rsidRPr="00DC0A42">
              <w:rPr>
                <w:b/>
                <w:i/>
              </w:rPr>
              <w:t xml:space="preserve"> eraldatult</w:t>
            </w:r>
            <w:r w:rsidRPr="00DC0A42">
              <w:t>.</w:t>
            </w:r>
          </w:p>
        </w:tc>
        <w:tc>
          <w:tcPr>
            <w:tcW w:w="4876" w:type="dxa"/>
            <w:hideMark/>
          </w:tcPr>
          <w:p w:rsidR="007605D8" w:rsidRPr="00DC0A42" w:rsidRDefault="00EE3FC6" w:rsidP="007605D8">
            <w:pPr>
              <w:pStyle w:val="Normal6"/>
            </w:pPr>
            <w:r w:rsidRPr="00DC0A42">
              <w:t>5.</w:t>
            </w:r>
            <w:r w:rsidRPr="00DC0A42">
              <w:tab/>
              <w:t xml:space="preserve">Artikli 10 lõikega 1, artikli 13 lõikega 1, artikli 14 lõikega 1 ja 14a lõikega 1 hõlmatud isikute andmeid, mida töödeldakse kesksüsteemis, töödeldakse päritoluliikmesriigi nimel vastavalt käesolevas määruses sätestatud tingimustele </w:t>
            </w:r>
            <w:r w:rsidRPr="00DC0A42">
              <w:rPr>
                <w:b/>
                <w:i/>
              </w:rPr>
              <w:t xml:space="preserve">ning vastavalt vajadusele kooskõlas määrusega (EL) 2016/679, määrusega (EL) 2018/1725 </w:t>
            </w:r>
            <w:r w:rsidRPr="00DC0A42">
              <w:t xml:space="preserve">ja </w:t>
            </w:r>
            <w:r w:rsidRPr="00DC0A42">
              <w:rPr>
                <w:b/>
                <w:i/>
              </w:rPr>
              <w:t xml:space="preserve">direktiiviga (EL) 2016/680, ja need eraldatakse </w:t>
            </w:r>
            <w:r w:rsidRPr="00DC0A42">
              <w:t>üksteisest asjakohaste tehniliste vahenditega.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30</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11 – artikkel 4 – lõige 6</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6.</w:t>
            </w:r>
            <w:r w:rsidRPr="00DC0A42">
              <w:tab/>
              <w:t xml:space="preserve">Kõik Eurodac-süsteemis registreeritud andmekogumid, mis puudutavad üht ja sama kolmanda riigi kodanikku või kodakondsuseta isikut, lingitakse üheks jadaks. Kui kolmanda riigi kodaniku või kodakondsuseta isiku andmekogumis olevate sõrmejälgede põhjal päringut tehes leitakse kokkulangevus vähemalt ühe sõrmejäljekomplektiga mõnes teises andmekogumis, mis vastab sellelesamale kolmanda riigi kodanikule või kodakondsuseta isikule, lingib Eurodac-süsteem need andmekogumid sõrmejälgede võrdlemise põhjal automaatselt. </w:t>
            </w:r>
            <w:r w:rsidRPr="00DC0A42">
              <w:rPr>
                <w:b/>
                <w:i/>
              </w:rPr>
              <w:t xml:space="preserve">Vajaduse korral kontrollib ja kinnitab sõrmejälgede võrdlust kooskõlas artikliga 26 sõrmejäljeekspert. </w:t>
            </w:r>
            <w:r w:rsidRPr="00DC0A42">
              <w:t>Kui vastuvõttev liikmesriik kokkulangevuse kinnitab, saadab ta teate eu-LISA-le, kes kinnitab linkimise.</w:t>
            </w:r>
          </w:p>
        </w:tc>
        <w:tc>
          <w:tcPr>
            <w:tcW w:w="4876" w:type="dxa"/>
            <w:hideMark/>
          </w:tcPr>
          <w:p w:rsidR="007605D8" w:rsidRPr="00DC0A42" w:rsidRDefault="00EE3FC6" w:rsidP="00F37A1D">
            <w:pPr>
              <w:pStyle w:val="Normal6"/>
              <w:rPr>
                <w:szCs w:val="24"/>
              </w:rPr>
            </w:pPr>
            <w:r w:rsidRPr="00DC0A42">
              <w:t>6.</w:t>
            </w:r>
            <w:r w:rsidRPr="00DC0A42">
              <w:tab/>
              <w:t xml:space="preserve">Kõik Eurodac-süsteemis registreeritud andmekogumid, mis puudutavad üht ja sama kolmanda riigi kodanikku või kodakondsuseta isikut, lingitakse üheks jadaks. Kui </w:t>
            </w:r>
            <w:r w:rsidRPr="00DC0A42">
              <w:rPr>
                <w:b/>
                <w:i/>
              </w:rPr>
              <w:t xml:space="preserve">artiklite 15 ja 16 kohaselt tehtud automaatse võrdluse ning </w:t>
            </w:r>
            <w:r w:rsidRPr="00DC0A42">
              <w:t>kolmanda riigi kodaniku või kodakondsuseta isiku andmekogumis olevate sõrmejälgede</w:t>
            </w:r>
            <w:r w:rsidRPr="00DC0A42">
              <w:rPr>
                <w:b/>
                <w:i/>
              </w:rPr>
              <w:t xml:space="preserve"> ja näokujutise andmete või üksnes näokujutise andmete</w:t>
            </w:r>
            <w:r w:rsidRPr="00DC0A42">
              <w:t xml:space="preserve"> põhjal päringut tehes leitakse kokkulangevus vähemalt ühe sõrmejäljekomplektiga mõnes teises andmekogumis, mis vastab sellelesamale kolmanda riigi kodanikule või kodakondsuseta isikule, lingib Eurodac-süsteem need andmekogumid sõrmejälgede võrdlemise põhjal automaatselt. </w:t>
            </w:r>
            <w:r w:rsidRPr="00DC0A42">
              <w:rPr>
                <w:b/>
                <w:i/>
              </w:rPr>
              <w:t>Siiski reguleeritakse nii liikmesriikide määratud ametiasutuste kui ka Euroopa Liidu volitatud asutuste juurdepääs rangelt, et kaitsta tõhusalt isiku õigust eraelu puutumatusele ja andmekaitsele. Seetõttu peab selline juurdepääs olema ajaliselt piiratud ja piirduma andmetega, mis on asjakohased nende ülesannete väga konkreetsel täitmisel.</w:t>
            </w:r>
            <w:r w:rsidR="00594180">
              <w:rPr>
                <w:b/>
                <w:i/>
              </w:rPr>
              <w:t xml:space="preserve"> </w:t>
            </w:r>
            <w:r w:rsidRPr="00DC0A42">
              <w:rPr>
                <w:b/>
                <w:i/>
              </w:rPr>
              <w:t>Kahtluse</w:t>
            </w:r>
            <w:r w:rsidRPr="00DC0A42">
              <w:t xml:space="preserve"> korral kontrollib </w:t>
            </w:r>
            <w:r w:rsidRPr="00DC0A42">
              <w:rPr>
                <w:b/>
                <w:i/>
              </w:rPr>
              <w:t xml:space="preserve">ekspert vastavalt artikli 26 lõigetele 4 </w:t>
            </w:r>
            <w:r w:rsidRPr="00DC0A42">
              <w:t xml:space="preserve">ja </w:t>
            </w:r>
            <w:r w:rsidRPr="00DC0A42">
              <w:rPr>
                <w:b/>
                <w:i/>
              </w:rPr>
              <w:t>5 artiklite 15 ja 16 kohaselt tehtud automaatse võrdluse tulemust. Kui Eurodac-süsteemis registreeritud andmekogum kustutatakse, kustutatakse automaatselt ka lingi olemasolu sellele andmekogumile.</w:t>
            </w:r>
            <w:r w:rsidRPr="00DC0A42">
              <w:t xml:space="preserve"> Kui vastuvõttev liikmesriik kokkulangevuse kinnitab, saadab ta teate eu-LISA-le, kes kinnitab linkimise.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11 – artikkel 4 – lõige 7</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w:t>
            </w:r>
            <w:r w:rsidRPr="00DC0A42">
              <w:tab/>
              <w:t>Eurodac-süsteemi reguleerivaid eeskirju kohaldatakse ka liikmesriikide toimingute suhtes alates andmete edastamisest kesksüsteemi kuni võrdlustulemuste kasutamiseni.“;</w:t>
            </w:r>
          </w:p>
        </w:tc>
        <w:tc>
          <w:tcPr>
            <w:tcW w:w="4876" w:type="dxa"/>
            <w:hideMark/>
          </w:tcPr>
          <w:p w:rsidR="007605D8" w:rsidRPr="00DC0A42" w:rsidRDefault="00EE3FC6" w:rsidP="007605D8">
            <w:pPr>
              <w:pStyle w:val="Normal6"/>
            </w:pPr>
            <w:r w:rsidRPr="00DC0A42">
              <w:t>1.</w:t>
            </w:r>
            <w:r w:rsidRPr="00DC0A42">
              <w:tab/>
              <w:t xml:space="preserve">Eurodac-süsteemi reguleerivaid eeskirju kohaldatakse ka liikmesriikide toimingute suhtes alates andmete edastamisest kesksüsteemi </w:t>
            </w:r>
            <w:r w:rsidRPr="00DC0A42">
              <w:rPr>
                <w:b/>
                <w:i/>
              </w:rPr>
              <w:t xml:space="preserve">või ühisesse isikuandmete hoidlasse </w:t>
            </w:r>
            <w:r w:rsidRPr="00DC0A42">
              <w:t>kuni võrdlustulemuste kasutamiseni.“;</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 xml:space="preserve"> Regulatiivosa – punkt 11 a (uus) – artikkel 5 – lõige 1</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11a)</w:t>
            </w:r>
            <w:r w:rsidRPr="00DC0A42">
              <w:rPr>
                <w:b/>
                <w:i/>
              </w:rPr>
              <w:tab/>
              <w:t xml:space="preserve"> Artikli 5 lõige 1 asendatakse järgmisega:</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851DB0">
            <w:pPr>
              <w:pStyle w:val="Normal6"/>
              <w:rPr>
                <w:szCs w:val="24"/>
              </w:rPr>
            </w:pPr>
            <w:r w:rsidRPr="00DC0A42">
              <w:rPr>
                <w:b/>
                <w:i/>
              </w:rPr>
              <w:t>1.</w:t>
            </w:r>
            <w:r w:rsidRPr="00DC0A42">
              <w:rPr>
                <w:b/>
                <w:i/>
              </w:rPr>
              <w:tab/>
              <w:t>Enne Eurodac-süsteemi kasutuselevõtmist ajakohastatakse nõuetekohaselt Eurodaci äri- ja tehnilise keskkonna turvaraamistik kooskõlas Euroopa Parlamendi ja nõukogu määruse (EL) 2018/1725</w:t>
            </w:r>
            <w:r w:rsidRPr="00DC0A42">
              <w:rPr>
                <w:b/>
                <w:i/>
                <w:vertAlign w:val="superscript"/>
              </w:rPr>
              <w:t>1a</w:t>
            </w:r>
            <w:r w:rsidRPr="00DC0A42">
              <w:rPr>
                <w:b/>
                <w:i/>
              </w:rPr>
              <w:t xml:space="preserve"> artikliga 33. Eurodaci operatiivjuhtimise eest vastutab eu-LISA.</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__________________</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851DB0">
            <w:pPr>
              <w:pStyle w:val="Normal6"/>
              <w:rPr>
                <w:b/>
                <w:i/>
                <w:szCs w:val="24"/>
              </w:rPr>
            </w:pPr>
            <w:r w:rsidRPr="00DC0A42">
              <w:rPr>
                <w:b/>
                <w:i/>
                <w:vertAlign w:val="superscript"/>
              </w:rPr>
              <w:t>1a</w:t>
            </w:r>
            <w:r w:rsidRPr="00DC0A42">
              <w:rPr>
                <w:b/>
                <w:i/>
              </w:rPr>
              <w:t xml:space="preserve">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12 – artikkel 8 a – lõige 1</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w:t>
            </w:r>
            <w:r w:rsidRPr="00DC0A42">
              <w:tab/>
              <w:t xml:space="preserve">Alates [käesoleva määruse kohaldamise alguskuupäev] on Eurodac-süsteemi </w:t>
            </w:r>
            <w:r w:rsidRPr="00DC0A42">
              <w:rPr>
                <w:b/>
                <w:i/>
              </w:rPr>
              <w:t>kesksüsteem</w:t>
            </w:r>
            <w:r w:rsidRPr="00DC0A42">
              <w:t xml:space="preserve"> ühendatud määruse (EL) 2019/818 artiklis 6 osutatud Euroopa otsinguportaaliga, et võimaldada määruse (EL) 2018/1240 artiklis 11 osutatud automaatset menetlemist.</w:t>
            </w:r>
          </w:p>
        </w:tc>
        <w:tc>
          <w:tcPr>
            <w:tcW w:w="4876" w:type="dxa"/>
            <w:hideMark/>
          </w:tcPr>
          <w:p w:rsidR="007605D8" w:rsidRPr="00DC0A42" w:rsidRDefault="00EE3FC6" w:rsidP="007605D8">
            <w:pPr>
              <w:pStyle w:val="Normal6"/>
            </w:pPr>
            <w:r w:rsidRPr="00DC0A42">
              <w:t>1.</w:t>
            </w:r>
            <w:r w:rsidRPr="00DC0A42">
              <w:tab/>
              <w:t xml:space="preserve">Alates [käesoleva määruse kohaldamise alguskuupäev] on Eurodac-süsteemi </w:t>
            </w:r>
            <w:r w:rsidRPr="00DC0A42">
              <w:rPr>
                <w:b/>
                <w:i/>
              </w:rPr>
              <w:t>ühise isikuandmete hoidla komponent</w:t>
            </w:r>
            <w:r w:rsidRPr="00DC0A42">
              <w:t xml:space="preserve"> ühendatud määruse (EL) 2019/818 artiklis 6 osutatud Euroopa otsinguportaaliga, et võimaldada määruse (EL) 2018/1240 artiklis 11 osutatud automaatset menetlemist.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12 – artikkel 8a – lõige 2</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2.</w:t>
            </w:r>
            <w:r w:rsidRPr="00DC0A42">
              <w:tab/>
              <w:t>Määruse (EL) 2018/1240 artiklis </w:t>
            </w:r>
            <w:r w:rsidRPr="00DC0A42">
              <w:rPr>
                <w:b/>
                <w:i/>
              </w:rPr>
              <w:t>11</w:t>
            </w:r>
            <w:r w:rsidRPr="00DC0A42">
              <w:t xml:space="preserve"> osutatud automaatne menetlemine võimaldab teha kõnealuse määruse artiklis 20 osutatud kontrolle ning nimetatud määruse artiklites 22 ja 26 osutatud järgnevaid kontrolle.</w:t>
            </w:r>
          </w:p>
        </w:tc>
        <w:tc>
          <w:tcPr>
            <w:tcW w:w="4876" w:type="dxa"/>
            <w:hideMark/>
          </w:tcPr>
          <w:p w:rsidR="007605D8" w:rsidRPr="00DC0A42" w:rsidRDefault="00EE3FC6" w:rsidP="007605D8">
            <w:pPr>
              <w:pStyle w:val="Normal6"/>
              <w:rPr>
                <w:szCs w:val="24"/>
              </w:rPr>
            </w:pPr>
            <w:r w:rsidRPr="00DC0A42">
              <w:t>2.</w:t>
            </w:r>
            <w:r w:rsidRPr="00DC0A42">
              <w:tab/>
              <w:t>Määruse (EL) 2018/1240 artiklis </w:t>
            </w:r>
            <w:r w:rsidRPr="00DC0A42">
              <w:rPr>
                <w:b/>
                <w:i/>
              </w:rPr>
              <w:t>20</w:t>
            </w:r>
            <w:r w:rsidRPr="00DC0A42">
              <w:t xml:space="preserve"> osutatud automaatne menetlemine võimaldab teha kõnealuse määruse artiklis 20 osutatud kontrolle ning nimetatud määruse artiklites 22 ja 26 osutatud järgnevaid kontrolle. </w:t>
            </w:r>
          </w:p>
        </w:tc>
      </w:tr>
      <w:tr w:rsidR="00F677D7" w:rsidRPr="00DC0A42" w:rsidTr="007605D8">
        <w:trPr>
          <w:jc w:val="center"/>
        </w:trPr>
        <w:tc>
          <w:tcPr>
            <w:tcW w:w="4876" w:type="dxa"/>
            <w:hideMark/>
          </w:tcPr>
          <w:p w:rsidR="007605D8" w:rsidRPr="00DC0A42" w:rsidRDefault="00EE3FC6" w:rsidP="007605D8">
            <w:pPr>
              <w:pStyle w:val="Normal6"/>
            </w:pPr>
            <w:r w:rsidRPr="00DC0A42">
              <w:t>Määruse (EL) 2018/1240 artikli 20 lõike 2 punktis k osutatud kontrolli tegemise eesmärgil kasutab ETIASe kesküsteem Euroopa otsinguportaali, et võrrelda ETIASe andmeid Eurodac-süsteemi andmetega, mis on kogutud käesoleva määruse artiklite 12, 13, 14 ja 14a alusel ja mis puudutavad isikuid, kes on liikmesriikide territooriumilt lahkunud või sealt välja saadetud vastavalt tagasisaatmisotsusele või väljasaatmiskorraldusele, ja kasutades käesoleva määruse II lisas esitatud vastavustabelit.</w:t>
            </w:r>
          </w:p>
        </w:tc>
        <w:tc>
          <w:tcPr>
            <w:tcW w:w="4876" w:type="dxa"/>
            <w:hideMark/>
          </w:tcPr>
          <w:p w:rsidR="007605D8" w:rsidRPr="00DC0A42" w:rsidRDefault="00EE3FC6" w:rsidP="007605D8">
            <w:pPr>
              <w:pStyle w:val="Normal6"/>
              <w:rPr>
                <w:szCs w:val="24"/>
              </w:rPr>
            </w:pPr>
            <w:r w:rsidRPr="00DC0A42">
              <w:t xml:space="preserve">Määruse (EL) 2018/1240 artikli 20 lõike 2 punktis k osutatud kontrolli tegemise eesmärgil kasutab ETIASe kesküsteem Euroopa otsinguportaali, et võrrelda ETIASe andmeid Eurodac-süsteemi andmetega, mis on </w:t>
            </w:r>
            <w:r w:rsidRPr="00DC0A42">
              <w:rPr>
                <w:b/>
                <w:i/>
              </w:rPr>
              <w:t xml:space="preserve">kirjutuskaitstud kujul </w:t>
            </w:r>
            <w:r w:rsidRPr="00DC0A42">
              <w:t>kogutud käesoleva määruse artiklite 12, 13, 14 ja 14a alusel ja mis puudutavad isikuid, kes on liikmesriikide territooriumilt lahkunud või sealt välja saadetud vastavalt tagasisaatmisotsusele või väljasaatmiskorraldusele, ja kasutades käesoleva määruse II lisas esitatud vastavustabelit.</w:t>
            </w:r>
          </w:p>
        </w:tc>
      </w:tr>
      <w:tr w:rsidR="00F677D7" w:rsidRPr="00DC0A42" w:rsidTr="007605D8">
        <w:trPr>
          <w:jc w:val="center"/>
        </w:trPr>
        <w:tc>
          <w:tcPr>
            <w:tcW w:w="4876" w:type="dxa"/>
            <w:hideMark/>
          </w:tcPr>
          <w:p w:rsidR="007605D8" w:rsidRPr="00DC0A42" w:rsidRDefault="00EE3FC6" w:rsidP="007605D8">
            <w:pPr>
              <w:pStyle w:val="Normal6"/>
            </w:pPr>
            <w:r w:rsidRPr="00DC0A42">
              <w:t>Kontrollide tegemine ei piira määruse (EL) 2018/1240 artikli 24 lõikes 3 sätestatud erieeskirjade kohaldamist.</w:t>
            </w:r>
          </w:p>
        </w:tc>
        <w:tc>
          <w:tcPr>
            <w:tcW w:w="4876" w:type="dxa"/>
            <w:hideMark/>
          </w:tcPr>
          <w:p w:rsidR="007605D8" w:rsidRPr="00DC0A42" w:rsidRDefault="00EE3FC6" w:rsidP="007605D8">
            <w:pPr>
              <w:pStyle w:val="Normal6"/>
              <w:rPr>
                <w:szCs w:val="24"/>
              </w:rPr>
            </w:pPr>
            <w:r w:rsidRPr="00DC0A42">
              <w:t>Kontrollide tegemine ei piira määruse (EL) 2018/1240 artikli 24 lõikes 3 sätestatud erieeskirjade kohaldamist.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35</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12 – artikkel 8b – lõige 2</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2.</w:t>
            </w:r>
            <w:r w:rsidRPr="00DC0A42">
              <w:tab/>
            </w:r>
            <w:r w:rsidRPr="00DC0A42">
              <w:rPr>
                <w:b/>
                <w:i/>
              </w:rPr>
              <w:t xml:space="preserve">Artikli 1 lõike 1 punkti f kohaldamisel saavad </w:t>
            </w:r>
            <w:r w:rsidRPr="00DC0A42">
              <w:t xml:space="preserve">ETIASe riiklikud üksused reisiloataotluste läbivaatamiseks juurdepääsu </w:t>
            </w:r>
            <w:r w:rsidRPr="00DC0A42">
              <w:rPr>
                <w:b/>
                <w:i/>
              </w:rPr>
              <w:t>riiki sisenemise ja riigist lahkumise süsteemile ning võimaluse</w:t>
            </w:r>
            <w:r w:rsidRPr="00DC0A42">
              <w:t xml:space="preserve"> selle andmetega kirjutuskaitstud vormis</w:t>
            </w:r>
            <w:r w:rsidRPr="00DC0A42">
              <w:rPr>
                <w:b/>
                <w:i/>
              </w:rPr>
              <w:t xml:space="preserve"> tutvuda</w:t>
            </w:r>
            <w:r w:rsidRPr="00DC0A42">
              <w:t>. Eelkõige võivad ETIASe riiklikud üksused tutvuda artiklites 12, 13, 14 ja 14a osutatud andmetega.</w:t>
            </w:r>
          </w:p>
        </w:tc>
        <w:tc>
          <w:tcPr>
            <w:tcW w:w="4876" w:type="dxa"/>
            <w:hideMark/>
          </w:tcPr>
          <w:p w:rsidR="007605D8" w:rsidRPr="00DC0A42" w:rsidRDefault="00EE3FC6" w:rsidP="007605D8">
            <w:pPr>
              <w:pStyle w:val="Normal6"/>
            </w:pPr>
            <w:r w:rsidRPr="00DC0A42">
              <w:t>2.</w:t>
            </w:r>
            <w:r w:rsidRPr="00DC0A42">
              <w:tab/>
              <w:t>ETIASe riiklikud üksused</w:t>
            </w:r>
            <w:r w:rsidRPr="00DC0A42">
              <w:rPr>
                <w:b/>
                <w:i/>
              </w:rPr>
              <w:t xml:space="preserve"> saavad</w:t>
            </w:r>
            <w:r w:rsidRPr="00DC0A42">
              <w:t xml:space="preserve"> reisiloataotluste läbivaatamiseks</w:t>
            </w:r>
            <w:r w:rsidRPr="00DC0A42">
              <w:rPr>
                <w:b/>
                <w:i/>
              </w:rPr>
              <w:t xml:space="preserve"> ajutise</w:t>
            </w:r>
            <w:r w:rsidRPr="00DC0A42">
              <w:t xml:space="preserve"> juurdepääsu </w:t>
            </w:r>
            <w:r w:rsidRPr="00DC0A42">
              <w:rPr>
                <w:b/>
                <w:i/>
              </w:rPr>
              <w:t>Eurodac-süsteemile, et tutvuda</w:t>
            </w:r>
            <w:r w:rsidRPr="00DC0A42">
              <w:t xml:space="preserve"> selle andmetega kirjutuskaitstud vormis. Eelkõige võivad ETIASe riiklikud üksused tutvuda artiklites 12, 13, 14 ja 14a osutatud andmetega.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12 – artikkel 8c</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Viisainfosüsteemi poolt vastavalt määruse (EÜ) nr 767/2008 artiklitele [9a ja 9c] tehtud automaatpäringute tulemusena leitud kokkulangevuste käsitsi kontrolliks ning viisataotluste läbivaatamiseks ja nende kohta otsuste tegemiseks vastavalt Euroopa Parlamendi ja nõukogu määruse (EÜ) nr 810/2009</w:t>
            </w:r>
            <w:r w:rsidRPr="00DC0A42">
              <w:rPr>
                <w:vertAlign w:val="superscript"/>
              </w:rPr>
              <w:t>30</w:t>
            </w:r>
            <w:r w:rsidRPr="00DC0A42">
              <w:t xml:space="preserve"> artiklile 21 on viisasid väljastavatel pädevatel asutustel juurdepääs Eurodac-süsteemile, et tutvuda kirjutuskaitstud vormis andmetega.</w:t>
            </w:r>
          </w:p>
        </w:tc>
        <w:tc>
          <w:tcPr>
            <w:tcW w:w="4876" w:type="dxa"/>
            <w:hideMark/>
          </w:tcPr>
          <w:p w:rsidR="007605D8" w:rsidRPr="00DC0A42" w:rsidRDefault="00EE3FC6" w:rsidP="007605D8">
            <w:pPr>
              <w:pStyle w:val="Normal6"/>
            </w:pPr>
            <w:r w:rsidRPr="00DC0A42">
              <w:t>Viisainfosüsteemi poolt vastavalt määruse (EÜ) nr 767/2008 artiklitele [9a ja 9c] tehtud automaatpäringute tulemusena leitud kokkulangevuste käsitsi kontrolliks ning viisataotluste läbivaatamiseks ja nende kohta otsuste tegemiseks vastavalt Euroopa Parlamendi ja nõukogu määruse (EÜ) nr 810/2009</w:t>
            </w:r>
            <w:r w:rsidRPr="00DC0A42">
              <w:rPr>
                <w:vertAlign w:val="superscript"/>
              </w:rPr>
              <w:t>30</w:t>
            </w:r>
            <w:r w:rsidRPr="00DC0A42">
              <w:t xml:space="preserve"> artiklile 21 on viisasid väljastavatel pädevatel asutustel </w:t>
            </w:r>
            <w:r w:rsidRPr="00DC0A42">
              <w:rPr>
                <w:b/>
                <w:i/>
              </w:rPr>
              <w:t xml:space="preserve">ajutine </w:t>
            </w:r>
            <w:r w:rsidRPr="00DC0A42">
              <w:t>juurdepääs Eurodac-süsteemile, et tutvuda kirjutuskaitstud vormis andmetega.</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pPr>
            <w:r w:rsidRPr="00DC0A42">
              <w:rPr>
                <w:b/>
                <w:i/>
              </w:rPr>
              <w:t>______________</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pPr>
            <w:r w:rsidRPr="00DC0A42">
              <w:rPr>
                <w:vertAlign w:val="superscript"/>
              </w:rPr>
              <w:t>1</w:t>
            </w:r>
            <w:r w:rsidRPr="00DC0A42">
              <w:t xml:space="preserve"> Euroopa Parlamendi ja nõukogu 13. juuli 2009. aasta määrus (EÜ) nr 810/2009, millega kehtestatakse ühenduse viisaeeskiri (viisaeeskiri) (ELT L 243, 15.9.2009, lk 1–58).</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3D39FD" w:rsidRPr="00DC0A42" w:rsidRDefault="00EE3FC6" w:rsidP="003D39FD">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12 – artikkel 8c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851DB0">
            <w:pPr>
              <w:pStyle w:val="Normal6"/>
              <w:jc w:val="center"/>
              <w:rPr>
                <w:b/>
                <w:i/>
                <w:szCs w:val="24"/>
              </w:rPr>
            </w:pPr>
            <w:r w:rsidRPr="00DC0A42">
              <w:rPr>
                <w:b/>
                <w:i/>
              </w:rPr>
              <w:t>Artikkel 8ca</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jc w:val="center"/>
              <w:rPr>
                <w:b/>
                <w:i/>
              </w:rPr>
            </w:pPr>
            <w:r w:rsidRPr="00DC0A42">
              <w:rPr>
                <w:b/>
                <w:i/>
              </w:rPr>
              <w:t>Euroopa piiri- ja rannikuvalve alalise korpuse ning varjupaigatugirühmade juurdepääs Eurodac-süsteemile</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851DB0">
            <w:pPr>
              <w:pStyle w:val="Normal6"/>
              <w:rPr>
                <w:b/>
                <w:i/>
                <w:szCs w:val="24"/>
              </w:rPr>
            </w:pPr>
            <w:r w:rsidRPr="00DC0A42">
              <w:rPr>
                <w:b/>
                <w:i/>
              </w:rPr>
              <w:t>1.</w:t>
            </w:r>
            <w:r w:rsidRPr="00DC0A42">
              <w:rPr>
                <w:b/>
                <w:i/>
              </w:rPr>
              <w:tab/>
              <w:t>Määruse (EL) 2019/1896 artikli 40 lõikes 4 ja artikli 55 lõikes 7 ning määruse (EL) XXX [ELi Varjupaigaameti määrus] artiklis 16 sätestatud ülesannete täitmiseks võivad Euroopa piiri- ja rannikuvalve alalise korpuse liikmed, kes on lähetatud piirihaldusrühmade, rändehalduse tugirühmade ja tagasisaatmisrühmade ning Euroopa Liidu Varjupaigaameti varjupaigatugirühmade (edaspidi „ametite rühmad“) kaudu, kasutada Eurodac-süsteemi, et võtta ja edastada biomeetrilisi ja tähtnumbrilisi andmeid kooskõlas käesoleva määruse artikli 10 lõikega 3, artikli 12a lõikega 2, artikli 13 lõikega 7 ja artikli 14a lõikega 7.</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851DB0">
            <w:pPr>
              <w:pStyle w:val="Normal6"/>
              <w:rPr>
                <w:b/>
                <w:i/>
                <w:szCs w:val="24"/>
              </w:rPr>
            </w:pPr>
            <w:r w:rsidRPr="00DC0A42">
              <w:rPr>
                <w:b/>
                <w:i/>
              </w:rPr>
              <w:t>2.</w:t>
            </w:r>
            <w:r w:rsidRPr="00DC0A42">
              <w:rPr>
                <w:b/>
                <w:i/>
              </w:rPr>
              <w:tab/>
              <w:t>Ametite rühmade liikmed töötlevad lõikes 1 osutatud andmeid üksnes juhul, kui seda taotleb liikmesriik, kus kõnealune operatsioon toimub, ja kooskõlas selle liikmesriigi ja Euroopa Piiri- ja Rannikuvalve Ameti või Euroopa Liidu Varjupaigaameti vahel kokku lepitud tegevusplaaniga.</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397221">
            <w:pPr>
              <w:pStyle w:val="Normal6"/>
              <w:rPr>
                <w:b/>
                <w:i/>
                <w:szCs w:val="24"/>
              </w:rPr>
            </w:pPr>
            <w:r w:rsidRPr="00DC0A42">
              <w:rPr>
                <w:b/>
                <w:i/>
              </w:rPr>
              <w:t>3.</w:t>
            </w:r>
            <w:r w:rsidRPr="00DC0A42">
              <w:rPr>
                <w:b/>
                <w:i/>
              </w:rPr>
              <w:tab/>
              <w:t>Eurodac-süsteemi andmete töötlemisel tegutsevad ametite rühmade liikmed vastuvõtva liikmesriigi pädevate asutuste nimel ja nende juhiste kohaselt, nagu on sätestatud tegevusplaanis. Kohaldatakse määrust (EL) 2018/1725, eelkõige selles sätestatud volitatud töötlejatega seotud kohustusi. Kooskõlas määruse (EL) 2021/2303 artikli 30 lõikega 6 kohaldatakse varjupaigatugirühmade liikmete suhtes määrust (EL) 2016/679.</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8d</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Alates [määruse (EL) XXX/XXX (millega muudetakse VISi määrust) kohaldamise alguskuupäev] ühendatakse Eurodac-süsteem vastavalt kõnealuse määruse artiklile [9] määruse (EL) 2019/817 artiklis 6 osutatud Euroopa otsinguportaaliga, et võimaldada määruse (EÜ) nr 767/2008 artiklis [9a] osutatud automaatset menetlemist</w:t>
            </w:r>
            <w:r w:rsidRPr="00DC0A42">
              <w:rPr>
                <w:b/>
                <w:i/>
              </w:rPr>
              <w:t>, et</w:t>
            </w:r>
            <w:r w:rsidRPr="00DC0A42">
              <w:t xml:space="preserve"> esitada Eurodac-süsteemis päringuid ja võrrelda viisainfosüsteemi asjaomaseid andmeid Eurodac-süsteemi asjaomaste andmetega. Kontrollide tegemine ei piira määruse 767/2008 artikli 9 punktis b sätestatud erieeskirjade kohaldamist.“</w:t>
            </w:r>
          </w:p>
        </w:tc>
        <w:tc>
          <w:tcPr>
            <w:tcW w:w="4876" w:type="dxa"/>
            <w:hideMark/>
          </w:tcPr>
          <w:p w:rsidR="007605D8" w:rsidRPr="00DC0A42" w:rsidRDefault="00EE3FC6" w:rsidP="007605D8">
            <w:pPr>
              <w:pStyle w:val="Normal6"/>
              <w:rPr>
                <w:szCs w:val="24"/>
              </w:rPr>
            </w:pPr>
            <w:r w:rsidRPr="00DC0A42">
              <w:t>Alates [määruse (EL) XXX/XXX (millega muudetakse VISi määrust) kohaldamise alguskuupäev] ühendatakse Eurodac-süsteem vastavalt kõnealuse määruse artiklile [9] määruse (EL) 2019/817 artiklis 6 osutatud Euroopa otsinguportaaliga, et võimaldada määruse (EÜ) nr 767/2008 artiklis [9a] osutatud automaatset menetlemist</w:t>
            </w:r>
            <w:r w:rsidRPr="00DC0A42">
              <w:rPr>
                <w:b/>
                <w:i/>
              </w:rPr>
              <w:t xml:space="preserve"> ning seega</w:t>
            </w:r>
            <w:r w:rsidRPr="00DC0A42">
              <w:t xml:space="preserve"> esitada Eurodac-süsteemis päringuid ja võrrelda viisainfosüsteemi asjaomaseid andmeid Eurodac-süsteemi asjaomaste andmetega. Kontrollide tegemine ei piira määruse 767/2008 artikli 9 punktis b sätestatud erieeskirjade kohaldamist.“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39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1 – sissejuhatav osa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w:t>
            </w:r>
            <w:r w:rsidRPr="00DC0A42">
              <w:tab/>
              <w:t>eu-LISA koostab igal kuul kesksüsteemi töö kohta statistilise aruande, kus eelkõige esitatakse:</w:t>
            </w:r>
          </w:p>
        </w:tc>
        <w:tc>
          <w:tcPr>
            <w:tcW w:w="4876" w:type="dxa"/>
            <w:hideMark/>
          </w:tcPr>
          <w:p w:rsidR="007605D8" w:rsidRPr="00DC0A42" w:rsidRDefault="00EE3FC6" w:rsidP="007605D8">
            <w:pPr>
              <w:pStyle w:val="Normal6"/>
              <w:rPr>
                <w:szCs w:val="24"/>
              </w:rPr>
            </w:pPr>
            <w:r w:rsidRPr="00DC0A42">
              <w:t>1.</w:t>
            </w:r>
            <w:r w:rsidRPr="00DC0A42">
              <w:tab/>
              <w:t xml:space="preserve">eu-LISA koostab igal kuul kesksüsteemi </w:t>
            </w:r>
            <w:r w:rsidRPr="00DC0A42">
              <w:rPr>
                <w:b/>
                <w:i/>
              </w:rPr>
              <w:t xml:space="preserve">ja ühise isikuandmete hoidla </w:t>
            </w:r>
            <w:r w:rsidRPr="00DC0A42">
              <w:t>töö kohta statistilise aruande, kus eelkõige esitatakse: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40</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b</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b)</w:t>
            </w:r>
            <w:r w:rsidRPr="00DC0A42">
              <w:tab/>
              <w:t>tagasilükatud taotluse esitanute arv, mis saadakse artikli 4 lõikes 6 osutatud linkimisprotsessi tulemusena ja vastavalt artikli 12 punktile </w:t>
            </w:r>
            <w:r w:rsidRPr="00DC0A42">
              <w:rPr>
                <w:b/>
                <w:i/>
              </w:rPr>
              <w:t>za</w:t>
            </w:r>
            <w:r w:rsidRPr="00DC0A42">
              <w:t>;</w:t>
            </w:r>
          </w:p>
        </w:tc>
        <w:tc>
          <w:tcPr>
            <w:tcW w:w="4876" w:type="dxa"/>
            <w:hideMark/>
          </w:tcPr>
          <w:p w:rsidR="007605D8" w:rsidRPr="00DC0A42" w:rsidRDefault="00EE3FC6" w:rsidP="007605D8">
            <w:pPr>
              <w:pStyle w:val="Normal6"/>
              <w:rPr>
                <w:szCs w:val="24"/>
              </w:rPr>
            </w:pPr>
            <w:r w:rsidRPr="00DC0A42">
              <w:t>b)</w:t>
            </w:r>
            <w:r w:rsidRPr="00DC0A42">
              <w:tab/>
              <w:t>tagasilükatud taotluse esitanute arv, mis saadakse artikli 4 lõikes 6 osutatud linkimisprotsessi tulemusena ja vastavalt artikli 12 punktile </w:t>
            </w:r>
            <w:r w:rsidRPr="00DC0A42">
              <w:rPr>
                <w:b/>
                <w:i/>
              </w:rPr>
              <w:t>x</w:t>
            </w:r>
            <w:r w:rsidRPr="00DC0A42">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1 – punkt c</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EE3FC6" w:rsidP="007605D8">
            <w:pPr>
              <w:pStyle w:val="Normal6"/>
            </w:pPr>
            <w:r w:rsidRPr="00DC0A42">
              <w:t>c)</w:t>
            </w:r>
            <w:r w:rsidRPr="00DC0A42">
              <w:tab/>
              <w:t>artikli 10 lõikes 1</w:t>
            </w:r>
            <w:r w:rsidRPr="00DC0A42">
              <w:rPr>
                <w:b/>
                <w:i/>
              </w:rPr>
              <w:t>,</w:t>
            </w:r>
            <w:r w:rsidRPr="00DC0A42">
              <w:t xml:space="preserve"> artikli 13 lõikes 1, artikli</w:t>
            </w:r>
            <w:r w:rsidRPr="00DC0A42">
              <w:rPr>
                <w:b/>
                <w:i/>
              </w:rPr>
              <w:t> 14</w:t>
            </w:r>
            <w:r w:rsidRPr="00DC0A42">
              <w:t xml:space="preserve"> lõikes</w:t>
            </w:r>
            <w:r w:rsidRPr="00DC0A42">
              <w:rPr>
                <w:b/>
                <w:i/>
              </w:rPr>
              <w:t> </w:t>
            </w:r>
            <w:r w:rsidRPr="00DC0A42">
              <w:t>1 ja artikli</w:t>
            </w:r>
            <w:r w:rsidRPr="00DC0A42">
              <w:rPr>
                <w:b/>
                <w:i/>
              </w:rPr>
              <w:t> </w:t>
            </w:r>
            <w:r w:rsidRPr="00DC0A42">
              <w:t>14</w:t>
            </w:r>
            <w:r w:rsidRPr="00DC0A42">
              <w:rPr>
                <w:b/>
                <w:i/>
              </w:rPr>
              <w:t>a</w:t>
            </w:r>
            <w:r w:rsidRPr="00DC0A42">
              <w:t xml:space="preserve"> lõikes</w:t>
            </w:r>
            <w:r w:rsidRPr="00DC0A42">
              <w:rPr>
                <w:b/>
                <w:i/>
              </w:rPr>
              <w:t> </w:t>
            </w:r>
            <w:r w:rsidRPr="00DC0A42">
              <w:t xml:space="preserve">1 </w:t>
            </w:r>
            <w:r w:rsidRPr="00DC0A42">
              <w:rPr>
                <w:b/>
                <w:i/>
              </w:rPr>
              <w:t>nimetatud isikuid käsitlevate edastatud andmekogumite arv</w:t>
            </w:r>
            <w:r w:rsidRPr="00DC0A42">
              <w:t>;</w:t>
            </w:r>
          </w:p>
          <w:p w:rsidR="007605D8" w:rsidRPr="00DC0A42" w:rsidRDefault="007605D8" w:rsidP="007605D8">
            <w:pPr>
              <w:pStyle w:val="Normal6"/>
            </w:pPr>
          </w:p>
        </w:tc>
        <w:tc>
          <w:tcPr>
            <w:tcW w:w="4876" w:type="dxa"/>
            <w:hideMark/>
          </w:tcPr>
          <w:p w:rsidR="007605D8" w:rsidRPr="00DC0A42" w:rsidRDefault="00EE3FC6" w:rsidP="00DA1A8E">
            <w:pPr>
              <w:pStyle w:val="Normal6"/>
            </w:pPr>
            <w:r w:rsidRPr="00DC0A42">
              <w:t>c)</w:t>
            </w:r>
            <w:r w:rsidRPr="00DC0A42">
              <w:tab/>
              <w:t>artikli 10 lõikes 1</w:t>
            </w:r>
            <w:r w:rsidRPr="00DC0A42">
              <w:rPr>
                <w:b/>
                <w:i/>
              </w:rPr>
              <w:t xml:space="preserve"> ja</w:t>
            </w:r>
            <w:r w:rsidRPr="00DC0A42">
              <w:t xml:space="preserve"> artikli 13 lõikes 1</w:t>
            </w:r>
            <w:r w:rsidRPr="00DC0A42">
              <w:rPr>
                <w:b/>
                <w:i/>
              </w:rPr>
              <w:t xml:space="preserve"> nimetatud isikuid käsitlevate edastatud andmekogumite arv</w:t>
            </w:r>
            <w:r w:rsidRPr="00DC0A42">
              <w:t xml:space="preserve">, </w:t>
            </w:r>
            <w:r w:rsidRPr="00DC0A42">
              <w:rPr>
                <w:b/>
                <w:i/>
              </w:rPr>
              <w:t xml:space="preserve">niivõrd kui need isikud ei ole hõlmatud </w:t>
            </w:r>
            <w:r w:rsidRPr="00DC0A42">
              <w:t>artikli</w:t>
            </w:r>
            <w:r w:rsidRPr="00DC0A42">
              <w:rPr>
                <w:b/>
                <w:i/>
              </w:rPr>
              <w:t xml:space="preserve"> 10</w:t>
            </w:r>
            <w:r w:rsidRPr="00DC0A42">
              <w:t xml:space="preserve"> lõikes</w:t>
            </w:r>
            <w:r w:rsidRPr="00DC0A42">
              <w:rPr>
                <w:b/>
                <w:i/>
              </w:rPr>
              <w:t xml:space="preserve"> </w:t>
            </w:r>
            <w:r w:rsidRPr="00DC0A42">
              <w:t>1 ja artikli</w:t>
            </w:r>
            <w:r w:rsidRPr="00DC0A42">
              <w:rPr>
                <w:b/>
                <w:i/>
              </w:rPr>
              <w:t xml:space="preserve"> </w:t>
            </w:r>
            <w:r w:rsidRPr="00DC0A42">
              <w:t>14 lõikes</w:t>
            </w:r>
            <w:r w:rsidRPr="00DC0A42">
              <w:rPr>
                <w:b/>
                <w:i/>
              </w:rPr>
              <w:t xml:space="preserve"> </w:t>
            </w:r>
            <w:r w:rsidRPr="00DC0A42">
              <w:t xml:space="preserve">1 </w:t>
            </w:r>
            <w:r w:rsidRPr="00DC0A42">
              <w:rPr>
                <w:b/>
                <w:i/>
              </w:rPr>
              <w:t>osutatud andmekogumitega</w:t>
            </w:r>
            <w:r w:rsidRPr="00DC0A42">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1 – punkt d iv</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rPr>
                <w:b/>
                <w:i/>
              </w:rPr>
            </w:pPr>
            <w:r w:rsidRPr="00DC0A42">
              <w:rPr>
                <w:b/>
                <w:i/>
              </w:rPr>
              <w:t>iv)</w:t>
            </w:r>
            <w:r w:rsidRPr="00DC0A42">
              <w:rPr>
                <w:b/>
                <w:i/>
              </w:rPr>
              <w:tab/>
              <w:t>kes maabusid otsingu- ja päästeoperatsiooni järel;</w:t>
            </w:r>
          </w:p>
        </w:tc>
        <w:tc>
          <w:tcPr>
            <w:tcW w:w="4876" w:type="dxa"/>
            <w:hideMark/>
          </w:tcPr>
          <w:p w:rsidR="007605D8" w:rsidRPr="00DC0A42" w:rsidRDefault="00EE3FC6" w:rsidP="007605D8">
            <w:pPr>
              <w:pStyle w:val="Normal6"/>
              <w:rPr>
                <w:b/>
                <w:i/>
              </w:rPr>
            </w:pPr>
            <w:r w:rsidRPr="00DC0A42">
              <w:rPr>
                <w:b/>
                <w:i/>
              </w:rPr>
              <w:t>välja jäetud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d iv a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iva)</w:t>
            </w:r>
            <w:r w:rsidRPr="00DC0A42">
              <w:rPr>
                <w:b/>
                <w:i/>
              </w:rPr>
              <w:tab/>
              <w:t>kellele on liikmesriigis antud rahvusvaheline kaitse;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d iv b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ivb)</w:t>
            </w:r>
            <w:r w:rsidRPr="00DC0A42">
              <w:rPr>
                <w:b/>
                <w:i/>
              </w:rPr>
              <w:tab/>
              <w:t xml:space="preserve">kes olid andmekogumi Eurodac-süsteemis registreerimise ajal alaealised; </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45</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1 – punkt e iv</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rPr>
                <w:b/>
                <w:i/>
              </w:rPr>
            </w:pPr>
            <w:r w:rsidRPr="00DC0A42">
              <w:rPr>
                <w:b/>
                <w:i/>
              </w:rPr>
              <w:t>iva)</w:t>
            </w:r>
            <w:r w:rsidRPr="00DC0A42">
              <w:rPr>
                <w:b/>
                <w:i/>
              </w:rPr>
              <w:tab/>
              <w:t>kes maabusid otsingu- ja päästeoperatsiooni järel;</w:t>
            </w:r>
          </w:p>
        </w:tc>
        <w:tc>
          <w:tcPr>
            <w:tcW w:w="4876" w:type="dxa"/>
            <w:hideMark/>
          </w:tcPr>
          <w:p w:rsidR="007605D8" w:rsidRPr="00DC0A42" w:rsidRDefault="00EE3FC6" w:rsidP="007605D8">
            <w:pPr>
              <w:pStyle w:val="Normal6"/>
              <w:rPr>
                <w:b/>
                <w:i/>
              </w:rPr>
            </w:pPr>
            <w:r w:rsidRPr="00DC0A42">
              <w:rPr>
                <w:b/>
                <w:i/>
              </w:rPr>
              <w:t>välja jäetud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e iv a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iva)</w:t>
            </w:r>
            <w:r w:rsidRPr="00DC0A42">
              <w:rPr>
                <w:b/>
                <w:i/>
              </w:rPr>
              <w:tab/>
              <w:t>kellele on liikmesriigis antud rahvusvaheline kaitse;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e iv b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ivb)</w:t>
            </w:r>
            <w:r w:rsidRPr="00DC0A42">
              <w:rPr>
                <w:b/>
                <w:i/>
              </w:rPr>
              <w:tab/>
              <w:t xml:space="preserve">kes olid andmekogumi Eurodac-süsteemis registreerimise ajal alaealised; </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1 – punkt f iv</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rPr>
                <w:b/>
                <w:i/>
              </w:rPr>
              <w:t>iv)</w:t>
            </w:r>
            <w:r w:rsidRPr="00DC0A42">
              <w:rPr>
                <w:b/>
                <w:i/>
              </w:rPr>
              <w:tab/>
              <w:t>kes maabusid otsingu- ja päästeoperatsiooni järel;</w:t>
            </w:r>
          </w:p>
        </w:tc>
        <w:tc>
          <w:tcPr>
            <w:tcW w:w="4876" w:type="dxa"/>
            <w:hideMark/>
          </w:tcPr>
          <w:p w:rsidR="007605D8" w:rsidRPr="00DC0A42" w:rsidRDefault="00EE3FC6" w:rsidP="007605D8">
            <w:pPr>
              <w:pStyle w:val="Normal6"/>
              <w:rPr>
                <w:b/>
                <w:i/>
              </w:rPr>
            </w:pPr>
            <w:r w:rsidRPr="00DC0A42">
              <w:rPr>
                <w:b/>
                <w:i/>
              </w:rPr>
              <w:t>välja jäetud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49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f iv a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iva)</w:t>
            </w:r>
            <w:r w:rsidRPr="00DC0A42">
              <w:rPr>
                <w:b/>
                <w:i/>
              </w:rPr>
              <w:tab/>
              <w:t>kellele on liikmesriigis antud rahvusvaheline kaitse;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50</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f iv b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ivb)</w:t>
            </w:r>
            <w:r w:rsidRPr="00DC0A42">
              <w:rPr>
                <w:b/>
                <w:i/>
              </w:rPr>
              <w:tab/>
              <w:t xml:space="preserve">kes olid andmekogumi Eurodac-süsteemis registreerimise ajal alaealised; </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g iv a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iva)</w:t>
            </w:r>
            <w:r w:rsidRPr="00DC0A42">
              <w:rPr>
                <w:b/>
                <w:i/>
              </w:rPr>
              <w:tab/>
              <w:t>kellele on liikmesriigis antud rahvusvaheline kaitse;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1 – punkt g iv b (uus)</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ivb)</w:t>
            </w:r>
            <w:r w:rsidRPr="00DC0A42">
              <w:rPr>
                <w:b/>
                <w:i/>
              </w:rPr>
              <w:tab/>
              <w:t xml:space="preserve">kes olid andmekogumi Eurodac-süsteemis registreerimise ajal alaealised; </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1 – punkt m</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m)</w:t>
            </w:r>
            <w:r w:rsidRPr="00DC0A42">
              <w:tab/>
            </w:r>
            <w:r w:rsidRPr="00DC0A42">
              <w:rPr>
                <w:b/>
                <w:i/>
              </w:rPr>
              <w:t>artiklis 31 osutatud isikute kohta</w:t>
            </w:r>
            <w:r w:rsidRPr="00DC0A42">
              <w:t xml:space="preserve"> esitatud taotluste arv;</w:t>
            </w:r>
          </w:p>
        </w:tc>
        <w:tc>
          <w:tcPr>
            <w:tcW w:w="4876" w:type="dxa"/>
            <w:hideMark/>
          </w:tcPr>
          <w:p w:rsidR="007605D8" w:rsidRPr="00DC0A42" w:rsidRDefault="00EE3FC6" w:rsidP="007605D8">
            <w:pPr>
              <w:pStyle w:val="Normal6"/>
            </w:pPr>
            <w:r w:rsidRPr="00DC0A42">
              <w:t>m)</w:t>
            </w:r>
            <w:r w:rsidRPr="00DC0A42">
              <w:tab/>
            </w:r>
            <w:r w:rsidRPr="00DC0A42">
              <w:rPr>
                <w:b/>
                <w:i/>
              </w:rPr>
              <w:t>artikli 31 kohaselt</w:t>
            </w:r>
            <w:r w:rsidRPr="00DC0A42">
              <w:t xml:space="preserve"> esitatud taotluste arv;</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2</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2.</w:t>
            </w:r>
            <w:r w:rsidRPr="00DC0A42">
              <w:tab/>
              <w:t>Igakuised statistilised andmed lõike 1 punktides a– n osutatud isikute kohta avaldatakse iga kuu. Iga aasta lõpus avaldab eu-LISA statistilise aastaaruande lõike 1 punktides a–n osutatud isikute kohta. Statistilised andmed esitatakse liikmesriigi kaupa. Statistilised andmed lõike 1 punktis c osutatud isikute kohta esitatakse võimaluse korral sünniaasta ja soo kaupa.</w:t>
            </w:r>
          </w:p>
        </w:tc>
        <w:tc>
          <w:tcPr>
            <w:tcW w:w="4876" w:type="dxa"/>
            <w:hideMark/>
          </w:tcPr>
          <w:p w:rsidR="007605D8" w:rsidRPr="00DC0A42" w:rsidRDefault="00EE3FC6" w:rsidP="009C5DC8">
            <w:pPr>
              <w:pStyle w:val="Normal6"/>
            </w:pPr>
            <w:r w:rsidRPr="00DC0A42">
              <w:t>2.</w:t>
            </w:r>
            <w:r w:rsidRPr="00DC0A42">
              <w:tab/>
              <w:t xml:space="preserve">Igakuised statistilised andmed lõike 1 punktides a– n osutatud isikute kohta avaldatakse iga kuu. Iga aasta lõpus avaldab eu-LISA statistilise aastaaruande lõike 1 punktides a–n osutatud isikute kohta. Statistilised andmed esitatakse liikmesriigi kaupa. Statistilised andmed lõike 1 punktis c osutatud isikute kohta esitatakse võimaluse korral sünniaasta ja soo kaupa. </w:t>
            </w:r>
            <w:r w:rsidRPr="00DC0A42">
              <w:rPr>
                <w:b/>
                <w:i/>
              </w:rPr>
              <w:t>Kõik isikuid puudutavad andmed anonüümitakse ja statistiliste andmete koostamine tehakse sõltuvaks õigusnormidest, mis käsitlevad ebaõigete andmete võimalikku parandamist.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55</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3 – lõik 1</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3.</w:t>
            </w:r>
            <w:r w:rsidRPr="00DC0A42">
              <w:tab/>
              <w:t xml:space="preserve">eu-LISA koostab igakuise süsteemiülese statistika, et toetada artikli 1 </w:t>
            </w:r>
            <w:r w:rsidRPr="00DC0A42">
              <w:rPr>
                <w:b/>
                <w:i/>
              </w:rPr>
              <w:t>lõikes</w:t>
            </w:r>
            <w:r w:rsidRPr="00DC0A42">
              <w:t> c osutatud eesmärki. Nimetatud statistika ei tohi võimaldada isikute tuvastamist ja selles kasutatakse Eurodac-süsteemi, viisainfosüsteemi, ETIASe ning riiki sisenemise ja riigist lahkumise süsteemi andmeid.</w:t>
            </w:r>
          </w:p>
        </w:tc>
        <w:tc>
          <w:tcPr>
            <w:tcW w:w="4876" w:type="dxa"/>
            <w:hideMark/>
          </w:tcPr>
          <w:p w:rsidR="007605D8" w:rsidRPr="00DC0A42" w:rsidRDefault="00EE3FC6" w:rsidP="007605D8">
            <w:pPr>
              <w:pStyle w:val="Normal6"/>
              <w:rPr>
                <w:szCs w:val="24"/>
              </w:rPr>
            </w:pPr>
            <w:r w:rsidRPr="00DC0A42">
              <w:t>3.</w:t>
            </w:r>
            <w:r w:rsidRPr="00DC0A42">
              <w:tab/>
              <w:t xml:space="preserve">eu-LISA koostab igakuise süsteemiülese statistika, et toetada artikli 1 </w:t>
            </w:r>
            <w:r w:rsidRPr="00DC0A42">
              <w:rPr>
                <w:b/>
                <w:i/>
              </w:rPr>
              <w:t>lõigetes</w:t>
            </w:r>
            <w:r w:rsidRPr="00DC0A42">
              <w:t> c</w:t>
            </w:r>
            <w:r w:rsidRPr="00DC0A42">
              <w:rPr>
                <w:b/>
                <w:i/>
              </w:rPr>
              <w:t xml:space="preserve"> ja h</w:t>
            </w:r>
            <w:r w:rsidRPr="00DC0A42">
              <w:t xml:space="preserve"> osutatud eesmärki. Nimetatud statistika ei tohi võimaldada isikute tuvastamist ja selles kasutatakse Eurodac-süsteemi, viisainfosüsteemi, ETIASe ning riiki sisenemise ja riigist lahkumise süsteemi andmeid.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13 – artikkel 9 – lõige 3 – lõik 2</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 xml:space="preserve">Nimetatud statistika tehakse kättesaadavaks komisjonile, [Euroopa Liidu Varjupaigaametile], Euroopa Piiri- ja Rannikuvalve Ametile ning </w:t>
            </w:r>
            <w:r w:rsidRPr="00DC0A42">
              <w:rPr>
                <w:b/>
                <w:i/>
              </w:rPr>
              <w:t>liikmesriikidele</w:t>
            </w:r>
            <w:r w:rsidRPr="00DC0A42">
              <w:t>. Komisjon määrab rakendusaktidega kindlaks igakuise süsteemiülese statistika sisu. Nimetatud rakendusaktid võetakse vastu kooskõlas artikli 41a lõikes 2 osutatud kontrollimenetlusega.</w:t>
            </w:r>
          </w:p>
        </w:tc>
        <w:tc>
          <w:tcPr>
            <w:tcW w:w="4876" w:type="dxa"/>
            <w:hideMark/>
          </w:tcPr>
          <w:p w:rsidR="007605D8" w:rsidRPr="00DC0A42" w:rsidRDefault="00EE3FC6" w:rsidP="009C5DC8">
            <w:pPr>
              <w:pStyle w:val="Normal6"/>
              <w:rPr>
                <w:szCs w:val="24"/>
              </w:rPr>
            </w:pPr>
            <w:r w:rsidRPr="00DC0A42">
              <w:t xml:space="preserve">Nimetatud statistika tehakse kättesaadavaks komisjonile, </w:t>
            </w:r>
            <w:r w:rsidRPr="00DC0A42">
              <w:rPr>
                <w:b/>
                <w:i/>
              </w:rPr>
              <w:t xml:space="preserve">Euroopa Parlamendile, liikmesriikidele ja asjaomastele liidu asutustele, eelkõige </w:t>
            </w:r>
            <w:r w:rsidRPr="00DC0A42">
              <w:t xml:space="preserve">[Euroopa Liidu Varjupaigaametile], Euroopa Piiri- ja Rannikuvalve Ametile ning </w:t>
            </w:r>
            <w:r w:rsidRPr="00DC0A42">
              <w:rPr>
                <w:b/>
                <w:i/>
              </w:rPr>
              <w:t>Europolile</w:t>
            </w:r>
            <w:r w:rsidRPr="00DC0A42">
              <w:t xml:space="preserve">. Komisjon määrab rakendusaktidega kindlaks igakuise süsteemiülese statistika sisu. Nimetatud rakendusaktid võetakse vastu kooskõlas artikli 41a lõikes 2 osutatud kontrollimenetlusega. </w:t>
            </w:r>
            <w:r w:rsidRPr="00DC0A42">
              <w:rPr>
                <w:b/>
                <w:i/>
              </w:rPr>
              <w:t>Süsteemiülest statistikat ei kasutata seoses üksikisikutega, see ei võimalda üksikisikute tuvastamist ning seda ei kasutata ELi territooriumile pääsu keelamiseks.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4</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4.</w:t>
            </w:r>
            <w:r w:rsidRPr="00DC0A42">
              <w:tab/>
              <w:t>eu-LISA esitab komisjonile viimase taotlusel teatavaid aspekte käsitleva statistika, mis on seotud käesoleva määruse kohaldamisega, samuti lõikes 1 kohase statistika, ja teeb need taotluse alusel kättesaadavaks liikmesriikidele ja [Euroopa Liidu Varjupaigaametile].</w:t>
            </w:r>
          </w:p>
        </w:tc>
        <w:tc>
          <w:tcPr>
            <w:tcW w:w="4876" w:type="dxa"/>
            <w:hideMark/>
          </w:tcPr>
          <w:p w:rsidR="007605D8" w:rsidRPr="00DC0A42" w:rsidRDefault="00EE3FC6" w:rsidP="007605D8">
            <w:pPr>
              <w:pStyle w:val="Normal6"/>
              <w:rPr>
                <w:szCs w:val="24"/>
              </w:rPr>
            </w:pPr>
            <w:r w:rsidRPr="00DC0A42">
              <w:t>4.</w:t>
            </w:r>
            <w:r w:rsidRPr="00DC0A42">
              <w:tab/>
              <w:t>eu-LISA esitab komisjonile viimase taotlusel teatavaid aspekte käsitleva statistika, mis on seotud käesoleva määruse kohaldamisega, samuti lõikes 1 kohase statistika, ja teeb need taotluse alusel kättesaadavaks liikmesriikidele</w:t>
            </w:r>
            <w:r w:rsidRPr="00DC0A42">
              <w:rPr>
                <w:b/>
                <w:i/>
              </w:rPr>
              <w:t>, Euroopa Parlamendile</w:t>
            </w:r>
            <w:r w:rsidRPr="00DC0A42">
              <w:t xml:space="preserve"> ja </w:t>
            </w:r>
            <w:r w:rsidRPr="00DC0A42">
              <w:rPr>
                <w:b/>
                <w:i/>
              </w:rPr>
              <w:t xml:space="preserve">asjaomastele liidu asutustele, eeskätt </w:t>
            </w:r>
            <w:r w:rsidRPr="00DC0A42">
              <w:t>[Euroopa Liidu Varjupaigaametile]</w:t>
            </w:r>
            <w:r w:rsidRPr="00DC0A42">
              <w:rPr>
                <w:b/>
                <w:i/>
              </w:rPr>
              <w:t>, Euroopa Piiri- ja Rannikuvalve Ametile ning Europolile</w:t>
            </w:r>
            <w:r w:rsidRPr="00DC0A42">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5</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5.</w:t>
            </w:r>
            <w:r w:rsidRPr="00DC0A42">
              <w:tab/>
              <w:t>eu-LISA säilitab käesoleva artikli lõigetes 1–4 osutatud andmeid, mis ei tohi võimaldada isikute tuvastamist, uuringute ja analüüsi eesmärgil</w:t>
            </w:r>
            <w:r w:rsidRPr="00DC0A42">
              <w:rPr>
                <w:b/>
                <w:i/>
              </w:rPr>
              <w:t>, ning võimaldab seega käesoleva artikli lõikes 3 osutatud ametiasutustel saada määruse (EL) 2019/818 artiklis 39 osutatud aruandluse ja statistika keskhoidlast kohandatavaid aruandeid</w:t>
            </w:r>
            <w:r w:rsidRPr="00DC0A42">
              <w:t>.</w:t>
            </w:r>
          </w:p>
        </w:tc>
        <w:tc>
          <w:tcPr>
            <w:tcW w:w="4876" w:type="dxa"/>
            <w:hideMark/>
          </w:tcPr>
          <w:p w:rsidR="007605D8" w:rsidRPr="00DC0A42" w:rsidRDefault="00EE3FC6" w:rsidP="007605D8">
            <w:pPr>
              <w:pStyle w:val="Normal6"/>
              <w:rPr>
                <w:szCs w:val="24"/>
              </w:rPr>
            </w:pPr>
            <w:r w:rsidRPr="00DC0A42">
              <w:t>5.</w:t>
            </w:r>
            <w:r w:rsidRPr="00DC0A42">
              <w:tab/>
              <w:t>eu-LISA säilitab käesoleva artikli lõigetes 1–4 osutatud andmeid</w:t>
            </w:r>
            <w:r w:rsidRPr="00DC0A42">
              <w:rPr>
                <w:b/>
                <w:i/>
              </w:rPr>
              <w:t xml:space="preserve"> mitte kauem kui viis aastat</w:t>
            </w:r>
            <w:r w:rsidRPr="00DC0A42">
              <w:t>, mis ei tohi</w:t>
            </w:r>
            <w:r w:rsidRPr="00DC0A42">
              <w:rPr>
                <w:b/>
                <w:i/>
              </w:rPr>
              <w:t xml:space="preserve"> mingil juhul</w:t>
            </w:r>
            <w:r w:rsidRPr="00DC0A42">
              <w:t xml:space="preserve"> võimaldada isikute tuvastamist, uuringute ja analüüsi eesmärgil.</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59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6</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6.</w:t>
            </w:r>
            <w:r w:rsidRPr="00DC0A42">
              <w:tab/>
              <w:t>Juurdepääs määruse (EL) 2019/818 artiklis 39 osutatud aruandluse ja statistika keskhoidlale antakse eu-LISA-le, komisjonile</w:t>
            </w:r>
            <w:r w:rsidRPr="00DC0A42">
              <w:rPr>
                <w:b/>
                <w:i/>
              </w:rPr>
              <w:t>, [Euroopa Liidu Varjupaigaametile]</w:t>
            </w:r>
            <w:r w:rsidRPr="00DC0A42">
              <w:t xml:space="preserve"> ja iga liikmesriigi poolt vastavalt artikli 28 lõikele 2 määratud ametiasutustele. Samuti võidakse juurdepääs anda </w:t>
            </w:r>
            <w:r w:rsidRPr="00DC0A42">
              <w:rPr>
                <w:b/>
                <w:i/>
              </w:rPr>
              <w:t>muudele</w:t>
            </w:r>
            <w:r w:rsidRPr="00DC0A42">
              <w:t xml:space="preserve"> justiits- ja siseküsimuste asutuste kasutajatele, kui selline juurdepääs on nende ülesannete täitmiseks asjakohane.“;</w:t>
            </w:r>
          </w:p>
        </w:tc>
        <w:tc>
          <w:tcPr>
            <w:tcW w:w="4876" w:type="dxa"/>
            <w:hideMark/>
          </w:tcPr>
          <w:p w:rsidR="007605D8" w:rsidRPr="00DC0A42" w:rsidRDefault="00EE3FC6" w:rsidP="00397221">
            <w:pPr>
              <w:pStyle w:val="Normal6"/>
              <w:rPr>
                <w:szCs w:val="24"/>
              </w:rPr>
            </w:pPr>
            <w:r w:rsidRPr="00DC0A42">
              <w:t>6.</w:t>
            </w:r>
            <w:r w:rsidRPr="00DC0A42">
              <w:tab/>
              <w:t xml:space="preserve">Juurdepääs määruse (EL) 2019/818 artiklis 39 osutatud aruandluse ja statistika keskhoidlale antakse eu-LISA-le, komisjonile ja iga liikmesriigi poolt vastavalt artikli 28 lõikele 2 määratud ametiasutustele. Samuti võidakse juurdepääs anda </w:t>
            </w:r>
            <w:r w:rsidRPr="00DC0A42">
              <w:rPr>
                <w:b/>
                <w:i/>
              </w:rPr>
              <w:t>asjaomastele liidu</w:t>
            </w:r>
            <w:r w:rsidRPr="00DC0A42">
              <w:t xml:space="preserve"> justiits- ja siseküsimuste asutuste</w:t>
            </w:r>
            <w:r w:rsidRPr="00DC0A42">
              <w:rPr>
                <w:b/>
                <w:i/>
              </w:rPr>
              <w:t>, eeskätt [Euroopa Liidu Varjupaigaameti], Euroopa Piiri- ja Rannikuvalve Ameti ning Europoli volitatud</w:t>
            </w:r>
            <w:r w:rsidRPr="00DC0A42">
              <w:t xml:space="preserve"> kasutajatele, kui selline juurdepääs on nende ülesannete täitmiseks asjakohane.“;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60</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13 – artikkel 9 – lõige 6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9C5DC8">
            <w:pPr>
              <w:pStyle w:val="Normal6"/>
              <w:rPr>
                <w:b/>
                <w:i/>
              </w:rPr>
            </w:pPr>
            <w:r w:rsidRPr="00DC0A42">
              <w:rPr>
                <w:b/>
                <w:i/>
              </w:rPr>
              <w:t>6a.</w:t>
            </w:r>
            <w:r w:rsidRPr="00DC0A42">
              <w:rPr>
                <w:b/>
                <w:i/>
              </w:rPr>
              <w:tab/>
              <w:t>Kogutud andmete täpsuse ja koostatud statistika kvaliteedi tagamiseks kaasnevad statistiliste andmete koostamisega ranged reeglid, millega nõutakse, et liikmesriigid parandaksid ebaõiged andmed määratud tähtaja jooksul.</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b w:val="0"/>
        </w:rPr>
        <w:t>&lt;Article&gt;</w:t>
      </w:r>
      <w:r w:rsidRPr="00DC0A42">
        <w:t>Regulatiivosa – punkt 14 – artikkel 10 – lõige 1 – lõik 1</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w:t>
            </w:r>
            <w:r w:rsidRPr="00DC0A42">
              <w:tab/>
              <w:t xml:space="preserve">Iga liikmesriik võtab kõikidelt vähemalt kuueaastastelt rahvusvahelise kaitse taotlejatelt </w:t>
            </w:r>
            <w:r w:rsidRPr="00DC0A42">
              <w:rPr>
                <w:b/>
                <w:i/>
              </w:rPr>
              <w:t>biomeetrilised andmed määruses (EL) XXX/XXX [taustakontrolli määrus] osutatud taustakontrolli käigus või kui biomeetrilisi andmeid ei saanud võtta taustakontrolli käigus või kui taotleja ei läbinud taustakontrolli, määruse (EL) nr XXX/XXX [varjupaigamenetluse määrus] artiklis 27 osutatud rahvusvahelise kaitse taotluse registreerimisel ning edastab need võimalikult kiiresti ja hiljemalt 72 tunni jooksul pärast biomeetriliste andmete võtmist koos käesoleva määruse artikli 12 punktides c–p nimetatud andmetega kesksüsteemi ja vajaduse korral ühisele isikuandmete hoidlale vastavalt artikli 2 lõikele 4.</w:t>
            </w:r>
          </w:p>
        </w:tc>
        <w:tc>
          <w:tcPr>
            <w:tcW w:w="4876" w:type="dxa"/>
            <w:hideMark/>
          </w:tcPr>
          <w:p w:rsidR="007605D8" w:rsidRPr="00DC0A42" w:rsidRDefault="00EE3FC6" w:rsidP="007605D8">
            <w:pPr>
              <w:pStyle w:val="Normal6"/>
              <w:rPr>
                <w:szCs w:val="24"/>
              </w:rPr>
            </w:pPr>
            <w:r w:rsidRPr="00DC0A42">
              <w:t>1.</w:t>
            </w:r>
            <w:r w:rsidRPr="00DC0A42">
              <w:tab/>
              <w:t xml:space="preserve">Iga liikmesriik võtab kõikidelt vähemalt kuueaastastelt rahvusvahelise kaitse taotlejatelt </w:t>
            </w:r>
            <w:r w:rsidRPr="00DC0A42">
              <w:rPr>
                <w:b/>
                <w:i/>
              </w:rPr>
              <w:t>kaitseaspekti arvestaval viisil biomeetrilised andmed:</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a)</w:t>
            </w:r>
            <w:r w:rsidRPr="00DC0A42">
              <w:t xml:space="preserve"> </w:t>
            </w:r>
            <w:r w:rsidRPr="00DC0A42">
              <w:rPr>
                <w:b/>
                <w:i/>
              </w:rPr>
              <w:t>määruse (EL) nr XXX/XXX [varjupaigamenetluse määrus] artiklis 27 osutatud rahvusvahelise kaitse taotluse registreerimisel</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b) rahvusvahelise kaitse taotluse esitamisel, kui taotluse esitab piiripunktis või transiiditsoonis isik, kes ei vasta määruse (EL) 2016/399 artiklis 6 sätestatud sisenemistingimustele.</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Iga liikmesriik edastab need võimalikult kiiresti, kuid hiljemalt 72 tunni jooksul pärast rahvusvahelise kaitse taotleja biomeetriliste andmete võtmist, koos käesoleva määruse artikli 12 lõikes 1 nimetatud andmetega kesksüsteemi ja vajaduse korral ühisele isikuandmete hoidlale vastavalt artikli 2 lõikele 4.</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14 – artikkel 10 – lõige 3</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3.</w:t>
            </w:r>
            <w:r w:rsidRPr="00DC0A42">
              <w:tab/>
              <w:t>Kui asjaomane liikmesriik seda taotleb, võivad biomeetrilisi andmeid võtta ja edastada ka Euroopa piiri- ja rannikuvalverühmade liikmed või varjupaigatugirühmade eksperdid, kui nad täidavad oma ülesandeid ja kasutavad oma volitusi kooskõlas määrusega (EL) 2019/1896 ja määrusega (EL) XXX/XXX [ELi Varjupaigaameti määrus].</w:t>
            </w:r>
          </w:p>
        </w:tc>
        <w:tc>
          <w:tcPr>
            <w:tcW w:w="4876" w:type="dxa"/>
            <w:hideMark/>
          </w:tcPr>
          <w:p w:rsidR="007605D8" w:rsidRPr="00DC0A42" w:rsidRDefault="00EE3FC6" w:rsidP="007605D8">
            <w:pPr>
              <w:pStyle w:val="Normal6"/>
              <w:rPr>
                <w:szCs w:val="24"/>
              </w:rPr>
            </w:pPr>
            <w:r w:rsidRPr="00DC0A42">
              <w:t>3.</w:t>
            </w:r>
            <w:r w:rsidRPr="00DC0A42">
              <w:tab/>
              <w:t xml:space="preserve">Kui asjaomane liikmesriik seda taotleb, võivad biomeetrilisi </w:t>
            </w:r>
            <w:r w:rsidRPr="00DC0A42">
              <w:rPr>
                <w:b/>
                <w:i/>
              </w:rPr>
              <w:t xml:space="preserve">ja tähtnumbrilisi </w:t>
            </w:r>
            <w:r w:rsidRPr="00DC0A42">
              <w:t>andmeid võtta ja edastada ka</w:t>
            </w:r>
            <w:r w:rsidRPr="00DC0A42">
              <w:rPr>
                <w:b/>
                <w:i/>
              </w:rPr>
              <w:t xml:space="preserve"> eriväljaõppega</w:t>
            </w:r>
            <w:r w:rsidRPr="00DC0A42">
              <w:t xml:space="preserve"> Euroopa piiri- ja rannikuvalverühmade liikmed või varjupaigatugirühmade eksperdid, kui nad täidavad oma ülesandeid ja kasutavad oma volitusi kooskõlas määrusega (EL) 2019/1896 ja määrusega (EL) XXX/XXX [ELi Varjupaigaameti määrus].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14 – artikkel 10 – lõige 4</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4.</w:t>
            </w:r>
            <w:r w:rsidRPr="00DC0A42">
              <w:rPr>
                <w:b/>
                <w:i/>
              </w:rPr>
              <w:tab/>
            </w:r>
            <w:r w:rsidRPr="00DC0A42">
              <w:t>Vastavalt artikli 4 lõikes 6 sätestatule lingitakse kõik lõike 1 kohaselt kogutud ja edastatud andmekogumid üheks jadaks muude samale kolmanda riigi kodanikule või kodakondsuseta isikule vastavate andmekogumitega.</w:t>
            </w:r>
            <w:r w:rsidRPr="00DC0A42">
              <w:rPr>
                <w:b/>
                <w:i/>
              </w:rPr>
              <w:t>“;</w:t>
            </w:r>
          </w:p>
        </w:tc>
        <w:tc>
          <w:tcPr>
            <w:tcW w:w="4876" w:type="dxa"/>
            <w:hideMark/>
          </w:tcPr>
          <w:p w:rsidR="007605D8" w:rsidRPr="00DC0A42" w:rsidRDefault="00EE3FC6" w:rsidP="0015056E">
            <w:pPr>
              <w:pStyle w:val="Normal6"/>
              <w:rPr>
                <w:szCs w:val="24"/>
              </w:rPr>
            </w:pPr>
            <w:r w:rsidRPr="00DC0A42">
              <w:t>4.</w:t>
            </w:r>
            <w:r w:rsidRPr="00DC0A42">
              <w:rPr>
                <w:b/>
                <w:i/>
              </w:rPr>
              <w:tab/>
            </w:r>
            <w:r w:rsidRPr="00DC0A42">
              <w:t xml:space="preserve">Vastavalt artikli 4 lõikes 6 sätestatule </w:t>
            </w:r>
            <w:r w:rsidRPr="00DC0A42">
              <w:rPr>
                <w:b/>
                <w:i/>
              </w:rPr>
              <w:t xml:space="preserve">ja selles kehtestatud piiranguid arvestades </w:t>
            </w:r>
            <w:r w:rsidRPr="00DC0A42">
              <w:t>lingitakse kõik lõike 1 kohaselt kogutud ja edastatud andmekogumid üheks jadaks muude samale kolmanda riigi kodanikule või kodakondsuseta isikule vastavate andmekogumitega.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14 – artikkel 10 – lõige 4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4a.</w:t>
            </w:r>
            <w:r w:rsidRPr="00DC0A42">
              <w:rPr>
                <w:b/>
                <w:i/>
              </w:rPr>
              <w:tab/>
              <w:t>Alaealistelt alates kuuendast eluaastast võtavad biomeetrilisi andmeid ametnikud, keda on välja õpetatud alaealistelt biomeetrilisi andmeid võtma lapsesõbralikul ja lapse vajadustega arvestaval viisil ning võttes täielikult arvesse lapse huvisid ja ÜRO lapse õiguste konventsioonis sätestatud kaitsemeetmeid.</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Võimaluse korral peab alaealisega tema biomeetriliste andmete võtmise ajal olema kaasas täiskasvanud pereliige. Saatjata alaealisega peab biomeetriliste andmete võtmise ajal olema kaasas eeskostja, esindaja, või kui esindajat ei ole määratud, isik, kes on välja õpetatud kaitsma alaealise huvisid ja üldist heaolu. Selline koolitatud isik ei tohi olla biomeetriliste andmete võtmise eest vastutav ametnik, ta peab tegutsema sõltumatult ega või saada korraldusi ei biomeetriliste andmete võtmise eest vastutavalt ametnikult ega teenistuselt.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65</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16 – artikkel 12 – sissejuhatav osa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 xml:space="preserve">Kesksüsteemis </w:t>
            </w:r>
            <w:r w:rsidRPr="00DC0A42">
              <w:rPr>
                <w:b/>
                <w:i/>
              </w:rPr>
              <w:t>ja</w:t>
            </w:r>
            <w:r w:rsidRPr="00DC0A42">
              <w:t xml:space="preserve"> vajaduse korral ühises isikuandmete hoidlas salvestatakse üksnes järgmised andmed:</w:t>
            </w:r>
          </w:p>
        </w:tc>
        <w:tc>
          <w:tcPr>
            <w:tcW w:w="4876" w:type="dxa"/>
            <w:hideMark/>
          </w:tcPr>
          <w:p w:rsidR="007605D8" w:rsidRPr="00DC0A42" w:rsidRDefault="00EE3FC6" w:rsidP="007605D8">
            <w:pPr>
              <w:pStyle w:val="Normal6"/>
              <w:rPr>
                <w:szCs w:val="24"/>
              </w:rPr>
            </w:pPr>
            <w:r w:rsidRPr="00DC0A42">
              <w:t xml:space="preserve">Kesksüsteemis </w:t>
            </w:r>
            <w:r w:rsidRPr="00DC0A42">
              <w:rPr>
                <w:b/>
                <w:i/>
              </w:rPr>
              <w:t>või</w:t>
            </w:r>
            <w:r w:rsidRPr="00DC0A42">
              <w:t xml:space="preserve"> vajaduse korral</w:t>
            </w:r>
            <w:r w:rsidRPr="00DC0A42">
              <w:rPr>
                <w:b/>
                <w:i/>
              </w:rPr>
              <w:t xml:space="preserve"> vastavalt artikli 4 lõikele 2</w:t>
            </w:r>
            <w:r w:rsidRPr="00DC0A42">
              <w:t xml:space="preserve"> ühises isikuandmete hoidlas salvestatakse üksnes järgmised andmed: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16 – artikkel 12 – punkt o</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o)</w:t>
            </w:r>
            <w:r w:rsidRPr="00DC0A42">
              <w:tab/>
              <w:t>andmete kesksüsteemi ja vajaduse korral ühisele isikuandmete hoidlale edastamise kuupäev</w:t>
            </w:r>
            <w:r w:rsidRPr="00DC0A42">
              <w:rPr>
                <w:b/>
                <w:i/>
              </w:rPr>
              <w:t>;</w:t>
            </w:r>
          </w:p>
        </w:tc>
        <w:tc>
          <w:tcPr>
            <w:tcW w:w="4876" w:type="dxa"/>
            <w:hideMark/>
          </w:tcPr>
          <w:p w:rsidR="007605D8" w:rsidRPr="00DC0A42" w:rsidRDefault="00EE3FC6" w:rsidP="007605D8">
            <w:pPr>
              <w:pStyle w:val="Normal6"/>
              <w:rPr>
                <w:szCs w:val="24"/>
              </w:rPr>
            </w:pPr>
            <w:r w:rsidRPr="00DC0A42">
              <w:t>o)</w:t>
            </w:r>
            <w:r w:rsidRPr="00DC0A42">
              <w:tab/>
              <w:t xml:space="preserve">andmete kesksüsteemi ja vajaduse korral ühisele isikuandmete hoidlale </w:t>
            </w:r>
            <w:r w:rsidRPr="00DC0A42">
              <w:rPr>
                <w:b/>
                <w:i/>
              </w:rPr>
              <w:t xml:space="preserve">vastavalt artikli 4 lõikele 2 </w:t>
            </w:r>
            <w:r w:rsidRPr="00DC0A42">
              <w:t>edastamise kuupäev</w:t>
            </w:r>
            <w:r w:rsidRPr="00DC0A42">
              <w:rPr>
                <w:b/>
                <w:i/>
              </w:rPr>
              <w: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16 – artikkel 12 – punkt v</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v)</w:t>
            </w:r>
            <w:r w:rsidRPr="00DC0A42">
              <w:tab/>
              <w:t xml:space="preserve">asjaolu, et </w:t>
            </w:r>
            <w:r w:rsidRPr="00DC0A42">
              <w:rPr>
                <w:b/>
                <w:i/>
              </w:rPr>
              <w:t xml:space="preserve">määruses (EL) XXX/XXX [taustakontrolli määrus] osutatud taustakontrolli või </w:t>
            </w:r>
            <w:r w:rsidRPr="00DC0A42">
              <w:t>määruse (EL) XXX/XXX [varjupaiga- ja rändehalduse määrus] artikli 8 lõike 4 alusel tehtud uurimise kohaselt võib isik ohustada sisejulgeolekut;</w:t>
            </w:r>
          </w:p>
        </w:tc>
        <w:tc>
          <w:tcPr>
            <w:tcW w:w="4876" w:type="dxa"/>
            <w:hideMark/>
          </w:tcPr>
          <w:p w:rsidR="007605D8" w:rsidRPr="00DC0A42" w:rsidRDefault="00EE3FC6" w:rsidP="007605D8">
            <w:pPr>
              <w:pStyle w:val="Normal6"/>
              <w:rPr>
                <w:szCs w:val="24"/>
              </w:rPr>
            </w:pPr>
            <w:r w:rsidRPr="00DC0A42">
              <w:t>v)</w:t>
            </w:r>
            <w:r w:rsidRPr="00DC0A42">
              <w:tab/>
              <w:t>asjaolu, et määruse (EL) XXX/XXX [varjupaiga- ja rändehalduse määrus] artikli 8 lõike 4 alusel tehtud uurimise kohaselt võib isik ohustada sisejulgeolekut;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16 – artikkel 12 – lõige 3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15056E">
            <w:pPr>
              <w:pStyle w:val="Normal6"/>
              <w:rPr>
                <w:b/>
                <w:i/>
                <w:szCs w:val="24"/>
              </w:rPr>
            </w:pPr>
            <w:r w:rsidRPr="00DC0A42">
              <w:rPr>
                <w:b/>
                <w:i/>
              </w:rPr>
              <w:t>3.</w:t>
            </w:r>
            <w:r w:rsidRPr="00DC0A42">
              <w:rPr>
                <w:b/>
                <w:i/>
              </w:rPr>
              <w:tab/>
              <w:t>Päritoluliikmesriik, kes jõudis järeldusele, et määruse (EL) XXX/XXX (varjupaiga- ja rändehalduse määrus) artikli 8 lõike 4 kohase läbivaatamise tulemusel tuvastatud sisejulgeolekuohtu enam ei esine, kustutab andmekogumist julgeolekumärke. Kui mõni teine päritoluliikmesriik, kelle otsing on leidnud kokkulangevuse tema poolt artikli 13 lõikes 1, artikli 14 lõikes 1 või artikli 14a lõikes 1 osutatud isikute kohta edastatud andmetega, on julgeolekumärke kustutanud, teavitab kesksüsteem kõiki päritoluriike sellisest kustutamisest võimalikult kiiresti, kuid hiljemalt 72 tunni jooksul. Need päritoluliikmesriigid kustutavad julgeolekumärke ka vastavast andmekogumist.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69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16 a (uus) – artikkel 12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jc w:val="center"/>
              <w:rPr>
                <w:szCs w:val="24"/>
              </w:rPr>
            </w:pPr>
            <w:r w:rsidRPr="00DC0A42">
              <w:rPr>
                <w:b/>
                <w:i/>
              </w:rPr>
              <w:t>Artikkel 12a</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jc w:val="center"/>
              <w:rPr>
                <w:szCs w:val="24"/>
              </w:rPr>
            </w:pPr>
            <w:r w:rsidRPr="00DC0A42">
              <w:rPr>
                <w:b/>
                <w:i/>
              </w:rPr>
              <w:t>Sõrmejälgede ja näokujutiste andmete kogumine ja edastamine</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397221">
            <w:pPr>
              <w:pStyle w:val="Normal6"/>
              <w:rPr>
                <w:szCs w:val="24"/>
              </w:rPr>
            </w:pPr>
            <w:r w:rsidRPr="00DC0A42">
              <w:rPr>
                <w:b/>
                <w:i/>
              </w:rPr>
              <w:t xml:space="preserve">1. </w:t>
            </w:r>
            <w:r w:rsidRPr="00DC0A42">
              <w:rPr>
                <w:b/>
                <w:i/>
              </w:rPr>
              <w:tab/>
              <w:t>Iga liikmesriik võtab kõikidelt vähemalt kuueaastastelt oma territooriumile saabuvatelt ümberasustatud kolmandate riikide kodanikelt või kodakondsuseta isikutelt viivitamata kõikide sõrmede sõrmejäljed ja jäädvustab nende näokujutise. Iga liikmesriik edastab sellised biomeetrilised andmed koos muude määruse (EL).../... artiklis 10 osutatud andmetega kesksüsteemi.</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15056E">
            <w:pPr>
              <w:pStyle w:val="Normal6"/>
              <w:rPr>
                <w:szCs w:val="24"/>
              </w:rPr>
            </w:pPr>
            <w:r w:rsidRPr="00DC0A42">
              <w:rPr>
                <w:b/>
                <w:i/>
              </w:rPr>
              <w:t>Kui liikmesriik ei täida käesoleva lõike esimeses lõigus osutatud nõuet võtta kiiresti isikute biomeetrilised andmed, ei vabastata teda kohustusest biomeetrilised andmed võtta ja need kesksüsteemi edastada. Kui sõrmeotste seisukord ei võimalda võtta sõrmejälgi kvaliteediga, mis võimaldaks asjakohaselt teostada artikli 26 kohast võrdlust, peab ümberasustamise liikmesriik võtma taotlejalt uued sõrmejäljed ning edastama need pärast nende edukat uuesti võtmist uuesti võimalikult kiiresti ning hiljemalt 48 tunni jooksul.</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2. </w:t>
            </w:r>
            <w:r w:rsidRPr="00DC0A42">
              <w:rPr>
                <w:b/>
                <w:i/>
              </w:rPr>
              <w:tab/>
              <w:t>Juhul kui ümberasustatud kolmanda riigi kodanikult või kodakondsuseta isikult ei ole võimalik sõrmejälgi võtta või tema näokujutist jäädvustada või ei ole kumbki toiming võimalik selle isiku tervise tagamiseks või rahvatervise kaitseks võetud meetmete tõttu, siis peavad liikmesriigid erandina lõikest 1 võtma sõrmejäljed, jäädvustama näokujutise või tegema mõlemat ning need edastama võimalikult kiiresti ja hiljemalt 48 tunni jooksul pärast seda, kui nimetatud tervisealaseid põhjuseid enam ei esine.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70</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16 b (uus) – artikkel 12 b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jc w:val="center"/>
              <w:rPr>
                <w:szCs w:val="24"/>
              </w:rPr>
            </w:pPr>
            <w:r w:rsidRPr="00DC0A42">
              <w:rPr>
                <w:b/>
                <w:i/>
              </w:rPr>
              <w:t>Artikkel 12b</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jc w:val="center"/>
              <w:rPr>
                <w:b/>
                <w:i/>
              </w:rPr>
            </w:pPr>
            <w:r w:rsidRPr="00DC0A42">
              <w:rPr>
                <w:b/>
                <w:i/>
              </w:rPr>
              <w:t>Andmete salvestamine</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b/>
                <w:i/>
              </w:rPr>
            </w:pPr>
            <w:r w:rsidRPr="00DC0A42">
              <w:rPr>
                <w:b/>
                <w:i/>
              </w:rPr>
              <w:t xml:space="preserve">Kesksüsteemis salvestatakse üksnes järgmised andmed: </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a) </w:t>
            </w:r>
            <w:r w:rsidRPr="00DC0A42">
              <w:rPr>
                <w:b/>
                <w:i/>
              </w:rPr>
              <w:tab/>
              <w:t>sõrmejälgede andmed;</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b) </w:t>
            </w:r>
            <w:r w:rsidRPr="00DC0A42">
              <w:rPr>
                <w:b/>
                <w:i/>
              </w:rPr>
              <w:tab/>
              <w:t>näokujutis;</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c) </w:t>
            </w:r>
            <w:r w:rsidRPr="00DC0A42">
              <w:rPr>
                <w:b/>
                <w:i/>
              </w:rPr>
              <w:tab/>
              <w:t>perekonnanimi (perekonnanimed) ja eesnimi (eesnimed), sünnijärgne nimi (nimed) ja varem kasutatud nimed ning kõik varjunimed, mis võidakse sisestada eraldi;</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d) </w:t>
            </w:r>
            <w:r w:rsidRPr="00DC0A42">
              <w:rPr>
                <w:b/>
                <w:i/>
              </w:rPr>
              <w:tab/>
              <w:t>kodakondsus(ed);</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e) </w:t>
            </w:r>
            <w:r w:rsidRPr="00DC0A42">
              <w:rPr>
                <w:b/>
                <w:i/>
              </w:rPr>
              <w:tab/>
              <w:t>sünnikoht ja -aeg;</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f) </w:t>
            </w:r>
            <w:r w:rsidRPr="00DC0A42">
              <w:rPr>
                <w:b/>
                <w:i/>
              </w:rPr>
              <w:tab/>
              <w:t>ümberasustamise liikmesriik, registreerimise koht ja kuupäev;</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g) </w:t>
            </w:r>
            <w:r w:rsidRPr="00DC0A42">
              <w:rPr>
                <w:b/>
                <w:i/>
              </w:rPr>
              <w:tab/>
              <w:t>sugu;</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h) </w:t>
            </w:r>
            <w:r w:rsidRPr="00DC0A42">
              <w:rPr>
                <w:b/>
                <w:i/>
              </w:rPr>
              <w:tab/>
              <w:t>isikut tõendava või reisidokumendi liik ja number, kui see on asjakohane; välja andnud riigi kolmetäheline kood ja kehtivusaeg;</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i) </w:t>
            </w:r>
            <w:r w:rsidRPr="00DC0A42">
              <w:rPr>
                <w:b/>
                <w:i/>
              </w:rPr>
              <w:tab/>
              <w:t>viitenumber, mida kasutab päritoluliikmesriik;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j) </w:t>
            </w:r>
            <w:r w:rsidRPr="00DC0A42">
              <w:rPr>
                <w:b/>
                <w:i/>
              </w:rPr>
              <w:tab/>
              <w:t>sõrmejälgede võtmise ja/või näokujutise jäädvustamise kuupäev;</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k) </w:t>
            </w:r>
            <w:r w:rsidRPr="00DC0A42">
              <w:rPr>
                <w:b/>
                <w:i/>
              </w:rPr>
              <w:tab/>
              <w:t>andmete kesksüsteemi edastamise kuupäev;</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 xml:space="preserve">l) </w:t>
            </w:r>
            <w:r w:rsidRPr="00DC0A42">
              <w:rPr>
                <w:b/>
                <w:i/>
              </w:rPr>
              <w:tab/>
              <w:t>operaatori kasutajatunnus.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17 – artikkel 13 – lõige 1</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w:t>
            </w:r>
            <w:r w:rsidRPr="00DC0A42">
              <w:tab/>
              <w:t>Iga liikmesriik võtab viivitamata biomeetrilised andmed kõikidelt vähemalt kuueaastastelt kolmandatest riikidest saabunud kolmandate riikide kodanikelt või kodakondsuseta isikutelt, kelle pädevad kontrolliasutused on kinni pidanud seoses kõnealuse liikmesriigi maismaa-, mere- või õhupiiri ebaseadusliku ületamisega ja keda ei ole tagasi saadetud või kes asuvad füüsiliselt liikmesriikide territooriumil ning keda ei ole kogu kinnipidamise ja tagasisaatmise otsuse alusel väljasaatmise vahelise ajavahemiku vältel hoitud vahi all, vangistuses või kes ei ole olnud eeluurimise all.</w:t>
            </w:r>
          </w:p>
        </w:tc>
        <w:tc>
          <w:tcPr>
            <w:tcW w:w="4876" w:type="dxa"/>
            <w:hideMark/>
          </w:tcPr>
          <w:p w:rsidR="007605D8" w:rsidRPr="00DC0A42" w:rsidRDefault="00EE3FC6" w:rsidP="007605D8">
            <w:pPr>
              <w:pStyle w:val="Normal6"/>
            </w:pPr>
            <w:r w:rsidRPr="00DC0A42">
              <w:t>1.</w:t>
            </w:r>
            <w:r w:rsidRPr="00DC0A42">
              <w:tab/>
              <w:t xml:space="preserve">Iga liikmesriik võtab </w:t>
            </w:r>
            <w:r w:rsidRPr="00DC0A42">
              <w:rPr>
                <w:b/>
                <w:i/>
              </w:rPr>
              <w:t xml:space="preserve">kaitset arvestaval viisil </w:t>
            </w:r>
            <w:r w:rsidRPr="00DC0A42">
              <w:t>viivitamata biomeetrilised andmed kõikidelt vähemalt kuueaastastelt kolmandatest riikidest saabunud kolmandate riikide kodanikelt või kodakondsuseta isikutelt, kelle pädevad kontrolliasutused on kinni pidanud seoses kõnealuse liikmesriigi maismaa-, mere- või õhupiiri ebaseadusliku ületamisega ja keda ei ole tagasi saadetud või kes asuvad füüsiliselt liikmesriikide territooriumil ning keda ei ole kogu kinnipidamise ja tagasisaatmise otsuse alusel väljasaatmise vahelise ajavahemiku vältel hoitud vahi all, vangistuses või kes ei ole olnud eeluurimise all.</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rPr>
          <w:rStyle w:val="HideTWBExt"/>
        </w:rPr>
      </w:pPr>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17 – artikkel 13 – lõige 2 – sissejuhatav osa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2.</w:t>
            </w:r>
            <w:r w:rsidRPr="00DC0A42">
              <w:tab/>
              <w:t>Asjaomane liikmesriik edastab võimalikult kiiresti ja hiljemalt 72</w:t>
            </w:r>
            <w:r w:rsidRPr="00DC0A42">
              <w:rPr>
                <w:b/>
                <w:i/>
              </w:rPr>
              <w:t> </w:t>
            </w:r>
            <w:r w:rsidRPr="00DC0A42">
              <w:t xml:space="preserve">tunni jooksul pärast kinnipidamise kuupäeva kesksüsteemi </w:t>
            </w:r>
            <w:r w:rsidRPr="00DC0A42">
              <w:rPr>
                <w:b/>
                <w:i/>
              </w:rPr>
              <w:t>ja</w:t>
            </w:r>
            <w:r w:rsidRPr="00DC0A42">
              <w:t xml:space="preserve"> vajaduse korral ühisele isikuandmete hoidlale iga lõikes</w:t>
            </w:r>
            <w:r w:rsidRPr="00DC0A42">
              <w:rPr>
                <w:b/>
                <w:i/>
              </w:rPr>
              <w:t> </w:t>
            </w:r>
            <w:r w:rsidRPr="00DC0A42">
              <w:t>1 nimetatud kolmandate riikide kodaniku või kodakondsuseta isiku kohta, keda ei ole tagasi saadetud, järgmised andmed:</w:t>
            </w:r>
          </w:p>
        </w:tc>
        <w:tc>
          <w:tcPr>
            <w:tcW w:w="4876" w:type="dxa"/>
            <w:hideMark/>
          </w:tcPr>
          <w:p w:rsidR="007605D8" w:rsidRPr="00DC0A42" w:rsidRDefault="00EE3FC6" w:rsidP="007605D8">
            <w:pPr>
              <w:pStyle w:val="Normal6"/>
              <w:rPr>
                <w:szCs w:val="24"/>
              </w:rPr>
            </w:pPr>
            <w:r w:rsidRPr="00DC0A42">
              <w:t>2.</w:t>
            </w:r>
            <w:r w:rsidRPr="00DC0A42">
              <w:tab/>
              <w:t>Asjaomane liikmesriik edastab võimalikult kiiresti ja hiljemalt 72</w:t>
            </w:r>
            <w:r w:rsidRPr="00DC0A42">
              <w:rPr>
                <w:b/>
                <w:i/>
              </w:rPr>
              <w:t xml:space="preserve"> </w:t>
            </w:r>
            <w:r w:rsidRPr="00DC0A42">
              <w:t xml:space="preserve">tunni jooksul pärast kinnipidamise kuupäeva kesksüsteemi </w:t>
            </w:r>
            <w:r w:rsidRPr="00DC0A42">
              <w:rPr>
                <w:b/>
                <w:i/>
              </w:rPr>
              <w:t>või</w:t>
            </w:r>
            <w:r w:rsidRPr="00DC0A42">
              <w:t xml:space="preserve"> vajaduse korral </w:t>
            </w:r>
            <w:r w:rsidRPr="00DC0A42">
              <w:rPr>
                <w:b/>
                <w:i/>
              </w:rPr>
              <w:t xml:space="preserve">vastavalt artikli 4 lõikele 2 </w:t>
            </w:r>
            <w:r w:rsidRPr="00DC0A42">
              <w:t>ühisele isikuandmete hoidlale iga lõikes</w:t>
            </w:r>
            <w:r w:rsidRPr="00DC0A42">
              <w:rPr>
                <w:b/>
                <w:i/>
              </w:rPr>
              <w:t xml:space="preserve"> </w:t>
            </w:r>
            <w:r w:rsidRPr="00DC0A42">
              <w:t>1 nimetatud kolmandate riikide kodaniku või kodakondsuseta isiku kohta, keda ei ole tagasi saadetud, järgmised andmed: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rPr>
          <w:rStyle w:val="HideTWBExt"/>
        </w:rPr>
      </w:pPr>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17 – artikkel 13 – lõige 2 – punkt r</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rPr>
                <w:b/>
                <w:i/>
              </w:rPr>
            </w:pPr>
            <w:r w:rsidRPr="00DC0A42">
              <w:rPr>
                <w:b/>
                <w:i/>
              </w:rPr>
              <w:t>r)</w:t>
            </w:r>
            <w:r w:rsidRPr="00DC0A42">
              <w:rPr>
                <w:b/>
                <w:i/>
              </w:rPr>
              <w:tab/>
              <w:t>asjaolu, et määruses (EL) XXX/XXX [taustakontrolli määrus] osutatud taustakontrolli kohaselt võib isik ohustada sisejulgeolekut.</w:t>
            </w:r>
          </w:p>
        </w:tc>
        <w:tc>
          <w:tcPr>
            <w:tcW w:w="4876" w:type="dxa"/>
          </w:tcPr>
          <w:p w:rsidR="007605D8" w:rsidRPr="00DC0A42" w:rsidRDefault="00EE3FC6" w:rsidP="007605D8">
            <w:pPr>
              <w:pStyle w:val="Normal6"/>
              <w:rPr>
                <w:b/>
                <w:i/>
              </w:rPr>
            </w:pPr>
            <w:r w:rsidRPr="00DC0A42">
              <w:rPr>
                <w:b/>
                <w:i/>
              </w:rPr>
              <w:t xml:space="preserve">välja jäetud </w:t>
            </w:r>
          </w:p>
          <w:p w:rsidR="007605D8" w:rsidRPr="00DC0A42" w:rsidRDefault="007605D8" w:rsidP="007605D8">
            <w:pPr>
              <w:pStyle w:val="Normal6"/>
              <w:rPr>
                <w:b/>
                <w:i/>
              </w:rPr>
            </w:pP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rPr>
          <w:rStyle w:val="HideTWBExt"/>
        </w:rPr>
      </w:pPr>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 xml:space="preserve"> Regulatiivosa – punkt 17 – artikkel 13 – lõige 7</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7.</w:t>
            </w:r>
            <w:r w:rsidRPr="00DC0A42">
              <w:tab/>
              <w:t>Kui asjaomane liikmesriik seda taotleb, võivad biomeetrilisi andmeid võtta ja edastada ka Euroopa piiri- ja rannikuvalverühmade liikmed või varjupaigatugirühmade eksperdid, kui nad täidavad oma ülesandeid ja kasutavad oma volitusi kooskõlas määrusega (EL) 2019/1896 ja määrusega (EL) XXX/XXX [ELi Varjupaigaameti määrus].</w:t>
            </w:r>
          </w:p>
        </w:tc>
        <w:tc>
          <w:tcPr>
            <w:tcW w:w="4876" w:type="dxa"/>
            <w:hideMark/>
          </w:tcPr>
          <w:p w:rsidR="007605D8" w:rsidRPr="00DC0A42" w:rsidRDefault="00EE3FC6" w:rsidP="007605D8">
            <w:pPr>
              <w:pStyle w:val="Normal6"/>
              <w:rPr>
                <w:szCs w:val="24"/>
              </w:rPr>
            </w:pPr>
            <w:r w:rsidRPr="00DC0A42">
              <w:t>7.</w:t>
            </w:r>
            <w:r w:rsidRPr="00DC0A42">
              <w:tab/>
              <w:t xml:space="preserve">Kui asjaomane liikmesriik seda taotleb, võivad biomeetrilisi </w:t>
            </w:r>
            <w:r w:rsidRPr="00DC0A42">
              <w:rPr>
                <w:b/>
                <w:i/>
              </w:rPr>
              <w:t xml:space="preserve">ja tähtnumbrilisi </w:t>
            </w:r>
            <w:r w:rsidRPr="00DC0A42">
              <w:t>andmeid võtta ja edastada ka Euroopa piiri- ja rannikuvalverühmade liikmed või varjupaigatugirühmade eksperdid, kui nad täidavad oma ülesandeid ja kasutavad oma volitusi kooskõlas määrusega (EL) 2019/1896 ja määrusega (EL) XXX/XXX [ELi Varjupaigaameti määrus].</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75</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 xml:space="preserve"> Regulatiivosa – punkt 17 – artikkel 13 – lõige 8</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8.</w:t>
            </w:r>
            <w:r w:rsidRPr="00DC0A42">
              <w:tab/>
              <w:t>Vastavalt artikli 4 lõikes 6 sätestatule lingitakse kõik lõike 1 kohaselt kogutud ja edastatud andmekogumid üheks jadaks muude samale kolmanda riigi kodanikule või kodakondsuseta isikule vastavate andmekogumitega.</w:t>
            </w:r>
          </w:p>
        </w:tc>
        <w:tc>
          <w:tcPr>
            <w:tcW w:w="4876" w:type="dxa"/>
            <w:hideMark/>
          </w:tcPr>
          <w:p w:rsidR="007605D8" w:rsidRPr="00DC0A42" w:rsidRDefault="00EE3FC6" w:rsidP="0015056E">
            <w:pPr>
              <w:pStyle w:val="Normal6"/>
              <w:rPr>
                <w:szCs w:val="24"/>
              </w:rPr>
            </w:pPr>
            <w:r w:rsidRPr="00DC0A42">
              <w:t>8.</w:t>
            </w:r>
            <w:r w:rsidRPr="00DC0A42">
              <w:tab/>
              <w:t xml:space="preserve">Vastavalt artikli 4 lõikes 6 sätestatule </w:t>
            </w:r>
            <w:r w:rsidRPr="00DC0A42">
              <w:rPr>
                <w:b/>
                <w:i/>
              </w:rPr>
              <w:t xml:space="preserve">ja selles kehtestatud piiranguid arvestades </w:t>
            </w:r>
            <w:r w:rsidRPr="00DC0A42">
              <w:t>lingitakse kõik lõike 1 kohaselt kogutud ja edastatud andmekogumid üheks jadaks muude samale kolmanda riigi kodanikule või kodakondsuseta isikule vastavate andmekogumitega.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18 – artikkel 14 – lõige 1</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w:t>
            </w:r>
            <w:r w:rsidRPr="00DC0A42">
              <w:tab/>
              <w:t>Iga liikmesriik võtab kõikidelt vähemalt kuueaastastelt ebaseaduslikult liikmesriigis viibivatelt kolmandate riikide kodanikelt või kodakondsuseta isikutelt viivitamata biomeetrilised andmed.</w:t>
            </w:r>
          </w:p>
        </w:tc>
        <w:tc>
          <w:tcPr>
            <w:tcW w:w="4876" w:type="dxa"/>
            <w:hideMark/>
          </w:tcPr>
          <w:p w:rsidR="007605D8" w:rsidRPr="00DC0A42" w:rsidRDefault="00EE3FC6" w:rsidP="007605D8">
            <w:pPr>
              <w:pStyle w:val="Normal6"/>
              <w:rPr>
                <w:szCs w:val="24"/>
              </w:rPr>
            </w:pPr>
            <w:r w:rsidRPr="00DC0A42">
              <w:t>1.</w:t>
            </w:r>
            <w:r w:rsidRPr="00DC0A42">
              <w:tab/>
              <w:t xml:space="preserve">Iga liikmesriik võtab </w:t>
            </w:r>
            <w:r w:rsidRPr="00DC0A42">
              <w:rPr>
                <w:b/>
                <w:i/>
              </w:rPr>
              <w:t xml:space="preserve">kaitset arvestaval viisil </w:t>
            </w:r>
            <w:r w:rsidRPr="00DC0A42">
              <w:t>kõikidelt vähemalt kuueaastastelt ebaseaduslikult liikmesriigis viibivatelt kolmandate riikide kodanikelt või kodakondsuseta isikutelt viivitamata biomeetrilised andmed.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18 – artikkel 14 – lõige 2 – sissejuhatav osa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2.</w:t>
            </w:r>
            <w:r w:rsidRPr="00DC0A42">
              <w:tab/>
              <w:t>Asjaomane liikmesriik edastab võimalikult kiiresti ja hiljemalt 72 tunni jooksul pärast seda, kui on tuvastatud kolmanda riigi kodaniku või kodakondsuseta isiku ebaseaduslik riigis viibimine, kesksüsteemi ja vajaduse korral ühisele isikuandmete hoidlale iga lõikes 1 nimetatud kolmandate riikide kodaniku või kodakondsuseta isiku kohta järgmised andmed:</w:t>
            </w:r>
          </w:p>
        </w:tc>
        <w:tc>
          <w:tcPr>
            <w:tcW w:w="4876" w:type="dxa"/>
            <w:hideMark/>
          </w:tcPr>
          <w:p w:rsidR="007605D8" w:rsidRPr="00DC0A42" w:rsidRDefault="00EE3FC6" w:rsidP="007605D8">
            <w:pPr>
              <w:pStyle w:val="Normal6"/>
              <w:rPr>
                <w:szCs w:val="24"/>
              </w:rPr>
            </w:pPr>
            <w:r w:rsidRPr="00DC0A42">
              <w:t>2.</w:t>
            </w:r>
            <w:r w:rsidRPr="00DC0A42">
              <w:tab/>
              <w:t xml:space="preserve">Asjaomane liikmesriik edastab võimalikult kiiresti ja hiljemalt 72 tunni jooksul pärast seda, kui on tuvastatud kolmanda riigi kodaniku või kodakondsuseta isiku ebaseaduslik riigis viibimine, kesksüsteemi ja vajaduse korral </w:t>
            </w:r>
            <w:r w:rsidRPr="00DC0A42">
              <w:rPr>
                <w:b/>
                <w:i/>
              </w:rPr>
              <w:t xml:space="preserve">vastavalt artikli 4 lõikele 2 </w:t>
            </w:r>
            <w:r w:rsidRPr="00DC0A42">
              <w:t>ühisele isikuandmete hoidlale iga lõikes 1 nimetatud kolmandate riikide kodaniku või kodakondsuseta isiku kohta järgmised andmed: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18 – artikkel 14 – lõige 2 – punkt 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rPr>
                <w:b/>
                <w:i/>
              </w:rPr>
            </w:pPr>
            <w:r w:rsidRPr="00DC0A42">
              <w:rPr>
                <w:b/>
                <w:i/>
              </w:rPr>
              <w:t>s)</w:t>
            </w:r>
            <w:r w:rsidRPr="00DC0A42">
              <w:rPr>
                <w:b/>
                <w:i/>
              </w:rPr>
              <w:tab/>
              <w:t>kui see on asjakohane, asjaolu, et määruses (EL) XXX/XXX [taustakontrolli määrus] osutatud taustakontrolli kohaselt võib isik ohustada sisejulgeolekut.</w:t>
            </w:r>
          </w:p>
        </w:tc>
        <w:tc>
          <w:tcPr>
            <w:tcW w:w="4876" w:type="dxa"/>
            <w:hideMark/>
          </w:tcPr>
          <w:p w:rsidR="007605D8" w:rsidRPr="00DC0A42" w:rsidRDefault="00EE3FC6" w:rsidP="007605D8">
            <w:pPr>
              <w:pStyle w:val="Normal6"/>
              <w:rPr>
                <w:b/>
                <w:i/>
              </w:rPr>
            </w:pPr>
            <w:r w:rsidRPr="00DC0A42">
              <w:rPr>
                <w:b/>
                <w:i/>
              </w:rPr>
              <w:t>välja jäetud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79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18 – artikkel 14 – lõige 6</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6.</w:t>
            </w:r>
            <w:r w:rsidRPr="00DC0A42">
              <w:tab/>
              <w:t>Vastavalt artikli 4 lõikes 6 sätestatule lingitakse kõik lõike 1 kohaselt kogutud ja edastatud andmekogumid üheks jadaks muude samale kolmanda riigi kodanikule või kodakondsuseta isikule vastavate andmekogumitega.</w:t>
            </w:r>
          </w:p>
        </w:tc>
        <w:tc>
          <w:tcPr>
            <w:tcW w:w="4876" w:type="dxa"/>
            <w:hideMark/>
          </w:tcPr>
          <w:p w:rsidR="007605D8" w:rsidRPr="00DC0A42" w:rsidRDefault="00EE3FC6" w:rsidP="0015056E">
            <w:pPr>
              <w:pStyle w:val="Normal6"/>
            </w:pPr>
            <w:r w:rsidRPr="00DC0A42">
              <w:t>6.</w:t>
            </w:r>
            <w:r w:rsidRPr="00DC0A42">
              <w:tab/>
              <w:t xml:space="preserve">Vastavalt artikli 4 lõikes 6 sätestatule </w:t>
            </w:r>
            <w:r w:rsidRPr="00DC0A42">
              <w:rPr>
                <w:b/>
                <w:i/>
              </w:rPr>
              <w:t xml:space="preserve">ja selles kehtestatud piiranguid arvestades </w:t>
            </w:r>
            <w:r w:rsidRPr="00DC0A42">
              <w:t>lingitakse kõik lõike 1 kohaselt kogutud ja edastatud andmekogumid üheks jadaks muude samale kolmanda riigi kodanikule või kodakondsuseta isikule vastavate andmekogumitega.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4A52D4" w:rsidRPr="00DC0A42" w:rsidRDefault="00EE3FC6" w:rsidP="004A52D4">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80</w:t>
      </w:r>
      <w:r w:rsidRPr="00DC0A42">
        <w:rPr>
          <w:rStyle w:val="HideTWBExt"/>
        </w:rPr>
        <w:t>&lt;/NumAm&gt;</w:t>
      </w:r>
    </w:p>
    <w:p w:rsidR="004A52D4" w:rsidRPr="00DC0A42" w:rsidRDefault="00EE3FC6" w:rsidP="004A52D4">
      <w:pPr>
        <w:pStyle w:val="NormalBold"/>
      </w:pPr>
      <w:r w:rsidRPr="00DC0A42">
        <w:rPr>
          <w:rStyle w:val="HideTWBExt"/>
        </w:rPr>
        <w:t>&lt;RepeatBlock-By&gt;&lt;Members&gt;</w:t>
      </w:r>
      <w:r w:rsidRPr="00DC0A42">
        <w:t>Jorge Buxadé Villalba</w:t>
      </w:r>
      <w:r w:rsidRPr="00DC0A42">
        <w:rPr>
          <w:rStyle w:val="HideTWBExt"/>
        </w:rPr>
        <w:t>&lt;/Members&gt;</w:t>
      </w:r>
    </w:p>
    <w:p w:rsidR="004A52D4" w:rsidRPr="00DC0A42" w:rsidRDefault="00EE3FC6" w:rsidP="004A52D4">
      <w:r w:rsidRPr="00DC0A42">
        <w:rPr>
          <w:rStyle w:val="HideTWBExt"/>
        </w:rPr>
        <w:t>&lt;/RepeatBlock-By&gt;</w:t>
      </w:r>
    </w:p>
    <w:p w:rsidR="004A52D4" w:rsidRPr="00DC0A42" w:rsidRDefault="00EE3FC6" w:rsidP="004A52D4">
      <w:pPr>
        <w:pStyle w:val="NormalBold"/>
        <w:keepNext/>
      </w:pPr>
      <w:r w:rsidRPr="00DC0A42">
        <w:rPr>
          <w:rStyle w:val="HideTWBExt"/>
        </w:rPr>
        <w:t>&lt;DocAmend&gt;</w:t>
      </w:r>
      <w:r w:rsidRPr="00DC0A42">
        <w:t>Ettepanek võtta vastu määrus</w:t>
      </w:r>
      <w:r w:rsidRPr="00DC0A42">
        <w:rPr>
          <w:rStyle w:val="HideTWBExt"/>
        </w:rPr>
        <w:t>&lt;/DocAmend&gt;</w:t>
      </w:r>
    </w:p>
    <w:p w:rsidR="004A52D4" w:rsidRPr="00DC0A42" w:rsidRDefault="00EE3FC6" w:rsidP="004A52D4">
      <w:pPr>
        <w:pStyle w:val="NormalBold"/>
      </w:pPr>
      <w:r w:rsidRPr="00DC0A42">
        <w:rPr>
          <w:rStyle w:val="HideTWBExt"/>
        </w:rPr>
        <w:t>&lt;Article&gt;</w:t>
      </w:r>
      <w:r w:rsidRPr="00DC0A42">
        <w:t>Punkt 19 – IVa peatükk</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3A3762">
        <w:trPr>
          <w:jc w:val="center"/>
        </w:trPr>
        <w:tc>
          <w:tcPr>
            <w:tcW w:w="9752" w:type="dxa"/>
            <w:gridSpan w:val="2"/>
          </w:tcPr>
          <w:p w:rsidR="004A52D4" w:rsidRPr="00DC0A42" w:rsidRDefault="004A52D4" w:rsidP="003A3762">
            <w:pPr>
              <w:keepNext/>
            </w:pPr>
          </w:p>
        </w:tc>
      </w:tr>
      <w:tr w:rsidR="00F677D7" w:rsidRPr="00DC0A42" w:rsidTr="003A3762">
        <w:trPr>
          <w:jc w:val="center"/>
        </w:trPr>
        <w:tc>
          <w:tcPr>
            <w:tcW w:w="4876" w:type="dxa"/>
            <w:hideMark/>
          </w:tcPr>
          <w:p w:rsidR="004A52D4" w:rsidRPr="00DC0A42" w:rsidRDefault="00EE3FC6" w:rsidP="003A3762">
            <w:pPr>
              <w:pStyle w:val="ColumnHeading"/>
              <w:keepNext/>
            </w:pPr>
            <w:r w:rsidRPr="00DC0A42">
              <w:t>Komisjoni ettepanek</w:t>
            </w:r>
          </w:p>
        </w:tc>
        <w:tc>
          <w:tcPr>
            <w:tcW w:w="4876" w:type="dxa"/>
            <w:hideMark/>
          </w:tcPr>
          <w:p w:rsidR="004A52D4" w:rsidRPr="00DC0A42" w:rsidRDefault="00EE3FC6" w:rsidP="003A3762">
            <w:pPr>
              <w:pStyle w:val="ColumnHeading"/>
              <w:keepNext/>
            </w:pPr>
            <w:r w:rsidRPr="00DC0A42">
              <w:t>Muudatusettepanek</w:t>
            </w: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19) </w:t>
            </w:r>
            <w:r w:rsidRPr="00DC0A42">
              <w:rPr>
                <w:b/>
                <w:i/>
              </w:rPr>
              <w:tab/>
              <w:t>artikli 14 järele lisatakse järgmine peatükk:</w:t>
            </w:r>
          </w:p>
        </w:tc>
        <w:tc>
          <w:tcPr>
            <w:tcW w:w="4876" w:type="dxa"/>
            <w:hideMark/>
          </w:tcPr>
          <w:p w:rsidR="004A52D4" w:rsidRPr="00DC0A42" w:rsidRDefault="00EE3FC6" w:rsidP="003A3762">
            <w:pPr>
              <w:pStyle w:val="Normal6"/>
              <w:rPr>
                <w:szCs w:val="24"/>
              </w:rPr>
            </w:pPr>
            <w:r w:rsidRPr="00DC0A42">
              <w:rPr>
                <w:b/>
                <w:i/>
              </w:rPr>
              <w:t>välja jäetud</w:t>
            </w:r>
            <w:r w:rsidRPr="00DC0A42">
              <w:rPr>
                <w:i/>
              </w:rPr>
              <w:t xml:space="preserve"> </w:t>
            </w:r>
          </w:p>
        </w:tc>
      </w:tr>
      <w:tr w:rsidR="00F677D7" w:rsidRPr="00DC0A42" w:rsidTr="003A3762">
        <w:trPr>
          <w:jc w:val="center"/>
        </w:trPr>
        <w:tc>
          <w:tcPr>
            <w:tcW w:w="4876" w:type="dxa"/>
            <w:hideMark/>
          </w:tcPr>
          <w:p w:rsidR="004A52D4" w:rsidRPr="00DC0A42" w:rsidRDefault="00EE3FC6" w:rsidP="003A3762">
            <w:pPr>
              <w:pStyle w:val="Normal6"/>
              <w:jc w:val="center"/>
              <w:rPr>
                <w:b/>
                <w:i/>
              </w:rPr>
            </w:pPr>
            <w:r w:rsidRPr="00DC0A42">
              <w:rPr>
                <w:b/>
                <w:i/>
              </w:rPr>
              <w:t>„IVA PEATÜKK</w:t>
            </w:r>
          </w:p>
        </w:tc>
        <w:tc>
          <w:tcPr>
            <w:tcW w:w="4876" w:type="dxa"/>
            <w:hideMark/>
          </w:tcPr>
          <w:p w:rsidR="004A52D4" w:rsidRPr="00DC0A42" w:rsidRDefault="00EE3FC6" w:rsidP="003A3762">
            <w:pPr>
              <w:pStyle w:val="Normal6"/>
              <w:rPr>
                <w:i/>
              </w:rPr>
            </w:pPr>
            <w:r w:rsidRPr="00DC0A42">
              <w:rPr>
                <w:i/>
              </w:rPr>
              <w:t>(Käesolevat muudatust kohaldatakse kogu teksti ulatuses. Selle vastuvõtmise korral tehakse vastavad muudatused kogu tekstis.)</w:t>
            </w:r>
          </w:p>
        </w:tc>
      </w:tr>
      <w:tr w:rsidR="00F677D7" w:rsidRPr="00DC0A42" w:rsidTr="003A3762">
        <w:trPr>
          <w:jc w:val="center"/>
        </w:trPr>
        <w:tc>
          <w:tcPr>
            <w:tcW w:w="4876" w:type="dxa"/>
            <w:hideMark/>
          </w:tcPr>
          <w:p w:rsidR="004A52D4" w:rsidRPr="00DC0A42" w:rsidRDefault="00EE3FC6" w:rsidP="003A3762">
            <w:pPr>
              <w:pStyle w:val="Normal6"/>
              <w:jc w:val="center"/>
              <w:rPr>
                <w:b/>
                <w:i/>
              </w:rPr>
            </w:pPr>
            <w:r w:rsidRPr="00DC0A42">
              <w:rPr>
                <w:b/>
                <w:i/>
              </w:rPr>
              <w:t>otsingu- ja päästeoperatsiooni järel maabunud kolmandate riikide kodanikud või kodakondsuseta isikud</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jc w:val="center"/>
              <w:rPr>
                <w:b/>
                <w:i/>
              </w:rPr>
            </w:pPr>
            <w:r w:rsidRPr="00DC0A42">
              <w:rPr>
                <w:b/>
                <w:i/>
              </w:rPr>
              <w:t>Artikkel 14a</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jc w:val="center"/>
              <w:rPr>
                <w:b/>
                <w:i/>
              </w:rPr>
            </w:pPr>
            <w:r w:rsidRPr="00DC0A42">
              <w:rPr>
                <w:b/>
                <w:i/>
              </w:rPr>
              <w:t>Biomeetriliste andmete kogumine ja edastamine</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1. </w:t>
            </w:r>
            <w:r w:rsidRPr="00DC0A42">
              <w:rPr>
                <w:b/>
                <w:i/>
              </w:rPr>
              <w:tab/>
              <w:t>Kõik liikmesriigid võtavad kiiresti biomeetrilised andmed kõigilt vähemalt kuueaastastelt kolmandate riikide kodanikelt või kodakondsuseta isikutelt, kes on maabunud määruses (EL) XXX/XXX [varjupaiga- ja rändehalduse määrus] määratletud otsingu- ja päästeoperatsiooni järel.</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2. </w:t>
            </w:r>
            <w:r w:rsidRPr="00DC0A42">
              <w:rPr>
                <w:b/>
                <w:i/>
              </w:rPr>
              <w:tab/>
              <w:t>Asjaomane liikmesriik edastab võimalikult kiiresti ja hiljemalt 72 tunni jooksul pärast maabumise kuupäeva kesksüsteemi ja vajaduse korral ühisele isikuandmete hoidlale iga lõikes 1 nimetatud kolmandate riikide kodaniku või kodakondsuseta isiku kohta, keda ei ole tagasi saadetud, järgmised andmed:</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a)</w:t>
            </w:r>
            <w:r w:rsidRPr="00DC0A42">
              <w:rPr>
                <w:b/>
                <w:i/>
              </w:rPr>
              <w:tab/>
              <w:t>sõrmejälgede andmed;</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b)</w:t>
            </w:r>
            <w:r w:rsidRPr="00DC0A42">
              <w:rPr>
                <w:b/>
                <w:i/>
              </w:rPr>
              <w:tab/>
              <w:t>näokujutis;</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c)</w:t>
            </w:r>
            <w:r w:rsidRPr="00DC0A42">
              <w:rPr>
                <w:b/>
                <w:i/>
              </w:rPr>
              <w:tab/>
              <w:t>perekonnanimi (perekonnanimed) ja eesnimi (eesnimed), sünnijärgne nimi (nimed) ja varem kasutatud nimed ning kõik varjunimed, mis võimaluse korral sisestatakse eraldi;</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d)</w:t>
            </w:r>
            <w:r w:rsidRPr="00DC0A42">
              <w:rPr>
                <w:b/>
                <w:i/>
              </w:rPr>
              <w:tab/>
              <w:t>kodakondsus(ed);</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e)</w:t>
            </w:r>
            <w:r w:rsidRPr="00DC0A42">
              <w:rPr>
                <w:b/>
                <w:i/>
              </w:rPr>
              <w:tab/>
              <w:t>sünniaeg;</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f)</w:t>
            </w:r>
            <w:r w:rsidRPr="00DC0A42">
              <w:rPr>
                <w:b/>
                <w:i/>
              </w:rPr>
              <w:tab/>
              <w:t>sünnikoht;</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g)</w:t>
            </w:r>
            <w:r w:rsidRPr="00DC0A42">
              <w:rPr>
                <w:b/>
                <w:i/>
              </w:rPr>
              <w:tab/>
              <w:t>päritoluliikmesriik, maabumise koht ja kuupäev;</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h)</w:t>
            </w:r>
            <w:r w:rsidRPr="00DC0A42">
              <w:rPr>
                <w:b/>
                <w:i/>
              </w:rPr>
              <w:tab/>
              <w:t>sugu;</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i)</w:t>
            </w:r>
            <w:r w:rsidRPr="00DC0A42">
              <w:rPr>
                <w:b/>
                <w:i/>
              </w:rPr>
              <w:tab/>
              <w:t>olemasolu korral isikut tõendava või reisidokumendi liik ja number; välja andnud riigi kolmetäheline kood ja kehtivusaeg;</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j)</w:t>
            </w:r>
            <w:r w:rsidRPr="00DC0A42">
              <w:rPr>
                <w:b/>
                <w:i/>
              </w:rPr>
              <w:tab/>
              <w:t>isikut tõendava või reisidokumendi skaneeritud värvikoopia, kui see on olemas, koos märkega selle autentsuse kohta või selle puudumise korral kolmanda riigi kodaniku või kodakondsuseta isiku tuvastamist hõlbustav muu dokument koos märkega selle autentsuse kohta;</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k)</w:t>
            </w:r>
            <w:r w:rsidRPr="00DC0A42">
              <w:rPr>
                <w:b/>
                <w:i/>
              </w:rPr>
              <w:tab/>
              <w:t>viitenumber, mida kasutab päritoluliikmesriik;</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l)</w:t>
            </w:r>
            <w:r w:rsidRPr="00DC0A42">
              <w:rPr>
                <w:b/>
                <w:i/>
              </w:rPr>
              <w:tab/>
              <w:t>biomeetriliste andmete võtmise kuupäev;</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m)</w:t>
            </w:r>
            <w:r w:rsidRPr="00DC0A42">
              <w:rPr>
                <w:b/>
                <w:i/>
              </w:rPr>
              <w:tab/>
              <w:t>andmete kesksüsteemi ja vajaduse korral ühisele isikuandmete hoidlale edastamise kuupäev;</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n)</w:t>
            </w:r>
            <w:r w:rsidRPr="00DC0A42">
              <w:rPr>
                <w:b/>
                <w:i/>
              </w:rPr>
              <w:tab/>
              <w:t>operaatori kasutajatunnus;</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o)</w:t>
            </w:r>
            <w:r w:rsidRPr="00DC0A42">
              <w:rPr>
                <w:b/>
                <w:i/>
              </w:rPr>
              <w:tab/>
              <w:t>kui see on kohaldatav, siis vastavalt lõikele 6 asjaomase isiku liikmesriikide territooriumilt lahkumise või väljasaatmise kuupäev;</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p)</w:t>
            </w:r>
            <w:r w:rsidRPr="00DC0A42">
              <w:rPr>
                <w:b/>
                <w:i/>
              </w:rPr>
              <w:tab/>
              <w:t>artikli 14b lõike 1 kohane ümberpaigutamise sihtliikmesriik;</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q)</w:t>
            </w:r>
            <w:r w:rsidRPr="00DC0A42">
              <w:rPr>
                <w:b/>
                <w:i/>
              </w:rPr>
              <w:tab/>
              <w:t>vajaduse korral asjaolu, et on antud toetust vabatahtlikuks tagasipöördumiseks ja taasintegreerimiseks.</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r)</w:t>
            </w:r>
            <w:r w:rsidRPr="00DC0A42">
              <w:rPr>
                <w:b/>
                <w:i/>
              </w:rPr>
              <w:tab/>
              <w:t>asjaolu, et määruses (EL) XXX/XXX [taustakontrolli määrus] osutatud taustakontrolli kohaselt võib isik ohustada sisejulgeolekut.</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4. </w:t>
            </w:r>
            <w:r w:rsidRPr="00DC0A42">
              <w:rPr>
                <w:b/>
                <w:i/>
              </w:rPr>
              <w:tab/>
              <w:t>Käesoleva artikli lõikes 2 osutatud 72-tunnise tähtaja mittetäitmine ei vabasta liikmesriike sõrmejälgede biomeetriliste andmete võtmise ja kesksüsteemi ühisele isikuandmete hoidlale edastamise kohustusest. Kui sõrmeotste seisukord ei võimalda võtta sõrmejälgi kvaliteediga, mis võimaldaks asjakohaselt teostada artikli 26 kohast võrdlust, peab päritoluliikmesriik vastavalt käesoleva artikli lõikes 1 kirjeldatule maabunud isikute sõrmejäljed uuesti võtma ja saatma need uuesti võimalikult kiiresti ning hiljemalt 48 tunni jooksul pärast nende edukat uuesti võtmist.</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5. </w:t>
            </w:r>
            <w:r w:rsidRPr="00DC0A42">
              <w:rPr>
                <w:b/>
                <w:i/>
              </w:rPr>
              <w:tab/>
              <w:t>Juhul kui maabunud isiku sõrmejälgi ei ole võimalik võtta tema tervise tagamiseks või rahvatervise kaitseks võetud meetmete tõttu, siis peab asjaomane liikmesriik erandina lõikest 1 võtma sellised biomeetrilised andmed ja edastama need võimalikult kiiresti ja hiljemalt 48 tunni jooksul pärast seda, kui nimetatud tervisealaseid põhjuseid enam ei esine.</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Tõsiste tehniliste raskuste korral võivad liikmesriigid riiklike talitluspidevuse kavade rakendamiseks lõikes 2 nimetatud 72-tunnist tähtaega pikendada kõige rohkem 48 tunni võrra.</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6. </w:t>
            </w:r>
            <w:r w:rsidRPr="00DC0A42">
              <w:rPr>
                <w:b/>
                <w:i/>
              </w:rPr>
              <w:tab/>
              <w:t>Niipea kui päritoluliikmesriik saab tagada, et asjaomane isik, kelle andmed salvestati vastavalt lõikele 1 Eurodac-süsteemi, on liikmesriikide territooriumilt lahkunud kooskõlas tagasisaatmisotsuse või väljasaatmiskorraldusega, ajakohastab päritoluliikmesriik asjaomast isikut käsitlevat andmekogumit, mis on salvestatud kooskõlas lõikega 2, lisades sinna isiku territooriumilt väljasaatmise või lahkumise kuupäeva.</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7. </w:t>
            </w:r>
            <w:r w:rsidRPr="00DC0A42">
              <w:rPr>
                <w:b/>
                <w:i/>
              </w:rPr>
              <w:tab/>
              <w:t>Kui asjaomane liikmesriik seda taotleb, võivad biomeetrilisi andmeid võtta ja edastada ka Euroopa piiri- ja rannikuvalverühmade liikmed või varjupaigatugirühmade eksperdid, kui nad täidavad oma ülesandeid ja kasutavad oma volitusi kooskõlas määrusega (EL) 2019/1896 ja määrusega (EL) XXX/XXX [ELi Varjupaigaameti määrus].</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8. </w:t>
            </w:r>
            <w:r w:rsidRPr="00DC0A42">
              <w:rPr>
                <w:b/>
                <w:i/>
              </w:rPr>
              <w:tab/>
              <w:t>Vastavalt artikli 4 lõikes 6 sätestatule lingitakse kõik lõike 1 kohaselt kogutud ja edastatud andmekogumid üheks jadaks muude samale kolmanda riigi kodanikule või kodakondsuseta isikule vastavate andmekogumitega.</w:t>
            </w:r>
          </w:p>
        </w:tc>
        <w:tc>
          <w:tcPr>
            <w:tcW w:w="4876" w:type="dxa"/>
          </w:tcPr>
          <w:p w:rsidR="004A52D4" w:rsidRPr="00DC0A42" w:rsidRDefault="004A52D4" w:rsidP="003A3762">
            <w:pPr>
              <w:pStyle w:val="Normal6"/>
              <w:rPr>
                <w:i/>
              </w:rPr>
            </w:pPr>
          </w:p>
        </w:tc>
      </w:tr>
      <w:tr w:rsidR="00F677D7" w:rsidRPr="00DC0A42" w:rsidTr="003A3762">
        <w:trPr>
          <w:jc w:val="center"/>
        </w:trPr>
        <w:tc>
          <w:tcPr>
            <w:tcW w:w="4876" w:type="dxa"/>
            <w:hideMark/>
          </w:tcPr>
          <w:p w:rsidR="004A52D4" w:rsidRPr="00DC0A42" w:rsidRDefault="00EE3FC6" w:rsidP="003A3762">
            <w:pPr>
              <w:pStyle w:val="Normal6"/>
              <w:rPr>
                <w:b/>
                <w:i/>
              </w:rPr>
            </w:pPr>
            <w:r w:rsidRPr="00DC0A42">
              <w:rPr>
                <w:b/>
                <w:i/>
              </w:rPr>
              <w:t xml:space="preserve">9. </w:t>
            </w:r>
            <w:r w:rsidRPr="00DC0A42">
              <w:rPr>
                <w:b/>
                <w:i/>
              </w:rPr>
              <w:tab/>
              <w:t>Lõike 1 kohane andmekogum määruse (EL) 818/2019 artikli 27 lõike 1 tähenduses loetakse looduks, kui on salvestatud kõik punktides a–f ja h nimetatud andmed.“;</w:t>
            </w:r>
          </w:p>
        </w:tc>
        <w:tc>
          <w:tcPr>
            <w:tcW w:w="4876" w:type="dxa"/>
          </w:tcPr>
          <w:p w:rsidR="004A52D4" w:rsidRPr="00DC0A42" w:rsidRDefault="004A52D4" w:rsidP="003A3762">
            <w:pPr>
              <w:pStyle w:val="Normal6"/>
              <w:rPr>
                <w:i/>
              </w:rPr>
            </w:pPr>
          </w:p>
        </w:tc>
      </w:tr>
    </w:tbl>
    <w:p w:rsidR="004A52D4" w:rsidRPr="00DC0A42" w:rsidRDefault="00EE3FC6" w:rsidP="004A52D4">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4A52D4" w:rsidRPr="00DC0A42" w:rsidRDefault="00EE3FC6" w:rsidP="004A52D4">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81</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20 – artikkel 14b – lõige 1</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w:t>
            </w:r>
            <w:r w:rsidRPr="00DC0A42">
              <w:tab/>
              <w:t xml:space="preserve">Niipea kui ümberpaigutamise sihtliikmesriik on </w:t>
            </w:r>
            <w:r w:rsidRPr="00DC0A42">
              <w:rPr>
                <w:b/>
                <w:i/>
              </w:rPr>
              <w:t>sunnitud asjaomase isiku</w:t>
            </w:r>
            <w:r w:rsidRPr="00DC0A42">
              <w:t xml:space="preserve"> määruse (EL) XXX/XXX [varjupaiga- ja rändehalduse määrus] artikli 57 lõike 7 kohaselt</w:t>
            </w:r>
            <w:r w:rsidRPr="00DC0A42">
              <w:rPr>
                <w:b/>
                <w:i/>
              </w:rPr>
              <w:t xml:space="preserve"> ümber paigutama</w:t>
            </w:r>
            <w:r w:rsidRPr="00DC0A42">
              <w:t xml:space="preserve">, ajakohastab toetatav liikmesriik oma asjaomast isikut käsitlevat andmekogumit, mis on salvestatud kooskõlas käesoleva määruse </w:t>
            </w:r>
            <w:r w:rsidRPr="00DC0A42">
              <w:rPr>
                <w:b/>
                <w:i/>
              </w:rPr>
              <w:t>artiklite</w:t>
            </w:r>
            <w:r w:rsidRPr="00DC0A42">
              <w:t> 12</w:t>
            </w:r>
            <w:r w:rsidRPr="00DC0A42">
              <w:rPr>
                <w:b/>
                <w:i/>
              </w:rPr>
              <w:t>, 13, 14 või 14a</w:t>
            </w:r>
            <w:r w:rsidRPr="00DC0A42">
              <w:t>, lisades sinna ümberpaigutamise sihtliikmesriigi.</w:t>
            </w:r>
          </w:p>
        </w:tc>
        <w:tc>
          <w:tcPr>
            <w:tcW w:w="4876" w:type="dxa"/>
            <w:hideMark/>
          </w:tcPr>
          <w:p w:rsidR="007605D8" w:rsidRPr="00DC0A42" w:rsidRDefault="00EE3FC6" w:rsidP="007605D8">
            <w:pPr>
              <w:pStyle w:val="Normal6"/>
              <w:rPr>
                <w:szCs w:val="24"/>
              </w:rPr>
            </w:pPr>
            <w:r w:rsidRPr="00DC0A42">
              <w:t>1.</w:t>
            </w:r>
            <w:r w:rsidRPr="00DC0A42">
              <w:tab/>
              <w:t xml:space="preserve">Niipea kui ümberpaigutamise sihtliikmesriik on </w:t>
            </w:r>
            <w:r w:rsidRPr="00DC0A42">
              <w:rPr>
                <w:b/>
                <w:i/>
              </w:rPr>
              <w:t>kindlaks määratud</w:t>
            </w:r>
            <w:r w:rsidRPr="00DC0A42">
              <w:t xml:space="preserve"> määruse (EL) XXX/XXX [varjupaiga- ja rändehalduse määrus] artikli 57 lõike 7 kohaselt, ajakohastab toetatav liikmesriik oma asjaomast isikut käsitlevat andmekogumit, mis on salvestatud kooskõlas käesoleva määruse </w:t>
            </w:r>
            <w:r w:rsidRPr="00DC0A42">
              <w:rPr>
                <w:b/>
                <w:i/>
              </w:rPr>
              <w:t>artiklitega</w:t>
            </w:r>
            <w:r w:rsidRPr="00DC0A42">
              <w:t> 12</w:t>
            </w:r>
            <w:r w:rsidRPr="00DC0A42">
              <w:rPr>
                <w:b/>
                <w:i/>
              </w:rPr>
              <w:t xml:space="preserve"> ja 13</w:t>
            </w:r>
            <w:r w:rsidRPr="00DC0A42">
              <w:t>, lisades sinna ümberpaigutamise sihtliikmesriigi.</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82</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21 (-a) (uus) – artikkel 17 – lõige 1 a (uus)</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397221">
            <w:pPr>
              <w:pStyle w:val="Normal6"/>
              <w:rPr>
                <w:szCs w:val="24"/>
              </w:rPr>
            </w:pPr>
            <w:r w:rsidRPr="00DC0A42">
              <w:rPr>
                <w:b/>
                <w:i/>
              </w:rPr>
              <w:t>1a.</w:t>
            </w:r>
            <w:r w:rsidRPr="00DC0A42">
              <w:rPr>
                <w:b/>
                <w:i/>
              </w:rPr>
              <w:tab/>
              <w:t>Kõiki ümberasustatud kolmanda riigi kodaniku või kodakondsuseta isikuga seonduvaid andmekogumeid säilitatakse artiklis 12a nimetatud eesmärgil kesksüsteemis viie aasta jooksul pärast biomeetriliste andmete võtmise kuupäeva.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rPr>
          <w:rStyle w:val="HideTWBExt"/>
        </w:rPr>
      </w:pPr>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83</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21 (b) – artikkel 17 – lõige 4</w:t>
      </w:r>
      <w:r w:rsidRPr="00DC0A4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„4.</w:t>
            </w:r>
            <w:r w:rsidRPr="00DC0A42">
              <w:tab/>
              <w:t>Käesoleva artikli lõigetes 1–3a osutatud andmete säilitusaegade möödudes kustutatakse kesksüsteemis ja vajaduse korral ühises isikuandmete hoidlas olevad andmesubjektide andmed.“;</w:t>
            </w:r>
          </w:p>
        </w:tc>
        <w:tc>
          <w:tcPr>
            <w:tcW w:w="4876" w:type="dxa"/>
            <w:hideMark/>
          </w:tcPr>
          <w:p w:rsidR="007605D8" w:rsidRPr="00DC0A42" w:rsidRDefault="00EE3FC6" w:rsidP="007605D8">
            <w:pPr>
              <w:pStyle w:val="Normal6"/>
              <w:rPr>
                <w:szCs w:val="24"/>
              </w:rPr>
            </w:pPr>
            <w:r w:rsidRPr="00DC0A42">
              <w:t>„4.</w:t>
            </w:r>
            <w:r w:rsidRPr="00DC0A42">
              <w:tab/>
              <w:t xml:space="preserve">Käesoleva artikli lõigetes 1–3a osutatud andmete säilitusaegade möödudes kustutatakse </w:t>
            </w:r>
            <w:r w:rsidRPr="00DC0A42">
              <w:rPr>
                <w:b/>
                <w:i/>
              </w:rPr>
              <w:t xml:space="preserve">automaatselt </w:t>
            </w:r>
            <w:r w:rsidRPr="00DC0A42">
              <w:t>kesksüsteemis ja vajaduse korral ühises isikuandmete hoidlas olevad andmesubjektide andmed.“;</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84</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22 – artikkel 19 – pealkiri</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Andmete märkimine</w:t>
            </w:r>
            <w:r w:rsidRPr="00DC0A42">
              <w:rPr>
                <w:b/>
                <w:i/>
              </w:rPr>
              <w:t xml:space="preserve"> ja blokeerimine</w:t>
            </w:r>
          </w:p>
        </w:tc>
        <w:tc>
          <w:tcPr>
            <w:tcW w:w="4876" w:type="dxa"/>
            <w:hideMark/>
          </w:tcPr>
          <w:p w:rsidR="007605D8" w:rsidRPr="00DC0A42" w:rsidRDefault="00EE3FC6" w:rsidP="007605D8">
            <w:pPr>
              <w:pStyle w:val="Normal6"/>
              <w:rPr>
                <w:szCs w:val="24"/>
              </w:rPr>
            </w:pPr>
            <w:r w:rsidRPr="00DC0A42">
              <w:t>Andmete märkimine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rPr>
          <w:b/>
        </w:rPr>
      </w:pPr>
      <w:r w:rsidRPr="00DC0A42">
        <w:rPr>
          <w:rStyle w:val="HideTWBExt"/>
          <w:b/>
        </w:rPr>
        <w:t>&lt;Amend&gt;</w:t>
      </w:r>
      <w:r w:rsidRPr="00DC0A42">
        <w:rPr>
          <w:b/>
        </w:rPr>
        <w:t>Muudatusettepanek</w:t>
      </w:r>
      <w:r w:rsidRPr="00DC0A42">
        <w:rPr>
          <w:b/>
        </w:rPr>
        <w:tab/>
      </w:r>
      <w:r w:rsidRPr="00DC0A42">
        <w:rPr>
          <w:rStyle w:val="HideTWBExt"/>
          <w:b/>
        </w:rPr>
        <w:t>&lt;NumAm&gt;</w:t>
      </w:r>
      <w:r w:rsidRPr="00DC0A42">
        <w:rPr>
          <w:b/>
        </w:rPr>
        <w:t>85</w:t>
      </w:r>
      <w:r w:rsidRPr="00DC0A42">
        <w:rPr>
          <w:rStyle w:val="HideTWBExt"/>
          <w:b/>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22 – artikkel 19 – lõige 1</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1.</w:t>
            </w:r>
            <w:r w:rsidRPr="00DC0A42">
              <w:tab/>
              <w:t>Päritoluliikmesriik, kes on võtnud rahvusvahelise kaitse alla isiku, kelle andmed olid artikli 12 kohaselt eelnevalt salvestatud kesksüsteemi ja vajaduse korral ühisesse isikuandmete hoidlasse, teeb artikli 1 lõike 1 punktis a sätestatud eesmärgil asjaomaste andmete kohta märke kooskõlas nõuetega, mille eu-LISA on kesksüsteemiga toimuva elektroonilise teabevahetuse jaoks kehtestanud. Kõnealust märget säilitatakse kesksüsteemis vastavalt artikli </w:t>
            </w:r>
            <w:r w:rsidRPr="00DC0A42">
              <w:rPr>
                <w:b/>
                <w:i/>
              </w:rPr>
              <w:t>17 lõikele </w:t>
            </w:r>
            <w:r w:rsidRPr="00DC0A42">
              <w:t>1, et võimaldada artikliga 15 ja artikliga</w:t>
            </w:r>
            <w:r w:rsidRPr="00DC0A42">
              <w:rPr>
                <w:b/>
                <w:i/>
              </w:rPr>
              <w:t xml:space="preserve"> </w:t>
            </w:r>
            <w:r w:rsidRPr="00DC0A42">
              <w:t>16 ettenähtud edastamist. Kesksüsteem teavitab võimalikult kiiresti ja hiljemalt 72 tunni jooksul kõiki päritoluliikmesriike sellest, et teine päritoluliikmesriik, kelle otsing on leidnud kokkulangevuse tema poolt artikli 10 lõikes 1, artikli 13 lõikes 1, artikli 14 lõikes 1 või artikli</w:t>
            </w:r>
            <w:r w:rsidRPr="00DC0A42">
              <w:rPr>
                <w:b/>
                <w:i/>
              </w:rPr>
              <w:t> </w:t>
            </w:r>
            <w:r w:rsidRPr="00DC0A42">
              <w:t>14a lõikes</w:t>
            </w:r>
            <w:r w:rsidRPr="00DC0A42">
              <w:rPr>
                <w:b/>
                <w:i/>
              </w:rPr>
              <w:t> </w:t>
            </w:r>
            <w:r w:rsidRPr="00DC0A42">
              <w:t>1 osutatud isikute kohta edastatud andmetega, on teinud andmete kohta märke. Teised päritoluliikmesriigid teevad samuti vastavate andmekogumite kohta märke.</w:t>
            </w:r>
          </w:p>
        </w:tc>
        <w:tc>
          <w:tcPr>
            <w:tcW w:w="4876" w:type="dxa"/>
            <w:hideMark/>
          </w:tcPr>
          <w:p w:rsidR="007605D8" w:rsidRPr="00DC0A42" w:rsidRDefault="00EE3FC6" w:rsidP="007605D8">
            <w:pPr>
              <w:pStyle w:val="Normal6"/>
              <w:rPr>
                <w:szCs w:val="24"/>
              </w:rPr>
            </w:pPr>
            <w:r w:rsidRPr="00DC0A42">
              <w:t>1.</w:t>
            </w:r>
            <w:r w:rsidRPr="00DC0A42">
              <w:tab/>
              <w:t xml:space="preserve">Päritoluliikmesriik, kes on võtnud rahvusvahelise kaitse alla isiku, kelle andmed olid artikli 12 </w:t>
            </w:r>
            <w:r w:rsidRPr="00DC0A42">
              <w:rPr>
                <w:b/>
                <w:i/>
              </w:rPr>
              <w:t xml:space="preserve">või artikli 12a </w:t>
            </w:r>
            <w:r w:rsidRPr="00DC0A42">
              <w:t xml:space="preserve">kohaselt eelnevalt salvestatud kesksüsteemi ja vajaduse korral ühisesse isikuandmete hoidlasse, teeb artikli 1 lõike 1 punktis a </w:t>
            </w:r>
            <w:r w:rsidRPr="00DC0A42">
              <w:rPr>
                <w:b/>
                <w:i/>
              </w:rPr>
              <w:t xml:space="preserve">ja artikli 1 lõike 1 punktis b </w:t>
            </w:r>
            <w:r w:rsidRPr="00DC0A42">
              <w:t>sätestatud eesmärgil asjaomaste andmete kohta märke kooskõlas nõuetega, mille eu-LISA on kesksüsteemiga toimuva elektroonilise teabevahetuse jaoks kehtestanud. Kõnealust märget säilitatakse kesksüsteemis vastavalt artikli</w:t>
            </w:r>
            <w:r w:rsidRPr="00DC0A42">
              <w:rPr>
                <w:b/>
                <w:i/>
              </w:rPr>
              <w:t xml:space="preserve"> 17</w:t>
            </w:r>
            <w:r w:rsidRPr="00DC0A42">
              <w:t> </w:t>
            </w:r>
            <w:r w:rsidRPr="00DC0A42">
              <w:rPr>
                <w:b/>
                <w:i/>
              </w:rPr>
              <w:t xml:space="preserve">lõigetele </w:t>
            </w:r>
            <w:r w:rsidRPr="00DC0A42">
              <w:t>1</w:t>
            </w:r>
            <w:r w:rsidRPr="00DC0A42">
              <w:rPr>
                <w:b/>
                <w:i/>
              </w:rPr>
              <w:t xml:space="preserve"> ja 1a</w:t>
            </w:r>
            <w:r w:rsidRPr="00DC0A42">
              <w:t>, et võimaldada artikliga 15 ja artikliga</w:t>
            </w:r>
            <w:r w:rsidRPr="00DC0A42">
              <w:rPr>
                <w:b/>
                <w:i/>
              </w:rPr>
              <w:t> </w:t>
            </w:r>
            <w:r w:rsidRPr="00DC0A42">
              <w:t>16 ettenähtud edastamist. Kesksüsteem teavitab võimalikult kiiresti ja hiljemalt 72 tunni jooksul kõiki päritoluliikmesriike sellest, et teine päritoluliikmesriik, kelle otsing on leidnud kokkulangevuse tema poolt artikli 10 lõikes 1, artikli</w:t>
            </w:r>
            <w:r w:rsidRPr="00DC0A42">
              <w:rPr>
                <w:b/>
                <w:i/>
              </w:rPr>
              <w:t xml:space="preserve"> 12 punktis b, artikli</w:t>
            </w:r>
            <w:r w:rsidRPr="00DC0A42">
              <w:t> 13 lõikes 1, artikli 14 lõikes 1 või artikli</w:t>
            </w:r>
            <w:r w:rsidRPr="00DC0A42">
              <w:rPr>
                <w:b/>
                <w:i/>
              </w:rPr>
              <w:t xml:space="preserve"> </w:t>
            </w:r>
            <w:r w:rsidRPr="00DC0A42">
              <w:t>14a lõikes</w:t>
            </w:r>
            <w:r w:rsidRPr="00DC0A42">
              <w:rPr>
                <w:b/>
                <w:i/>
              </w:rPr>
              <w:t xml:space="preserve"> </w:t>
            </w:r>
            <w:r w:rsidRPr="00DC0A42">
              <w:t>1 osutatud isikute kohta edastatud andmetega, on teinud andmete kohta märke. Teised päritoluliikmesriigid teevad samuti vastavate andmekogumite kohta märke.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86</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22 – artikkel 19 – lõige 2</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2.</w:t>
            </w:r>
            <w:r w:rsidRPr="00DC0A42">
              <w:tab/>
              <w:t>Rahvusvahelise kaitse saajate kesksüsteemis ja vajaduse korral ühises isikuandmete hoidlas säilitatavad ja käesoleva artikli lõike 1 kohaselt märgitud andmed tehakse artikli 1 lõike 1 punktis d sätestatud eesmärgil võrdlemise jaoks kättesaadavaks seniks, kuni sellised andmed kesksüsteemist ja</w:t>
            </w:r>
            <w:r w:rsidRPr="00DC0A42">
              <w:rPr>
                <w:b/>
                <w:i/>
              </w:rPr>
              <w:t xml:space="preserve"> vajaduse korral</w:t>
            </w:r>
            <w:r w:rsidRPr="00DC0A42">
              <w:t xml:space="preserve"> ühisest isikuandmete hoidlast vastavalt artikli 17 lõikele 4 automaatselt kustutatakse.</w:t>
            </w:r>
          </w:p>
        </w:tc>
        <w:tc>
          <w:tcPr>
            <w:tcW w:w="4876" w:type="dxa"/>
            <w:hideMark/>
          </w:tcPr>
          <w:p w:rsidR="007605D8" w:rsidRPr="00DC0A42" w:rsidRDefault="00EE3FC6" w:rsidP="007605D8">
            <w:pPr>
              <w:pStyle w:val="Normal6"/>
              <w:rPr>
                <w:szCs w:val="24"/>
              </w:rPr>
            </w:pPr>
            <w:r w:rsidRPr="00DC0A42">
              <w:t>2.</w:t>
            </w:r>
            <w:r w:rsidRPr="00DC0A42">
              <w:tab/>
              <w:t xml:space="preserve">Rahvusvahelise kaitse saajate kesksüsteemis ja vajaduse korral </w:t>
            </w:r>
            <w:r w:rsidRPr="00DC0A42">
              <w:rPr>
                <w:b/>
                <w:i/>
              </w:rPr>
              <w:t xml:space="preserve">vastavalt artikli 4 lõikele 2 </w:t>
            </w:r>
            <w:r w:rsidRPr="00DC0A42">
              <w:t>ühises isikuandmete hoidlas säilitatavad ja käesoleva artikli lõike 1 kohaselt märgitud andmed tehakse artikli 1 lõike 1 punktis d sätestatud eesmärgil võrdlemise jaoks kättesaadavaks seniks, kuni sellised andmed kesksüsteemist ja ühisest isikuandmete hoidlast vastavalt artikli 17 lõikele 4 automaatselt kustutatakse.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87</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22 – artikkel 19 – lõige 4</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4.</w:t>
            </w:r>
            <w:r w:rsidRPr="00DC0A42">
              <w:tab/>
              <w:t xml:space="preserve">Päritoluliikmesriik, kes on väljastanud elamisloa </w:t>
            </w:r>
            <w:r w:rsidRPr="00DC0A42">
              <w:rPr>
                <w:b/>
                <w:i/>
              </w:rPr>
              <w:t>ebaseaduslikult</w:t>
            </w:r>
            <w:r w:rsidRPr="00DC0A42">
              <w:t xml:space="preserve"> riigis viibivale kolmanda riigi kodanikule või kodakondsuseta isikule, kelle andmed olid artikli</w:t>
            </w:r>
            <w:r w:rsidRPr="00DC0A42">
              <w:rPr>
                <w:b/>
                <w:i/>
              </w:rPr>
              <w:t> </w:t>
            </w:r>
            <w:r w:rsidRPr="00DC0A42">
              <w:t>13 lõike</w:t>
            </w:r>
            <w:r w:rsidRPr="00DC0A42">
              <w:rPr>
                <w:b/>
                <w:i/>
              </w:rPr>
              <w:t> </w:t>
            </w:r>
            <w:r w:rsidRPr="00DC0A42">
              <w:t>2 ja artikli</w:t>
            </w:r>
            <w:r w:rsidRPr="00DC0A42">
              <w:rPr>
                <w:b/>
                <w:i/>
              </w:rPr>
              <w:t> </w:t>
            </w:r>
            <w:r w:rsidRPr="00DC0A42">
              <w:t>14 lõike</w:t>
            </w:r>
            <w:r w:rsidRPr="00DC0A42">
              <w:rPr>
                <w:b/>
                <w:i/>
              </w:rPr>
              <w:t> </w:t>
            </w:r>
            <w:r w:rsidRPr="00DC0A42">
              <w:t xml:space="preserve">2 kohaselt eelnevalt kesksüsteemi ja vajaduse korral ühisesse isikuandmete hoidlasse salvestatud, </w:t>
            </w:r>
            <w:r w:rsidRPr="00DC0A42">
              <w:rPr>
                <w:b/>
                <w:i/>
              </w:rPr>
              <w:t>või kolmanda riigi kodanikule või kodakondsuseta isikule, kes on maabunud otsingu- ja päästeoperatsiooni järel ning kelle andmed olid</w:t>
            </w:r>
            <w:r w:rsidRPr="00DC0A42">
              <w:t xml:space="preserve"> artikli</w:t>
            </w:r>
            <w:r w:rsidRPr="00DC0A42">
              <w:rPr>
                <w:b/>
                <w:i/>
              </w:rPr>
              <w:t> 14a</w:t>
            </w:r>
            <w:r w:rsidRPr="00DC0A42">
              <w:t xml:space="preserve"> lõike</w:t>
            </w:r>
            <w:r w:rsidRPr="00DC0A42">
              <w:rPr>
                <w:b/>
                <w:i/>
              </w:rPr>
              <w:t> 2 kohaselt eelnevalt</w:t>
            </w:r>
            <w:r w:rsidRPr="00DC0A42">
              <w:t xml:space="preserve"> </w:t>
            </w:r>
            <w:r w:rsidRPr="00DC0A42">
              <w:rPr>
                <w:b/>
                <w:i/>
              </w:rPr>
              <w:t>kesksüsteemi ja vajaduse korral ühisesse isikuandmete hoidlasse salvestatud teeb artikli </w:t>
            </w:r>
            <w:r w:rsidRPr="00DC0A42">
              <w:t xml:space="preserve">1 </w:t>
            </w:r>
            <w:r w:rsidRPr="00DC0A42">
              <w:rPr>
                <w:b/>
                <w:i/>
              </w:rPr>
              <w:t>lõike 1 punktides </w:t>
            </w:r>
            <w:r w:rsidRPr="00DC0A42">
              <w:t>a</w:t>
            </w:r>
            <w:r w:rsidRPr="00DC0A42">
              <w:rPr>
                <w:b/>
                <w:i/>
              </w:rPr>
              <w:t xml:space="preserve"> ja c</w:t>
            </w:r>
            <w:r w:rsidRPr="00DC0A42">
              <w:t xml:space="preserve"> sätestatud eesmärgil asjaomaste andmete kohta märke kooskõlas nõuetega, mille eu-LISA on kesksüsteemiga toimuva elektroonilise teabevahetuse jaoks kehtestanud. Kõnealust märget säilitatakse kesksüsteemis vastavalt artikli 17 lõigetele 2, 3 ja 3a et võimaldada artikliga 15 ja artikliga 16 ettenähtud edastamist. Kesksüsteem teavitab võimalikult kiiresti ja hiljemalt 72</w:t>
            </w:r>
            <w:r w:rsidRPr="00DC0A42">
              <w:rPr>
                <w:b/>
                <w:i/>
              </w:rPr>
              <w:t> </w:t>
            </w:r>
            <w:r w:rsidRPr="00DC0A42">
              <w:t>tunni jooksul kõiki päritoluliikmesriike sellest, et teine päritoluliikmesriik, kelle otsing on leidnud kokkulangevuse tema poolt artikli</w:t>
            </w:r>
            <w:r w:rsidRPr="00DC0A42">
              <w:rPr>
                <w:b/>
                <w:i/>
              </w:rPr>
              <w:t> </w:t>
            </w:r>
            <w:r w:rsidRPr="00DC0A42">
              <w:t>10 lõikes</w:t>
            </w:r>
            <w:r w:rsidRPr="00DC0A42">
              <w:rPr>
                <w:b/>
                <w:i/>
              </w:rPr>
              <w:t> 1,</w:t>
            </w:r>
            <w:r w:rsidRPr="00DC0A42">
              <w:t xml:space="preserve"> </w:t>
            </w:r>
            <w:r w:rsidRPr="00DC0A42">
              <w:rPr>
                <w:b/>
                <w:i/>
              </w:rPr>
              <w:t>artikli 13 lõikes 1, artikli 14 lõikes </w:t>
            </w:r>
            <w:r w:rsidRPr="00DC0A42">
              <w:t>1 või artikli</w:t>
            </w:r>
            <w:r w:rsidRPr="00DC0A42">
              <w:rPr>
                <w:b/>
                <w:i/>
              </w:rPr>
              <w:t> 14a</w:t>
            </w:r>
            <w:r w:rsidRPr="00DC0A42">
              <w:t xml:space="preserve"> lõikes</w:t>
            </w:r>
            <w:r w:rsidRPr="00DC0A42">
              <w:rPr>
                <w:b/>
                <w:i/>
              </w:rPr>
              <w:t> </w:t>
            </w:r>
            <w:r w:rsidRPr="00DC0A42">
              <w:t>1 osutatud isikute kohta edastatud andmetega, on teinud andmete kohta märke. Teised päritoluliikmesriigid teevad samuti vastavate andmekogumite kohta märke.</w:t>
            </w:r>
          </w:p>
        </w:tc>
        <w:tc>
          <w:tcPr>
            <w:tcW w:w="4876" w:type="dxa"/>
            <w:hideMark/>
          </w:tcPr>
          <w:p w:rsidR="007605D8" w:rsidRPr="00DC0A42" w:rsidRDefault="00EE3FC6" w:rsidP="00F022DC">
            <w:pPr>
              <w:pStyle w:val="Normal6"/>
              <w:rPr>
                <w:szCs w:val="24"/>
              </w:rPr>
            </w:pPr>
            <w:r w:rsidRPr="00DC0A42">
              <w:t>4.</w:t>
            </w:r>
            <w:r w:rsidRPr="00DC0A42">
              <w:tab/>
              <w:t xml:space="preserve">Päritoluliikmesriik, kes on väljastanud elamisloa </w:t>
            </w:r>
            <w:r w:rsidRPr="00DC0A42">
              <w:rPr>
                <w:b/>
                <w:i/>
              </w:rPr>
              <w:t>seadusliku aluseta</w:t>
            </w:r>
            <w:r w:rsidRPr="00DC0A42">
              <w:t xml:space="preserve"> riigis viibivale kolmanda riigi kodanikule või kodakondsuseta isikule, kelle andmed olid artikli</w:t>
            </w:r>
            <w:r w:rsidRPr="00DC0A42">
              <w:rPr>
                <w:b/>
                <w:i/>
              </w:rPr>
              <w:t xml:space="preserve"> </w:t>
            </w:r>
            <w:r w:rsidRPr="00DC0A42">
              <w:t>13 lõike</w:t>
            </w:r>
            <w:r w:rsidRPr="00DC0A42">
              <w:rPr>
                <w:b/>
                <w:i/>
              </w:rPr>
              <w:t xml:space="preserve"> </w:t>
            </w:r>
            <w:r w:rsidRPr="00DC0A42">
              <w:t>2 ja artikli</w:t>
            </w:r>
            <w:r w:rsidRPr="00DC0A42">
              <w:rPr>
                <w:b/>
                <w:i/>
              </w:rPr>
              <w:t xml:space="preserve"> </w:t>
            </w:r>
            <w:r w:rsidRPr="00DC0A42">
              <w:t>14 lõike</w:t>
            </w:r>
            <w:r w:rsidRPr="00DC0A42">
              <w:rPr>
                <w:b/>
                <w:i/>
              </w:rPr>
              <w:t xml:space="preserve"> </w:t>
            </w:r>
            <w:r w:rsidRPr="00DC0A42">
              <w:t xml:space="preserve">2 kohaselt eelnevalt kesksüsteemi ja vajaduse korral ühisesse isikuandmete hoidlasse salvestatud, </w:t>
            </w:r>
            <w:r w:rsidRPr="00DC0A42">
              <w:rPr>
                <w:b/>
                <w:i/>
              </w:rPr>
              <w:t>teeb</w:t>
            </w:r>
            <w:r w:rsidRPr="00DC0A42">
              <w:t xml:space="preserve"> artikli</w:t>
            </w:r>
            <w:r w:rsidRPr="00DC0A42">
              <w:rPr>
                <w:b/>
                <w:i/>
              </w:rPr>
              <w:t xml:space="preserve"> 1</w:t>
            </w:r>
            <w:r w:rsidRPr="00DC0A42">
              <w:t xml:space="preserve"> lõike 1 </w:t>
            </w:r>
            <w:r w:rsidRPr="00DC0A42">
              <w:rPr>
                <w:b/>
                <w:i/>
              </w:rPr>
              <w:t xml:space="preserve">punktis </w:t>
            </w:r>
            <w:r w:rsidRPr="00DC0A42">
              <w:t>a sätestatud eesmärgil asjaomaste andmete kohta märke kooskõlas nõuetega, mille eu-LISA on kesksüsteemiga toimuva elektroonilise teabevahetuse jaoks kehtestanud. Kõnealust märget säilitatakse kesksüsteemis vastavalt artikli 17 lõigetele 2, 3 ja 3a et võimaldada artikliga 15 ja artikliga 16 ettenähtud edastamist. Kesksüsteem teavitab võimalikult kiiresti ja hiljemalt 72</w:t>
            </w:r>
            <w:r w:rsidRPr="00DC0A42">
              <w:rPr>
                <w:b/>
                <w:i/>
              </w:rPr>
              <w:t xml:space="preserve"> </w:t>
            </w:r>
            <w:r w:rsidRPr="00DC0A42">
              <w:t>tunni jooksul kõiki päritoluliikmesriike sellest, et teine päritoluliikmesriik, kelle otsing on leidnud kokkulangevuse tema poolt artikli</w:t>
            </w:r>
            <w:r w:rsidRPr="00DC0A42">
              <w:rPr>
                <w:b/>
                <w:i/>
              </w:rPr>
              <w:t xml:space="preserve"> </w:t>
            </w:r>
            <w:r w:rsidRPr="00DC0A42">
              <w:t>10 lõikes 1 või artikli</w:t>
            </w:r>
            <w:r w:rsidRPr="00DC0A42">
              <w:rPr>
                <w:b/>
                <w:i/>
              </w:rPr>
              <w:t xml:space="preserve"> 13</w:t>
            </w:r>
            <w:r w:rsidRPr="00DC0A42">
              <w:t xml:space="preserve"> lõikes</w:t>
            </w:r>
            <w:r w:rsidRPr="00DC0A42">
              <w:rPr>
                <w:b/>
                <w:i/>
              </w:rPr>
              <w:t xml:space="preserve"> </w:t>
            </w:r>
            <w:r w:rsidRPr="00DC0A42">
              <w:t>1 osutatud isikute kohta edastatud andmetega, on teinud andmete kohta märke. Teised päritoluliikmesriigid teevad samuti vastavate andmekogumite kohta märke.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88</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 xml:space="preserve"> Regulatiivosa – punkt 22 – artikkel 19 – lõige 5</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5.</w:t>
            </w:r>
            <w:r w:rsidRPr="00DC0A42">
              <w:tab/>
            </w:r>
            <w:r w:rsidRPr="00DC0A42">
              <w:rPr>
                <w:b/>
                <w:i/>
              </w:rPr>
              <w:t>Ebaseaduslikult</w:t>
            </w:r>
            <w:r w:rsidRPr="00DC0A42">
              <w:t xml:space="preserve"> riigis viibivate kolmandate riikide kodanike või kodakondsuseta isikute kohta kesksüsteemis ja ühises isikuandmete hoidlas säilitatavad ja käesoleva artikli lõike 4 kohaselt märgitud andmed tehakse artikli 1 lõike 1 punktis d sätestatud eesmärgil võrdlemise jaoks kättesaadavaks, kuni need andmed kesksüsteemist ja ühisest isikuandmete hoidlast artikli 17 lõike 4 kohaselt kustutatakse.</w:t>
            </w:r>
          </w:p>
        </w:tc>
        <w:tc>
          <w:tcPr>
            <w:tcW w:w="4876" w:type="dxa"/>
            <w:hideMark/>
          </w:tcPr>
          <w:p w:rsidR="007605D8" w:rsidRPr="00DC0A42" w:rsidRDefault="00EE3FC6" w:rsidP="007605D8">
            <w:pPr>
              <w:pStyle w:val="Normal6"/>
              <w:rPr>
                <w:szCs w:val="24"/>
              </w:rPr>
            </w:pPr>
            <w:r w:rsidRPr="00DC0A42">
              <w:t>5.</w:t>
            </w:r>
            <w:r w:rsidRPr="00DC0A42">
              <w:tab/>
            </w:r>
            <w:r w:rsidRPr="00DC0A42">
              <w:rPr>
                <w:b/>
                <w:i/>
              </w:rPr>
              <w:t>Seadusliku aluseta</w:t>
            </w:r>
            <w:r w:rsidRPr="00DC0A42">
              <w:t xml:space="preserve"> riigis viibivate kolmandate riikide kodanike või kodakondsuseta isikute kohta kesksüsteemis ja ühises isikuandmete hoidlas säilitatavad ja käesoleva artikli lõike 4 kohaselt märgitud andmed tehakse artikli 1 lõike 1 punktis d sätestatud eesmärgil võrdlemise jaoks kättesaadavaks, kuni need andmed kesksüsteemist ja ühisest isikuandmete hoidlast artikli 17 lõike 4 kohaselt kustutatakse.</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89</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25 – artikkel 28 – lõige 3a</w:t>
      </w:r>
      <w:r w:rsidRPr="00DC0A4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7605D8">
        <w:trPr>
          <w:jc w:val="center"/>
        </w:trPr>
        <w:tc>
          <w:tcPr>
            <w:tcW w:w="9752" w:type="dxa"/>
            <w:gridSpan w:val="2"/>
          </w:tcPr>
          <w:p w:rsidR="007605D8" w:rsidRPr="00DC0A42" w:rsidRDefault="007605D8" w:rsidP="007605D8">
            <w:pPr>
              <w:keepNext/>
            </w:pPr>
          </w:p>
        </w:tc>
      </w:tr>
      <w:tr w:rsidR="00F677D7" w:rsidRPr="00DC0A42" w:rsidTr="007605D8">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7605D8">
        <w:trPr>
          <w:jc w:val="center"/>
        </w:trPr>
        <w:tc>
          <w:tcPr>
            <w:tcW w:w="4876" w:type="dxa"/>
            <w:hideMark/>
          </w:tcPr>
          <w:p w:rsidR="007605D8" w:rsidRPr="00DC0A42" w:rsidRDefault="00EE3FC6" w:rsidP="007605D8">
            <w:pPr>
              <w:pStyle w:val="Normal6"/>
            </w:pPr>
            <w:r w:rsidRPr="00DC0A42">
              <w:t>„3a.</w:t>
            </w:r>
            <w:r w:rsidRPr="00DC0A42">
              <w:tab/>
              <w:t>Juurdepääs ühises isikuandmete hoidlas säilitatavate Eurodac-süsteemi andmete kohta päringute tegemiseks antakse liikmesriikide ametiasutuste ja liidu asutuste nõuetekohaselt volitatud töötajatele, kes on pädevad täitma määruse (EL) 2019/818 artiklites 20 ja 21 sätestatud eesmärke. Juurdepääs piirdub ulatusega, mis on vajalik kõnealuste liikmesriigi ametiasutuste ja liidu asutuste ülesannete täitmiseks kooskõlas nende eesmärkidega ja mis on proportsionaalne taotletavate eesmärkidega.“;</w:t>
            </w:r>
          </w:p>
        </w:tc>
        <w:tc>
          <w:tcPr>
            <w:tcW w:w="4876" w:type="dxa"/>
            <w:hideMark/>
          </w:tcPr>
          <w:p w:rsidR="007605D8" w:rsidRPr="00DC0A42" w:rsidRDefault="00EE3FC6" w:rsidP="007605D8">
            <w:pPr>
              <w:pStyle w:val="Normal6"/>
              <w:rPr>
                <w:szCs w:val="24"/>
              </w:rPr>
            </w:pPr>
            <w:r w:rsidRPr="00DC0A42">
              <w:t>„3a.</w:t>
            </w:r>
            <w:r w:rsidRPr="00DC0A42">
              <w:tab/>
              <w:t xml:space="preserve">Juurdepääs ühises isikuandmete hoidlas säilitatavate Eurodac-süsteemi andmete kohta päringute tegemiseks antakse liikmesriikide </w:t>
            </w:r>
            <w:r w:rsidRPr="00DC0A42">
              <w:rPr>
                <w:b/>
                <w:i/>
              </w:rPr>
              <w:t xml:space="preserve">pädevate </w:t>
            </w:r>
            <w:r w:rsidRPr="00DC0A42">
              <w:t>ametiasutuste ja liidu asutuste nõuetekohaselt volitatud töötajatele, kes on pädevad täitma määruse (EL) 2019/818 artiklites 20 ja 21 sätestatud eesmärke. Juurdepääs piirdub ulatusega, mis on vajalik kõnealuste liikmesriigi ametiasutuste ja liidu asutuste ülesannete täitmiseks kooskõlas nende eesmärkidega ja mis on proportsionaalne taotletavate eesmärkidega.“;</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r w:rsidRPr="00DC0A42">
        <w:rPr>
          <w:rStyle w:val="HideTWBExt"/>
        </w:rPr>
        <w:t>&lt;/Amend&gt;</w:t>
      </w:r>
    </w:p>
    <w:p w:rsidR="007605D8" w:rsidRPr="00DC0A42" w:rsidRDefault="00EE3FC6" w:rsidP="007605D8">
      <w:pPr>
        <w:pStyle w:val="AMNumberTabs0"/>
        <w:keepNext/>
      </w:pPr>
      <w:r w:rsidRPr="00DC0A42">
        <w:rPr>
          <w:rStyle w:val="HideTWBExt"/>
        </w:rPr>
        <w:t>&lt;Amend&gt;</w:t>
      </w:r>
      <w:r w:rsidRPr="00DC0A42">
        <w:t>Muudatusettepanek</w:t>
      </w:r>
      <w:r w:rsidRPr="00DC0A42">
        <w:tab/>
      </w:r>
      <w:r w:rsidRPr="00DC0A42">
        <w:tab/>
      </w:r>
      <w:r w:rsidRPr="00DC0A42">
        <w:rPr>
          <w:rStyle w:val="HideTWBExt"/>
        </w:rPr>
        <w:t>&lt;NumAm&gt;</w:t>
      </w:r>
      <w:r w:rsidRPr="00DC0A42">
        <w:t>90</w:t>
      </w:r>
      <w:r w:rsidRPr="00DC0A42">
        <w:rPr>
          <w:rStyle w:val="HideTWBExt"/>
        </w:rPr>
        <w:t>&lt;/NumAm&gt;</w:t>
      </w:r>
    </w:p>
    <w:p w:rsidR="007605D8" w:rsidRPr="00DC0A42" w:rsidRDefault="00EE3FC6" w:rsidP="007605D8">
      <w:pPr>
        <w:pStyle w:val="NormalBold"/>
      </w:pPr>
      <w:r w:rsidRPr="00DC0A42">
        <w:rPr>
          <w:rStyle w:val="HideTWBExt"/>
        </w:rPr>
        <w:t>&lt;RepeatBlock-By&gt;&lt;Members&gt;</w:t>
      </w:r>
      <w:r w:rsidRPr="00DC0A42">
        <w:t>Jorge Buxadé Villalba</w:t>
      </w:r>
      <w:r w:rsidRPr="00DC0A42">
        <w:rPr>
          <w:rStyle w:val="HideTWBExt"/>
        </w:rPr>
        <w:t>&lt;/Members&gt;</w:t>
      </w:r>
    </w:p>
    <w:p w:rsidR="007605D8" w:rsidRPr="00DC0A42" w:rsidRDefault="00EE3FC6" w:rsidP="007605D8">
      <w:r w:rsidRPr="00DC0A42">
        <w:rPr>
          <w:rStyle w:val="HideTWBExt"/>
        </w:rPr>
        <w:t>&lt;/RepeatBlock-By&gt;</w:t>
      </w:r>
    </w:p>
    <w:p w:rsidR="007605D8" w:rsidRPr="00DC0A42" w:rsidRDefault="00EE3FC6" w:rsidP="007605D8">
      <w:pPr>
        <w:pStyle w:val="NormalBold"/>
        <w:keepNext/>
      </w:pPr>
      <w:r w:rsidRPr="00DC0A42">
        <w:rPr>
          <w:rStyle w:val="HideTWBExt"/>
        </w:rPr>
        <w:t>&lt;DocAmend&gt;</w:t>
      </w:r>
      <w:r w:rsidRPr="00DC0A42">
        <w:t>Ettepanek võtta vastu määrus</w:t>
      </w:r>
      <w:r w:rsidRPr="00DC0A42">
        <w:rPr>
          <w:rStyle w:val="HideTWBExt"/>
        </w:rPr>
        <w:t>&lt;/DocAmend&gt;</w:t>
      </w:r>
    </w:p>
    <w:p w:rsidR="007605D8" w:rsidRPr="00DC0A42" w:rsidRDefault="00EE3FC6" w:rsidP="007605D8">
      <w:pPr>
        <w:pStyle w:val="NormalBold"/>
      </w:pPr>
      <w:r w:rsidRPr="00DC0A42">
        <w:rPr>
          <w:rStyle w:val="HideTWBExt"/>
        </w:rPr>
        <w:t>&lt;Article&gt;</w:t>
      </w:r>
      <w:r w:rsidRPr="00DC0A42">
        <w:t>Regulatiivosa – punkt 26 a (uus) – artikkel 34 – lõige 1</w:t>
      </w:r>
      <w:r w:rsidRPr="00DC0A4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7D7" w:rsidRPr="00DC0A42" w:rsidTr="00D1390F">
        <w:trPr>
          <w:jc w:val="center"/>
        </w:trPr>
        <w:tc>
          <w:tcPr>
            <w:tcW w:w="9752" w:type="dxa"/>
            <w:gridSpan w:val="2"/>
          </w:tcPr>
          <w:p w:rsidR="007605D8" w:rsidRPr="00DC0A42" w:rsidRDefault="007605D8" w:rsidP="007605D8">
            <w:pPr>
              <w:keepNext/>
            </w:pPr>
          </w:p>
        </w:tc>
      </w:tr>
      <w:tr w:rsidR="00F677D7" w:rsidRPr="00DC0A42" w:rsidTr="00D1390F">
        <w:trPr>
          <w:jc w:val="center"/>
        </w:trPr>
        <w:tc>
          <w:tcPr>
            <w:tcW w:w="4876" w:type="dxa"/>
            <w:hideMark/>
          </w:tcPr>
          <w:p w:rsidR="007605D8" w:rsidRPr="00DC0A42" w:rsidRDefault="00EE3FC6" w:rsidP="007605D8">
            <w:pPr>
              <w:pStyle w:val="ColumnHeading"/>
              <w:keepNext/>
            </w:pPr>
            <w:r w:rsidRPr="00DC0A42">
              <w:t>Komisjoni ettepanek</w:t>
            </w:r>
          </w:p>
        </w:tc>
        <w:tc>
          <w:tcPr>
            <w:tcW w:w="4876" w:type="dxa"/>
            <w:hideMark/>
          </w:tcPr>
          <w:p w:rsidR="007605D8" w:rsidRPr="00DC0A42" w:rsidRDefault="00EE3FC6" w:rsidP="007605D8">
            <w:pPr>
              <w:pStyle w:val="ColumnHeading"/>
              <w:keepNext/>
            </w:pPr>
            <w:r w:rsidRPr="00DC0A42">
              <w:t>Muudatusettepanek</w:t>
            </w:r>
          </w:p>
        </w:tc>
      </w:tr>
      <w:tr w:rsidR="00F677D7" w:rsidRPr="00DC0A42" w:rsidTr="00D1390F">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7605D8">
            <w:pPr>
              <w:pStyle w:val="Normal6"/>
              <w:rPr>
                <w:szCs w:val="24"/>
              </w:rPr>
            </w:pPr>
            <w:r w:rsidRPr="00DC0A42">
              <w:rPr>
                <w:b/>
                <w:i/>
              </w:rPr>
              <w:t>26a)</w:t>
            </w:r>
            <w:r w:rsidRPr="00DC0A42">
              <w:rPr>
                <w:b/>
                <w:i/>
              </w:rPr>
              <w:tab/>
              <w:t xml:space="preserve"> artikli 34 lõiget 1 muudetakse järgmiselt:</w:t>
            </w:r>
          </w:p>
        </w:tc>
      </w:tr>
      <w:tr w:rsidR="00F677D7" w:rsidRPr="00DC0A42" w:rsidTr="00D1390F">
        <w:trPr>
          <w:jc w:val="center"/>
        </w:trPr>
        <w:tc>
          <w:tcPr>
            <w:tcW w:w="4876" w:type="dxa"/>
          </w:tcPr>
          <w:p w:rsidR="007605D8" w:rsidRPr="00DC0A42" w:rsidRDefault="007605D8" w:rsidP="007605D8">
            <w:pPr>
              <w:pStyle w:val="Normal6"/>
            </w:pPr>
          </w:p>
        </w:tc>
        <w:tc>
          <w:tcPr>
            <w:tcW w:w="4876" w:type="dxa"/>
            <w:hideMark/>
          </w:tcPr>
          <w:p w:rsidR="007605D8" w:rsidRPr="00DC0A42" w:rsidRDefault="00EE3FC6" w:rsidP="00E81E98">
            <w:pPr>
              <w:pStyle w:val="Normal6"/>
              <w:rPr>
                <w:szCs w:val="24"/>
              </w:rPr>
            </w:pPr>
            <w:r w:rsidRPr="00DC0A42">
              <w:rPr>
                <w:b/>
                <w:i/>
              </w:rPr>
              <w:t>1. Riiklikud järelevalveasutused ja Euroopa andmekaitseinspektor, tegutsedes mõlemad oma pädevuse piirides, teevad üksteisega oma kohustuste raames aktiivselt koostööd ja tagavad Eurodac-süsteemi koordineeritud järelevalve. Riiklikud järelevalveasutused ja Euroopa Andmekaitseinspektor kohaldavad järelevalveasutuste ühistegevuse suhtes määruse (EL) 2018/1725 artiklis 62 sätestatud koordineeritud järelevalve ühtset mudelit.</w:t>
            </w:r>
          </w:p>
        </w:tc>
      </w:tr>
    </w:tbl>
    <w:p w:rsidR="007605D8" w:rsidRPr="00DC0A42" w:rsidRDefault="00EE3FC6" w:rsidP="007605D8">
      <w:pPr>
        <w:pStyle w:val="Olang"/>
        <w:rPr>
          <w:noProof w:val="0"/>
        </w:rPr>
      </w:pPr>
      <w:r w:rsidRPr="00DC0A42">
        <w:rPr>
          <w:noProof w:val="0"/>
        </w:rPr>
        <w:t xml:space="preserve">Or. </w:t>
      </w:r>
      <w:r w:rsidRPr="00DC0A42">
        <w:rPr>
          <w:rStyle w:val="HideTWBExt"/>
          <w:noProof w:val="0"/>
        </w:rPr>
        <w:t>&lt;Original&gt;</w:t>
      </w:r>
      <w:r w:rsidRPr="00DC0A42">
        <w:rPr>
          <w:rStyle w:val="HideTWBInt"/>
          <w:noProof w:val="0"/>
        </w:rPr>
        <w:t>{EN}</w:t>
      </w:r>
      <w:r w:rsidRPr="00DC0A42">
        <w:rPr>
          <w:noProof w:val="0"/>
        </w:rPr>
        <w:t>en</w:t>
      </w:r>
      <w:r w:rsidRPr="00DC0A42">
        <w:rPr>
          <w:rStyle w:val="HideTWBExt"/>
          <w:noProof w:val="0"/>
        </w:rPr>
        <w:t>&lt;/Original&gt;</w:t>
      </w:r>
    </w:p>
    <w:p w:rsidR="007605D8" w:rsidRPr="00DC0A42" w:rsidRDefault="00EE3FC6" w:rsidP="007605D8">
      <w:pPr>
        <w:rPr>
          <w:rFonts w:ascii="Arial" w:hAnsi="Arial"/>
          <w:noProof/>
          <w:vanish/>
          <w:color w:val="000080"/>
          <w:sz w:val="20"/>
        </w:rPr>
      </w:pPr>
      <w:r w:rsidRPr="00DC0A42">
        <w:rPr>
          <w:rStyle w:val="HideTWBExt"/>
        </w:rPr>
        <w:t>&lt;/Amend&gt;&lt;/RepeatBlock-Amend&gt;</w:t>
      </w:r>
    </w:p>
    <w:p w:rsidR="00A64FB9" w:rsidRPr="00DC0A42" w:rsidRDefault="00A64FB9" w:rsidP="007605D8">
      <w:pPr>
        <w:pStyle w:val="AMNumberTabs0"/>
        <w:keepNext/>
      </w:pPr>
    </w:p>
    <w:bookmarkEnd w:id="0"/>
    <w:p w:rsidR="001E3613" w:rsidRPr="00DC0A42" w:rsidRDefault="001E3613" w:rsidP="00FA192C">
      <w:pPr>
        <w:sectPr w:rsidR="001E3613" w:rsidRPr="00DC0A42" w:rsidSect="00DC0A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DC0A42" w:rsidRDefault="00EE3FC6" w:rsidP="001E3613">
      <w:pPr>
        <w:pStyle w:val="PageHeading"/>
      </w:pPr>
      <w:bookmarkStart w:id="1" w:name="_Toc121842161"/>
      <w:bookmarkStart w:id="2" w:name="RollCallPageRR"/>
      <w:r w:rsidRPr="00DC0A42">
        <w:t>NIMELINE LÕPPHÄÄLETUS VASTUTAVAS KOMISJONIS</w:t>
      </w:r>
      <w:bookmarkEnd w:id="1"/>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77D7" w:rsidRPr="00DC0A42" w:rsidTr="001E3613">
        <w:trPr>
          <w:cantSplit/>
        </w:trPr>
        <w:tc>
          <w:tcPr>
            <w:tcW w:w="1701" w:type="dxa"/>
            <w:shd w:val="pct10" w:color="000000" w:fill="FFFFFF"/>
            <w:vAlign w:val="center"/>
          </w:tcPr>
          <w:p w:rsidR="001E3613" w:rsidRPr="00DC0A42" w:rsidRDefault="00EE3FC6" w:rsidP="002B59CE">
            <w:pPr>
              <w:pStyle w:val="RollCallVotes"/>
            </w:pPr>
            <w:r w:rsidRPr="00DC0A42">
              <w:t>39</w:t>
            </w:r>
          </w:p>
        </w:tc>
        <w:tc>
          <w:tcPr>
            <w:tcW w:w="7371" w:type="dxa"/>
            <w:shd w:val="pct10" w:color="000000" w:fill="FFFFFF"/>
          </w:tcPr>
          <w:p w:rsidR="001E3613" w:rsidRPr="00DC0A42" w:rsidRDefault="00EE3FC6" w:rsidP="002B59CE">
            <w:pPr>
              <w:pStyle w:val="RollCallSymbols14pt"/>
            </w:pPr>
            <w:r w:rsidRPr="00DC0A42">
              <w:t>+</w:t>
            </w:r>
          </w:p>
        </w:tc>
      </w:tr>
      <w:tr w:rsidR="00F677D7" w:rsidRPr="00DC0A42" w:rsidTr="001E3613">
        <w:trPr>
          <w:cantSplit/>
        </w:trPr>
        <w:tc>
          <w:tcPr>
            <w:tcW w:w="1701" w:type="dxa"/>
            <w:shd w:val="clear" w:color="auto" w:fill="FFFFFF"/>
          </w:tcPr>
          <w:p w:rsidR="001E3613" w:rsidRPr="00DC0A42" w:rsidRDefault="00EE3FC6" w:rsidP="002B59CE">
            <w:pPr>
              <w:pStyle w:val="RollCallTable"/>
            </w:pPr>
            <w:r w:rsidRPr="00DC0A42">
              <w:t>PPE</w:t>
            </w:r>
          </w:p>
        </w:tc>
        <w:tc>
          <w:tcPr>
            <w:tcW w:w="7371" w:type="dxa"/>
            <w:shd w:val="clear" w:color="auto" w:fill="FFFFFF"/>
          </w:tcPr>
          <w:p w:rsidR="001E3613" w:rsidRPr="00DC0A42" w:rsidRDefault="00EE3FC6" w:rsidP="002B59CE">
            <w:pPr>
              <w:pStyle w:val="RollCallTable"/>
            </w:pPr>
            <w:r w:rsidRPr="00DC0A42">
              <w:t>Magdalena Adamowicz, François-Xavier Bellamy, Vladimír Bilčík, Vasile Blaga, Karolin Braunsberger-Reinhold, Lena Düpont, Andrzej Halicki, Jeroen Lenaers, Lukas Mandl, Nadine Morano, Paulo Rangel, Sara Skyttedal, Axel Voss, Javier Zarzalejos, Tomáš Zdechovský</w:t>
            </w:r>
          </w:p>
        </w:tc>
      </w:tr>
      <w:tr w:rsidR="00F677D7" w:rsidRPr="00DC0A42" w:rsidTr="002B59CE">
        <w:trPr>
          <w:cantSplit/>
        </w:trPr>
        <w:tc>
          <w:tcPr>
            <w:tcW w:w="1701" w:type="dxa"/>
            <w:shd w:val="clear" w:color="auto" w:fill="FFFFFF"/>
          </w:tcPr>
          <w:p w:rsidR="001E3613" w:rsidRPr="00DC0A42" w:rsidRDefault="00EE3FC6" w:rsidP="002B59CE">
            <w:pPr>
              <w:pStyle w:val="RollCallTable"/>
            </w:pPr>
            <w:r w:rsidRPr="00DC0A42">
              <w:t>S&amp;D</w:t>
            </w:r>
          </w:p>
        </w:tc>
        <w:tc>
          <w:tcPr>
            <w:tcW w:w="7371" w:type="dxa"/>
            <w:shd w:val="clear" w:color="auto" w:fill="FFFFFF"/>
          </w:tcPr>
          <w:p w:rsidR="001E3613" w:rsidRPr="00DC0A42" w:rsidRDefault="00EE3FC6" w:rsidP="002B59CE">
            <w:pPr>
              <w:pStyle w:val="RollCallTable"/>
            </w:pPr>
            <w:r w:rsidRPr="00DC0A42">
              <w:t>Elena Yoncheva</w:t>
            </w:r>
          </w:p>
        </w:tc>
      </w:tr>
      <w:tr w:rsidR="00F677D7" w:rsidRPr="00DC0A42" w:rsidTr="002B59CE">
        <w:trPr>
          <w:cantSplit/>
        </w:trPr>
        <w:tc>
          <w:tcPr>
            <w:tcW w:w="1701" w:type="dxa"/>
            <w:shd w:val="clear" w:color="auto" w:fill="FFFFFF"/>
          </w:tcPr>
          <w:p w:rsidR="001E3613" w:rsidRPr="00DC0A42" w:rsidRDefault="00EE3FC6" w:rsidP="002B59CE">
            <w:pPr>
              <w:pStyle w:val="RollCallTable"/>
            </w:pPr>
            <w:r w:rsidRPr="00DC0A42">
              <w:t>RENEW</w:t>
            </w:r>
          </w:p>
        </w:tc>
        <w:tc>
          <w:tcPr>
            <w:tcW w:w="7371" w:type="dxa"/>
            <w:shd w:val="clear" w:color="auto" w:fill="FFFFFF"/>
          </w:tcPr>
          <w:p w:rsidR="001E3613" w:rsidRPr="00DC0A42" w:rsidRDefault="00EE3FC6" w:rsidP="002B59CE">
            <w:pPr>
              <w:pStyle w:val="RollCallTable"/>
            </w:pPr>
            <w:r w:rsidRPr="00DC0A42">
              <w:t>Abir Al-Sahlani, Malik Azmani, Lucia Ďuriš Nicholsonová, Sophia in 't Veld, Irena Joveva, Fabienne Keller, Moritz Körner, Jan-Christoph Oetjen, Maite Pagazaurtundúa, Dragoş Tudorache</w:t>
            </w:r>
          </w:p>
        </w:tc>
      </w:tr>
      <w:tr w:rsidR="00F677D7" w:rsidRPr="00DC0A42" w:rsidTr="001E3613">
        <w:trPr>
          <w:cantSplit/>
        </w:trPr>
        <w:tc>
          <w:tcPr>
            <w:tcW w:w="1701" w:type="dxa"/>
            <w:shd w:val="clear" w:color="auto" w:fill="FFFFFF"/>
          </w:tcPr>
          <w:p w:rsidR="001E3613" w:rsidRPr="00DC0A42" w:rsidRDefault="00EE3FC6" w:rsidP="002B59CE">
            <w:pPr>
              <w:pStyle w:val="RollCallTable"/>
            </w:pPr>
            <w:r w:rsidRPr="00DC0A42">
              <w:t>ID</w:t>
            </w:r>
          </w:p>
        </w:tc>
        <w:tc>
          <w:tcPr>
            <w:tcW w:w="7371" w:type="dxa"/>
            <w:shd w:val="clear" w:color="auto" w:fill="FFFFFF"/>
          </w:tcPr>
          <w:p w:rsidR="001E3613" w:rsidRPr="00DC0A42" w:rsidRDefault="00EE3FC6" w:rsidP="002B59CE">
            <w:pPr>
              <w:pStyle w:val="RollCallTable"/>
            </w:pPr>
            <w:r w:rsidRPr="00DC0A42">
              <w:t>Patricia Chagnon, Nicolaus Fest, Jean-Paul Garraud, Laura Huhtasaari, Annalisa Tardino, Tom Vandendriessche</w:t>
            </w:r>
          </w:p>
        </w:tc>
      </w:tr>
      <w:tr w:rsidR="00F677D7" w:rsidRPr="00DC0A42" w:rsidTr="002B59CE">
        <w:trPr>
          <w:cantSplit/>
        </w:trPr>
        <w:tc>
          <w:tcPr>
            <w:tcW w:w="1701" w:type="dxa"/>
            <w:shd w:val="clear" w:color="auto" w:fill="FFFFFF"/>
          </w:tcPr>
          <w:p w:rsidR="001E3613" w:rsidRPr="00DC0A42" w:rsidRDefault="00EE3FC6" w:rsidP="002B59CE">
            <w:pPr>
              <w:pStyle w:val="RollCallTable"/>
            </w:pPr>
            <w:r w:rsidRPr="00DC0A42">
              <w:t>ECR</w:t>
            </w:r>
          </w:p>
        </w:tc>
        <w:tc>
          <w:tcPr>
            <w:tcW w:w="7371" w:type="dxa"/>
            <w:shd w:val="clear" w:color="auto" w:fill="FFFFFF"/>
          </w:tcPr>
          <w:p w:rsidR="001E3613" w:rsidRPr="00DC0A42" w:rsidRDefault="00EE3FC6" w:rsidP="002B59CE">
            <w:pPr>
              <w:pStyle w:val="RollCallTable"/>
            </w:pPr>
            <w:r w:rsidRPr="00DC0A42">
              <w:t>Joachim Stanisław Brudziński, Jorge Buxadé Villalba, Patryk Jaki, Assita Kanko, Margarita de la Pisa Carrión, Jadwiga Wiśniewska</w:t>
            </w:r>
          </w:p>
        </w:tc>
      </w:tr>
      <w:tr w:rsidR="00F677D7" w:rsidRPr="00DC0A42" w:rsidTr="001E3613">
        <w:trPr>
          <w:cantSplit/>
        </w:trPr>
        <w:tc>
          <w:tcPr>
            <w:tcW w:w="1701" w:type="dxa"/>
            <w:shd w:val="clear" w:color="auto" w:fill="FFFFFF"/>
          </w:tcPr>
          <w:p w:rsidR="001E3613" w:rsidRPr="00DC0A42" w:rsidRDefault="00EE3FC6" w:rsidP="002B59CE">
            <w:pPr>
              <w:pStyle w:val="RollCallTable"/>
            </w:pPr>
            <w:r w:rsidRPr="00DC0A42">
              <w:t>NI</w:t>
            </w:r>
          </w:p>
        </w:tc>
        <w:tc>
          <w:tcPr>
            <w:tcW w:w="7371" w:type="dxa"/>
            <w:shd w:val="clear" w:color="auto" w:fill="FFFFFF"/>
          </w:tcPr>
          <w:p w:rsidR="001E3613" w:rsidRPr="00DC0A42" w:rsidRDefault="00EE3FC6" w:rsidP="002B59CE">
            <w:pPr>
              <w:pStyle w:val="RollCallTable"/>
            </w:pPr>
            <w:r w:rsidRPr="00DC0A42">
              <w:t>Milan Uhrík</w:t>
            </w:r>
          </w:p>
        </w:tc>
      </w:tr>
    </w:tbl>
    <w:p w:rsidR="001E3613" w:rsidRPr="00DC0A42"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77D7" w:rsidRPr="00DC0A42" w:rsidTr="001E3613">
        <w:trPr>
          <w:cantSplit/>
        </w:trPr>
        <w:tc>
          <w:tcPr>
            <w:tcW w:w="1701" w:type="dxa"/>
            <w:shd w:val="pct10" w:color="000000" w:fill="FFFFFF"/>
            <w:vAlign w:val="center"/>
          </w:tcPr>
          <w:p w:rsidR="001E3613" w:rsidRPr="00DC0A42" w:rsidRDefault="00EE3FC6" w:rsidP="002B59CE">
            <w:pPr>
              <w:pStyle w:val="RollCallVotes"/>
            </w:pPr>
            <w:r w:rsidRPr="00DC0A42">
              <w:t>15</w:t>
            </w:r>
          </w:p>
        </w:tc>
        <w:tc>
          <w:tcPr>
            <w:tcW w:w="7371" w:type="dxa"/>
            <w:shd w:val="pct10" w:color="000000" w:fill="FFFFFF"/>
          </w:tcPr>
          <w:p w:rsidR="001E3613" w:rsidRPr="00DC0A42" w:rsidRDefault="00EE3FC6" w:rsidP="002B59CE">
            <w:pPr>
              <w:pStyle w:val="RollCallSymbols14pt"/>
            </w:pPr>
            <w:r w:rsidRPr="00DC0A42">
              <w:t>-</w:t>
            </w:r>
          </w:p>
        </w:tc>
      </w:tr>
      <w:tr w:rsidR="00F677D7" w:rsidRPr="00DC0A42" w:rsidTr="001E3613">
        <w:trPr>
          <w:cantSplit/>
        </w:trPr>
        <w:tc>
          <w:tcPr>
            <w:tcW w:w="1701" w:type="dxa"/>
            <w:shd w:val="clear" w:color="auto" w:fill="FFFFFF"/>
          </w:tcPr>
          <w:p w:rsidR="001E3613" w:rsidRPr="00DC0A42" w:rsidRDefault="00EE3FC6" w:rsidP="002B59CE">
            <w:pPr>
              <w:pStyle w:val="RollCallTable"/>
            </w:pPr>
            <w:r w:rsidRPr="00DC0A42">
              <w:t>S&amp;D</w:t>
            </w:r>
          </w:p>
        </w:tc>
        <w:tc>
          <w:tcPr>
            <w:tcW w:w="7371" w:type="dxa"/>
            <w:shd w:val="clear" w:color="auto" w:fill="FFFFFF"/>
          </w:tcPr>
          <w:p w:rsidR="001E3613" w:rsidRPr="00DC0A42" w:rsidRDefault="00EE3FC6" w:rsidP="002B59CE">
            <w:pPr>
              <w:pStyle w:val="RollCallTable"/>
            </w:pPr>
            <w:r w:rsidRPr="00DC0A42">
              <w:t>Pietro Bartolo, Sylvie Guillaume, Theresa Muigg</w:t>
            </w:r>
          </w:p>
        </w:tc>
      </w:tr>
      <w:tr w:rsidR="00F677D7" w:rsidRPr="00DC0A42" w:rsidTr="002B59CE">
        <w:trPr>
          <w:cantSplit/>
        </w:trPr>
        <w:tc>
          <w:tcPr>
            <w:tcW w:w="1701" w:type="dxa"/>
            <w:shd w:val="clear" w:color="auto" w:fill="FFFFFF"/>
          </w:tcPr>
          <w:p w:rsidR="001E3613" w:rsidRPr="00DC0A42" w:rsidRDefault="00EE3FC6" w:rsidP="002B59CE">
            <w:pPr>
              <w:pStyle w:val="RollCallTable"/>
            </w:pPr>
            <w:r w:rsidRPr="00DC0A42">
              <w:t>VERTS/ALE</w:t>
            </w:r>
          </w:p>
        </w:tc>
        <w:tc>
          <w:tcPr>
            <w:tcW w:w="7371" w:type="dxa"/>
            <w:shd w:val="clear" w:color="auto" w:fill="FFFFFF"/>
          </w:tcPr>
          <w:p w:rsidR="001E3613" w:rsidRPr="00DC0A42" w:rsidRDefault="00EE3FC6" w:rsidP="002B59CE">
            <w:pPr>
              <w:pStyle w:val="RollCallTable"/>
            </w:pPr>
            <w:r w:rsidRPr="00DC0A42">
              <w:t>Saskia Bricmont, Damien Carême, Gwendoline Delbos-Corfield, Alice Kuhnke, Ana Miranda, Diana Riba i Giner, Tineke Strik</w:t>
            </w:r>
          </w:p>
        </w:tc>
      </w:tr>
      <w:tr w:rsidR="00F677D7" w:rsidRPr="00DC0A42" w:rsidTr="002B59CE">
        <w:trPr>
          <w:cantSplit/>
        </w:trPr>
        <w:tc>
          <w:tcPr>
            <w:tcW w:w="1701" w:type="dxa"/>
            <w:shd w:val="clear" w:color="auto" w:fill="FFFFFF"/>
          </w:tcPr>
          <w:p w:rsidR="001E3613" w:rsidRPr="00DC0A42" w:rsidRDefault="00EE3FC6" w:rsidP="002B59CE">
            <w:pPr>
              <w:pStyle w:val="RollCallTable"/>
            </w:pPr>
            <w:r w:rsidRPr="00DC0A42">
              <w:t>THE LEFT</w:t>
            </w:r>
          </w:p>
        </w:tc>
        <w:tc>
          <w:tcPr>
            <w:tcW w:w="7371" w:type="dxa"/>
            <w:shd w:val="clear" w:color="auto" w:fill="FFFFFF"/>
          </w:tcPr>
          <w:p w:rsidR="001E3613" w:rsidRPr="00DC0A42" w:rsidRDefault="00EE3FC6" w:rsidP="002B59CE">
            <w:pPr>
              <w:pStyle w:val="RollCallTable"/>
            </w:pPr>
            <w:r w:rsidRPr="00DC0A42">
              <w:t>Malin Björk, Cornelia Ernst, Sira Rego, Miguel Urbán Crespo</w:t>
            </w:r>
          </w:p>
        </w:tc>
      </w:tr>
      <w:tr w:rsidR="00F677D7" w:rsidRPr="00DC0A42" w:rsidTr="001E3613">
        <w:trPr>
          <w:cantSplit/>
        </w:trPr>
        <w:tc>
          <w:tcPr>
            <w:tcW w:w="1701" w:type="dxa"/>
            <w:shd w:val="clear" w:color="auto" w:fill="FFFFFF"/>
          </w:tcPr>
          <w:p w:rsidR="001E3613" w:rsidRPr="00DC0A42" w:rsidRDefault="00EE3FC6" w:rsidP="002B59CE">
            <w:pPr>
              <w:pStyle w:val="RollCallTable"/>
            </w:pPr>
            <w:r w:rsidRPr="00DC0A42">
              <w:t>NI</w:t>
            </w:r>
          </w:p>
        </w:tc>
        <w:tc>
          <w:tcPr>
            <w:tcW w:w="7371" w:type="dxa"/>
            <w:shd w:val="clear" w:color="auto" w:fill="FFFFFF"/>
          </w:tcPr>
          <w:p w:rsidR="001E3613" w:rsidRPr="00DC0A42" w:rsidRDefault="00EE3FC6" w:rsidP="002B59CE">
            <w:pPr>
              <w:pStyle w:val="RollCallTable"/>
            </w:pPr>
            <w:r w:rsidRPr="00DC0A42">
              <w:t>Laura Ferrara</w:t>
            </w:r>
            <w:bookmarkStart w:id="3" w:name="_GoBack"/>
            <w:bookmarkEnd w:id="3"/>
          </w:p>
        </w:tc>
      </w:tr>
    </w:tbl>
    <w:p w:rsidR="001E3613" w:rsidRPr="00DC0A42"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77D7" w:rsidRPr="00DC0A42" w:rsidTr="002B59CE">
        <w:trPr>
          <w:cantSplit/>
        </w:trPr>
        <w:tc>
          <w:tcPr>
            <w:tcW w:w="1701" w:type="dxa"/>
            <w:shd w:val="pct10" w:color="000000" w:fill="FFFFFF"/>
            <w:vAlign w:val="center"/>
          </w:tcPr>
          <w:p w:rsidR="001E3613" w:rsidRPr="00DC0A42" w:rsidRDefault="00EE3FC6" w:rsidP="002B59CE">
            <w:pPr>
              <w:pStyle w:val="RollCallVotes"/>
            </w:pPr>
            <w:r w:rsidRPr="00DC0A42">
              <w:t>7</w:t>
            </w:r>
          </w:p>
        </w:tc>
        <w:tc>
          <w:tcPr>
            <w:tcW w:w="7371" w:type="dxa"/>
            <w:shd w:val="pct10" w:color="000000" w:fill="FFFFFF"/>
          </w:tcPr>
          <w:p w:rsidR="001E3613" w:rsidRPr="00DC0A42" w:rsidRDefault="00EE3FC6" w:rsidP="002B59CE">
            <w:pPr>
              <w:pStyle w:val="RollCallSymbols14pt"/>
            </w:pPr>
            <w:r w:rsidRPr="00DC0A42">
              <w:t>0</w:t>
            </w:r>
          </w:p>
        </w:tc>
      </w:tr>
      <w:tr w:rsidR="00F677D7" w:rsidRPr="00DC0A42" w:rsidTr="002B59CE">
        <w:trPr>
          <w:cantSplit/>
        </w:trPr>
        <w:tc>
          <w:tcPr>
            <w:tcW w:w="1701" w:type="dxa"/>
            <w:shd w:val="clear" w:color="auto" w:fill="FFFFFF"/>
          </w:tcPr>
          <w:p w:rsidR="001E3613" w:rsidRPr="00DC0A42" w:rsidRDefault="00EE3FC6" w:rsidP="002B59CE">
            <w:pPr>
              <w:pStyle w:val="RollCallTable"/>
            </w:pPr>
            <w:r w:rsidRPr="00DC0A42">
              <w:t>S&amp;D</w:t>
            </w:r>
          </w:p>
        </w:tc>
        <w:tc>
          <w:tcPr>
            <w:tcW w:w="7371" w:type="dxa"/>
            <w:shd w:val="clear" w:color="auto" w:fill="FFFFFF"/>
          </w:tcPr>
          <w:p w:rsidR="001E3613" w:rsidRPr="00DC0A42" w:rsidRDefault="00EE3FC6" w:rsidP="002B59CE">
            <w:pPr>
              <w:pStyle w:val="RollCallTable"/>
            </w:pPr>
            <w:r w:rsidRPr="00DC0A42">
              <w:t>Katarina Barley, Delara Burkhardt, Evin Incir, Dietmar Köster, Domènec Ruiz Devesa, Isabel Santos, Birgit Sippel</w:t>
            </w:r>
          </w:p>
        </w:tc>
      </w:tr>
    </w:tbl>
    <w:p w:rsidR="001E3613" w:rsidRPr="00DC0A42" w:rsidRDefault="001E3613" w:rsidP="001E3613">
      <w:pPr>
        <w:pStyle w:val="Normal12a"/>
      </w:pPr>
    </w:p>
    <w:p w:rsidR="001E3613" w:rsidRPr="00DC0A42" w:rsidRDefault="00EE3FC6" w:rsidP="001E3613">
      <w:r w:rsidRPr="00DC0A42">
        <w:t>Kasutatud tähised:</w:t>
      </w:r>
    </w:p>
    <w:p w:rsidR="001E3613" w:rsidRPr="00DC0A42" w:rsidRDefault="00EE3FC6" w:rsidP="001E3613">
      <w:pPr>
        <w:pStyle w:val="RollCallTabs"/>
      </w:pPr>
      <w:r w:rsidRPr="00DC0A42">
        <w:t>+</w:t>
      </w:r>
      <w:r w:rsidRPr="00DC0A42">
        <w:tab/>
        <w:t>:</w:t>
      </w:r>
      <w:r w:rsidRPr="00DC0A42">
        <w:tab/>
        <w:t>poolt</w:t>
      </w:r>
    </w:p>
    <w:p w:rsidR="001E3613" w:rsidRPr="00DC0A42" w:rsidRDefault="00EE3FC6" w:rsidP="001E3613">
      <w:pPr>
        <w:pStyle w:val="RollCallTabs"/>
      </w:pPr>
      <w:r w:rsidRPr="00DC0A42">
        <w:t>-</w:t>
      </w:r>
      <w:r w:rsidRPr="00DC0A42">
        <w:tab/>
        <w:t>:</w:t>
      </w:r>
      <w:r w:rsidRPr="00DC0A42">
        <w:tab/>
        <w:t>vastu</w:t>
      </w:r>
    </w:p>
    <w:p w:rsidR="001E3613" w:rsidRPr="00DC0A42" w:rsidRDefault="00EE3FC6" w:rsidP="001E3613">
      <w:pPr>
        <w:pStyle w:val="RollCallTabs"/>
      </w:pPr>
      <w:r w:rsidRPr="00DC0A42">
        <w:t>0</w:t>
      </w:r>
      <w:r w:rsidRPr="00DC0A42">
        <w:tab/>
        <w:t>:</w:t>
      </w:r>
      <w:r w:rsidRPr="00DC0A42">
        <w:tab/>
        <w:t>erapooletu</w:t>
      </w:r>
    </w:p>
    <w:p w:rsidR="001E3613" w:rsidRPr="00DC0A42" w:rsidRDefault="001E3613" w:rsidP="001E3613"/>
    <w:bookmarkEnd w:id="2"/>
    <w:p w:rsidR="008363E4" w:rsidRPr="00DC0A42" w:rsidRDefault="008363E4" w:rsidP="00FA192C"/>
    <w:sectPr w:rsidR="008363E4" w:rsidRPr="00DC0A42"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0E7" w:rsidRPr="00DC0A42" w:rsidRDefault="00EE3FC6">
      <w:r w:rsidRPr="00DC0A42">
        <w:separator/>
      </w:r>
    </w:p>
  </w:endnote>
  <w:endnote w:type="continuationSeparator" w:id="0">
    <w:p w:rsidR="000A50E7" w:rsidRPr="00DC0A42" w:rsidRDefault="00EE3FC6">
      <w:r w:rsidRPr="00DC0A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A42" w:rsidRPr="00DC0A42" w:rsidRDefault="00DC0A42" w:rsidP="00DC0A42">
    <w:pPr>
      <w:pStyle w:val="EPFooter"/>
    </w:pPr>
    <w:r w:rsidRPr="00DC0A42">
      <w:t>PE</w:t>
    </w:r>
    <w:r w:rsidRPr="00DC0A42">
      <w:rPr>
        <w:rStyle w:val="HideTWBExt"/>
      </w:rPr>
      <w:t>&lt;NoPE&gt;</w:t>
    </w:r>
    <w:r w:rsidRPr="00DC0A42">
      <w:t>739.726</w:t>
    </w:r>
    <w:r w:rsidRPr="00DC0A42">
      <w:rPr>
        <w:rStyle w:val="HideTWBExt"/>
      </w:rPr>
      <w:t>&lt;/NoPE&gt;&lt;Version&gt;</w:t>
    </w:r>
    <w:r w:rsidRPr="00DC0A42">
      <w:t>v03-00</w:t>
    </w:r>
    <w:r w:rsidRPr="00DC0A42">
      <w:rPr>
        <w:rStyle w:val="HideTWBExt"/>
      </w:rPr>
      <w:t>&lt;/Version&gt;</w:t>
    </w:r>
    <w:r w:rsidRPr="00DC0A42">
      <w:tab/>
    </w:r>
    <w:r w:rsidRPr="00DC0A42">
      <w:fldChar w:fldCharType="begin"/>
    </w:r>
    <w:r w:rsidRPr="00DC0A42">
      <w:instrText xml:space="preserve"> PAGE  \* MERGEFORMAT </w:instrText>
    </w:r>
    <w:r w:rsidRPr="00DC0A42">
      <w:fldChar w:fldCharType="separate"/>
    </w:r>
    <w:r w:rsidR="00444D9A">
      <w:rPr>
        <w:noProof/>
      </w:rPr>
      <w:t>52</w:t>
    </w:r>
    <w:r w:rsidRPr="00DC0A42">
      <w:fldChar w:fldCharType="end"/>
    </w:r>
    <w:r w:rsidRPr="00DC0A42">
      <w:t>/</w:t>
    </w:r>
    <w:r w:rsidR="00444D9A">
      <w:fldChar w:fldCharType="begin"/>
    </w:r>
    <w:r w:rsidR="00444D9A">
      <w:instrText xml:space="preserve"> NUMPAGES  \* MERGEFORMAT </w:instrText>
    </w:r>
    <w:r w:rsidR="00444D9A">
      <w:fldChar w:fldCharType="separate"/>
    </w:r>
    <w:r w:rsidR="00444D9A">
      <w:rPr>
        <w:noProof/>
      </w:rPr>
      <w:t>52</w:t>
    </w:r>
    <w:r w:rsidR="00444D9A">
      <w:rPr>
        <w:noProof/>
      </w:rPr>
      <w:fldChar w:fldCharType="end"/>
    </w:r>
    <w:r w:rsidRPr="00DC0A42">
      <w:tab/>
    </w:r>
    <w:r w:rsidRPr="00DC0A42">
      <w:rPr>
        <w:rStyle w:val="HideTWBExt"/>
      </w:rPr>
      <w:t>&lt;PathFdR&gt;</w:t>
    </w:r>
    <w:r w:rsidRPr="00DC0A42">
      <w:t>AM\1272524ET.docx</w:t>
    </w:r>
    <w:r w:rsidRPr="00DC0A42">
      <w:rPr>
        <w:rStyle w:val="HideTWBExt"/>
      </w:rPr>
      <w:t>&lt;/PathFdR&gt;</w:t>
    </w:r>
  </w:p>
  <w:p w:rsidR="00777B46" w:rsidRPr="00DC0A42" w:rsidRDefault="00DC0A42" w:rsidP="00DC0A42">
    <w:pPr>
      <w:pStyle w:val="EPFooter2"/>
    </w:pPr>
    <w:r w:rsidRPr="00DC0A42">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A42" w:rsidRPr="00DC0A42" w:rsidRDefault="00DC0A42" w:rsidP="00DC0A42">
    <w:pPr>
      <w:pStyle w:val="EPFooter"/>
    </w:pPr>
    <w:r w:rsidRPr="00DC0A42">
      <w:rPr>
        <w:rStyle w:val="HideTWBExt"/>
      </w:rPr>
      <w:t>&lt;PathFdR&gt;</w:t>
    </w:r>
    <w:r w:rsidRPr="00DC0A42">
      <w:t>AM\1272524ET.docx</w:t>
    </w:r>
    <w:r w:rsidRPr="00DC0A42">
      <w:rPr>
        <w:rStyle w:val="HideTWBExt"/>
      </w:rPr>
      <w:t>&lt;/PathFdR&gt;</w:t>
    </w:r>
    <w:r w:rsidRPr="00DC0A42">
      <w:tab/>
    </w:r>
    <w:r w:rsidRPr="00DC0A42">
      <w:fldChar w:fldCharType="begin"/>
    </w:r>
    <w:r w:rsidRPr="00DC0A42">
      <w:instrText xml:space="preserve"> PAGE  \* MERGEFORMAT </w:instrText>
    </w:r>
    <w:r w:rsidRPr="00DC0A42">
      <w:fldChar w:fldCharType="separate"/>
    </w:r>
    <w:r w:rsidR="00444D9A">
      <w:rPr>
        <w:noProof/>
      </w:rPr>
      <w:t>51</w:t>
    </w:r>
    <w:r w:rsidRPr="00DC0A42">
      <w:fldChar w:fldCharType="end"/>
    </w:r>
    <w:r w:rsidRPr="00DC0A42">
      <w:t>/</w:t>
    </w:r>
    <w:r w:rsidR="00444D9A">
      <w:fldChar w:fldCharType="begin"/>
    </w:r>
    <w:r w:rsidR="00444D9A">
      <w:instrText xml:space="preserve"> NUMPAGES  \* MERGEFORMAT </w:instrText>
    </w:r>
    <w:r w:rsidR="00444D9A">
      <w:fldChar w:fldCharType="separate"/>
    </w:r>
    <w:r w:rsidR="00444D9A">
      <w:rPr>
        <w:noProof/>
      </w:rPr>
      <w:t>52</w:t>
    </w:r>
    <w:r w:rsidR="00444D9A">
      <w:rPr>
        <w:noProof/>
      </w:rPr>
      <w:fldChar w:fldCharType="end"/>
    </w:r>
    <w:r w:rsidRPr="00DC0A42">
      <w:tab/>
      <w:t>PE</w:t>
    </w:r>
    <w:r w:rsidRPr="00DC0A42">
      <w:rPr>
        <w:rStyle w:val="HideTWBExt"/>
      </w:rPr>
      <w:t>&lt;NoPE&gt;</w:t>
    </w:r>
    <w:r w:rsidRPr="00DC0A42">
      <w:t>739.726</w:t>
    </w:r>
    <w:r w:rsidRPr="00DC0A42">
      <w:rPr>
        <w:rStyle w:val="HideTWBExt"/>
      </w:rPr>
      <w:t>&lt;/NoPE&gt;&lt;Version&gt;</w:t>
    </w:r>
    <w:r w:rsidRPr="00DC0A42">
      <w:t>v03-00</w:t>
    </w:r>
    <w:r w:rsidRPr="00DC0A42">
      <w:rPr>
        <w:rStyle w:val="HideTWBExt"/>
      </w:rPr>
      <w:t>&lt;/Version&gt;</w:t>
    </w:r>
  </w:p>
  <w:p w:rsidR="00777B46" w:rsidRPr="00DC0A42" w:rsidRDefault="00DC0A42" w:rsidP="00DC0A42">
    <w:pPr>
      <w:pStyle w:val="EPFooter2"/>
    </w:pPr>
    <w:r w:rsidRPr="00DC0A42">
      <w:tab/>
    </w:r>
    <w:r w:rsidRPr="00DC0A42">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A42" w:rsidRPr="00DC0A42" w:rsidRDefault="00DC0A42" w:rsidP="00DC0A42">
    <w:pPr>
      <w:pStyle w:val="EPFooter"/>
    </w:pPr>
    <w:r w:rsidRPr="00DC0A42">
      <w:rPr>
        <w:rStyle w:val="HideTWBExt"/>
      </w:rPr>
      <w:t>&lt;PathFdR&gt;</w:t>
    </w:r>
    <w:r w:rsidRPr="00DC0A42">
      <w:t>AM\1272524ET.docx</w:t>
    </w:r>
    <w:r w:rsidRPr="00DC0A42">
      <w:rPr>
        <w:rStyle w:val="HideTWBExt"/>
      </w:rPr>
      <w:t>&lt;/PathFdR&gt;</w:t>
    </w:r>
    <w:r w:rsidRPr="00DC0A42">
      <w:tab/>
    </w:r>
    <w:r w:rsidRPr="00DC0A42">
      <w:tab/>
      <w:t>PE</w:t>
    </w:r>
    <w:r w:rsidRPr="00DC0A42">
      <w:rPr>
        <w:rStyle w:val="HideTWBExt"/>
      </w:rPr>
      <w:t>&lt;NoPE&gt;</w:t>
    </w:r>
    <w:r w:rsidRPr="00DC0A42">
      <w:t>739.726</w:t>
    </w:r>
    <w:r w:rsidRPr="00DC0A42">
      <w:rPr>
        <w:rStyle w:val="HideTWBExt"/>
      </w:rPr>
      <w:t>&lt;/NoPE&gt;&lt;Version&gt;</w:t>
    </w:r>
    <w:r w:rsidRPr="00DC0A42">
      <w:t>v03-00</w:t>
    </w:r>
    <w:r w:rsidRPr="00DC0A42">
      <w:rPr>
        <w:rStyle w:val="HideTWBExt"/>
      </w:rPr>
      <w:t>&lt;/Version&gt;</w:t>
    </w:r>
  </w:p>
  <w:p w:rsidR="00777B46" w:rsidRPr="00DC0A42" w:rsidRDefault="00DC0A42" w:rsidP="00DC0A42">
    <w:pPr>
      <w:pStyle w:val="EPFooter2"/>
    </w:pPr>
    <w:r w:rsidRPr="00DC0A42">
      <w:t>ET</w:t>
    </w:r>
    <w:r w:rsidRPr="00DC0A42">
      <w:tab/>
    </w:r>
    <w:r w:rsidRPr="00DC0A42">
      <w:rPr>
        <w:b w:val="0"/>
        <w:i/>
        <w:color w:val="C0C0C0"/>
        <w:sz w:val="22"/>
      </w:rPr>
      <w:t>Ühinenud mitmekesisuses</w:t>
    </w:r>
    <w:r w:rsidRPr="00DC0A42">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0E7" w:rsidRPr="00DC0A42" w:rsidRDefault="00EE3FC6">
      <w:r w:rsidRPr="00DC0A42">
        <w:separator/>
      </w:r>
    </w:p>
  </w:footnote>
  <w:footnote w:type="continuationSeparator" w:id="0">
    <w:p w:rsidR="000A50E7" w:rsidRPr="00DC0A42" w:rsidRDefault="00EE3FC6">
      <w:r w:rsidRPr="00DC0A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180" w:rsidRDefault="0059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180" w:rsidRDefault="0059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180" w:rsidRDefault="0059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T"/>
    <w:docVar w:name="TXTLANGUEMIN" w:val="et"/>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T.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A50E7"/>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44D9A"/>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94180"/>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0A4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E3FC6"/>
    <w:rsid w:val="00EF03A3"/>
    <w:rsid w:val="00EF11AD"/>
    <w:rsid w:val="00EF79AF"/>
    <w:rsid w:val="00F022DC"/>
    <w:rsid w:val="00F10CF9"/>
    <w:rsid w:val="00F26EAA"/>
    <w:rsid w:val="00F27170"/>
    <w:rsid w:val="00F3733B"/>
    <w:rsid w:val="00F37A1D"/>
    <w:rsid w:val="00F459F7"/>
    <w:rsid w:val="00F52606"/>
    <w:rsid w:val="00F677D7"/>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et-EE"/>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2695E-DD3E-4F58-AA7C-BC18A1269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9457</Words>
  <Characters>81617</Characters>
  <Application>Microsoft Office Word</Application>
  <DocSecurity>0</DocSecurity>
  <Lines>680</Lines>
  <Paragraphs>181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2023-02-20T07:05:00Z</dcterms:created>
  <dcterms:modified xsi:type="dcterms:W3CDTF">2023-02-20T07:05:00Z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AM\1272524ET.docx</vt:lpwstr>
  </property>
  <property fmtid="{D5CDD505-2E9C-101B-9397-08002B2CF9AE}" pid="10" name="LastEdited with">
    <vt:lpwstr>9.14.0 Build [20221101]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- 2023/02/14 11:59</vt:lpwstr>
  </property>
</Properties>
</file>