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F61D0" w:rsidRPr="0001456D" w:rsidTr="002B59CE">
        <w:trPr>
          <w:trHeight w:hRule="exact" w:val="1418"/>
        </w:trPr>
        <w:tc>
          <w:tcPr>
            <w:tcW w:w="6804" w:type="dxa"/>
            <w:shd w:val="clear" w:color="auto" w:fill="auto"/>
            <w:vAlign w:val="center"/>
          </w:tcPr>
          <w:p w:rsidR="00BE5062" w:rsidRPr="0001456D" w:rsidRDefault="00FD031D" w:rsidP="002B59CE">
            <w:pPr>
              <w:pStyle w:val="EPName"/>
            </w:pPr>
            <w:r w:rsidRPr="0001456D">
              <w:t>Parlament Europejski</w:t>
            </w:r>
          </w:p>
          <w:p w:rsidR="00BE5062" w:rsidRPr="0001456D" w:rsidRDefault="00FD031D" w:rsidP="00510E3A">
            <w:pPr>
              <w:pStyle w:val="EPTerm"/>
            </w:pPr>
            <w:r w:rsidRPr="0001456D">
              <w:t>2019-2024</w:t>
            </w:r>
          </w:p>
        </w:tc>
        <w:tc>
          <w:tcPr>
            <w:tcW w:w="2268" w:type="dxa"/>
            <w:shd w:val="clear" w:color="auto" w:fill="auto"/>
          </w:tcPr>
          <w:p w:rsidR="00BE5062" w:rsidRPr="0001456D" w:rsidRDefault="00FD031D" w:rsidP="002B59CE">
            <w:pPr>
              <w:pStyle w:val="EPLogo"/>
            </w:pPr>
            <w:r w:rsidRPr="0001456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1456D" w:rsidRDefault="000E7234" w:rsidP="000E7234">
      <w:pPr>
        <w:pStyle w:val="LineTop"/>
      </w:pPr>
    </w:p>
    <w:p w:rsidR="000E7234" w:rsidRPr="0001456D" w:rsidRDefault="00FD031D" w:rsidP="000E7234">
      <w:pPr>
        <w:pStyle w:val="EPBody"/>
      </w:pPr>
      <w:r w:rsidRPr="0001456D">
        <w:rPr>
          <w:rStyle w:val="HideTWBExt"/>
        </w:rPr>
        <w:t>&lt;</w:t>
      </w:r>
      <w:r w:rsidRPr="0001456D">
        <w:rPr>
          <w:rStyle w:val="HideTWBExt"/>
          <w:i w:val="0"/>
        </w:rPr>
        <w:t>Commission</w:t>
      </w:r>
      <w:r w:rsidRPr="0001456D">
        <w:rPr>
          <w:rStyle w:val="HideTWBExt"/>
        </w:rPr>
        <w:t>&gt;</w:t>
      </w:r>
      <w:r w:rsidRPr="0001456D">
        <w:rPr>
          <w:rStyle w:val="HideTWBInt"/>
          <w:color w:val="auto"/>
        </w:rPr>
        <w:t>{LIBE}</w:t>
      </w:r>
      <w:r w:rsidRPr="0001456D">
        <w:t>Komisja Wolności Obywatelskich, Sprawiedliwości i Spraw Wewnętrznych</w:t>
      </w:r>
      <w:r w:rsidRPr="0001456D">
        <w:rPr>
          <w:rStyle w:val="HideTWBExt"/>
        </w:rPr>
        <w:t>&lt;/</w:t>
      </w:r>
      <w:r w:rsidRPr="0001456D">
        <w:rPr>
          <w:rStyle w:val="HideTWBExt"/>
          <w:i w:val="0"/>
        </w:rPr>
        <w:t>Commission</w:t>
      </w:r>
      <w:r w:rsidRPr="0001456D">
        <w:rPr>
          <w:rStyle w:val="HideTWBExt"/>
        </w:rPr>
        <w:t>&gt;</w:t>
      </w:r>
    </w:p>
    <w:p w:rsidR="000E7234" w:rsidRPr="0001456D" w:rsidRDefault="000E7234" w:rsidP="000E7234">
      <w:pPr>
        <w:pStyle w:val="LineBottom"/>
      </w:pPr>
    </w:p>
    <w:p w:rsidR="00B85286" w:rsidRPr="0001456D" w:rsidRDefault="00FD031D">
      <w:pPr>
        <w:pStyle w:val="CoverReference"/>
      </w:pPr>
      <w:r w:rsidRPr="0001456D">
        <w:rPr>
          <w:rStyle w:val="HideTWBExt"/>
          <w:b w:val="0"/>
        </w:rPr>
        <w:t>&lt;RefProc&gt;</w:t>
      </w:r>
      <w:r w:rsidRPr="0001456D">
        <w:t>2016/0132</w:t>
      </w:r>
      <w:r w:rsidRPr="0001456D">
        <w:rPr>
          <w:rStyle w:val="HideTWBExt"/>
          <w:b w:val="0"/>
        </w:rPr>
        <w:t>&lt;/RefProc&gt;&lt;RefTypeProc&gt;</w:t>
      </w:r>
      <w:r w:rsidRPr="0001456D">
        <w:t>(COD)</w:t>
      </w:r>
      <w:r w:rsidRPr="0001456D">
        <w:rPr>
          <w:rStyle w:val="HideTWBExt"/>
          <w:b w:val="0"/>
        </w:rPr>
        <w:t>&lt;/RefTypeProc&gt;</w:t>
      </w:r>
    </w:p>
    <w:p w:rsidR="00B85286" w:rsidRPr="00FD031D" w:rsidRDefault="00FD031D">
      <w:pPr>
        <w:pStyle w:val="CoverDate"/>
        <w:rPr>
          <w:lang w:val="en-GB"/>
        </w:rPr>
      </w:pPr>
      <w:r w:rsidRPr="00FD031D">
        <w:rPr>
          <w:rStyle w:val="HideTWBExt"/>
          <w:lang w:val="en-GB"/>
        </w:rPr>
        <w:t>&lt;Date&gt;</w:t>
      </w:r>
      <w:r w:rsidRPr="00FD031D">
        <w:rPr>
          <w:rStyle w:val="HideTWBInt"/>
          <w:color w:val="auto"/>
          <w:lang w:val="en-GB"/>
        </w:rPr>
        <w:t>{10/2/2023}</w:t>
      </w:r>
      <w:r w:rsidRPr="00FD031D">
        <w:rPr>
          <w:lang w:val="en-GB"/>
        </w:rPr>
        <w:t>10.2.2023</w:t>
      </w:r>
      <w:r w:rsidRPr="00FD031D">
        <w:rPr>
          <w:rStyle w:val="HideTWBExt"/>
          <w:lang w:val="en-GB"/>
        </w:rPr>
        <w:t>&lt;/Date&gt;</w:t>
      </w:r>
    </w:p>
    <w:p w:rsidR="009B0305" w:rsidRPr="00FD031D" w:rsidRDefault="00FD031D" w:rsidP="009B0305">
      <w:pPr>
        <w:pStyle w:val="CoverDocType"/>
        <w:rPr>
          <w:lang w:val="en-GB"/>
        </w:rPr>
      </w:pPr>
      <w:r w:rsidRPr="00FD031D">
        <w:rPr>
          <w:rStyle w:val="HideTWBExt"/>
          <w:b w:val="0"/>
          <w:lang w:val="en-GB"/>
        </w:rPr>
        <w:t>&lt;TypeAM&gt;</w:t>
      </w:r>
      <w:r w:rsidRPr="00FD031D">
        <w:rPr>
          <w:lang w:val="en-GB"/>
        </w:rPr>
        <w:t>POPRAWKI</w:t>
      </w:r>
      <w:r w:rsidRPr="00FD031D">
        <w:rPr>
          <w:rStyle w:val="HideTWBExt"/>
          <w:b w:val="0"/>
          <w:lang w:val="en-GB"/>
        </w:rPr>
        <w:t>&lt;/TypeAM&gt;</w:t>
      </w:r>
    </w:p>
    <w:p w:rsidR="00A64FB9" w:rsidRPr="00FD031D" w:rsidRDefault="00FD031D" w:rsidP="00A64FB9">
      <w:pPr>
        <w:pStyle w:val="CoverDocType24a"/>
        <w:rPr>
          <w:lang w:val="en-GB"/>
        </w:rPr>
      </w:pPr>
      <w:r w:rsidRPr="00FD031D">
        <w:rPr>
          <w:rStyle w:val="HideTWBExt"/>
          <w:b w:val="0"/>
          <w:lang w:val="en-GB"/>
        </w:rPr>
        <w:t>&lt;RangeAM&gt;</w:t>
      </w:r>
      <w:r w:rsidRPr="00FD031D">
        <w:rPr>
          <w:lang w:val="en-GB"/>
        </w:rPr>
        <w:t>1 - 90</w:t>
      </w:r>
      <w:r w:rsidRPr="00FD031D">
        <w:rPr>
          <w:rStyle w:val="HideTWBExt"/>
          <w:b w:val="0"/>
          <w:lang w:val="en-GB"/>
        </w:rPr>
        <w:t>&lt;/RangeAM&gt;</w:t>
      </w:r>
    </w:p>
    <w:p w:rsidR="001C2054" w:rsidRPr="00FD031D" w:rsidRDefault="00FD031D" w:rsidP="00A93F8C">
      <w:pPr>
        <w:pStyle w:val="CoverBold"/>
        <w:rPr>
          <w:lang w:val="en-GB"/>
        </w:rPr>
      </w:pPr>
      <w:r w:rsidRPr="00FD031D">
        <w:rPr>
          <w:rStyle w:val="HideTWBExt"/>
          <w:b w:val="0"/>
          <w:lang w:val="en-GB"/>
        </w:rPr>
        <w:t>&lt;TitreType&gt;</w:t>
      </w:r>
      <w:r w:rsidRPr="00FD031D">
        <w:rPr>
          <w:lang w:val="en-GB"/>
        </w:rPr>
        <w:t>Zaktualizowany mandat</w:t>
      </w:r>
      <w:r w:rsidRPr="00FD031D">
        <w:rPr>
          <w:rStyle w:val="HideTWBExt"/>
          <w:b w:val="0"/>
          <w:lang w:val="en-GB"/>
        </w:rPr>
        <w:t>&lt;/TitreType&gt;</w:t>
      </w:r>
    </w:p>
    <w:p w:rsidR="00B85286" w:rsidRPr="00FD031D" w:rsidRDefault="00FD031D" w:rsidP="00A93F8C">
      <w:pPr>
        <w:pStyle w:val="CoverBold"/>
        <w:rPr>
          <w:lang w:val="en-GB"/>
        </w:rPr>
      </w:pPr>
      <w:r w:rsidRPr="00FD031D">
        <w:rPr>
          <w:rStyle w:val="HideTWBExt"/>
          <w:b w:val="0"/>
          <w:lang w:val="en-GB"/>
        </w:rPr>
        <w:t>&lt;Rapporteur&gt;</w:t>
      </w:r>
      <w:r w:rsidRPr="00FD031D">
        <w:rPr>
          <w:lang w:val="en-GB"/>
        </w:rPr>
        <w:t>Jorge Buxadé Villalba</w:t>
      </w:r>
      <w:r w:rsidRPr="00FD031D">
        <w:rPr>
          <w:rStyle w:val="HideTWBExt"/>
          <w:b w:val="0"/>
          <w:lang w:val="en-GB"/>
        </w:rPr>
        <w:t>&lt;/Rapporteur&gt;</w:t>
      </w:r>
    </w:p>
    <w:p w:rsidR="00B85286" w:rsidRPr="0001456D" w:rsidRDefault="00FD031D">
      <w:pPr>
        <w:pStyle w:val="CoverNormal24a"/>
      </w:pPr>
      <w:r w:rsidRPr="0001456D">
        <w:rPr>
          <w:rStyle w:val="HideTWBExt"/>
        </w:rPr>
        <w:t>&lt;DocRefPE&gt;</w:t>
      </w:r>
      <w:r w:rsidRPr="0001456D">
        <w:t>(PE661.979v01-00)</w:t>
      </w:r>
      <w:r w:rsidRPr="0001456D">
        <w:rPr>
          <w:rStyle w:val="HideTWBExt"/>
        </w:rPr>
        <w:t>&lt;/DocRefPE&gt;</w:t>
      </w:r>
    </w:p>
    <w:p w:rsidR="00B85286" w:rsidRPr="0001456D" w:rsidRDefault="00FD031D">
      <w:pPr>
        <w:pStyle w:val="CoverNormal24a"/>
      </w:pPr>
      <w:r w:rsidRPr="0001456D">
        <w:rPr>
          <w:rStyle w:val="HideTWBExt"/>
        </w:rPr>
        <w:t>&lt;Titre&gt;</w:t>
      </w:r>
      <w:r w:rsidRPr="0001456D">
        <w:t xml:space="preserve">w sprawie zmienionego wniosku dotyczącego ROZPORZĄDZENIA PARLAMENTU EUROPEJSKIEGO </w:t>
      </w:r>
      <w:r w:rsidRPr="0001456D">
        <w:t>I RADY w sprawie ustanowienia systemu Eurodac do porównywania danych biometrycznych w celu skutecznego stosowania rozporządzenia (UE) XXX/XXX [Rozporządzenie w sprawie zarządzania azylem i migracją] i rozporządzenia (UE) XXX/XXX [Rozporządzenie w sprawie p</w:t>
      </w:r>
      <w:r w:rsidRPr="0001456D">
        <w:t>rzesiedleń] na potrzeby identyfikowania nielegalnie przebywających obywateli państw trzecich lub bezpaństwowców oraz w sprawie występowania o porównanie z danymi Eurodac przez organy ścigania państw członkowskich i Europol na potrzeby ochrony porządku publ</w:t>
      </w:r>
      <w:r w:rsidRPr="0001456D">
        <w:t>icznego oraz zmieniającego rozporządzenia (UE) 2018/1240 i (UE) 2019/818</w:t>
      </w:r>
      <w:r w:rsidRPr="0001456D">
        <w:rPr>
          <w:rStyle w:val="HideTWBExt"/>
        </w:rPr>
        <w:t>&lt;/Titre&gt;</w:t>
      </w:r>
    </w:p>
    <w:p w:rsidR="006337D4" w:rsidRPr="0001456D" w:rsidRDefault="00FD031D" w:rsidP="006337D4">
      <w:pPr>
        <w:pStyle w:val="CoverNormal"/>
      </w:pPr>
      <w:r w:rsidRPr="0001456D">
        <w:rPr>
          <w:rStyle w:val="HideTWBExt"/>
        </w:rPr>
        <w:t>&lt;DocAmend&gt;</w:t>
      </w:r>
      <w:r w:rsidRPr="0001456D">
        <w:t>Wniosek dotyczący rozporządzenia</w:t>
      </w:r>
      <w:r w:rsidRPr="0001456D">
        <w:rPr>
          <w:rStyle w:val="HideTWBExt"/>
        </w:rPr>
        <w:t>&lt;/DocAmend&gt;</w:t>
      </w:r>
    </w:p>
    <w:p w:rsidR="00B85286" w:rsidRPr="00FD031D" w:rsidRDefault="00FD031D">
      <w:pPr>
        <w:pStyle w:val="CoverNormal24a"/>
        <w:rPr>
          <w:lang w:val="pt-PT"/>
        </w:rPr>
      </w:pPr>
      <w:r w:rsidRPr="00FD031D">
        <w:rPr>
          <w:rStyle w:val="HideTWBExt"/>
          <w:lang w:val="pt-PT"/>
        </w:rPr>
        <w:t>&lt;DocRef&gt;</w:t>
      </w:r>
      <w:r w:rsidRPr="00FD031D">
        <w:rPr>
          <w:lang w:val="pt-PT"/>
        </w:rPr>
        <w:t>(COM(2020)0614 – C9</w:t>
      </w:r>
      <w:r w:rsidRPr="00FD031D">
        <w:rPr>
          <w:lang w:val="pt-PT"/>
        </w:rPr>
        <w:noBreakHyphen/>
        <w:t>0131/2020 – 2016/0132(COD))</w:t>
      </w:r>
      <w:r w:rsidRPr="00FD031D">
        <w:rPr>
          <w:rStyle w:val="HideTWBExt"/>
          <w:lang w:val="pt-PT"/>
        </w:rPr>
        <w:t>&lt;/DocRef&gt;</w:t>
      </w:r>
    </w:p>
    <w:p w:rsidR="00B85286" w:rsidRPr="00FD031D" w:rsidRDefault="00FD031D" w:rsidP="00E660E2">
      <w:pPr>
        <w:widowControl/>
        <w:tabs>
          <w:tab w:val="center" w:pos="4677"/>
        </w:tabs>
        <w:rPr>
          <w:lang w:val="pt-PT"/>
        </w:rPr>
      </w:pPr>
      <w:r w:rsidRPr="00FD031D">
        <w:rPr>
          <w:lang w:val="pt-PT"/>
        </w:rPr>
        <w:br w:type="page"/>
      </w:r>
      <w:r w:rsidRPr="00FD031D">
        <w:rPr>
          <w:lang w:val="pt-PT"/>
        </w:rPr>
        <w:lastRenderedPageBreak/>
        <w:t>AM_Com_LegReport</w:t>
      </w:r>
    </w:p>
    <w:p w:rsidR="007605D8" w:rsidRPr="00FD031D" w:rsidRDefault="00FD031D" w:rsidP="007605D8">
      <w:pPr>
        <w:pStyle w:val="AMNumberTabs0"/>
        <w:keepNext/>
        <w:rPr>
          <w:lang w:val="pt-PT"/>
        </w:rPr>
      </w:pPr>
      <w:r w:rsidRPr="00FD031D">
        <w:rPr>
          <w:lang w:val="pt-PT"/>
        </w:rPr>
        <w:br w:type="page"/>
      </w:r>
      <w:bookmarkStart w:id="0" w:name="IntroB"/>
      <w:r w:rsidRPr="00FD031D">
        <w:rPr>
          <w:rStyle w:val="HideTWBExt"/>
          <w:lang w:val="pt-PT"/>
        </w:rPr>
        <w:lastRenderedPageBreak/>
        <w:t>&lt;RepeatBlock-Amend&gt;&lt;Amend&gt;</w:t>
      </w:r>
      <w:r w:rsidRPr="00FD031D">
        <w:rPr>
          <w:lang w:val="pt-PT"/>
        </w:rPr>
        <w:t>Poprawka</w:t>
      </w:r>
      <w:r w:rsidRPr="00FD031D">
        <w:rPr>
          <w:lang w:val="pt-PT"/>
        </w:rPr>
        <w:tab/>
      </w:r>
      <w:r w:rsidRPr="00FD031D">
        <w:rPr>
          <w:lang w:val="pt-PT"/>
        </w:rPr>
        <w:tab/>
      </w:r>
      <w:r w:rsidRPr="00FD031D">
        <w:rPr>
          <w:rStyle w:val="HideTWBExt"/>
          <w:lang w:val="pt-PT"/>
        </w:rPr>
        <w:t>&lt;NumAm&gt;</w:t>
      </w:r>
      <w:r w:rsidRPr="00FD031D">
        <w:rPr>
          <w:lang w:val="pt-PT"/>
        </w:rPr>
        <w:t>1</w:t>
      </w:r>
      <w:r w:rsidRPr="00FD031D">
        <w:rPr>
          <w:rStyle w:val="HideTWBExt"/>
          <w:lang w:val="pt-PT"/>
        </w:rPr>
        <w:t>&lt;/NumAm&gt;</w:t>
      </w:r>
    </w:p>
    <w:p w:rsidR="007605D8" w:rsidRPr="00FD031D" w:rsidRDefault="00FD031D" w:rsidP="007605D8">
      <w:pPr>
        <w:pStyle w:val="NormalBold"/>
        <w:rPr>
          <w:lang w:val="pt-PT"/>
        </w:rPr>
      </w:pPr>
      <w:r w:rsidRPr="00FD031D">
        <w:rPr>
          <w:rStyle w:val="HideTWBExt"/>
          <w:lang w:val="pt-PT"/>
        </w:rPr>
        <w:t>&lt;RepeatBlock-By&gt;&lt;Members&gt;</w:t>
      </w:r>
      <w:r w:rsidRPr="00FD031D">
        <w:rPr>
          <w:lang w:val="pt-PT"/>
        </w:rPr>
        <w:t>Jorge Buxadé Villalba</w:t>
      </w:r>
      <w:r w:rsidRPr="00FD031D">
        <w:rPr>
          <w:rStyle w:val="HideTWBExt"/>
          <w:lang w:val="pt-PT"/>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Tytuł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Zmieniony wniosek dotyczący ROZPORZĄDZENIA PARLAMENTU EUROPEJSKIEGO I RADY w sprawie ustanowienia systemu Eurodac do porównywania danych biometrycznych w celu skutecznego stosowania rozporządzenia (UE) XXX/XXX [Rozporządzenie w sprawie zarządzania azylem i</w:t>
            </w:r>
            <w:r w:rsidRPr="0001456D">
              <w:t xml:space="preserve"> migracją] i rozporządzenia (UE) XXX/XXX [Rozporządzenie w sprawie przesiedleń] na potrzeby identyfikowania </w:t>
            </w:r>
            <w:r w:rsidRPr="0001456D">
              <w:rPr>
                <w:b/>
                <w:i/>
              </w:rPr>
              <w:t xml:space="preserve">nielegalnie przebywających </w:t>
            </w:r>
            <w:r w:rsidRPr="0001456D">
              <w:t>obywateli państw trzecich lub bezpaństwowców oraz w sprawie występowania o porównanie z danymi Eurodac przez organy ściga</w:t>
            </w:r>
            <w:r w:rsidRPr="0001456D">
              <w:t>nia państw członkowskich i Europol na potrzeby ochrony porządku publicznego oraz zmieniającego rozporządzenia (UE) 2018/1240 i (UE) 2019/818</w:t>
            </w:r>
          </w:p>
        </w:tc>
        <w:tc>
          <w:tcPr>
            <w:tcW w:w="4876" w:type="dxa"/>
            <w:hideMark/>
          </w:tcPr>
          <w:p w:rsidR="007605D8" w:rsidRPr="0001456D" w:rsidRDefault="00FD031D" w:rsidP="007605D8">
            <w:pPr>
              <w:pStyle w:val="Normal6"/>
              <w:rPr>
                <w:szCs w:val="24"/>
              </w:rPr>
            </w:pPr>
            <w:r w:rsidRPr="0001456D">
              <w:t>Zmieniony wniosek dotyczący ROZPORZĄDZENIA PARLAMENTU EUROPEJSKIEGO I RADY w sprawie ustanowienia systemu Eurodac d</w:t>
            </w:r>
            <w:r w:rsidRPr="0001456D">
              <w:t>o porównywania danych biometrycznych w celu skutecznego stosowania rozporządzenia (UE) XXX/XXX [rozporządzenie w sprawie zarządzania azylem i migracją] i rozporządzenia (UE) XXX/XXX [rozporządzenie w sprawie przesiedleń] na potrzeby identyfikowania obywate</w:t>
            </w:r>
            <w:r w:rsidRPr="0001456D">
              <w:t>li państw trzecich lub bezpaństwowców</w:t>
            </w:r>
            <w:r w:rsidRPr="0001456D">
              <w:rPr>
                <w:b/>
                <w:i/>
              </w:rPr>
              <w:t xml:space="preserve"> o nieuregulowanym statusie pobytu</w:t>
            </w:r>
            <w:r w:rsidRPr="0001456D">
              <w:t xml:space="preserve"> oraz w sprawie występowania o porównanie z danymi Eurodac przez organy ścigania państw członkowskich i Europol na potrzeby ochrony porządku publicznego oraz zmieniającego rozporządzeni</w:t>
            </w:r>
            <w:r w:rsidRPr="0001456D">
              <w:t>a (UE) 2018/1240 i (UE) 2019/818</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keepNext/>
      </w:pPr>
      <w:r w:rsidRPr="0001456D">
        <w:rPr>
          <w:rStyle w:val="HideTWBExt"/>
        </w:rPr>
        <w:t>&lt;Article&gt;</w:t>
      </w:r>
      <w:r w:rsidRPr="0001456D">
        <w:t>Preambuła</w:t>
      </w:r>
      <w:r w:rsidRPr="0001456D">
        <w:t xml:space="preserve"> – punkt 1 – motyw 4 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(4a)</w:t>
            </w:r>
            <w:r w:rsidRPr="0001456D">
              <w:tab/>
              <w:t xml:space="preserve">Co więcej, do celów skutecznego stosowania rozporządzenia (UE) XXX/XXX [Rozporządzenie w sprawie zarządzania azylem i migracją] oraz zgodnie z jego przepisami konieczne jest </w:t>
            </w:r>
            <w:r w:rsidRPr="0001456D">
              <w:t xml:space="preserve">wyraźne oznaczenie w Eurodac faktu, że nastąpiło przeniesienie odpowiedzialności między państwami członkowskimi, w tym w przypadkach relokacji. </w:t>
            </w:r>
            <w:r w:rsidRPr="0001456D">
              <w:rPr>
                <w:b/>
                <w:i/>
              </w:rPr>
              <w:t>Ponadto, aby właściwie odzwierciedlić zobowiązania państw członkowskich do przeprowadzania operacji poszukiwawcz</w:t>
            </w:r>
            <w:r w:rsidRPr="0001456D">
              <w:rPr>
                <w:b/>
                <w:i/>
              </w:rPr>
              <w:t>o-ratowniczych oraz aby pomóc tym państwom członkowskim w sprostaniu szczególnym wyzwaniom związanym z faktem, że wobec osób sprowadzonych na ląd w następstwie takich operacji państwa te nie mogą stosować tych samych instrumentów co w przypadku osób, które</w:t>
            </w:r>
            <w:r w:rsidRPr="0001456D">
              <w:rPr>
                <w:b/>
                <w:i/>
              </w:rPr>
              <w:t xml:space="preserve"> nielegalnie przekroczyły granicę lądową lub powietrzną, konieczne jest rejestrowanie obywateli państw trzecich i bezpaństwowców sprowadzonych na ląd w następstwie operacji poszukiwawczo-ratowniczych w ramach oddzielnej kategorii w Eurodac.</w:t>
            </w:r>
          </w:p>
        </w:tc>
        <w:tc>
          <w:tcPr>
            <w:tcW w:w="4876" w:type="dxa"/>
            <w:hideMark/>
          </w:tcPr>
          <w:p w:rsidR="007605D8" w:rsidRPr="0001456D" w:rsidRDefault="00FD031D" w:rsidP="007605D8">
            <w:pPr>
              <w:pStyle w:val="Normal6"/>
              <w:rPr>
                <w:szCs w:val="24"/>
              </w:rPr>
            </w:pPr>
            <w:r w:rsidRPr="0001456D">
              <w:t>(4a)</w:t>
            </w:r>
            <w:r w:rsidRPr="0001456D">
              <w:tab/>
              <w:t>Co więcej,</w:t>
            </w:r>
            <w:r w:rsidRPr="0001456D">
              <w:t xml:space="preserve"> do celów skutecznego stosowania rozporządzenia (UE) XXX/XXX [rozporządzenie w sprawie zarządzania azylem i migracją] oraz zgodnie z jego przepisami konieczne jest wyraźne oznaczenie w Eurodac faktu, że nastąpiło przeniesienie odpowiedzialności między pańs</w:t>
            </w:r>
            <w:r w:rsidRPr="0001456D">
              <w:t>twami członkowskimi, w tym w przypadkach relokacji.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Preambuła – punkt 2 – motyw 5 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(5a)</w:t>
            </w:r>
            <w:r w:rsidRPr="0001456D">
              <w:tab/>
              <w:t xml:space="preserve">Konieczne jest również </w:t>
            </w:r>
            <w:r w:rsidRPr="0001456D">
              <w:rPr>
                <w:b/>
                <w:i/>
              </w:rPr>
              <w:t>wprowadzenie przepisów, które zapewniłyby funkcjonowanie</w:t>
            </w:r>
            <w:r w:rsidRPr="0001456D">
              <w:t xml:space="preserve"> tego systemu w ramach interoperacyjności ustanowionych rozporządzeniami Parlamentu Europejskiego i Rady (UE) 2019/817</w:t>
            </w:r>
            <w:r w:rsidRPr="0001456D">
              <w:rPr>
                <w:vertAlign w:val="superscript"/>
              </w:rPr>
              <w:t>25</w:t>
            </w:r>
            <w:r w:rsidRPr="0001456D">
              <w:t xml:space="preserve"> i 2019/818</w:t>
            </w:r>
            <w:r w:rsidRPr="0001456D">
              <w:rPr>
                <w:vertAlign w:val="superscript"/>
              </w:rPr>
              <w:t>26</w:t>
            </w:r>
            <w:r w:rsidRPr="0001456D">
              <w:t>.</w:t>
            </w:r>
          </w:p>
        </w:tc>
        <w:tc>
          <w:tcPr>
            <w:tcW w:w="4876" w:type="dxa"/>
            <w:hideMark/>
          </w:tcPr>
          <w:p w:rsidR="007605D8" w:rsidRPr="0001456D" w:rsidRDefault="00FD031D" w:rsidP="00F10CF9">
            <w:pPr>
              <w:pStyle w:val="Normal6"/>
              <w:rPr>
                <w:szCs w:val="24"/>
              </w:rPr>
            </w:pPr>
            <w:r w:rsidRPr="0001456D">
              <w:t>(5a)</w:t>
            </w:r>
            <w:r w:rsidRPr="0001456D">
              <w:tab/>
              <w:t xml:space="preserve">Konieczne jest również </w:t>
            </w:r>
            <w:r w:rsidRPr="0001456D">
              <w:rPr>
                <w:b/>
                <w:i/>
              </w:rPr>
              <w:t>zapewnienie funkcjonowania</w:t>
            </w:r>
            <w:r w:rsidRPr="0001456D">
              <w:t xml:space="preserve"> tego systemu w ramach interoperacyjności ustanowionych rozporządze</w:t>
            </w:r>
            <w:r w:rsidRPr="0001456D">
              <w:t>niami Parlamentu Europejskiego i Rady (UE) 2019/817</w:t>
            </w:r>
            <w:r w:rsidRPr="0001456D">
              <w:rPr>
                <w:vertAlign w:val="superscript"/>
              </w:rPr>
              <w:t>25</w:t>
            </w:r>
            <w:r w:rsidRPr="0001456D">
              <w:t xml:space="preserve"> i 2019/818</w:t>
            </w:r>
            <w:r w:rsidRPr="0001456D">
              <w:rPr>
                <w:vertAlign w:val="superscript"/>
              </w:rPr>
              <w:t>26</w:t>
            </w:r>
            <w:r w:rsidRPr="0001456D">
              <w:rPr>
                <w:b/>
                <w:i/>
              </w:rPr>
              <w:t xml:space="preserve"> zgodnie z obowiązującym rozporządzeniem, a także z rozporządzeniem Parlamentu Europejskiego i Rady (UE) 2016/679</w:t>
            </w:r>
            <w:r w:rsidRPr="0001456D">
              <w:rPr>
                <w:b/>
                <w:i/>
                <w:vertAlign w:val="superscript"/>
              </w:rPr>
              <w:t>26a</w:t>
            </w:r>
            <w:r w:rsidRPr="0001456D">
              <w:rPr>
                <w:b/>
                <w:i/>
              </w:rPr>
              <w:t xml:space="preserve">, w szczególności z zasadami konieczności, proporcjonalności i </w:t>
            </w:r>
            <w:r w:rsidRPr="0001456D">
              <w:rPr>
                <w:b/>
                <w:i/>
              </w:rPr>
              <w:t>ograniczenia celu określonymi w tym rozporządzeniu.</w:t>
            </w:r>
            <w:r w:rsidRPr="0001456D">
              <w:t xml:space="preserve"> </w:t>
            </w:r>
            <w:r w:rsidRPr="0001456D">
              <w:rPr>
                <w:b/>
                <w:i/>
              </w:rPr>
              <w:t>Ponadto konieczne jest wprowadzenie jasnych przepisów, które pozwalałyby wyznaczonym organom krajowym państw członkowskich i organom Unii mającym dostęp do Eurodac na wgląd wyłącznie w te dane, które są ś</w:t>
            </w:r>
            <w:r w:rsidRPr="0001456D">
              <w:rPr>
                <w:b/>
                <w:i/>
              </w:rPr>
              <w:t>ciśle niezbędne do wykonywania ich konkretnych zadań.</w:t>
            </w:r>
          </w:p>
        </w:tc>
      </w:tr>
      <w:tr w:rsidR="00FF61D0" w:rsidRPr="0001456D" w:rsidTr="007605D8">
        <w:trPr>
          <w:jc w:val="center"/>
        </w:trPr>
        <w:tc>
          <w:tcPr>
            <w:tcW w:w="4876" w:type="dxa"/>
            <w:hideMark/>
          </w:tcPr>
          <w:p w:rsidR="007605D8" w:rsidRPr="0001456D" w:rsidRDefault="00FD031D" w:rsidP="007605D8">
            <w:pPr>
              <w:pStyle w:val="Normal6"/>
            </w:pPr>
            <w:r w:rsidRPr="0001456D">
              <w:t>__________________</w:t>
            </w:r>
          </w:p>
        </w:tc>
        <w:tc>
          <w:tcPr>
            <w:tcW w:w="4876" w:type="dxa"/>
            <w:hideMark/>
          </w:tcPr>
          <w:p w:rsidR="007605D8" w:rsidRPr="0001456D" w:rsidRDefault="00FD031D" w:rsidP="007605D8">
            <w:pPr>
              <w:pStyle w:val="Normal6"/>
              <w:rPr>
                <w:szCs w:val="24"/>
              </w:rPr>
            </w:pPr>
            <w:r w:rsidRPr="0001456D">
              <w:t>__________________</w:t>
            </w:r>
          </w:p>
        </w:tc>
      </w:tr>
      <w:tr w:rsidR="00FF61D0" w:rsidRPr="0001456D" w:rsidTr="007605D8">
        <w:trPr>
          <w:jc w:val="center"/>
        </w:trPr>
        <w:tc>
          <w:tcPr>
            <w:tcW w:w="4876" w:type="dxa"/>
            <w:hideMark/>
          </w:tcPr>
          <w:p w:rsidR="007605D8" w:rsidRPr="0001456D" w:rsidRDefault="00FD031D" w:rsidP="007605D8">
            <w:pPr>
              <w:pStyle w:val="Normal6"/>
            </w:pPr>
            <w:r w:rsidRPr="0001456D">
              <w:rPr>
                <w:vertAlign w:val="superscript"/>
              </w:rPr>
              <w:t>25</w:t>
            </w:r>
            <w:r w:rsidRPr="0001456D">
              <w:t xml:space="preserve"> Rozporządzenie Parlamentu Europejskiego i Rady (UE) 2019/817 z dnia 20 maja 2019 r. w sprawie ustanowienia ram interoperacyjności systemów informacyjnych UE w </w:t>
            </w:r>
            <w:r w:rsidRPr="0001456D">
              <w:t>obszarze granic i polityki wizowej oraz zmieniające rozporządzenia Parlamentu Europejskiego i Rady (WE) nr 767/2008, (UE) 2016/399, (UE) 2017/2226, (UE) 2018/1240, (UE) 2018/1726, (UE) 2018/1861 oraz decyzje Rady 2004/512/WE i 2008/633/WSiSW, Dz.U. L 135 z</w:t>
            </w:r>
            <w:r w:rsidRPr="0001456D">
              <w:t> 22.5.2019, s. 27.</w:t>
            </w:r>
          </w:p>
        </w:tc>
        <w:tc>
          <w:tcPr>
            <w:tcW w:w="4876" w:type="dxa"/>
            <w:hideMark/>
          </w:tcPr>
          <w:p w:rsidR="007605D8" w:rsidRPr="0001456D" w:rsidRDefault="00FD031D" w:rsidP="007605D8">
            <w:pPr>
              <w:pStyle w:val="Normal6"/>
              <w:rPr>
                <w:szCs w:val="24"/>
              </w:rPr>
            </w:pPr>
            <w:r w:rsidRPr="0001456D">
              <w:rPr>
                <w:vertAlign w:val="superscript"/>
              </w:rPr>
              <w:t>25</w:t>
            </w:r>
            <w:r w:rsidRPr="0001456D">
              <w:t xml:space="preserve"> Rozporządzenie Parlamentu Europejskiego i Rady (UE) 2019/817 z dnia 20 maja 2019 r. w sprawie ustanowienia ram interoperacyjności systemów informacyjnych UE w obszarze granic i polityki wizowej oraz zmieniające rozporządzenia Parlamen</w:t>
            </w:r>
            <w:r w:rsidRPr="0001456D">
              <w:t>tu Europejskiego i Rady (WE) nr 767/2008, (UE) 2016/399, (UE) 2017/2226, (UE) 2018/1240, (UE) 2018/1726, (UE) 2018/1861 oraz decyzje Rady 2004/512/WE i 2008/633/WSiSW, Dz.U. L 135 z 22.5.2019, s. 27.</w:t>
            </w:r>
          </w:p>
        </w:tc>
      </w:tr>
      <w:tr w:rsidR="00FF61D0" w:rsidRPr="0001456D" w:rsidTr="007605D8">
        <w:trPr>
          <w:jc w:val="center"/>
        </w:trPr>
        <w:tc>
          <w:tcPr>
            <w:tcW w:w="4876" w:type="dxa"/>
            <w:hideMark/>
          </w:tcPr>
          <w:p w:rsidR="007605D8" w:rsidRPr="0001456D" w:rsidRDefault="00FD031D" w:rsidP="007605D8">
            <w:pPr>
              <w:pStyle w:val="Normal6"/>
            </w:pPr>
            <w:r w:rsidRPr="0001456D">
              <w:rPr>
                <w:vertAlign w:val="superscript"/>
              </w:rPr>
              <w:t>26</w:t>
            </w:r>
            <w:r w:rsidRPr="0001456D">
              <w:t xml:space="preserve"> Rozporządzenie Parlamentu Europejskiego i Rady (UE) </w:t>
            </w:r>
            <w:r w:rsidRPr="0001456D">
              <w:t>2019/818 z dnia 20 maja 2019 r. w sprawie ustanowienia ram interoperacyjności systemów informacyjnych UE w obszarze współpracy policyjnej i sądowej, azylu i migracji oraz zmieniające rozporządzenia (UE) 2018/1726, (UE) 2018/1862 i (UE) 2019/816, Dz.U. L 13</w:t>
            </w:r>
            <w:r w:rsidRPr="0001456D">
              <w:t>5 z 22.5.2019, s. 85.</w:t>
            </w:r>
          </w:p>
        </w:tc>
        <w:tc>
          <w:tcPr>
            <w:tcW w:w="4876" w:type="dxa"/>
            <w:hideMark/>
          </w:tcPr>
          <w:p w:rsidR="007605D8" w:rsidRPr="0001456D" w:rsidRDefault="00FD031D" w:rsidP="007605D8">
            <w:pPr>
              <w:pStyle w:val="Normal6"/>
              <w:rPr>
                <w:szCs w:val="24"/>
              </w:rPr>
            </w:pPr>
            <w:r w:rsidRPr="0001456D">
              <w:rPr>
                <w:vertAlign w:val="superscript"/>
              </w:rPr>
              <w:t>26</w:t>
            </w:r>
            <w:r w:rsidRPr="0001456D">
              <w:t xml:space="preserve"> Rozporządzenie Parlamentu Europejskiego i Rady (UE) 2019/818 z dnia 20 maja 2019 r. w sprawie ustanowienia ram interoperacyjności systemów informacyjnych UE w obszarze współpracy policyjnej i sądowej, azylu i migracji oraz zmieniaj</w:t>
            </w:r>
            <w:r w:rsidRPr="0001456D">
              <w:t>ące rozporządzenia (UE) 2018/1726, (UE) 2018/1862 i (UE) 2019/816, Dz.U. L 135 z 22.5.2019, s. 85.</w:t>
            </w:r>
          </w:p>
        </w:tc>
      </w:tr>
      <w:tr w:rsidR="00FF61D0" w:rsidRPr="0001456D" w:rsidTr="007605D8">
        <w:trPr>
          <w:jc w:val="center"/>
        </w:trPr>
        <w:tc>
          <w:tcPr>
            <w:tcW w:w="4876" w:type="dxa"/>
          </w:tcPr>
          <w:p w:rsidR="00337F1F" w:rsidRPr="0001456D" w:rsidRDefault="00337F1F" w:rsidP="007605D8">
            <w:pPr>
              <w:pStyle w:val="Normal6"/>
              <w:rPr>
                <w:vertAlign w:val="superscript"/>
              </w:rPr>
            </w:pPr>
          </w:p>
        </w:tc>
        <w:tc>
          <w:tcPr>
            <w:tcW w:w="4876" w:type="dxa"/>
          </w:tcPr>
          <w:p w:rsidR="00337F1F" w:rsidRPr="0001456D" w:rsidRDefault="00FD031D" w:rsidP="007605D8">
            <w:pPr>
              <w:pStyle w:val="Normal6"/>
              <w:rPr>
                <w:b/>
                <w:i/>
                <w:vertAlign w:val="superscript"/>
              </w:rPr>
            </w:pPr>
            <w:r w:rsidRPr="0001456D">
              <w:rPr>
                <w:b/>
                <w:i/>
                <w:vertAlign w:val="superscript"/>
              </w:rPr>
              <w:t>26a</w:t>
            </w:r>
            <w:r w:rsidRPr="0001456D">
              <w:rPr>
                <w:b/>
                <w:i/>
              </w:rPr>
              <w:tab/>
              <w:t xml:space="preserve">Rozporządzenie Parlamentu Europejskiego i Rady (UE) 2016/679 z dnia 27 kwietnia 2016 r. w sprawie ochrony osób fizycznych w związku z przetwarzaniem </w:t>
            </w:r>
            <w:r w:rsidRPr="0001456D">
              <w:rPr>
                <w:b/>
                <w:i/>
              </w:rPr>
              <w:t>danych osobowych i w sprawie swobodnego przepływu takich danych oraz uchylenia dyrektywy 95/46/WE (ogólne rozporządzenie o ochronie danych) (</w:t>
            </w:r>
            <w:r w:rsidRPr="0001456D">
              <w:rPr>
                <w:rStyle w:val="Emphasis"/>
                <w:b/>
              </w:rPr>
              <w:t>Dz.U. L 119 z 4.5.2016, s. 1</w:t>
            </w:r>
            <w:r w:rsidRPr="0001456D">
              <w:rPr>
                <w:b/>
                <w:i/>
              </w:rPr>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w:t>
      </w:r>
      <w:r w:rsidRPr="00FD031D">
        <w:rPr>
          <w:rStyle w:val="HideTWBExt"/>
          <w:lang w:val="en-GB"/>
        </w:rPr>
        <w:t>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Preambuła – punkt 2 – motyw 5 b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F10CF9">
            <w:pPr>
              <w:pStyle w:val="Normal6"/>
              <w:rPr>
                <w:szCs w:val="24"/>
              </w:rPr>
            </w:pPr>
            <w:r w:rsidRPr="0001456D">
              <w:rPr>
                <w:b/>
                <w:i/>
              </w:rPr>
              <w:t>(5ba)</w:t>
            </w:r>
            <w:r w:rsidRPr="0001456D">
              <w:rPr>
                <w:b/>
                <w:i/>
              </w:rPr>
              <w:tab/>
              <w:t xml:space="preserve">Do celów wykonywania </w:t>
            </w:r>
            <w:r w:rsidRPr="0001456D">
              <w:rPr>
                <w:b/>
                <w:i/>
              </w:rPr>
              <w:t>zadań określonych w rozporządzeniach Parlamentu Europejskiego i Rady (UE) 2019/1896</w:t>
            </w:r>
            <w:r w:rsidRPr="0001456D">
              <w:rPr>
                <w:b/>
                <w:i/>
                <w:vertAlign w:val="superscript"/>
              </w:rPr>
              <w:t>1a</w:t>
            </w:r>
            <w:r w:rsidRPr="0001456D">
              <w:rPr>
                <w:b/>
                <w:i/>
              </w:rPr>
              <w:t xml:space="preserve"> i (UE) 2021/2303</w:t>
            </w:r>
            <w:r w:rsidRPr="0001456D">
              <w:rPr>
                <w:b/>
                <w:i/>
                <w:vertAlign w:val="superscript"/>
              </w:rPr>
              <w:t>1b</w:t>
            </w:r>
            <w:r w:rsidRPr="0001456D">
              <w:rPr>
                <w:b/>
                <w:i/>
              </w:rPr>
              <w:t xml:space="preserve"> konieczne jest, aby dostęp do Eurodac mieli członkowie stałej służby Europejskiej Straży Granicznej i Przybrzeżnej rozmieszczeni w zespołach zarządzani</w:t>
            </w:r>
            <w:r w:rsidRPr="0001456D">
              <w:rPr>
                <w:b/>
                <w:i/>
              </w:rPr>
              <w:t>a granicami, zespołach wspierających zarządzanie migracjami i zespołach powrotowych, a także zespołach wsparcia ds. azylu Agencji Unii Europejskiej ds. Azylu (zwanych dalej „zespołami agencji”). Na wniosek państwa członkowskiego organizującego daną operacj</w:t>
            </w:r>
            <w:r w:rsidRPr="0001456D">
              <w:rPr>
                <w:b/>
                <w:i/>
              </w:rPr>
              <w:t>ę członkowie zespołów agencji powinni mieć możliwość pobierania i przekazywania odpowiednich danych Eurodac z wykorzystaniem rozwiązań informatycznych państw członkowskich.</w:t>
            </w:r>
          </w:p>
        </w:tc>
      </w:tr>
      <w:tr w:rsidR="00FF61D0" w:rsidRPr="0001456D" w:rsidTr="007605D8">
        <w:trPr>
          <w:jc w:val="center"/>
        </w:trPr>
        <w:tc>
          <w:tcPr>
            <w:tcW w:w="4876" w:type="dxa"/>
          </w:tcPr>
          <w:p w:rsidR="00F10CF9" w:rsidRPr="0001456D" w:rsidRDefault="00F10CF9" w:rsidP="007605D8">
            <w:pPr>
              <w:pStyle w:val="Normal6"/>
            </w:pPr>
          </w:p>
        </w:tc>
        <w:tc>
          <w:tcPr>
            <w:tcW w:w="4876" w:type="dxa"/>
          </w:tcPr>
          <w:p w:rsidR="00F10CF9" w:rsidRPr="0001456D" w:rsidRDefault="00FD031D" w:rsidP="007605D8">
            <w:pPr>
              <w:pStyle w:val="Normal6"/>
              <w:rPr>
                <w:b/>
                <w:i/>
              </w:rPr>
            </w:pPr>
            <w:r w:rsidRPr="0001456D">
              <w:t>__________________</w:t>
            </w:r>
          </w:p>
        </w:tc>
      </w:tr>
      <w:tr w:rsidR="00FF61D0" w:rsidRPr="0001456D" w:rsidTr="007605D8">
        <w:trPr>
          <w:jc w:val="center"/>
        </w:trPr>
        <w:tc>
          <w:tcPr>
            <w:tcW w:w="4876" w:type="dxa"/>
          </w:tcPr>
          <w:p w:rsidR="00F10CF9" w:rsidRPr="0001456D" w:rsidRDefault="00F10CF9" w:rsidP="007605D8">
            <w:pPr>
              <w:pStyle w:val="Normal6"/>
            </w:pPr>
          </w:p>
        </w:tc>
        <w:tc>
          <w:tcPr>
            <w:tcW w:w="4876" w:type="dxa"/>
          </w:tcPr>
          <w:p w:rsidR="00F10CF9" w:rsidRPr="0001456D" w:rsidRDefault="00FD031D" w:rsidP="007605D8">
            <w:pPr>
              <w:pStyle w:val="Normal6"/>
              <w:rPr>
                <w:b/>
                <w:i/>
              </w:rPr>
            </w:pPr>
            <w:r w:rsidRPr="0001456D">
              <w:rPr>
                <w:b/>
                <w:i/>
                <w:vertAlign w:val="superscript"/>
              </w:rPr>
              <w:t>1a</w:t>
            </w:r>
            <w:r w:rsidRPr="0001456D">
              <w:rPr>
                <w:b/>
                <w:i/>
              </w:rPr>
              <w:tab/>
              <w:t xml:space="preserve">Rozporządzenie Parlamentu Europejskiego i Rady (UE) </w:t>
            </w:r>
            <w:r w:rsidRPr="0001456D">
              <w:rPr>
                <w:b/>
                <w:i/>
              </w:rPr>
              <w:t>2019/1896 z dnia 13 listopada 2019 r. w sprawie Europejskiej Straży Granicznej i Przybrzeżnej oraz uchylenia rozporządzeń (UE) nr 1052/2013 i (UE) 2016/1624 (</w:t>
            </w:r>
            <w:r w:rsidRPr="0001456D">
              <w:rPr>
                <w:rStyle w:val="Emphasis"/>
                <w:b/>
              </w:rPr>
              <w:t>Dz.U. L 295 z 14.11.2019, s. 1</w:t>
            </w:r>
            <w:r w:rsidRPr="0001456D">
              <w:rPr>
                <w:b/>
                <w:i/>
              </w:rPr>
              <w:t>).</w:t>
            </w:r>
          </w:p>
        </w:tc>
      </w:tr>
      <w:tr w:rsidR="00FF61D0" w:rsidRPr="0001456D" w:rsidTr="007605D8">
        <w:trPr>
          <w:jc w:val="center"/>
        </w:trPr>
        <w:tc>
          <w:tcPr>
            <w:tcW w:w="4876" w:type="dxa"/>
          </w:tcPr>
          <w:p w:rsidR="00F10CF9" w:rsidRPr="0001456D" w:rsidRDefault="00F10CF9" w:rsidP="007605D8">
            <w:pPr>
              <w:pStyle w:val="Normal6"/>
            </w:pPr>
          </w:p>
        </w:tc>
        <w:tc>
          <w:tcPr>
            <w:tcW w:w="4876" w:type="dxa"/>
          </w:tcPr>
          <w:p w:rsidR="00F10CF9" w:rsidRPr="0001456D" w:rsidRDefault="00FD031D" w:rsidP="007605D8">
            <w:pPr>
              <w:pStyle w:val="Normal6"/>
              <w:rPr>
                <w:b/>
                <w:i/>
                <w:vertAlign w:val="superscript"/>
              </w:rPr>
            </w:pPr>
            <w:r w:rsidRPr="0001456D">
              <w:rPr>
                <w:b/>
                <w:i/>
                <w:vertAlign w:val="superscript"/>
              </w:rPr>
              <w:t>1b</w:t>
            </w:r>
            <w:r w:rsidRPr="0001456D">
              <w:rPr>
                <w:b/>
                <w:i/>
                <w:vertAlign w:val="superscript"/>
              </w:rPr>
              <w:tab/>
            </w:r>
            <w:r w:rsidRPr="0001456D">
              <w:rPr>
                <w:b/>
                <w:i/>
              </w:rPr>
              <w:t>Rozporządzenie Parlamentu Europejskiego i Rady (UE) 2021/230</w:t>
            </w:r>
            <w:r w:rsidRPr="0001456D">
              <w:rPr>
                <w:b/>
                <w:i/>
              </w:rPr>
              <w:t>3 z dnia 15 grudnia 2021 r. ustanawiające Agencję Unii Europejskiej ds. Azylu i uchylające rozporządzenie (UE) nr 439/2010 (</w:t>
            </w:r>
            <w:r w:rsidRPr="0001456D">
              <w:rPr>
                <w:rStyle w:val="Emphasis"/>
                <w:b/>
              </w:rPr>
              <w:t>Dz.U. L 468 z 30.12.2021, s. 1</w:t>
            </w:r>
            <w:r w:rsidRPr="0001456D">
              <w:rPr>
                <w:b/>
                <w:i/>
              </w:rPr>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FD031D" w:rsidRDefault="00FD031D" w:rsidP="007605D8">
      <w:pPr>
        <w:pStyle w:val="NormalBold"/>
        <w:rPr>
          <w:lang w:val="fr-FR"/>
        </w:rPr>
      </w:pPr>
      <w:r w:rsidRPr="00FD031D">
        <w:rPr>
          <w:rStyle w:val="HideTWBExt"/>
          <w:lang w:val="fr-FR"/>
        </w:rPr>
        <w:t>&lt;Article&gt;</w:t>
      </w:r>
      <w:r w:rsidRPr="00FD031D">
        <w:rPr>
          <w:lang w:val="fr-FR"/>
        </w:rPr>
        <w:t>Preambuła – punkt 2 – motyw 5 c</w:t>
      </w:r>
      <w:r w:rsidRPr="00FD031D">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FD031D" w:rsidTr="007605D8">
        <w:trPr>
          <w:jc w:val="center"/>
        </w:trPr>
        <w:tc>
          <w:tcPr>
            <w:tcW w:w="9752" w:type="dxa"/>
            <w:gridSpan w:val="2"/>
          </w:tcPr>
          <w:p w:rsidR="007605D8" w:rsidRPr="00FD031D" w:rsidRDefault="007605D8" w:rsidP="007605D8">
            <w:pPr>
              <w:keepNext/>
              <w:rPr>
                <w:lang w:val="fr-FR"/>
              </w:rPr>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(5c)</w:t>
            </w:r>
            <w:r w:rsidRPr="0001456D">
              <w:tab/>
            </w:r>
            <w:r w:rsidRPr="0001456D">
              <w:rPr>
                <w:b/>
                <w:i/>
              </w:rPr>
              <w:t>Podobnie</w:t>
            </w:r>
            <w:r w:rsidRPr="0001456D">
              <w:t xml:space="preserve"> do celów </w:t>
            </w:r>
            <w:r w:rsidRPr="0001456D">
              <w:rPr>
                <w:b/>
                <w:i/>
              </w:rPr>
              <w:t>zarządzania migracją nieuregulowaną konieczne jest umożliwienie agencji</w:t>
            </w:r>
            <w:r w:rsidRPr="0001456D">
              <w:t xml:space="preserve"> eu-LISA sporządzania statystyk międzysystemowych przy wykorzystaniu danych z</w:t>
            </w:r>
            <w:r w:rsidRPr="0001456D">
              <w:rPr>
                <w:b/>
                <w:i/>
              </w:rPr>
              <w:t> </w:t>
            </w:r>
            <w:r w:rsidRPr="0001456D">
              <w:t>Eurodac, wizowego systemu informacyjnego, ETIAS i systemu wjazdu/wyjazdu. Na potrzeby określenia treści tyc</w:t>
            </w:r>
            <w:r w:rsidRPr="0001456D">
              <w:t>h statystyk międzysystemowych Komisja powinna otrzymać uprawnienia wykonawcze. Uprawnienia te powinny być wykonywane zgodnie z rozporządzeniem Parlamentu Europejskiego i Rady (UE) nr 182/2011 z dnia 16 lutego 2011 r. ustanawiającym przepisy i zasady ogólne</w:t>
            </w:r>
            <w:r w:rsidRPr="0001456D">
              <w:t xml:space="preserve"> dotyczące trybu kontroli przez państwa członkowskie wykonywania uprawnień wykonawczych przez Komisję.</w:t>
            </w:r>
          </w:p>
        </w:tc>
        <w:tc>
          <w:tcPr>
            <w:tcW w:w="4876" w:type="dxa"/>
            <w:hideMark/>
          </w:tcPr>
          <w:p w:rsidR="007605D8" w:rsidRPr="0001456D" w:rsidRDefault="00FD031D" w:rsidP="00F10CF9">
            <w:pPr>
              <w:pStyle w:val="Normal6"/>
              <w:rPr>
                <w:szCs w:val="24"/>
              </w:rPr>
            </w:pPr>
            <w:r w:rsidRPr="0001456D">
              <w:t>(5c)</w:t>
            </w:r>
            <w:r w:rsidRPr="0001456D">
              <w:tab/>
              <w:t xml:space="preserve">Do celów </w:t>
            </w:r>
            <w:r w:rsidRPr="0001456D">
              <w:rPr>
                <w:b/>
                <w:i/>
              </w:rPr>
              <w:t>pomocy państwom członkowskim w kontroli migracji nieuregulowanej, a także</w:t>
            </w:r>
            <w:r w:rsidRPr="0001456D">
              <w:t xml:space="preserve"> do celów </w:t>
            </w:r>
            <w:r w:rsidRPr="0001456D">
              <w:rPr>
                <w:b/>
                <w:i/>
              </w:rPr>
              <w:t>dostarczania użytecznych statystyk decydentom, aby zachę</w:t>
            </w:r>
            <w:r w:rsidRPr="0001456D">
              <w:rPr>
                <w:b/>
                <w:i/>
              </w:rPr>
              <w:t>cać do kształtowania polityki opartej na dowodach, agencja</w:t>
            </w:r>
            <w:r w:rsidRPr="0001456D">
              <w:t xml:space="preserve"> eu-LISA </w:t>
            </w:r>
            <w:r w:rsidRPr="0001456D">
              <w:rPr>
                <w:b/>
                <w:i/>
              </w:rPr>
              <w:t xml:space="preserve">powinna mieć możliwość </w:t>
            </w:r>
            <w:r w:rsidRPr="0001456D">
              <w:t>sporządzania statystyk międzysystemowych przy wykorzystaniu danych z</w:t>
            </w:r>
            <w:r w:rsidRPr="0001456D">
              <w:rPr>
                <w:b/>
                <w:i/>
              </w:rPr>
              <w:t xml:space="preserve"> odpowiednich unijnych baz danych, w szczególności </w:t>
            </w:r>
            <w:r w:rsidRPr="0001456D">
              <w:t>Eurodac, wizowego systemu informacyjnego, ETIAS</w:t>
            </w:r>
            <w:r w:rsidRPr="0001456D">
              <w:t xml:space="preserve"> i systemu wjazdu/wyjazdu. Na potrzeby określenia treści tych statystyk międzysystemowych Komisja powinna otrzymać uprawnienia wykonawcze. Uprawnienia te powinny być wykonywane zgodnie z rozporządzeniem Parlamentu Europejskiego i Rady (UE) nr 182/2011 z dn</w:t>
            </w:r>
            <w:r w:rsidRPr="0001456D">
              <w:t>ia 16 lutego 2011 r. ustanawiającym przepisy i zasady ogólne dotyczące trybu kontroli przez państwa członkowskie wykonywania uprawnień wykonawczych przez Komisję.</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w:t>
      </w:r>
      <w:r w:rsidRPr="00FD031D">
        <w:rPr>
          <w:rStyle w:val="HideTWBExt"/>
          <w:lang w:val="en-GB"/>
        </w:rPr>
        <w: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FD031D" w:rsidRDefault="00FD031D" w:rsidP="007605D8">
      <w:pPr>
        <w:pStyle w:val="NormalBold"/>
        <w:rPr>
          <w:lang w:val="fr-FR"/>
        </w:rPr>
      </w:pPr>
      <w:r w:rsidRPr="00FD031D">
        <w:rPr>
          <w:rStyle w:val="HideTWBExt"/>
          <w:lang w:val="fr-FR"/>
        </w:rPr>
        <w:t>&lt;Article&gt;</w:t>
      </w:r>
      <w:r w:rsidRPr="00FD031D">
        <w:rPr>
          <w:lang w:val="fr-FR"/>
        </w:rPr>
        <w:t>Preambuła – punkt 3 – motyw 6</w:t>
      </w:r>
      <w:r w:rsidRPr="00FD031D">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FD031D" w:rsidTr="007605D8">
        <w:trPr>
          <w:jc w:val="center"/>
        </w:trPr>
        <w:tc>
          <w:tcPr>
            <w:tcW w:w="9752" w:type="dxa"/>
            <w:gridSpan w:val="2"/>
          </w:tcPr>
          <w:p w:rsidR="007605D8" w:rsidRPr="00FD031D" w:rsidRDefault="007605D8" w:rsidP="007605D8">
            <w:pPr>
              <w:keepNext/>
              <w:rPr>
                <w:lang w:val="fr-FR"/>
              </w:rPr>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(6)</w:t>
            </w:r>
            <w:r w:rsidRPr="0001456D">
              <w:tab/>
              <w:t xml:space="preserve">W tych celach niezbędne jest ustanowienie </w:t>
            </w:r>
            <w:r w:rsidRPr="0001456D">
              <w:t>systemu o nazwie Eurodac, składającego się z systemu centralnego i wspólnego repozytorium danych umożliwiających identyfikację, ustanowionego rozporządzeniem (UE) 2019/818, które to narzędzia będą obsługiwały skomputeryzowaną centralną bazę danych biometry</w:t>
            </w:r>
            <w:r w:rsidRPr="0001456D">
              <w:t>cznych, a także z elektronicznych narzędzi przesyłania danych między nimi [systemem centralnym i wspólnym repozytorium danych umożliwiających identyfikację] a państwami członkowskimi, zwanych dalej „infrastrukturą łączności”.</w:t>
            </w:r>
          </w:p>
        </w:tc>
        <w:tc>
          <w:tcPr>
            <w:tcW w:w="4876" w:type="dxa"/>
            <w:hideMark/>
          </w:tcPr>
          <w:p w:rsidR="007605D8" w:rsidRPr="0001456D" w:rsidRDefault="00FD031D" w:rsidP="007605D8">
            <w:pPr>
              <w:pStyle w:val="Normal6"/>
              <w:rPr>
                <w:szCs w:val="24"/>
              </w:rPr>
            </w:pPr>
            <w:r w:rsidRPr="0001456D">
              <w:t>(6)</w:t>
            </w:r>
            <w:r w:rsidRPr="0001456D">
              <w:tab/>
              <w:t>W tych celach niezbędne je</w:t>
            </w:r>
            <w:r w:rsidRPr="0001456D">
              <w:t>st ustanowienie systemu o nazwie Eurodac, składającego się z systemu centralnego i wspólnego repozytorium danych umożliwiających identyfikację, ustanowionego rozporządzeniem (UE) 2019/818, które to narzędzia będą obsługiwały skomputeryzowaną centralną bazę</w:t>
            </w:r>
            <w:r w:rsidRPr="0001456D">
              <w:t xml:space="preserve"> danych biometrycznych </w:t>
            </w:r>
            <w:r w:rsidRPr="0001456D">
              <w:rPr>
                <w:b/>
                <w:i/>
              </w:rPr>
              <w:t>i alfanumerycznych</w:t>
            </w:r>
            <w:r w:rsidRPr="0001456D">
              <w:t>, a także z elektronicznych narzędzi przesyłania danych między nimi [systemem centralnym i wspólnym repozytorium danych umożliwiających identyfikację] a państwami członkowskimi, zwanych dalej „infrastrukturą łącznoś</w:t>
            </w:r>
            <w:r w:rsidRPr="0001456D">
              <w:t>ci”.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FD031D" w:rsidRDefault="00FD031D" w:rsidP="007605D8">
      <w:pPr>
        <w:pStyle w:val="NormalBold"/>
        <w:rPr>
          <w:lang w:val="fr-FR"/>
        </w:rPr>
      </w:pPr>
      <w:r w:rsidRPr="00FD031D">
        <w:rPr>
          <w:rStyle w:val="HideTWBExt"/>
          <w:lang w:val="fr-FR"/>
        </w:rPr>
        <w:t>&lt;Article&gt;</w:t>
      </w:r>
      <w:r w:rsidRPr="00FD031D">
        <w:rPr>
          <w:lang w:val="fr-FR"/>
        </w:rPr>
        <w:t>Preambuła – punkt 5 – motyw 14</w:t>
      </w:r>
      <w:r w:rsidRPr="00FD031D">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FD031D" w:rsidTr="007605D8">
        <w:trPr>
          <w:jc w:val="center"/>
        </w:trPr>
        <w:tc>
          <w:tcPr>
            <w:tcW w:w="9752" w:type="dxa"/>
            <w:gridSpan w:val="2"/>
          </w:tcPr>
          <w:p w:rsidR="007605D8" w:rsidRPr="00FD031D" w:rsidRDefault="007605D8" w:rsidP="007605D8">
            <w:pPr>
              <w:keepNext/>
              <w:rPr>
                <w:lang w:val="fr-FR"/>
              </w:rPr>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(14)</w:t>
            </w:r>
            <w:r w:rsidRPr="0001456D">
              <w:tab/>
              <w:t xml:space="preserve">„Ponadto, aby Eurodac mógł stanowić skuteczną pomoc w kontrolowaniu </w:t>
            </w:r>
            <w:r w:rsidRPr="0001456D">
              <w:rPr>
                <w:b/>
                <w:i/>
              </w:rPr>
              <w:t xml:space="preserve">migracji </w:t>
            </w:r>
            <w:r w:rsidRPr="0001456D">
              <w:t xml:space="preserve">nieuregulowanej oraz wykrywaniu wtórnego przemieszczania się w obrębie </w:t>
            </w:r>
            <w:r w:rsidRPr="0001456D">
              <w:rPr>
                <w:b/>
                <w:i/>
              </w:rPr>
              <w:t>UE</w:t>
            </w:r>
            <w:r w:rsidRPr="0001456D">
              <w:t xml:space="preserve">, konieczne jest zapewnienie, aby system mógł </w:t>
            </w:r>
            <w:r w:rsidRPr="0001456D">
              <w:t>liczyć osoby ubiegające się o ochronę międzynarodową, a nie tylko same wnioski, poprzez powiązanie wszystkich zestawów danych dotyczących jednej osoby, niezależnie od ich kategorii, w ramach jednej sekwencji.”;</w:t>
            </w:r>
          </w:p>
        </w:tc>
        <w:tc>
          <w:tcPr>
            <w:tcW w:w="4876" w:type="dxa"/>
            <w:hideMark/>
          </w:tcPr>
          <w:p w:rsidR="007605D8" w:rsidRPr="0001456D" w:rsidRDefault="00FD031D" w:rsidP="008C51F4">
            <w:pPr>
              <w:pStyle w:val="Normal6"/>
              <w:rPr>
                <w:szCs w:val="24"/>
              </w:rPr>
            </w:pPr>
            <w:r w:rsidRPr="0001456D">
              <w:t>(14)</w:t>
            </w:r>
            <w:r w:rsidRPr="0001456D">
              <w:tab/>
              <w:t xml:space="preserve">„Ponadto, aby Eurodac mógł stanowić </w:t>
            </w:r>
            <w:r w:rsidRPr="0001456D">
              <w:t>skuteczną pomoc w kontrolowaniu nieuregulowanej</w:t>
            </w:r>
            <w:r w:rsidRPr="0001456D">
              <w:rPr>
                <w:b/>
                <w:i/>
              </w:rPr>
              <w:t xml:space="preserve"> imigracji do Unii</w:t>
            </w:r>
            <w:r w:rsidRPr="0001456D">
              <w:t xml:space="preserve"> oraz wykrywaniu wtórnego przemieszczania się w obrębie </w:t>
            </w:r>
            <w:r w:rsidRPr="0001456D">
              <w:rPr>
                <w:b/>
                <w:i/>
              </w:rPr>
              <w:t>Unii</w:t>
            </w:r>
            <w:r w:rsidRPr="0001456D">
              <w:t xml:space="preserve">, konieczne jest zapewnienie, aby system mógł liczyć osoby ubiegające się o ochronę międzynarodową, a nie tylko same wnioski, </w:t>
            </w:r>
            <w:r w:rsidRPr="0001456D">
              <w:t xml:space="preserve">poprzez powiązanie wszystkich zestawów danych dotyczących jednej osoby, niezależnie od ich kategorii, w ramach jednej sekwencji. </w:t>
            </w:r>
            <w:r w:rsidRPr="0001456D">
              <w:rPr>
                <w:b/>
                <w:i/>
              </w:rPr>
              <w:t>Organy krajowe i organy Unii powinny mieć możliwość wglądu wyłącznie w te dane osobowe, które są ściśle niezbędne do wykonywani</w:t>
            </w:r>
            <w:r w:rsidRPr="0001456D">
              <w:rPr>
                <w:b/>
                <w:i/>
              </w:rPr>
              <w:t>a ich zadań, nawet jeśli dane są ze sobą powiązane w ramach sekwencji. Nie ma to wpływu na okres zatrzymywania poszczególnych zbiorów danych.</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w:t>
      </w:r>
      <w:r w:rsidRPr="00FD031D">
        <w:rPr>
          <w:lang w:val="en-GB"/>
        </w:rPr>
        <w:t>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Preambuła – punkt 6 – motyw 24 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rPr>
                <w:b/>
                <w:i/>
              </w:rPr>
              <w:t>(6)</w:t>
            </w:r>
            <w:r w:rsidRPr="0001456D">
              <w:rPr>
                <w:b/>
                <w:i/>
              </w:rPr>
              <w:tab/>
              <w:t>po motywie 24 dodaje się motyw w brzmieniu:</w:t>
            </w:r>
          </w:p>
        </w:tc>
        <w:tc>
          <w:tcPr>
            <w:tcW w:w="4876" w:type="dxa"/>
            <w:hideMark/>
          </w:tcPr>
          <w:p w:rsidR="007605D8" w:rsidRPr="0001456D" w:rsidRDefault="00FD031D" w:rsidP="007605D8">
            <w:pPr>
              <w:pStyle w:val="Normal6"/>
              <w:rPr>
                <w:szCs w:val="24"/>
              </w:rPr>
            </w:pPr>
            <w:r w:rsidRPr="0001456D">
              <w:rPr>
                <w:b/>
                <w:i/>
              </w:rPr>
              <w:t>skreśla się</w:t>
            </w:r>
          </w:p>
        </w:tc>
      </w:tr>
      <w:tr w:rsidR="00FF61D0" w:rsidRPr="0001456D" w:rsidTr="007605D8">
        <w:trPr>
          <w:jc w:val="center"/>
        </w:trPr>
        <w:tc>
          <w:tcPr>
            <w:tcW w:w="4876" w:type="dxa"/>
            <w:hideMark/>
          </w:tcPr>
          <w:p w:rsidR="007605D8" w:rsidRPr="0001456D" w:rsidRDefault="00FD031D" w:rsidP="007605D8">
            <w:pPr>
              <w:pStyle w:val="Normal6"/>
            </w:pPr>
            <w:r w:rsidRPr="0001456D">
              <w:rPr>
                <w:b/>
                <w:i/>
              </w:rPr>
              <w:t>(24a)</w:t>
            </w:r>
            <w:r w:rsidRPr="0001456D">
              <w:rPr>
                <w:b/>
                <w:i/>
              </w:rPr>
              <w:tab/>
            </w:r>
            <w:r w:rsidRPr="0001456D">
              <w:rPr>
                <w:b/>
                <w:i/>
              </w:rPr>
              <w:t>Do celów niniejszego rozporządzenia przypomina się, że dana osoba powinna być uznana za nielegalnie przebywającą na terytorium państwa członkowskiego relokacji, jeżeli nie ubiega się ona o ochronę międzynarodową w następstwie relokacji lub nie spełnia inny</w:t>
            </w:r>
            <w:r w:rsidRPr="0001456D">
              <w:rPr>
                <w:b/>
                <w:i/>
              </w:rPr>
              <w:t>ch warunków wjazdu, jak określono w art. 6 rozporządzenia (UE) 2016/399, lub pozostałych warunków wjazdu, pobytu lub zamieszkania w państwie członkowskim relokacji bądź przestała spełniać takie warunki.</w:t>
            </w:r>
          </w:p>
        </w:tc>
        <w:tc>
          <w:tcPr>
            <w:tcW w:w="4876" w:type="dxa"/>
          </w:tcPr>
          <w:p w:rsidR="007605D8" w:rsidRPr="0001456D" w:rsidRDefault="007605D8" w:rsidP="007605D8">
            <w:pPr>
              <w:pStyle w:val="Normal6"/>
              <w:rPr>
                <w:szCs w:val="24"/>
              </w:rPr>
            </w:pP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w:t>
      </w:r>
      <w:r w:rsidRPr="00FD031D">
        <w:rPr>
          <w:lang w:val="en-GB"/>
        </w:rPr>
        <w:t>rawka</w:t>
      </w:r>
      <w:r w:rsidRPr="00FD031D">
        <w:rPr>
          <w:lang w:val="en-GB"/>
        </w:rPr>
        <w:tab/>
      </w:r>
      <w:r w:rsidRPr="00FD031D">
        <w:rPr>
          <w:lang w:val="en-GB"/>
        </w:rPr>
        <w:tab/>
      </w:r>
      <w:r w:rsidRPr="00FD031D">
        <w:rPr>
          <w:rStyle w:val="HideTWBExt"/>
          <w:lang w:val="en-GB"/>
        </w:rPr>
        <w:t>&lt;NumAm&gt;</w:t>
      </w:r>
      <w:r w:rsidRPr="00FD031D">
        <w:rPr>
          <w:lang w:val="en-GB"/>
        </w:rPr>
        <w:t>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Preambuła – punkt 6 – motyw 24 a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hideMark/>
          </w:tcPr>
          <w:p w:rsidR="007605D8" w:rsidRPr="0001456D" w:rsidRDefault="00FD031D" w:rsidP="007605D8">
            <w:pPr>
              <w:keepNext/>
            </w:pPr>
            <w:r w:rsidRPr="0001456D">
              <w:t>b)</w:t>
            </w: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C51F4">
            <w:pPr>
              <w:pStyle w:val="Normal6"/>
              <w:rPr>
                <w:b/>
                <w:i/>
              </w:rPr>
            </w:pPr>
            <w:r w:rsidRPr="0001456D">
              <w:rPr>
                <w:b/>
                <w:i/>
              </w:rPr>
              <w:t>(24aa)</w:t>
            </w:r>
            <w:r w:rsidRPr="0001456D">
              <w:rPr>
                <w:b/>
                <w:i/>
              </w:rPr>
              <w:tab/>
              <w:t xml:space="preserve">Jeżeli obywatel państwa trzeciego lub bezpaństwowiec, w przypadku którego stwierdzono nieuregulowany status pobytu w państwie członkowskim, składa wniosek o udzielenie ochrony międzynarodowej w czasie zatrzymania lub po zatrzymaniu, dane </w:t>
            </w:r>
            <w:r w:rsidRPr="0001456D">
              <w:rPr>
                <w:b/>
                <w:i/>
              </w:rPr>
              <w:t>państwo członkowskie nie powinno być zwolnione z obowiązku pobrania i zarejestrowania danych biometrycznych tej osoby zgodnie z niniejszym rozporządzeniem.</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Preambuła – punkt 6 – motyw 24 a b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4C2FE7">
            <w:pPr>
              <w:pStyle w:val="Normal6"/>
              <w:rPr>
                <w:b/>
                <w:i/>
              </w:rPr>
            </w:pPr>
            <w:r w:rsidRPr="0001456D">
              <w:rPr>
                <w:b/>
                <w:i/>
              </w:rPr>
              <w:t>(24ab)</w:t>
            </w:r>
            <w:r w:rsidRPr="0001456D">
              <w:rPr>
                <w:b/>
                <w:i/>
              </w:rPr>
              <w:tab/>
              <w:t xml:space="preserve">Jeżeli </w:t>
            </w:r>
            <w:r w:rsidRPr="0001456D">
              <w:rPr>
                <w:b/>
                <w:i/>
              </w:rPr>
              <w:t xml:space="preserve">obywatel państwa trzeciego lub bezpaństwowiec, który został zatrzymany w związku z nieuregulowanym przekroczeniem granicy zewnętrznej, składa wniosek o udzielenie ochrony międzynarodowej w czasie zatrzymania lub po zatrzymaniu, państwo członkowskie, które </w:t>
            </w:r>
            <w:r w:rsidRPr="0001456D">
              <w:rPr>
                <w:b/>
                <w:i/>
              </w:rPr>
              <w:t>dokonało zatrzymania, nie powinno być zwolnione z obowiązku pobrania i zarejestrowania danych biometrycznych tej osoby zgodnie z niniejszym rozporządzeniem.</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w:t>
      </w:r>
      <w:r w:rsidRPr="00FD031D">
        <w:rPr>
          <w:rStyle w:val="HideTWBExt"/>
          <w:lang w:val="en-GB"/>
        </w:rPr>
        <w:t>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Preambuła – punkt 6 – motyw 24 a c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D1390F">
        <w:trPr>
          <w:trHeight w:val="587"/>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72617">
            <w:pPr>
              <w:pStyle w:val="Normal6"/>
              <w:rPr>
                <w:b/>
                <w:i/>
              </w:rPr>
            </w:pPr>
            <w:r w:rsidRPr="0001456D">
              <w:rPr>
                <w:b/>
                <w:i/>
              </w:rPr>
              <w:t>(24ac)</w:t>
            </w:r>
            <w:r w:rsidRPr="0001456D">
              <w:rPr>
                <w:b/>
                <w:i/>
              </w:rPr>
              <w:tab/>
              <w:t xml:space="preserve">Państwa członkowskie powinny </w:t>
            </w:r>
            <w:r w:rsidRPr="0001456D">
              <w:rPr>
                <w:b/>
                <w:i/>
              </w:rPr>
              <w:t>ponownie wykorzystywać pobrane na podstawie niniejszego rozporządzenia dane biometryczne obywateli państw trzecich lub bezpaństwowców, których zatrzymano w związku z nieuregulowanym przekroczeniem granicy zewnętrznej lub co do których stwierdzono, że przeb</w:t>
            </w:r>
            <w:r w:rsidRPr="0001456D">
              <w:rPr>
                <w:b/>
                <w:i/>
              </w:rPr>
              <w:t xml:space="preserve">ywają nielegalnie państwie członkowskim, do celów przekazania do systemu centralnego i CIR zgodnie z warunkami określonymi w niniejszym rozporządzeniu. </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Preambuła – punkt 6 a (nowy) – motyw 57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9449BF">
            <w:pPr>
              <w:pStyle w:val="Normal6"/>
              <w:rPr>
                <w:rFonts w:ascii="Calibri" w:hAnsi="Calibri" w:cs="Calibri"/>
                <w:b/>
                <w:bCs/>
                <w:color w:val="1F497D"/>
                <w:sz w:val="20"/>
              </w:rPr>
            </w:pPr>
            <w:r w:rsidRPr="0001456D">
              <w:rPr>
                <w:b/>
                <w:i/>
              </w:rPr>
              <w:t>(6a)</w:t>
            </w:r>
            <w:r w:rsidRPr="0001456D">
              <w:rPr>
                <w:b/>
                <w:i/>
              </w:rPr>
              <w:tab/>
              <w:t xml:space="preserve">po motywie 57 dodaje się motyw </w:t>
            </w:r>
            <w:r w:rsidRPr="0001456D">
              <w:rPr>
                <w:b/>
                <w:i/>
              </w:rPr>
              <w:t>w brzmieniu:</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C548B">
            <w:pPr>
              <w:pStyle w:val="Normal6"/>
              <w:rPr>
                <w:szCs w:val="24"/>
              </w:rPr>
            </w:pPr>
            <w:r w:rsidRPr="0001456D">
              <w:rPr>
                <w:b/>
                <w:i/>
              </w:rPr>
              <w:t>(57a)</w:t>
            </w:r>
            <w:r w:rsidRPr="0001456D">
              <w:rPr>
                <w:b/>
                <w:i/>
              </w:rPr>
              <w:tab/>
              <w:t>Aby umożliwić eu-LISA rozpoczęcie procesu wdrażania Eurodac niezwłocznie po wejściu w życie niniejszego rozporządzenia, Parlament Europejski, Rada i Komisja powinny dopilnować, aby zasoby finansowe i kadrowe udostępnione do celów ninie</w:t>
            </w:r>
            <w:r w:rsidRPr="0001456D">
              <w:rPr>
                <w:b/>
                <w:i/>
              </w:rPr>
              <w:t>jszego rozporządzenia osiągnęły poziom wskazany w sporządzonej przez Komisję ocenie skutków finansowych regulacji w odniesieniu do niniejszego rozporządzenia.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w:t>
      </w:r>
      <w:r w:rsidRPr="00FD031D">
        <w:rPr>
          <w:rStyle w:val="HideTWBExt"/>
          <w:lang w:val="en-GB"/>
        </w:rPr>
        <w:t>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1 – litera b</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b)</w:t>
            </w:r>
            <w:r w:rsidRPr="0001456D">
              <w:tab/>
              <w:t>pomoc w</w:t>
            </w:r>
            <w:r w:rsidRPr="0001456D">
              <w:rPr>
                <w:b/>
                <w:i/>
              </w:rPr>
              <w:t> stosowaniu</w:t>
            </w:r>
            <w:r w:rsidRPr="0001456D">
              <w:rPr>
                <w:b/>
                <w:i/>
              </w:rPr>
              <w:t xml:space="preserve"> rozporządzenia</w:t>
            </w:r>
            <w:r w:rsidRPr="0001456D">
              <w:t xml:space="preserve"> (UE) XXX/XXX [Rozporządzenie w sprawie przesiedleń] na warunkach określonych w niniejszym rozporządzeniu;</w:t>
            </w:r>
          </w:p>
        </w:tc>
        <w:tc>
          <w:tcPr>
            <w:tcW w:w="4876" w:type="dxa"/>
            <w:hideMark/>
          </w:tcPr>
          <w:p w:rsidR="007605D8" w:rsidRPr="0001456D" w:rsidRDefault="00FD031D" w:rsidP="00777DF3">
            <w:pPr>
              <w:pStyle w:val="Normal6"/>
              <w:rPr>
                <w:szCs w:val="24"/>
              </w:rPr>
            </w:pPr>
            <w:r w:rsidRPr="0001456D">
              <w:t>b)</w:t>
            </w:r>
            <w:r w:rsidRPr="0001456D">
              <w:tab/>
              <w:t>pomoc w</w:t>
            </w:r>
            <w:r w:rsidRPr="0001456D">
              <w:rPr>
                <w:b/>
                <w:i/>
              </w:rPr>
              <w:t xml:space="preserve"> wykrywaniu wtórnych przepływów obywateli państw trzecich przesiedlonych zgodnie z rozporządzeniem</w:t>
            </w:r>
            <w:r w:rsidRPr="0001456D">
              <w:t xml:space="preserve"> (UE) XXX/XXX [rozporządze</w:t>
            </w:r>
            <w:r w:rsidRPr="0001456D">
              <w:t>nie w sprawie przesiedleń] na warunkach określonych w niniejszym rozporządzeniu;</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w:t>
      </w:r>
      <w:r w:rsidRPr="0001456D">
        <w:t>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1 – litera c a (nowa)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ca)</w:t>
            </w:r>
            <w:r w:rsidRPr="0001456D">
              <w:rPr>
                <w:b/>
                <w:i/>
              </w:rPr>
              <w:tab/>
              <w:t>pomoc w ochronie dzieci będących ofiarami handlu ludźmi oraz identyfikowanie i ochr</w:t>
            </w:r>
            <w:r w:rsidRPr="0001456D">
              <w:rPr>
                <w:b/>
                <w:i/>
              </w:rPr>
              <w:t>ona dzieci zaginionych;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normatywna </w:t>
      </w:r>
      <w:r w:rsidRPr="0001456D">
        <w:t>– punkt 9 – artykuł 1 – ustęp 1 – litera d</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d)</w:t>
            </w:r>
            <w:r w:rsidRPr="0001456D">
              <w:tab/>
              <w:t xml:space="preserve">ustanowienie warunków, na jakich wyznaczone organy państw członkowskich oraz Europejski Urząd Policji (Europol) mogą występować z wnioskiem o porównanie </w:t>
            </w:r>
            <w:r w:rsidRPr="0001456D">
              <w:t>danych biometrycznych lub alfanumerycznych z danymi przechowywanymi w systemie centralnym na potrzeby ochrony porządku publicznego w celu zapobiegania przestępstwom terrorystycznym i innym poważnym przestępstwom, wykrywania ich lub prowadzenia dochodzeń w </w:t>
            </w:r>
            <w:r w:rsidRPr="0001456D">
              <w:t>ich sprawie;</w:t>
            </w:r>
          </w:p>
        </w:tc>
        <w:tc>
          <w:tcPr>
            <w:tcW w:w="4876" w:type="dxa"/>
            <w:hideMark/>
          </w:tcPr>
          <w:p w:rsidR="007605D8" w:rsidRPr="0001456D" w:rsidRDefault="00FD031D" w:rsidP="007605D8">
            <w:pPr>
              <w:pStyle w:val="Normal6"/>
              <w:rPr>
                <w:szCs w:val="24"/>
              </w:rPr>
            </w:pPr>
            <w:r w:rsidRPr="0001456D">
              <w:t>d)</w:t>
            </w:r>
            <w:r w:rsidRPr="0001456D">
              <w:tab/>
              <w:t>ustanowienie warunków, na jakich wyznaczone organy państw członkowskich oraz Europejski Urząd Policji (Europol) mogą występować z wnioskiem o porównanie danych biometrycznych lub alfanumerycznych z danymi przechowywanymi w systemie centraln</w:t>
            </w:r>
            <w:r w:rsidRPr="0001456D">
              <w:t xml:space="preserve">ym </w:t>
            </w:r>
            <w:r w:rsidRPr="0001456D">
              <w:rPr>
                <w:b/>
                <w:i/>
              </w:rPr>
              <w:t xml:space="preserve">lub we wspólnym repozytorium danych umożliwiających identyfikację (CIR) </w:t>
            </w:r>
            <w:r w:rsidRPr="0001456D">
              <w:t>na potrzeby ochrony porządku publicznego w celu zapobiegania przestępstwom terrorystycznym i innym poważnym przestępstwom, wykrywania ich lub prowadzenia dochodzeń w ich sprawie;</w:t>
            </w:r>
          </w:p>
        </w:tc>
      </w:tr>
    </w:tbl>
    <w:p w:rsidR="007605D8" w:rsidRPr="00FD031D" w:rsidRDefault="00FD031D" w:rsidP="007605D8">
      <w:pPr>
        <w:pStyle w:val="Olang"/>
        <w:rPr>
          <w:noProof w:val="0"/>
          <w:lang w:val="en-GB"/>
        </w:rPr>
      </w:pPr>
      <w:r w:rsidRPr="00FD031D">
        <w:rPr>
          <w:noProof w:val="0"/>
          <w:lang w:val="en-GB"/>
        </w:rPr>
        <w:t>O</w:t>
      </w:r>
      <w:r w:rsidRPr="00FD031D">
        <w:rPr>
          <w:noProof w:val="0"/>
          <w:lang w:val="en-GB"/>
        </w:rPr>
        <w:t xml:space="preserve">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w:t>
      </w:r>
      <w:r w:rsidRPr="0001456D">
        <w:t>tęp 1 – litera f</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f)</w:t>
            </w:r>
            <w:r w:rsidRPr="0001456D">
              <w:tab/>
            </w:r>
            <w:r w:rsidRPr="0001456D">
              <w:rPr>
                <w:b/>
                <w:i/>
              </w:rPr>
              <w:t>realizacja celów europejskiego systemu</w:t>
            </w:r>
            <w:r w:rsidRPr="0001456D">
              <w:t xml:space="preserve"> informacji o podróży oraz zezwoleń na podróż (ETIAS) </w:t>
            </w:r>
            <w:r w:rsidRPr="0001456D">
              <w:rPr>
                <w:b/>
                <w:i/>
              </w:rPr>
              <w:t>ustanowionego</w:t>
            </w:r>
            <w:r w:rsidRPr="0001456D">
              <w:t xml:space="preserve"> rozporządzeniem (UE) 2018/1240;</w:t>
            </w:r>
          </w:p>
        </w:tc>
        <w:tc>
          <w:tcPr>
            <w:tcW w:w="4876" w:type="dxa"/>
            <w:hideMark/>
          </w:tcPr>
          <w:p w:rsidR="007605D8" w:rsidRPr="0001456D" w:rsidRDefault="00FD031D" w:rsidP="00352984">
            <w:pPr>
              <w:pStyle w:val="Normal6"/>
              <w:rPr>
                <w:szCs w:val="24"/>
              </w:rPr>
            </w:pPr>
            <w:r w:rsidRPr="0001456D">
              <w:t>f)</w:t>
            </w:r>
            <w:r w:rsidRPr="0001456D">
              <w:tab/>
            </w:r>
            <w:r w:rsidRPr="0001456D">
              <w:rPr>
                <w:b/>
                <w:i/>
              </w:rPr>
              <w:t xml:space="preserve">wspieranie wymiany informacji z </w:t>
            </w:r>
            <w:r w:rsidRPr="0001456D">
              <w:rPr>
                <w:b/>
                <w:i/>
              </w:rPr>
              <w:t>europejskim systemem</w:t>
            </w:r>
            <w:r w:rsidRPr="0001456D">
              <w:t xml:space="preserve"> informacji o podróży oraz zezwoleń na podróż (ETIAS) </w:t>
            </w:r>
            <w:r w:rsidRPr="0001456D">
              <w:rPr>
                <w:b/>
                <w:i/>
              </w:rPr>
              <w:t>ustanowionym</w:t>
            </w:r>
            <w:r w:rsidRPr="0001456D">
              <w:t xml:space="preserve"> rozporządzeniem (UE) 2018/1240;</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9 – artykuł 1 – ustęp 1 – litera g</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g)</w:t>
            </w:r>
            <w:r w:rsidRPr="0001456D">
              <w:tab/>
            </w:r>
            <w:r w:rsidRPr="0001456D">
              <w:rPr>
                <w:b/>
                <w:i/>
              </w:rPr>
              <w:t>realizacja celów wizowego systemu informacyjnego</w:t>
            </w:r>
            <w:r w:rsidRPr="0001456D">
              <w:t xml:space="preserve"> (VIS), o którym mowa w rozporządzeniu (WE) nr 767/2008</w:t>
            </w:r>
            <w:r w:rsidRPr="0001456D">
              <w:rPr>
                <w:b/>
                <w:i/>
              </w:rPr>
              <w:t>.</w:t>
            </w:r>
          </w:p>
        </w:tc>
        <w:tc>
          <w:tcPr>
            <w:tcW w:w="4876" w:type="dxa"/>
            <w:hideMark/>
          </w:tcPr>
          <w:p w:rsidR="007605D8" w:rsidRPr="0001456D" w:rsidRDefault="00FD031D" w:rsidP="00352984">
            <w:pPr>
              <w:pStyle w:val="Normal6"/>
              <w:rPr>
                <w:szCs w:val="24"/>
              </w:rPr>
            </w:pPr>
            <w:r w:rsidRPr="0001456D">
              <w:t>g)</w:t>
            </w:r>
            <w:r w:rsidRPr="0001456D">
              <w:tab/>
            </w:r>
            <w:r w:rsidRPr="0001456D">
              <w:rPr>
                <w:b/>
                <w:i/>
              </w:rPr>
              <w:t>wspieranie wymiany informacji z wizowym systemem informacyjnym</w:t>
            </w:r>
            <w:r w:rsidRPr="0001456D">
              <w:t xml:space="preserve"> (VIS), o którym mowa w rozporządzeniu (WE) nr 767/2008</w:t>
            </w:r>
            <w:r w:rsidRPr="0001456D">
              <w:rPr>
                <w:b/>
                <w:i/>
              </w:rPr>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9 – artykuł 1 – ustęp 1 – litera g a (nowa)</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77DF3">
            <w:pPr>
              <w:pStyle w:val="Normal6"/>
              <w:rPr>
                <w:szCs w:val="24"/>
              </w:rPr>
            </w:pPr>
            <w:r w:rsidRPr="0001456D">
              <w:rPr>
                <w:b/>
                <w:i/>
              </w:rPr>
              <w:t>ga)</w:t>
            </w:r>
            <w:r w:rsidRPr="0001456D">
              <w:tab/>
            </w:r>
            <w:r w:rsidRPr="0001456D">
              <w:rPr>
                <w:b/>
                <w:i/>
              </w:rPr>
              <w:t>umożliwienie tworzenia statystyk dotyczących osób ubiegających się o ochronę międzynarodową, osób przybywających w celu przesiedlenia lub przyjęcia ze względów humanitarnych oraz osób, którym przyznano ochronę międzynarodową i którym jej odm</w:t>
            </w:r>
            <w:r w:rsidRPr="0001456D">
              <w:rPr>
                <w:b/>
                <w:i/>
              </w:rPr>
              <w:t>ówiono, w celu wspierania opartego na dowodach kształtowania unijnej polityki azylowej i migracyjnej.</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19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r>
            <w:r w:rsidRPr="0001456D">
              <w:rPr>
                <w:b/>
                <w:i/>
              </w:rPr>
              <w:t>Bez uszczerbku dla</w:t>
            </w:r>
            <w:r w:rsidRPr="0001456D">
              <w:t xml:space="preserve"> możliwości przetwarzania danych przeznaczonych do Eurodac przez państwo członkowskie pochodzenia w bazach danych ustanowionych na mocy prawa krajowego tego państwa członkowskiego, dane biometryczne i inne dane osobowe mogą być przetwarzane w Eurodac tylko</w:t>
            </w:r>
            <w:r w:rsidRPr="0001456D">
              <w:t xml:space="preserve"> w celach określonych w niniejszym rozporządzeniu</w:t>
            </w:r>
            <w:r w:rsidRPr="0001456D">
              <w:rPr>
                <w:b/>
                <w:i/>
              </w:rPr>
              <w:t>,</w:t>
            </w:r>
            <w:r w:rsidRPr="0001456D">
              <w:t xml:space="preserve"> </w:t>
            </w:r>
            <w:r w:rsidRPr="0001456D">
              <w:rPr>
                <w:b/>
                <w:i/>
              </w:rPr>
              <w:t>w rozporządzeniu</w:t>
            </w:r>
            <w:r w:rsidRPr="0001456D">
              <w:t xml:space="preserve"> (UE) XXX/XXX [Rozporządzenie w sprawie zarządzania azylem i migracją]</w:t>
            </w:r>
            <w:r w:rsidRPr="0001456D">
              <w:rPr>
                <w:b/>
                <w:i/>
              </w:rPr>
              <w:t xml:space="preserve"> oraz</w:t>
            </w:r>
            <w:r w:rsidRPr="0001456D">
              <w:t xml:space="preserve"> </w:t>
            </w:r>
            <w:r w:rsidRPr="0001456D">
              <w:rPr>
                <w:b/>
                <w:i/>
              </w:rPr>
              <w:t>w</w:t>
            </w:r>
            <w:r w:rsidRPr="0001456D">
              <w:t> </w:t>
            </w:r>
            <w:r w:rsidRPr="0001456D">
              <w:rPr>
                <w:b/>
                <w:i/>
              </w:rPr>
              <w:t>rozporządzeniu</w:t>
            </w:r>
            <w:r w:rsidRPr="0001456D">
              <w:t xml:space="preserve"> (UE) XXX/XXX [Rozporządzenie w</w:t>
            </w:r>
            <w:r w:rsidRPr="0001456D">
              <w:rPr>
                <w:b/>
                <w:i/>
              </w:rPr>
              <w:t> </w:t>
            </w:r>
            <w:r w:rsidRPr="0001456D">
              <w:t>sprawie przesiedleń].</w:t>
            </w:r>
          </w:p>
        </w:tc>
        <w:tc>
          <w:tcPr>
            <w:tcW w:w="4876" w:type="dxa"/>
            <w:hideMark/>
          </w:tcPr>
          <w:p w:rsidR="007605D8" w:rsidRPr="0001456D" w:rsidRDefault="00FD031D" w:rsidP="00397221">
            <w:pPr>
              <w:pStyle w:val="Normal6"/>
              <w:rPr>
                <w:szCs w:val="24"/>
              </w:rPr>
            </w:pPr>
            <w:r w:rsidRPr="0001456D">
              <w:t>2.</w:t>
            </w:r>
            <w:r w:rsidRPr="0001456D">
              <w:tab/>
            </w:r>
            <w:r w:rsidRPr="0001456D">
              <w:rPr>
                <w:b/>
                <w:i/>
              </w:rPr>
              <w:t>Z zastrzeżeniem</w:t>
            </w:r>
            <w:r w:rsidRPr="0001456D">
              <w:t xml:space="preserve"> możliwości przetwarzania danych przeznaczonych do Eurodac przez państwo członkowskie pochodzenia w bazach danych ustanowionych na mocy prawa krajowego tego państwa członkowskiego, dane biometryczne i inne dane osobowe mogą być przetwarzane w Eurodac tylko</w:t>
            </w:r>
            <w:r w:rsidRPr="0001456D">
              <w:t xml:space="preserve"> w celach określonych w niniejszym rozporządzeniu</w:t>
            </w:r>
            <w:r w:rsidRPr="0001456D">
              <w:rPr>
                <w:b/>
                <w:i/>
              </w:rPr>
              <w:t xml:space="preserve"> i</w:t>
            </w:r>
            <w:r w:rsidRPr="0001456D">
              <w:t xml:space="preserve"> </w:t>
            </w:r>
            <w:r w:rsidRPr="0001456D">
              <w:rPr>
                <w:b/>
                <w:i/>
              </w:rPr>
              <w:t>w</w:t>
            </w:r>
            <w:r w:rsidRPr="0001456D">
              <w:t> </w:t>
            </w:r>
            <w:r w:rsidRPr="0001456D">
              <w:rPr>
                <w:b/>
                <w:i/>
              </w:rPr>
              <w:t>rozporządzeniach</w:t>
            </w:r>
            <w:r w:rsidRPr="0001456D">
              <w:t xml:space="preserve"> (UE) XXX/XXX [rozporządzenie w sprawie zarządzania azylem i migracją]</w:t>
            </w:r>
            <w:r w:rsidRPr="0001456D">
              <w:rPr>
                <w:b/>
                <w:i/>
              </w:rPr>
              <w:t xml:space="preserve">, </w:t>
            </w:r>
            <w:r w:rsidRPr="0001456D">
              <w:t>(UE) XXX/XXX [rozporządzenie w sprawie przesiedleń]</w:t>
            </w:r>
            <w:r w:rsidRPr="0001456D">
              <w:rPr>
                <w:b/>
                <w:i/>
              </w:rPr>
              <w:t>, (UE) 2019/818,</w:t>
            </w:r>
            <w:r w:rsidRPr="0001456D">
              <w:t xml:space="preserve"> </w:t>
            </w:r>
            <w:r w:rsidRPr="0001456D">
              <w:rPr>
                <w:b/>
                <w:i/>
              </w:rPr>
              <w:t>(UE) XXX/XXX zmieniającym</w:t>
            </w:r>
            <w:r w:rsidRPr="0001456D">
              <w:t xml:space="preserve"> </w:t>
            </w:r>
            <w:r w:rsidRPr="0001456D">
              <w:rPr>
                <w:b/>
                <w:i/>
              </w:rPr>
              <w:t>[rozporządzenie w sp</w:t>
            </w:r>
            <w:r w:rsidRPr="0001456D">
              <w:rPr>
                <w:b/>
                <w:i/>
              </w:rPr>
              <w:t>rawie VIS] oraz (UE) 2018/1240</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w:t>
      </w:r>
      <w:r w:rsidRPr="0001456D">
        <w:t>matywna – punkt 9 – artykuł 1 – ustęp 2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52984">
            <w:pPr>
              <w:pStyle w:val="Normal6"/>
              <w:rPr>
                <w:szCs w:val="24"/>
              </w:rPr>
            </w:pPr>
            <w:r w:rsidRPr="0001456D">
              <w:rPr>
                <w:b/>
                <w:i/>
              </w:rPr>
              <w:t>2a.</w:t>
            </w:r>
            <w:r w:rsidRPr="0001456D">
              <w:tab/>
            </w:r>
            <w:r w:rsidRPr="0001456D">
              <w:rPr>
                <w:b/>
                <w:i/>
              </w:rPr>
              <w:t xml:space="preserve">Niniejsze rozporządzenie zapewnia pełne poszanowanie godności ludzkiej oraz praw podstawowych w pełnej zgodności z Kartą praw podstawowych Unii </w:t>
            </w:r>
            <w:r w:rsidRPr="0001456D">
              <w:rPr>
                <w:b/>
                <w:i/>
              </w:rPr>
              <w:t xml:space="preserve">Europejskiej, co obejmuje prawo do poszanowania życia prywatnego, prawo do ochrony danych osobowych, prawo do azylu, zasadę non-refoulement oraz zakaz tortur i nieludzkiego lub poniżającego traktowania. W związku z powyższym przetwarzanie danych osobowych </w:t>
            </w:r>
            <w:r w:rsidRPr="0001456D">
              <w:rPr>
                <w:b/>
                <w:i/>
              </w:rPr>
              <w:t>zgodnie z niniejszym rozporządzeniem nie może prowadzić do jakiejkolwiek dyskryminacji.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2 b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471EC9">
            <w:pPr>
              <w:pStyle w:val="Normal6"/>
              <w:rPr>
                <w:szCs w:val="24"/>
              </w:rPr>
            </w:pPr>
            <w:r w:rsidRPr="0001456D">
              <w:rPr>
                <w:b/>
                <w:i/>
              </w:rPr>
              <w:t>2b.</w:t>
            </w:r>
            <w:r w:rsidRPr="0001456D">
              <w:tab/>
            </w:r>
            <w:r w:rsidRPr="0001456D">
              <w:rPr>
                <w:b/>
                <w:i/>
              </w:rPr>
              <w:t xml:space="preserve">Przy stosowaniu niniejszego rozporządzenia uwzględnia się przede wszystkim nadrzędny </w:t>
            </w:r>
            <w:r w:rsidRPr="0001456D">
              <w:rPr>
                <w:b/>
                <w:i/>
              </w:rPr>
              <w:t>interes dziecka. Obejmuje to wdrożenie odpowiednich przepisów i gwarancji praw dziecka przy stosowaniu niniejszego rozporządzenia wobec osoby, która deklaruje, że jest dzieckiem, lub, w zależności od przypadku, wobec osoby, co do której istnieją powody, by</w:t>
            </w:r>
            <w:r w:rsidRPr="0001456D">
              <w:rPr>
                <w:b/>
                <w:i/>
              </w:rPr>
              <w:t xml:space="preserve"> sądzić, że jest dzieckiem, a nie jest dostępny żaden dowód potwierdzający jej wiek. W razie niepewności co do wieku dziecka, organy stosują zasadę rozstrzygania wątpliwości na korzyść tej osoby. W razie niepewności co do wieku osoby, która deklaruje, że j</w:t>
            </w:r>
            <w:r w:rsidRPr="0001456D">
              <w:rPr>
                <w:b/>
                <w:i/>
              </w:rPr>
              <w:t>est dzieckiem, organy stosują zasadę rozstrzygania wątpliwości na korzyść tej osoby. Oznacza to, że jeżeli jest możliwe, iż osoba ta ma mniej niż 6 lat, organy traktują tę osobę jako taką.</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w:t>
      </w:r>
      <w:r w:rsidRPr="00FD031D">
        <w:rPr>
          <w:lang w:val="en-GB"/>
        </w:rPr>
        <w:t>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2 c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F37A1D">
            <w:pPr>
              <w:pStyle w:val="Normal6"/>
              <w:rPr>
                <w:szCs w:val="24"/>
              </w:rPr>
            </w:pPr>
            <w:r w:rsidRPr="0001456D">
              <w:rPr>
                <w:b/>
                <w:i/>
              </w:rPr>
              <w:t>2c.</w:t>
            </w:r>
            <w:r w:rsidRPr="0001456D">
              <w:tab/>
            </w:r>
            <w:r w:rsidRPr="0001456D">
              <w:rPr>
                <w:b/>
                <w:i/>
              </w:rPr>
              <w:t>Jeżeli dane Eurodac dotyczą dziecka poniżej czternastego roku życia, dane te wykorzystuje się wyłącznie do celów ochrony porządku publicznego, z wyjątkiem celów związanych z handlem dziećmi, o ile istnieją dodatkowe dowody wskazujące, że dan</w:t>
            </w:r>
            <w:r w:rsidRPr="0001456D">
              <w:rPr>
                <w:b/>
                <w:i/>
              </w:rPr>
              <w:t>e te są istotne dla zapobiegania przestępstwom terrorystycznym lub innym poważnym przestępstwom, ich wykrywania lub prowadzenia postępowań w ich sprawie.</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9 – artykuł 1 – ustęp 2 d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F37A1D">
            <w:pPr>
              <w:pStyle w:val="Normal6"/>
              <w:rPr>
                <w:szCs w:val="24"/>
              </w:rPr>
            </w:pPr>
            <w:r w:rsidRPr="0001456D">
              <w:rPr>
                <w:b/>
                <w:i/>
              </w:rPr>
              <w:t>2d.</w:t>
            </w:r>
            <w:r w:rsidRPr="0001456D">
              <w:tab/>
            </w:r>
            <w:r w:rsidRPr="0001456D">
              <w:rPr>
                <w:b/>
                <w:i/>
              </w:rPr>
              <w:t xml:space="preserve">Dzieci nie mogą być </w:t>
            </w:r>
            <w:r w:rsidRPr="0001456D">
              <w:rPr>
                <w:b/>
                <w:i/>
              </w:rPr>
              <w:t>zatrzymywane w celu ustalenia lub weryfikacji ich tożsamości lub pobrania danych biometrycznych, niezależnie od wieku i od tego, czy są pozbawione opieki, czy też towarzyszą im rodziny. W odniesieniu do dzieci i ich rodzin zawsze stosuje się rozwiązania op</w:t>
            </w:r>
            <w:r w:rsidRPr="0001456D">
              <w:rPr>
                <w:b/>
                <w:i/>
              </w:rPr>
              <w:t>arte na społeczności i nieizolacyjne, które są alternatywą dla zatrzymania.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dotyczący </w:t>
      </w:r>
      <w:r w:rsidRPr="0001456D">
        <w:t>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10 – litera -a (nowa) – artykuł 3 – ustęp 1 – litera a a (nowa)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4855CD" w:rsidRPr="0001456D" w:rsidRDefault="004855CD" w:rsidP="007605D8">
            <w:pPr>
              <w:pStyle w:val="Normal6"/>
            </w:pPr>
          </w:p>
        </w:tc>
        <w:tc>
          <w:tcPr>
            <w:tcW w:w="4876" w:type="dxa"/>
          </w:tcPr>
          <w:p w:rsidR="004855CD" w:rsidRPr="0001456D" w:rsidRDefault="00FD031D" w:rsidP="004855CD">
            <w:pPr>
              <w:pStyle w:val="Normal6"/>
              <w:rPr>
                <w:b/>
                <w:i/>
              </w:rPr>
            </w:pPr>
            <w:r w:rsidRPr="0001456D">
              <w:rPr>
                <w:b/>
                <w:i/>
              </w:rPr>
              <w:t xml:space="preserve">-a) </w:t>
            </w:r>
            <w:r w:rsidRPr="0001456D">
              <w:rPr>
                <w:b/>
                <w:i/>
              </w:rPr>
              <w:tab/>
              <w:t>w ust. 1 dodaje się literę w brzmieniu:</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aa)</w:t>
            </w:r>
            <w:r w:rsidRPr="0001456D">
              <w:rPr>
                <w:b/>
                <w:i/>
              </w:rPr>
              <w:tab/>
              <w:t xml:space="preserve">„przesiedlony obywatel </w:t>
            </w:r>
            <w:r w:rsidRPr="0001456D">
              <w:rPr>
                <w:b/>
                <w:i/>
              </w:rPr>
              <w:t>państwa trzeciego lub bezpaństwowiec” oznacza obywatela państwa trzeciego lub bezpaństwowca, który w następstwie procedury przesiedlenia zgodnie z prawem krajowym lub z [rozporządzeniem (UE) XXX/XXX] [rozporządzenie w sprawie przesiedleń] przybywa na teryt</w:t>
            </w:r>
            <w:r w:rsidRPr="0001456D">
              <w:rPr>
                <w:b/>
                <w:i/>
              </w:rPr>
              <w:t>orium państwa członkowskiego przesiedlenia;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10 – litera b – artykuł 3 – ustęp 1 – litera p</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bp)</w:t>
            </w:r>
            <w:r w:rsidRPr="0001456D">
              <w:rPr>
                <w:b/>
                <w:i/>
              </w:rPr>
              <w:tab/>
            </w:r>
            <w:r w:rsidRPr="0001456D">
              <w:t xml:space="preserve">„CIR” oznacza wspólne repozytorium danych umożliwiających identyfikację, jak określono w art. 17 rozporządzenia (UE) </w:t>
            </w:r>
            <w:r w:rsidRPr="0001456D">
              <w:t>2019/818;</w:t>
            </w:r>
          </w:p>
        </w:tc>
        <w:tc>
          <w:tcPr>
            <w:tcW w:w="4876" w:type="dxa"/>
            <w:hideMark/>
          </w:tcPr>
          <w:p w:rsidR="007605D8" w:rsidRPr="0001456D" w:rsidRDefault="00FD031D" w:rsidP="007605D8">
            <w:pPr>
              <w:pStyle w:val="Normal6"/>
              <w:rPr>
                <w:szCs w:val="24"/>
              </w:rPr>
            </w:pPr>
            <w:r w:rsidRPr="0001456D">
              <w:t>p)</w:t>
            </w:r>
            <w:r w:rsidRPr="0001456D">
              <w:rPr>
                <w:b/>
                <w:i/>
              </w:rPr>
              <w:tab/>
            </w:r>
            <w:r w:rsidRPr="0001456D">
              <w:t>„CIR” oznacza wspólne repozytorium danych umożliwiających identyfikację, jak określono w art. 17 rozporządzenia (UE) 2019/818</w:t>
            </w:r>
            <w:r w:rsidRPr="0001456D">
              <w:rPr>
                <w:b/>
                <w:i/>
              </w:rPr>
              <w:t>, zastępujące system centralny Eurodac w zakresie, w jakim przechowuje dane osobowe, o których mowa w art. 18 tego roz</w:t>
            </w:r>
            <w:r w:rsidRPr="0001456D">
              <w:rPr>
                <w:b/>
                <w:i/>
              </w:rPr>
              <w:t>porządzenia</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 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w:t>
      </w:r>
      <w:r w:rsidRPr="0001456D">
        <w:t>10 – litera b – artykuł 3 – ustęp 1 – litera r a (nowa)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F37A1D">
            <w:pPr>
              <w:pStyle w:val="Normal6"/>
              <w:rPr>
                <w:szCs w:val="24"/>
              </w:rPr>
            </w:pPr>
            <w:r w:rsidRPr="0001456D">
              <w:rPr>
                <w:b/>
                <w:i/>
              </w:rPr>
              <w:t>ra)</w:t>
            </w:r>
            <w:r w:rsidRPr="0001456D">
              <w:rPr>
                <w:b/>
                <w:i/>
              </w:rPr>
              <w:tab/>
              <w:t>„dziecko” oznacza każdą istotę ludzką w wieku poniżej osiemnastu lat, zgodnie z definicją zawartą w Konwencji o prawach dziecka.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normatywna – punkt 11 – artykuł 4 – </w:t>
      </w:r>
      <w:r w:rsidRPr="0001456D">
        <w:t>ustęp 1 – litera c</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c)</w:t>
            </w:r>
            <w:r w:rsidRPr="0001456D">
              <w:tab/>
              <w:t>wspólne repozytorium danych umożliwiających identyfikację (CIR), zgodnie z art. 17 ust. 2 rozporządzenia 2019/818;</w:t>
            </w:r>
          </w:p>
        </w:tc>
        <w:tc>
          <w:tcPr>
            <w:tcW w:w="4876" w:type="dxa"/>
            <w:hideMark/>
          </w:tcPr>
          <w:p w:rsidR="007605D8" w:rsidRPr="0001456D" w:rsidRDefault="00FD031D" w:rsidP="00F37A1D">
            <w:pPr>
              <w:pStyle w:val="Normal6"/>
            </w:pPr>
            <w:r w:rsidRPr="0001456D">
              <w:t>c)</w:t>
            </w:r>
            <w:r w:rsidRPr="0001456D">
              <w:tab/>
              <w:t xml:space="preserve">wspólne repozytorium danych umożliwiających identyfikację </w:t>
            </w:r>
            <w:r w:rsidRPr="0001456D">
              <w:t>(CIR), zgodnie z art. 17 ust. 2 rozporządzenia 2019/818</w:t>
            </w:r>
            <w:r w:rsidRPr="0001456D">
              <w:rPr>
                <w:b/>
                <w:i/>
              </w:rPr>
              <w:t>, zastępujące system centralny w zakresie, w jakim przechowuje dane osobowe, o których mowa w art. 18 tego rozporządzenia</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28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w:t>
      </w:r>
      <w:r w:rsidRPr="00FD031D">
        <w:rPr>
          <w:rStyle w:val="HideTWBExt"/>
          <w:lang w:val="en-GB"/>
        </w:rPr>
        <w: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11 – artykuł 4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 xml:space="preserve">CIR zawiera </w:t>
            </w:r>
            <w:r w:rsidRPr="0001456D">
              <w:t>dane, o których mowa w art. 12 lit. a)–f), h), i), art. 13 ust. 2 lit. a)–f), h), i), art. 14 ust. 2 lit. a)–f), h), i) oraz art. 14a lit. a)–f), h), i). Pozostałe dane Eurodac są przechowywane w systemie centralnym.</w:t>
            </w:r>
          </w:p>
        </w:tc>
        <w:tc>
          <w:tcPr>
            <w:tcW w:w="4876" w:type="dxa"/>
            <w:hideMark/>
          </w:tcPr>
          <w:p w:rsidR="007605D8" w:rsidRPr="0001456D" w:rsidRDefault="00FD031D" w:rsidP="007605D8">
            <w:pPr>
              <w:pStyle w:val="Normal6"/>
              <w:rPr>
                <w:szCs w:val="24"/>
              </w:rPr>
            </w:pPr>
            <w:r w:rsidRPr="0001456D">
              <w:t>2.</w:t>
            </w:r>
            <w:r w:rsidRPr="0001456D">
              <w:tab/>
              <w:t>CIR zawiera dane</w:t>
            </w:r>
            <w:r w:rsidRPr="0001456D">
              <w:rPr>
                <w:b/>
                <w:i/>
              </w:rPr>
              <w:t xml:space="preserve"> osobowe</w:t>
            </w:r>
            <w:r w:rsidRPr="0001456D">
              <w:t xml:space="preserve">, o których </w:t>
            </w:r>
            <w:r w:rsidRPr="0001456D">
              <w:t>mowa w art. 12 lit. a)–f), h), i), art. 13 ust. 2 lit. a)–f), h), i), art. 14 ust. 2 lit. a)–f), h), i) oraz art. 14a lit. a)–f), h), i). Pozostałe dane Eurodac są przechowywane w systemie centralnym.</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29</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11 – artykuł 4 – ustęp 5</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w:t>
            </w:r>
            <w:r w:rsidRPr="0001456D">
              <w:t>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5.</w:t>
            </w:r>
            <w:r w:rsidRPr="0001456D">
              <w:tab/>
              <w:t>Dane osób objętych art. 10 ust. 1, art. 13 ust. 1, art. 14 ust. 1 i art. 14a ust. 1, przetwarzane przez system centralny, są przetwarzane w imieniu państwa członkowskiego pochodzenia na warunkach określonych w niniejszym rozporządzeniu ora</w:t>
            </w:r>
            <w:r w:rsidRPr="0001456D">
              <w:t>z rozdzielane za pomocą odpowiednich środków technicznych.</w:t>
            </w:r>
          </w:p>
        </w:tc>
        <w:tc>
          <w:tcPr>
            <w:tcW w:w="4876" w:type="dxa"/>
            <w:hideMark/>
          </w:tcPr>
          <w:p w:rsidR="007605D8" w:rsidRPr="0001456D" w:rsidRDefault="00FD031D" w:rsidP="007605D8">
            <w:pPr>
              <w:pStyle w:val="Normal6"/>
            </w:pPr>
            <w:r w:rsidRPr="0001456D">
              <w:t>5.</w:t>
            </w:r>
            <w:r w:rsidRPr="0001456D">
              <w:tab/>
              <w:t>Dane osób objętych art. 10 ust. 1, art. 13 ust. 1, art. 14 ust. 1 i art. 14a ust. 1, przetwarzane przez system centralny, są przetwarzane w imieniu państwa członkowskiego pochodzenia na warunkac</w:t>
            </w:r>
            <w:r w:rsidRPr="0001456D">
              <w:t>h określonych w niniejszym rozporządzeniu</w:t>
            </w:r>
            <w:r w:rsidRPr="0001456D">
              <w:rPr>
                <w:b/>
                <w:i/>
              </w:rPr>
              <w:t>, odpowiednio zgodnie z rozporządzeniem (UE) 2016/679, rozporządzeniem (UE) 2018/1725 lub dyrektywą (UE) 2016/680</w:t>
            </w:r>
            <w:r w:rsidRPr="0001456D">
              <w:t xml:space="preserve"> oraz rozdzielane za pomocą odpowiednich środków technicznych.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11 – artykuł 4 – ustęp 6</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 xml:space="preserve">Tekst </w:t>
            </w:r>
            <w:r w:rsidRPr="0001456D">
              <w:t>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6.</w:t>
            </w:r>
            <w:r w:rsidRPr="0001456D">
              <w:tab/>
              <w:t xml:space="preserve">Wszystkie zestawy danych zarejestrowane w Eurodac dotyczące tego samego obywatela państwa trzeciego lub bezpaństwowca są powiązane ze sobą w ramach sekwencji. Jeżeli </w:t>
            </w:r>
            <w:r w:rsidRPr="0001456D">
              <w:rPr>
                <w:b/>
                <w:i/>
              </w:rPr>
              <w:t xml:space="preserve">wyszukiwanie jest prowadzone na podstawie odcisków </w:t>
            </w:r>
            <w:r w:rsidRPr="0001456D">
              <w:rPr>
                <w:b/>
                <w:i/>
              </w:rPr>
              <w:t>palców w zestawie danych dotyczących obywatela państwa trzeciego lub bezpaństwowca</w:t>
            </w:r>
            <w:r w:rsidRPr="0001456D">
              <w:t xml:space="preserve"> i uzyskane zostanie trafienie w odniesieniu do co najmniej jednego innego zestawu odcisków palców w innym zestawie danych dotyczących tego samego obywatela państwa trzeciego</w:t>
            </w:r>
            <w:r w:rsidRPr="0001456D">
              <w:t xml:space="preserve"> lub bezpaństwowca, Eurodac automatycznie wiąże te zestawy danych na podstawie porównania</w:t>
            </w:r>
            <w:r w:rsidRPr="0001456D">
              <w:rPr>
                <w:b/>
                <w:i/>
              </w:rPr>
              <w:t xml:space="preserve"> odcisków palców.</w:t>
            </w:r>
            <w:r w:rsidRPr="0001456D">
              <w:t xml:space="preserve"> </w:t>
            </w:r>
            <w:r w:rsidRPr="0001456D">
              <w:rPr>
                <w:b/>
                <w:i/>
              </w:rPr>
              <w:t xml:space="preserve">W razie potrzeby porównanie odcisków palców jest sprawdzane i potwierdzane przez eksperta w dziedzinie daktyloskopii zgodnie z art. 26. </w:t>
            </w:r>
            <w:r w:rsidRPr="0001456D">
              <w:t>Jeżeli otrzym</w:t>
            </w:r>
            <w:r w:rsidRPr="0001456D">
              <w:t>ujące państwo członkowskie potwierdzi trafienie, przesyła powiadomienie do eu-LISA, która potwierdzi powiązanie.</w:t>
            </w:r>
          </w:p>
        </w:tc>
        <w:tc>
          <w:tcPr>
            <w:tcW w:w="4876" w:type="dxa"/>
            <w:hideMark/>
          </w:tcPr>
          <w:p w:rsidR="007605D8" w:rsidRPr="0001456D" w:rsidRDefault="00FD031D" w:rsidP="00F37A1D">
            <w:pPr>
              <w:pStyle w:val="Normal6"/>
              <w:rPr>
                <w:szCs w:val="24"/>
              </w:rPr>
            </w:pPr>
            <w:r w:rsidRPr="0001456D">
              <w:t>6.</w:t>
            </w:r>
            <w:r w:rsidRPr="0001456D">
              <w:tab/>
              <w:t>Wszystkie zestawy danych zarejestrowane w Eurodac dotyczące tego samego obywatela państwa trzeciego lub bezpaństwowca są powiązane ze sobą w</w:t>
            </w:r>
            <w:r w:rsidRPr="0001456D">
              <w:t xml:space="preserve"> ramach sekwencji. Jeżeli </w:t>
            </w:r>
            <w:r w:rsidRPr="0001456D">
              <w:rPr>
                <w:b/>
                <w:i/>
              </w:rPr>
              <w:t>przeprowadza się automatyczne porównanie zgodnie z art. 15 i 16</w:t>
            </w:r>
            <w:r w:rsidRPr="0001456D">
              <w:t xml:space="preserve"> i uzyskane zostanie trafienie w odniesieniu do co najmniej jednego innego zestawu odcisków palców </w:t>
            </w:r>
            <w:r w:rsidRPr="0001456D">
              <w:rPr>
                <w:b/>
                <w:i/>
              </w:rPr>
              <w:t>i danych dotyczących wizerunku twarzy lub tylko danych dotyczących w</w:t>
            </w:r>
            <w:r w:rsidRPr="0001456D">
              <w:rPr>
                <w:b/>
                <w:i/>
              </w:rPr>
              <w:t xml:space="preserve">izerunku twarzy </w:t>
            </w:r>
            <w:r w:rsidRPr="0001456D">
              <w:t xml:space="preserve">w innym zestawie danych dotyczących tego samego obywatela państwa trzeciego lub bezpaństwowca, Eurodac automatycznie wiąże te zestawy danych na podstawie porównania. </w:t>
            </w:r>
            <w:r w:rsidRPr="0001456D">
              <w:rPr>
                <w:b/>
                <w:i/>
              </w:rPr>
              <w:t>Dostęp do nich zarówno ze strony wyznaczonych organów państw członkowskich</w:t>
            </w:r>
            <w:r w:rsidRPr="0001456D">
              <w:rPr>
                <w:b/>
                <w:i/>
              </w:rPr>
              <w:t>, jak i upoważnionych agencji Unii Europejskiej jest jednak ściśle regulowany, aby skutecznie chronić prawo danej osoby do prywatności i ochrony danych. W związku z tym dostęp taki powinien być ograniczony w czasie i ograniczać się do danych niezbędnych do</w:t>
            </w:r>
            <w:r w:rsidRPr="0001456D">
              <w:rPr>
                <w:b/>
                <w:i/>
              </w:rPr>
              <w:t xml:space="preserve"> ścisłego wykonywania ich zadań.  Ponadto</w:t>
            </w:r>
            <w:r w:rsidRPr="0001456D">
              <w:t xml:space="preserve"> w</w:t>
            </w:r>
            <w:r w:rsidRPr="0001456D">
              <w:rPr>
                <w:b/>
                <w:i/>
              </w:rPr>
              <w:t xml:space="preserve"> razie jakichkolwiek wątpliwości ekspert sprawdza, zgodnie z art. 26 ust. 4 i 5, wynik automatycznego porównania przeprowadzonego zgodnie z art. 15 i 16. Jeżeli zbiór danych zarejestrowany w Eurodac zostaje usunię</w:t>
            </w:r>
            <w:r w:rsidRPr="0001456D">
              <w:rPr>
                <w:b/>
                <w:i/>
              </w:rPr>
              <w:t>ty, automatycznie usuwa się również powiązanie z tym zbiorem danych.</w:t>
            </w:r>
            <w:r w:rsidRPr="0001456D">
              <w:t xml:space="preserve"> Jeżeli otrzymujące państwo członkowskie potwierdzi trafienie, przesyła powiadomienie do eu-LISA, która potwierdzi powiązanie.</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w:t>
      </w:r>
      <w:r w:rsidRPr="00FD031D">
        <w:rPr>
          <w:rStyle w:val="HideTWBExt"/>
          <w:lang w:val="en-GB"/>
        </w:rPr>
        <w:t>umAm&gt;</w:t>
      </w:r>
      <w:r w:rsidRPr="00FD031D">
        <w:rPr>
          <w:lang w:val="en-GB"/>
        </w:rPr>
        <w:t>31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11 – artykuł 4 – ustęp 7</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Przepisy regulujące działanie systemu Eurodac mają również zastosowanie do operacji przeprowadzanych przez państwa członkowskie, począwszy od przesłania danych do systemu centralnego aż do wykorzystania wyników porównania.</w:t>
            </w:r>
          </w:p>
        </w:tc>
        <w:tc>
          <w:tcPr>
            <w:tcW w:w="4876" w:type="dxa"/>
            <w:hideMark/>
          </w:tcPr>
          <w:p w:rsidR="007605D8" w:rsidRPr="0001456D" w:rsidRDefault="00FD031D" w:rsidP="007605D8">
            <w:pPr>
              <w:pStyle w:val="Normal6"/>
            </w:pPr>
            <w:r w:rsidRPr="0001456D">
              <w:t>1.</w:t>
            </w:r>
            <w:r w:rsidRPr="0001456D">
              <w:tab/>
              <w:t>Przepisy regulujące dział</w:t>
            </w:r>
            <w:r w:rsidRPr="0001456D">
              <w:t xml:space="preserve">anie systemu Eurodac mają również zastosowanie do operacji przeprowadzanych przez państwa członkowskie, począwszy od przesłania danych do systemu centralnego </w:t>
            </w:r>
            <w:r w:rsidRPr="0001456D">
              <w:rPr>
                <w:b/>
                <w:i/>
              </w:rPr>
              <w:t xml:space="preserve">lub CIR </w:t>
            </w:r>
            <w:r w:rsidRPr="0001456D">
              <w:t>aż do wykorzystania wyników porównania.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w:t>
      </w:r>
      <w:r w:rsidRPr="00FD031D">
        <w:rPr>
          <w:lang w:val="en-GB"/>
        </w:rPr>
        <w:t>oprawka</w:t>
      </w:r>
      <w:r w:rsidRPr="00FD031D">
        <w:rPr>
          <w:lang w:val="en-GB"/>
        </w:rPr>
        <w:tab/>
      </w:r>
      <w:r w:rsidRPr="00FD031D">
        <w:rPr>
          <w:lang w:val="en-GB"/>
        </w:rPr>
        <w:tab/>
      </w:r>
      <w:r w:rsidRPr="00FD031D">
        <w:rPr>
          <w:rStyle w:val="HideTWBExt"/>
          <w:lang w:val="en-GB"/>
        </w:rPr>
        <w:t>&lt;NumAm&gt;</w:t>
      </w:r>
      <w:r w:rsidRPr="00FD031D">
        <w:rPr>
          <w:lang w:val="en-GB"/>
        </w:rPr>
        <w:t>32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11 a (nowy) – artykuł 5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 xml:space="preserve">Tekst proponowany </w:t>
            </w:r>
            <w:r w:rsidRPr="0001456D">
              <w:t>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(11a)</w:t>
            </w:r>
            <w:r w:rsidRPr="0001456D">
              <w:rPr>
                <w:b/>
                <w:i/>
              </w:rPr>
              <w:tab/>
              <w:t xml:space="preserve"> art. 5 ust. 1 otrzymuje brzmienie:</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51DB0">
            <w:pPr>
              <w:pStyle w:val="Normal6"/>
              <w:rPr>
                <w:szCs w:val="24"/>
              </w:rPr>
            </w:pPr>
            <w:r w:rsidRPr="0001456D">
              <w:rPr>
                <w:b/>
                <w:i/>
              </w:rPr>
              <w:t>1.</w:t>
            </w:r>
            <w:r w:rsidRPr="0001456D">
              <w:rPr>
                <w:b/>
                <w:i/>
              </w:rPr>
              <w:tab/>
              <w:t xml:space="preserve">Przed rozpoczęciem operacyjnego korzystania z Eurodac odpowiednio aktualizuje się ramy bezpieczeństwa środowiska biznesowego i technicznego Eurodac, zgodnie z art. 33 rozporządzenia </w:t>
            </w:r>
            <w:r w:rsidRPr="0001456D">
              <w:rPr>
                <w:b/>
                <w:i/>
              </w:rPr>
              <w:t>Parlamentu Europejskiego i Rady (UE) 2018/1725</w:t>
            </w:r>
            <w:r w:rsidRPr="0001456D">
              <w:rPr>
                <w:b/>
                <w:i/>
                <w:vertAlign w:val="superscript"/>
              </w:rPr>
              <w:t>1a</w:t>
            </w:r>
            <w:r w:rsidRPr="0001456D">
              <w:rPr>
                <w:b/>
                <w:i/>
              </w:rPr>
              <w:t>. a eu-LISA odpowiada za zarządzanie operacyjne systemem Eurodac.</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__________________</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51DB0">
            <w:pPr>
              <w:pStyle w:val="Normal6"/>
              <w:rPr>
                <w:b/>
                <w:i/>
                <w:szCs w:val="24"/>
              </w:rPr>
            </w:pPr>
            <w:r w:rsidRPr="0001456D">
              <w:rPr>
                <w:b/>
                <w:i/>
                <w:vertAlign w:val="superscript"/>
              </w:rPr>
              <w:t>1a</w:t>
            </w:r>
            <w:r w:rsidRPr="0001456D">
              <w:rPr>
                <w:b/>
                <w:i/>
              </w:rPr>
              <w:t xml:space="preserve"> Rozporządzenie Parlamentu Europejskiego i Rady (UE) 2018/1725 z dnia 23 października 2018 r. w sprawie ochrony osób fizycznych w związku z przetwarzaniem danych osobowych przez instytucje, organy i jednostki organizacyjne Unii i swobodnego przepływu takic</w:t>
            </w:r>
            <w:r w:rsidRPr="0001456D">
              <w:rPr>
                <w:b/>
                <w:i/>
              </w:rPr>
              <w:t>h danych oraz uchylenia rozporządzenia (WE) nr 45/2001 i decyzji nr 1247/2002/WE (</w:t>
            </w:r>
            <w:r w:rsidRPr="0001456D">
              <w:rPr>
                <w:rStyle w:val="Emphasis"/>
                <w:b/>
              </w:rPr>
              <w:t>Dz.U. L 295 z 21.11.2018, s. 39</w:t>
            </w:r>
            <w:r w:rsidRPr="0001456D">
              <w:rPr>
                <w:b/>
                <w:i/>
              </w:rPr>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w:t>
      </w:r>
      <w:r w:rsidRPr="0001456D">
        <w:rPr>
          <w:rStyle w:val="HideTWBExt"/>
        </w:rPr>
        <w:t>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12 – artykuł 8 a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 xml:space="preserve">Od dnia [data rozpoczęcia stosowania niniejszego rozporządzenia] </w:t>
            </w:r>
            <w:r w:rsidRPr="0001456D">
              <w:rPr>
                <w:b/>
                <w:i/>
              </w:rPr>
              <w:t xml:space="preserve">system </w:t>
            </w:r>
            <w:r w:rsidRPr="0001456D">
              <w:rPr>
                <w:b/>
                <w:i/>
              </w:rPr>
              <w:t>centralny</w:t>
            </w:r>
            <w:r w:rsidRPr="0001456D">
              <w:t xml:space="preserve"> Eurodac jest połączony z europejskim portalem wyszukiwania, o którym mowa w art. 6 rozporządzenia (UE) 2019/818, w celu umożliwienia automatycznego przetwarzania, o którym mowa w art. 11 rozporządzenia (UE) 2018/1240.</w:t>
            </w:r>
          </w:p>
        </w:tc>
        <w:tc>
          <w:tcPr>
            <w:tcW w:w="4876" w:type="dxa"/>
            <w:hideMark/>
          </w:tcPr>
          <w:p w:rsidR="007605D8" w:rsidRPr="0001456D" w:rsidRDefault="00FD031D" w:rsidP="007605D8">
            <w:pPr>
              <w:pStyle w:val="Normal6"/>
            </w:pPr>
            <w:r w:rsidRPr="0001456D">
              <w:t>1.</w:t>
            </w:r>
            <w:r w:rsidRPr="0001456D">
              <w:tab/>
              <w:t>Od dnia [data rozpoczęcia</w:t>
            </w:r>
            <w:r w:rsidRPr="0001456D">
              <w:t xml:space="preserve"> stosowania niniejszego rozporządzenia] </w:t>
            </w:r>
            <w:r w:rsidRPr="0001456D">
              <w:rPr>
                <w:b/>
                <w:i/>
              </w:rPr>
              <w:t>komponent</w:t>
            </w:r>
            <w:r w:rsidRPr="0001456D">
              <w:t xml:space="preserve"> Eurodac</w:t>
            </w:r>
            <w:r w:rsidRPr="0001456D">
              <w:rPr>
                <w:b/>
                <w:i/>
              </w:rPr>
              <w:t xml:space="preserve"> w CIR</w:t>
            </w:r>
            <w:r w:rsidRPr="0001456D">
              <w:t xml:space="preserve"> jest połączony z europejskim portalem wyszukiwania, o którym mowa w art. 6 rozporządzenia (UE) 2019/818, w celu umożliwienia automatycznego przetwarzania, o którym mowa w art. 11 rozporządzeni</w:t>
            </w:r>
            <w:r w:rsidRPr="0001456D">
              <w:t>a (UE) 2018/1240.</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normatywna – </w:t>
      </w:r>
      <w:r w:rsidRPr="0001456D">
        <w:t>punkt 12 – artykuł 8 a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Automatyczne przetwarzanie, o którym mowa w art. </w:t>
            </w:r>
            <w:r w:rsidRPr="0001456D">
              <w:rPr>
                <w:b/>
                <w:i/>
              </w:rPr>
              <w:t>11</w:t>
            </w:r>
            <w:r w:rsidRPr="0001456D">
              <w:t xml:space="preserve"> rozporządzenia (UE) 2018/1240, umożliwia przeprowadzenie weryfikacji przewidzianych w art. 20 oraz dalszych weryfi</w:t>
            </w:r>
            <w:r w:rsidRPr="0001456D">
              <w:t>kacji zgodnie z art. 22 i 26 tego rozporządzenia.</w:t>
            </w:r>
          </w:p>
        </w:tc>
        <w:tc>
          <w:tcPr>
            <w:tcW w:w="4876" w:type="dxa"/>
            <w:hideMark/>
          </w:tcPr>
          <w:p w:rsidR="007605D8" w:rsidRPr="0001456D" w:rsidRDefault="00FD031D" w:rsidP="007605D8">
            <w:pPr>
              <w:pStyle w:val="Normal6"/>
              <w:rPr>
                <w:szCs w:val="24"/>
              </w:rPr>
            </w:pPr>
            <w:r w:rsidRPr="0001456D">
              <w:t>2.</w:t>
            </w:r>
            <w:r w:rsidRPr="0001456D">
              <w:tab/>
              <w:t>Automatyczne przetwarzanie, o którym mowa w art. </w:t>
            </w:r>
            <w:r w:rsidRPr="0001456D">
              <w:rPr>
                <w:b/>
                <w:i/>
              </w:rPr>
              <w:t>20</w:t>
            </w:r>
            <w:r w:rsidRPr="0001456D">
              <w:t xml:space="preserve"> rozporządzenia (UE) 2018/1240, umożliwia przeprowadzenie weryfikacji przewidzianych w art. 20 oraz dalszych weryfikacji zgodnie z art. 22 i 26 tego roz</w:t>
            </w:r>
            <w:r w:rsidRPr="0001456D">
              <w:t xml:space="preserve">porządzenia. </w:t>
            </w:r>
          </w:p>
        </w:tc>
      </w:tr>
      <w:tr w:rsidR="00FF61D0" w:rsidRPr="0001456D" w:rsidTr="007605D8">
        <w:trPr>
          <w:jc w:val="center"/>
        </w:trPr>
        <w:tc>
          <w:tcPr>
            <w:tcW w:w="4876" w:type="dxa"/>
            <w:hideMark/>
          </w:tcPr>
          <w:p w:rsidR="007605D8" w:rsidRPr="0001456D" w:rsidRDefault="00FD031D" w:rsidP="007605D8">
            <w:pPr>
              <w:pStyle w:val="Normal6"/>
            </w:pPr>
            <w:r w:rsidRPr="0001456D">
              <w:t>Do celów przeprowadzenia weryfikacji, o których mowa w art. 20 ust. 2 lit. k) rozporządzenia (UE) 2018/1240, system centralny ETIAS korzysta z europejskiego portalu wyszukiwania, aby – przy zastosowaniu wykazu odpowiedników przedstawionego w</w:t>
            </w:r>
            <w:r w:rsidRPr="0001456D">
              <w:t> tabeli w załączniku II do niniejszego rozporządzenia – porównać dane w ETIAS z danymi w Eurodac zgromadzonymi na podstawie art. 12, 13, 14 i 14a niniejszego rozporządzenia dotyczącymi osób, które wyjechały lub zostały wydalone z terytorium państw członkow</w:t>
            </w:r>
            <w:r w:rsidRPr="0001456D">
              <w:t>skich zgodnie z decyzją nakazującą powrót lub nakazem wydalenia.</w:t>
            </w:r>
          </w:p>
        </w:tc>
        <w:tc>
          <w:tcPr>
            <w:tcW w:w="4876" w:type="dxa"/>
            <w:hideMark/>
          </w:tcPr>
          <w:p w:rsidR="007605D8" w:rsidRPr="0001456D" w:rsidRDefault="00FD031D" w:rsidP="007605D8">
            <w:pPr>
              <w:pStyle w:val="Normal6"/>
              <w:rPr>
                <w:szCs w:val="24"/>
              </w:rPr>
            </w:pPr>
            <w:r w:rsidRPr="0001456D">
              <w:t>Do celów przeprowadzenia weryfikacji, o których mowa w art. 20 ust. 2 lit. k) rozporządzenia (UE) 2018/1240, system centralny ETIAS korzysta z europejskiego portalu wyszukiwania, aby – przy zastosowaniu wykazu odpowiedników przedstawionego w tabeli w załąc</w:t>
            </w:r>
            <w:r w:rsidRPr="0001456D">
              <w:t xml:space="preserve">zniku II do niniejszego rozporządzenia – porównać dane w ETIAS z danymi w Eurodac zgromadzonymi na podstawie art. 12, 13, 14 i 14a niniejszego rozporządzenia </w:t>
            </w:r>
            <w:r w:rsidRPr="0001456D">
              <w:rPr>
                <w:b/>
                <w:i/>
              </w:rPr>
              <w:t xml:space="preserve">w formacie tylko do odczytu, </w:t>
            </w:r>
            <w:r w:rsidRPr="0001456D">
              <w:t>dotyczącymi osób, które wyjechały lub zostały wydalone z terytorium p</w:t>
            </w:r>
            <w:r w:rsidRPr="0001456D">
              <w:t>aństw członkowskich zgodnie z decyzją nakazującą powrót lub nakazem wydalenia.</w:t>
            </w:r>
          </w:p>
        </w:tc>
      </w:tr>
      <w:tr w:rsidR="00FF61D0" w:rsidRPr="0001456D" w:rsidTr="007605D8">
        <w:trPr>
          <w:jc w:val="center"/>
        </w:trPr>
        <w:tc>
          <w:tcPr>
            <w:tcW w:w="4876" w:type="dxa"/>
            <w:hideMark/>
          </w:tcPr>
          <w:p w:rsidR="007605D8" w:rsidRPr="0001456D" w:rsidRDefault="00FD031D" w:rsidP="007605D8">
            <w:pPr>
              <w:pStyle w:val="Normal6"/>
            </w:pPr>
            <w:r w:rsidRPr="0001456D">
              <w:t>Weryfikacje te nie naruszają szczegółowych przepisów przewidzianych w art. 24 ust. 3 rozporządzenia (UE) 2018/1240.</w:t>
            </w:r>
          </w:p>
        </w:tc>
        <w:tc>
          <w:tcPr>
            <w:tcW w:w="4876" w:type="dxa"/>
            <w:hideMark/>
          </w:tcPr>
          <w:p w:rsidR="007605D8" w:rsidRPr="0001456D" w:rsidRDefault="00FD031D" w:rsidP="007605D8">
            <w:pPr>
              <w:pStyle w:val="Normal6"/>
              <w:rPr>
                <w:szCs w:val="24"/>
              </w:rPr>
            </w:pPr>
            <w:r w:rsidRPr="0001456D">
              <w:t>Weryfikacje te nie naruszają szczegółowych przepisów przewid</w:t>
            </w:r>
            <w:r w:rsidRPr="0001456D">
              <w:t>zianych w art. 24 ust. 3 rozporządzenia (UE) 2018/1240.</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12 – artykuł 8 b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r>
            <w:r w:rsidRPr="0001456D">
              <w:rPr>
                <w:b/>
                <w:i/>
              </w:rPr>
              <w:t>Do celów art. 1 ust. 1 lit. f)</w:t>
            </w:r>
            <w:r w:rsidRPr="0001456D">
              <w:t xml:space="preserve"> jednostki krajowe ETIAS mają dostęp </w:t>
            </w:r>
            <w:r w:rsidRPr="0001456D">
              <w:rPr>
                <w:b/>
                <w:i/>
              </w:rPr>
              <w:t>do Eurodac i mogą przeglądać ten system</w:t>
            </w:r>
            <w:r w:rsidRPr="0001456D">
              <w:t xml:space="preserve">, w formacie tylko </w:t>
            </w:r>
            <w:r w:rsidRPr="0001456D">
              <w:t>do odczytu, w celu rozpatrywania wniosków o zezwolenie na podróż. W szczególności jednostki krajowe ETIAS mogą wyszukiwać dane, o których mowa w art. 12, 13, 14 i 14a.</w:t>
            </w:r>
          </w:p>
        </w:tc>
        <w:tc>
          <w:tcPr>
            <w:tcW w:w="4876" w:type="dxa"/>
            <w:hideMark/>
          </w:tcPr>
          <w:p w:rsidR="007605D8" w:rsidRPr="0001456D" w:rsidRDefault="00FD031D" w:rsidP="007605D8">
            <w:pPr>
              <w:pStyle w:val="Normal6"/>
            </w:pPr>
            <w:r w:rsidRPr="0001456D">
              <w:t>2.</w:t>
            </w:r>
            <w:r w:rsidRPr="0001456D">
              <w:tab/>
              <w:t xml:space="preserve">Jednostki krajowe ETIAS mają </w:t>
            </w:r>
            <w:r w:rsidRPr="0001456D">
              <w:rPr>
                <w:b/>
                <w:i/>
              </w:rPr>
              <w:t xml:space="preserve">tymczasowy </w:t>
            </w:r>
            <w:r w:rsidRPr="0001456D">
              <w:t>dostęp</w:t>
            </w:r>
            <w:r w:rsidRPr="0001456D">
              <w:rPr>
                <w:b/>
                <w:i/>
              </w:rPr>
              <w:t xml:space="preserve"> umożliwiający przeglądanie Eurodac</w:t>
            </w:r>
            <w:r w:rsidRPr="0001456D">
              <w:t xml:space="preserve"> w f</w:t>
            </w:r>
            <w:r w:rsidRPr="0001456D">
              <w:t>ormacie tylko do odczytu, w celu rozpatrywania wniosków o zezwolenie na podróż. W szczególności jednostki krajowe ETIAS mogą wyszukiwać dane, o których mowa w art. 12, 13, 14 i 14a.</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36</w:t>
      </w:r>
      <w:r w:rsidRPr="00FD031D">
        <w:rPr>
          <w:rStyle w:val="HideTWBExt"/>
          <w:lang w:val="en-GB"/>
        </w:rPr>
        <w:t>&lt;/NumA</w:t>
      </w:r>
      <w:r w:rsidRPr="00FD031D">
        <w:rPr>
          <w:rStyle w:val="HideTWBExt"/>
          <w:lang w:val="en-GB"/>
        </w:rPr>
        <w:t>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12 – artykuł 8 c</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 xml:space="preserve">Właściwe organy </w:t>
            </w:r>
            <w:r w:rsidRPr="0001456D">
              <w:t xml:space="preserve">wizowe mają dostęp do Eurodac celem przeglądania danych w formacie tylko do odczytu na potrzeby ręcznego weryfikowania trafień wywołanych automatycznymi zapytaniami dokonywanymi przez wizowy system informacyjny zgodnie z art. [9a i 9c] rozporządzenia (WE) </w:t>
            </w:r>
            <w:r w:rsidRPr="0001456D">
              <w:t>nr 767/2008 oraz rozpatrywania wniosków wizowych i podejmowania decyzji w ich sprawie zgodnie z art. 21 rozporządzenia Parlamentu Europejskiego i Rady (WE) nr 810/2009.</w:t>
            </w:r>
          </w:p>
        </w:tc>
        <w:tc>
          <w:tcPr>
            <w:tcW w:w="4876" w:type="dxa"/>
            <w:hideMark/>
          </w:tcPr>
          <w:p w:rsidR="007605D8" w:rsidRPr="0001456D" w:rsidRDefault="00FD031D" w:rsidP="007605D8">
            <w:pPr>
              <w:pStyle w:val="Normal6"/>
            </w:pPr>
            <w:r w:rsidRPr="0001456D">
              <w:t xml:space="preserve">Właściwe organy wizowe mają </w:t>
            </w:r>
            <w:r w:rsidRPr="0001456D">
              <w:rPr>
                <w:b/>
                <w:i/>
              </w:rPr>
              <w:t xml:space="preserve">tymczasowy </w:t>
            </w:r>
            <w:r w:rsidRPr="0001456D">
              <w:t>dostęp do Eurodac celem przeglądania danych w fo</w:t>
            </w:r>
            <w:r w:rsidRPr="0001456D">
              <w:t>rmacie tylko do odczytu na potrzeby ręcznego weryfikowania trafień wywołanych automatycznymi zapytaniami dokonywanymi przez wizowy system informacyjny zgodnie z art. [9a i 9c] rozporządzenia (WE) nr 767/2008 oraz rozpatrywania wniosków wizowych i podejmowa</w:t>
            </w:r>
            <w:r w:rsidRPr="0001456D">
              <w:t>nia decyzji w ich sprawie zgodnie z art. 21 rozporządzenia Parlamentu Europejskiego i Rady (WE) nr 810/2009</w:t>
            </w:r>
            <w:r w:rsidRPr="0001456D">
              <w:rPr>
                <w:b/>
                <w:i/>
                <w:vertAlign w:val="superscript"/>
              </w:rPr>
              <w:t>1</w:t>
            </w:r>
            <w:r w:rsidRPr="0001456D">
              <w:t>.</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pPr>
            <w:r w:rsidRPr="0001456D">
              <w:rPr>
                <w:b/>
                <w:i/>
              </w:rPr>
              <w:t>______________</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pPr>
            <w:r w:rsidRPr="0001456D">
              <w:rPr>
                <w:b/>
                <w:i/>
                <w:vertAlign w:val="superscript"/>
              </w:rPr>
              <w:t>1</w:t>
            </w:r>
            <w:r w:rsidRPr="0001456D">
              <w:rPr>
                <w:b/>
                <w:i/>
              </w:rPr>
              <w:t xml:space="preserve"> Rozporządzenie Parlamentu Europejskiego i Rady (WE) nr 810/2009 z dnia 13 lipca 2009 r. ustanawiające Wspólnotowy Kodeks Wizowy (kodeks wizowy), Dz.U. L 243 z 15.9.2009, s. 1–58.</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3D39FD" w:rsidRPr="00FD031D" w:rsidRDefault="00FD031D" w:rsidP="003D39FD">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12 – artykuł 8 c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51DB0">
            <w:pPr>
              <w:pStyle w:val="Normal6"/>
              <w:jc w:val="center"/>
              <w:rPr>
                <w:b/>
                <w:i/>
                <w:szCs w:val="24"/>
              </w:rPr>
            </w:pPr>
            <w:r w:rsidRPr="0001456D">
              <w:rPr>
                <w:b/>
                <w:i/>
              </w:rPr>
              <w:t>Artykuł 8ca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jc w:val="center"/>
              <w:rPr>
                <w:b/>
                <w:i/>
              </w:rPr>
            </w:pPr>
            <w:r w:rsidRPr="0001456D">
              <w:rPr>
                <w:b/>
                <w:i/>
              </w:rPr>
              <w:t>Dostęp zespołów stałej służby Europejskiej Straży Granicznej i Przybrzeżnej oraz zespołów wsparcia ds. azylu do Eurodac</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51DB0">
            <w:pPr>
              <w:pStyle w:val="Normal6"/>
              <w:rPr>
                <w:b/>
                <w:i/>
                <w:szCs w:val="24"/>
              </w:rPr>
            </w:pPr>
            <w:r w:rsidRPr="0001456D">
              <w:rPr>
                <w:b/>
                <w:i/>
              </w:rPr>
              <w:t>1.</w:t>
            </w:r>
            <w:r w:rsidRPr="0001456D">
              <w:rPr>
                <w:b/>
                <w:i/>
              </w:rPr>
              <w:tab/>
              <w:t xml:space="preserve">Do celów realizacji zadań określonych w art. 40 ust. 4 i art. 55 ust. 7 rozporządzenia (UE) 2019/1896 oraz art. 16 </w:t>
            </w:r>
            <w:r w:rsidRPr="0001456D">
              <w:rPr>
                <w:b/>
                <w:i/>
              </w:rPr>
              <w:t xml:space="preserve">rozporządzenia (UE) XXX [rozporządzenie w sprawie Agencji Unii Europejskiej ds. Azylu] członkowie stałej służby Europejskiej Straży Granicznej i Przybrzeżnej rozmieszczeni w zespołach zarządzania granicami, zespołach wspierających zarządzanie migracjami i </w:t>
            </w:r>
            <w:r w:rsidRPr="0001456D">
              <w:rPr>
                <w:b/>
                <w:i/>
              </w:rPr>
              <w:t xml:space="preserve">zespołach powrotowych, a także zespołach wsparcia ds. azylu Agencji Unii Europejskiej ds. Azylu (zwanych dalej „zespołami agencji”) mogą uzyskać dostęp do Eurodac w celu pobierania i przekazywania danych biometrycznych i alfanumerycznych zgodnie z art. 10 </w:t>
            </w:r>
            <w:r w:rsidRPr="0001456D">
              <w:rPr>
                <w:b/>
                <w:i/>
              </w:rPr>
              <w:t>ust. 3, art. 12a ust. 2, art. 13 ust. 7 i art. 14a ust. 7 niniejszego rozporządzenia.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851DB0">
            <w:pPr>
              <w:pStyle w:val="Normal6"/>
              <w:rPr>
                <w:b/>
                <w:i/>
                <w:szCs w:val="24"/>
              </w:rPr>
            </w:pPr>
            <w:r w:rsidRPr="0001456D">
              <w:rPr>
                <w:b/>
                <w:i/>
              </w:rPr>
              <w:t>2.</w:t>
            </w:r>
            <w:r w:rsidRPr="0001456D">
              <w:rPr>
                <w:b/>
                <w:i/>
              </w:rPr>
              <w:tab/>
              <w:t>Członkowie zespołów agencji przetwarzają dane, o których mowa w ust. 1, wyłącznie na wniosek państwa członkowskiego organizującego daną operację i zgodnie z planem o</w:t>
            </w:r>
            <w:r w:rsidRPr="0001456D">
              <w:rPr>
                <w:b/>
                <w:i/>
              </w:rPr>
              <w:t>peracyjnym uzgodnionym odpowiednio między tym państwem członkowskim a Europejską Agencją Straży Granicznej i Przybrzeżnej lub Agencją Unii Europejskiej ds. Azylu.</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97221">
            <w:pPr>
              <w:pStyle w:val="Normal6"/>
              <w:rPr>
                <w:b/>
                <w:i/>
                <w:szCs w:val="24"/>
              </w:rPr>
            </w:pPr>
            <w:r w:rsidRPr="0001456D">
              <w:rPr>
                <w:b/>
                <w:i/>
              </w:rPr>
              <w:t>3.</w:t>
            </w:r>
            <w:r w:rsidRPr="0001456D">
              <w:rPr>
                <w:b/>
                <w:i/>
              </w:rPr>
              <w:tab/>
              <w:t>Przetwarzając dane Eurodac, członkowie zespołów agencji działają w imieniu i na poleceni</w:t>
            </w:r>
            <w:r w:rsidRPr="0001456D">
              <w:rPr>
                <w:b/>
                <w:i/>
              </w:rPr>
              <w:t>e właściwych organów przyjmującego państwa członkowskiego, jak określono w planie operacyjnym. Zastosowanie ma rozporządzenie (UE) 2018/1725, a w szczególności określone w tym rozporządzeniu obowiązki dotyczące podmiotów przetwarzających dane. Zgodnie z ar</w:t>
            </w:r>
            <w:r w:rsidRPr="0001456D">
              <w:rPr>
                <w:b/>
                <w:i/>
              </w:rPr>
              <w:t>t. 30 ust. 6 rozporządzenia (UE) 2021/2303 do członków zespołów wsparcia ds. azylu stosuje się rozporządzenie (UE) 2016/679.</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w:t>
      </w:r>
      <w:r w:rsidRPr="00FD031D">
        <w:rPr>
          <w:rStyle w:val="HideTWBExt"/>
          <w:lang w:val="en-GB"/>
        </w:rPr>
        <w:t>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8 d</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Od dnia [data rozpoczęcia stosowania rozporządzenia (UE) XXX/XXX zmieniającego rozporządzenie w sprawie VIS], jak przewidziano w art. [9] tego rozporządzenia, Eurodac jest połączony z europejskim portalem wyszukiwania, o którym mowa w art. 6 rozporządzenia</w:t>
            </w:r>
            <w:r w:rsidRPr="0001456D">
              <w:t xml:space="preserve"> (UE) 2019/817, aby umożliwić automatyczne przetwarzanie, o którym mowa w art. [9a] rozporządzenia (WE) nr 767/2008, </w:t>
            </w:r>
            <w:r w:rsidRPr="0001456D">
              <w:rPr>
                <w:b/>
                <w:i/>
              </w:rPr>
              <w:t>w celu dokonywania</w:t>
            </w:r>
            <w:r w:rsidRPr="0001456D">
              <w:t xml:space="preserve"> zapytań w Eurodac i </w:t>
            </w:r>
            <w:r w:rsidRPr="0001456D">
              <w:rPr>
                <w:b/>
                <w:i/>
              </w:rPr>
              <w:t>porównywania</w:t>
            </w:r>
            <w:r w:rsidRPr="0001456D">
              <w:t xml:space="preserve"> właściwych danych w wizowym systemie informacyjnym z właściwymi danymi w Eurodac. Weryf</w:t>
            </w:r>
            <w:r w:rsidRPr="0001456D">
              <w:t>ikacje te nie naruszają szczegółowych przepisów przewidzianych w art. 9 lit. b) rozporządzenia 767/2008.</w:t>
            </w:r>
          </w:p>
        </w:tc>
        <w:tc>
          <w:tcPr>
            <w:tcW w:w="4876" w:type="dxa"/>
            <w:hideMark/>
          </w:tcPr>
          <w:p w:rsidR="007605D8" w:rsidRPr="0001456D" w:rsidRDefault="00FD031D" w:rsidP="007605D8">
            <w:pPr>
              <w:pStyle w:val="Normal6"/>
              <w:rPr>
                <w:szCs w:val="24"/>
              </w:rPr>
            </w:pPr>
            <w:r w:rsidRPr="0001456D">
              <w:t>Od dnia [data rozpoczęcia stosowania rozporządzenia (UE) XXX/XXX zmieniającego rozporządzenie w sprawie VIS], jak przewidziano w art. [9] tego rozporzą</w:t>
            </w:r>
            <w:r w:rsidRPr="0001456D">
              <w:t xml:space="preserve">dzenia, Eurodac jest połączony z europejskim portalem wyszukiwania, o którym mowa w art. 6 rozporządzenia (UE) 2019/817, aby umożliwić automatyczne przetwarzanie, o którym mowa w art. [9a] rozporządzenia (WE) nr 767/2008, </w:t>
            </w:r>
            <w:r w:rsidRPr="0001456D">
              <w:rPr>
                <w:b/>
                <w:i/>
              </w:rPr>
              <w:t>a tym samym dokonywanie</w:t>
            </w:r>
            <w:r w:rsidRPr="0001456D">
              <w:t xml:space="preserve"> zapytań w </w:t>
            </w:r>
            <w:r w:rsidRPr="0001456D">
              <w:t>Eurodac i </w:t>
            </w:r>
            <w:r w:rsidRPr="0001456D">
              <w:rPr>
                <w:b/>
                <w:i/>
              </w:rPr>
              <w:t>porównywanie</w:t>
            </w:r>
            <w:r w:rsidRPr="0001456D">
              <w:t xml:space="preserve"> właściwych danych w wizowym systemie informacyjnym z właściwymi danymi w Eurodac. Weryfikacje te nie naruszają szczegółowych przepisów przewidzianych w art. 9 lit. b) rozporządzenia 767/2008.</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39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1 – wprowadzenie</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w:t>
            </w:r>
            <w:r w:rsidRPr="0001456D">
              <w:t xml:space="preserve">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Agencja eu-LISA opracowuje co miesiąc statystyki dotyczące pracy systemu centralnego, wskazujące w szczególności:</w:t>
            </w:r>
          </w:p>
        </w:tc>
        <w:tc>
          <w:tcPr>
            <w:tcW w:w="4876" w:type="dxa"/>
            <w:hideMark/>
          </w:tcPr>
          <w:p w:rsidR="007605D8" w:rsidRPr="0001456D" w:rsidRDefault="00FD031D" w:rsidP="007605D8">
            <w:pPr>
              <w:pStyle w:val="Normal6"/>
              <w:rPr>
                <w:szCs w:val="24"/>
              </w:rPr>
            </w:pPr>
            <w:r w:rsidRPr="0001456D">
              <w:t>1.</w:t>
            </w:r>
            <w:r w:rsidRPr="0001456D">
              <w:tab/>
              <w:t>Agencja eu-LISA opracowuje co miesiąc statystyki dotyczące pracy systemu centralnego</w:t>
            </w:r>
            <w:r w:rsidRPr="0001456D">
              <w:rPr>
                <w:b/>
                <w:i/>
              </w:rPr>
              <w:t xml:space="preserve"> i CIR</w:t>
            </w:r>
            <w:r w:rsidRPr="0001456D">
              <w:t>, wskazuj</w:t>
            </w:r>
            <w:r w:rsidRPr="0001456D">
              <w:t>ące w szczególności: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 xml:space="preserve">Część normatywna – </w:t>
      </w:r>
      <w:r w:rsidRPr="0001456D">
        <w:t>punkt 13 – artykuł 9 – ustęp 1 – litera b</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b)</w:t>
            </w:r>
            <w:r w:rsidRPr="0001456D">
              <w:tab/>
            </w:r>
            <w:r w:rsidRPr="0001456D">
              <w:t xml:space="preserve">liczbę osób ubiegających się o ochronę międzynarodową, których wniosek został odrzucony, wynikającą z procesu powiązania, o którym mowa w art. 4 ust. 6 i zgodnie z art. 12 lit. </w:t>
            </w:r>
            <w:r w:rsidRPr="0001456D">
              <w:rPr>
                <w:b/>
                <w:i/>
              </w:rPr>
              <w:t>za</w:t>
            </w:r>
            <w:r w:rsidRPr="0001456D">
              <w:t>);</w:t>
            </w:r>
          </w:p>
        </w:tc>
        <w:tc>
          <w:tcPr>
            <w:tcW w:w="4876" w:type="dxa"/>
            <w:hideMark/>
          </w:tcPr>
          <w:p w:rsidR="007605D8" w:rsidRPr="0001456D" w:rsidRDefault="00FD031D" w:rsidP="007605D8">
            <w:pPr>
              <w:pStyle w:val="Normal6"/>
              <w:rPr>
                <w:szCs w:val="24"/>
              </w:rPr>
            </w:pPr>
            <w:r w:rsidRPr="0001456D">
              <w:t>b)</w:t>
            </w:r>
            <w:r w:rsidRPr="0001456D">
              <w:tab/>
            </w:r>
            <w:r w:rsidRPr="0001456D">
              <w:t xml:space="preserve">liczbę osób ubiegających się o ochronę międzynarodową, których wniosek został odrzucony, wynikającą z procesu powiązania, o którym mowa w art. 4 ust. 6 i zgodnie z art. 12 lit. </w:t>
            </w:r>
            <w:r w:rsidRPr="0001456D">
              <w:rPr>
                <w:b/>
                <w:i/>
              </w:rPr>
              <w:t>x</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41</w:t>
      </w:r>
      <w:r w:rsidRPr="00FD031D">
        <w:rPr>
          <w:rStyle w:val="HideTWBExt"/>
          <w:lang w:val="en-GB"/>
        </w:rPr>
        <w:t>&lt;/NumAm</w:t>
      </w:r>
      <w:r w:rsidRPr="00FD031D">
        <w:rPr>
          <w:rStyle w:val="HideTWBExt"/>
          <w:lang w:val="en-GB"/>
        </w:rPr>
        <w:t>&gt;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1 – litera c</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FD031D" w:rsidP="007605D8">
            <w:pPr>
              <w:pStyle w:val="Normal6"/>
            </w:pPr>
            <w:r w:rsidRPr="0001456D">
              <w:t>c)</w:t>
            </w:r>
            <w:r w:rsidRPr="0001456D">
              <w:tab/>
              <w:t>liczbę przesłanych zestawów danych dotyczących osób, o których mowa w art. 10 ust. 1, art. 13 ust. 1, art. 14 ust.</w:t>
            </w:r>
            <w:r w:rsidRPr="0001456D">
              <w:rPr>
                <w:b/>
                <w:i/>
              </w:rPr>
              <w:t> </w:t>
            </w:r>
            <w:r w:rsidRPr="0001456D">
              <w:t>1</w:t>
            </w:r>
            <w:r w:rsidRPr="0001456D">
              <w:rPr>
                <w:b/>
                <w:i/>
              </w:rPr>
              <w:t xml:space="preserve"> i 14a ust. 1</w:t>
            </w:r>
            <w:r w:rsidRPr="0001456D">
              <w:t>;</w:t>
            </w:r>
          </w:p>
          <w:p w:rsidR="007605D8" w:rsidRPr="0001456D" w:rsidRDefault="007605D8" w:rsidP="007605D8">
            <w:pPr>
              <w:pStyle w:val="Normal6"/>
            </w:pPr>
          </w:p>
        </w:tc>
        <w:tc>
          <w:tcPr>
            <w:tcW w:w="4876" w:type="dxa"/>
            <w:hideMark/>
          </w:tcPr>
          <w:p w:rsidR="007605D8" w:rsidRPr="0001456D" w:rsidRDefault="00FD031D" w:rsidP="00DA1A8E">
            <w:pPr>
              <w:pStyle w:val="Normal6"/>
            </w:pPr>
            <w:r w:rsidRPr="0001456D">
              <w:t>c)</w:t>
            </w:r>
            <w:r w:rsidRPr="0001456D">
              <w:tab/>
              <w:t xml:space="preserve">liczbę przesłanych zestawów danych dotyczących osób, o których mowa w art. 10 ust. 1, art. 13 ust. 1, </w:t>
            </w:r>
            <w:r w:rsidRPr="0001456D">
              <w:rPr>
                <w:b/>
                <w:i/>
              </w:rPr>
              <w:t>o ile osoby te n</w:t>
            </w:r>
            <w:r w:rsidRPr="0001456D">
              <w:rPr>
                <w:b/>
                <w:i/>
              </w:rPr>
              <w:t>ie są objęte zbiorami danych, o których mowa w art. 10 ust. 1,</w:t>
            </w:r>
            <w:r w:rsidRPr="0001456D">
              <w:t xml:space="preserve"> art. 14 ust.</w:t>
            </w:r>
            <w:r w:rsidRPr="0001456D">
              <w:rPr>
                <w:b/>
                <w:i/>
              </w:rPr>
              <w:t xml:space="preserve"> </w:t>
            </w:r>
            <w:r w:rsidRPr="0001456D">
              <w:t>1;</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w:t>
      </w:r>
      <w:r w:rsidRPr="0001456D">
        <w:t>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1 – litera d – podpunkt iv</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rPr>
                <w:b/>
                <w:i/>
              </w:rPr>
            </w:pPr>
            <w:r w:rsidRPr="0001456D">
              <w:rPr>
                <w:b/>
                <w:i/>
              </w:rPr>
              <w:t>(iv)</w:t>
            </w:r>
            <w:r w:rsidRPr="0001456D">
              <w:rPr>
                <w:b/>
                <w:i/>
              </w:rPr>
              <w:tab/>
              <w:t>które sprowadzono na ląd w wyniku operacji poszukiwawczo-ratowniczej;</w:t>
            </w:r>
          </w:p>
        </w:tc>
        <w:tc>
          <w:tcPr>
            <w:tcW w:w="4876" w:type="dxa"/>
            <w:hideMark/>
          </w:tcPr>
          <w:p w:rsidR="007605D8" w:rsidRPr="0001456D" w:rsidRDefault="00FD031D" w:rsidP="007605D8">
            <w:pPr>
              <w:pStyle w:val="Normal6"/>
              <w:rPr>
                <w:b/>
                <w:i/>
              </w:rPr>
            </w:pPr>
            <w:r w:rsidRPr="0001456D">
              <w:rPr>
                <w:b/>
                <w:i/>
              </w:rPr>
              <w:t>skreśla</w:t>
            </w:r>
            <w:r w:rsidRPr="0001456D">
              <w:rPr>
                <w:b/>
                <w:i/>
              </w:rPr>
              <w:t xml:space="preserve"> się</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43</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 xml:space="preserve">Część normatywna – punkt 13 – </w:t>
      </w:r>
      <w:r w:rsidRPr="0001456D">
        <w:t>artykuł 9 – ustęp 1 – litera d – podpunkt iv a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(iva)</w:t>
            </w:r>
            <w:r w:rsidRPr="0001456D">
              <w:rPr>
                <w:b/>
                <w:i/>
              </w:rPr>
              <w:tab/>
              <w:t>które sprowadzono na ląd w wyniku operacji poszukiwawczo-ratowniczej;</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d – podpunkt iv b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t>
            </w:r>
            <w:r w:rsidRPr="0001456D">
              <w:t>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(ivb)</w:t>
            </w:r>
            <w:r w:rsidRPr="0001456D">
              <w:rPr>
                <w:b/>
                <w:i/>
              </w:rPr>
              <w:tab/>
              <w:t xml:space="preserve">które były małoletnie w momencie rejestracji zbioru danych w Eurodac; </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1 – litera e – podpunkt iv</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rPr>
                <w:b/>
                <w:i/>
              </w:rPr>
            </w:pPr>
            <w:r w:rsidRPr="0001456D">
              <w:rPr>
                <w:b/>
                <w:i/>
              </w:rPr>
              <w:t>(iv)</w:t>
            </w:r>
            <w:r w:rsidRPr="0001456D">
              <w:rPr>
                <w:b/>
                <w:i/>
              </w:rPr>
              <w:tab/>
              <w:t xml:space="preserve">które sprowadzono na ląd w wyniku </w:t>
            </w:r>
            <w:r w:rsidRPr="0001456D">
              <w:rPr>
                <w:b/>
                <w:i/>
              </w:rPr>
              <w:t>operacji poszukiwawczo-ratowniczej;</w:t>
            </w:r>
          </w:p>
        </w:tc>
        <w:tc>
          <w:tcPr>
            <w:tcW w:w="4876" w:type="dxa"/>
            <w:hideMark/>
          </w:tcPr>
          <w:p w:rsidR="007605D8" w:rsidRPr="0001456D" w:rsidRDefault="00FD031D" w:rsidP="007605D8">
            <w:pPr>
              <w:pStyle w:val="Normal6"/>
              <w:rPr>
                <w:b/>
                <w:i/>
              </w:rPr>
            </w:pPr>
            <w:r w:rsidRPr="0001456D">
              <w:rPr>
                <w:b/>
                <w:i/>
              </w:rPr>
              <w:t>skreśla się</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46</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e – podpunkt iv a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(iva)</w:t>
            </w:r>
            <w:r w:rsidRPr="0001456D">
              <w:rPr>
                <w:b/>
                <w:i/>
              </w:rPr>
              <w:tab/>
              <w:t>które sprowadzono na ląd w wyniku operacji poszukiwawczo-ratowniczej;</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e – podpunkt i</w:t>
      </w:r>
      <w:r w:rsidRPr="0001456D">
        <w:t>v b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(ivb)</w:t>
            </w:r>
            <w:r w:rsidRPr="0001456D">
              <w:rPr>
                <w:b/>
                <w:i/>
              </w:rPr>
              <w:tab/>
              <w:t xml:space="preserve">które były małoletnie w momencie rejestracji zbioru danych w Eurodac; </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48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 xml:space="preserve">Jorge </w:t>
      </w:r>
      <w:r w:rsidRPr="00FD031D">
        <w:rPr>
          <w:lang w:val="en-GB"/>
        </w:rPr>
        <w:t>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1 – litera f – podpunkt iv</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rPr>
                <w:b/>
                <w:i/>
              </w:rPr>
              <w:t>(iv)</w:t>
            </w:r>
            <w:r w:rsidRPr="0001456D">
              <w:rPr>
                <w:b/>
                <w:i/>
              </w:rPr>
              <w:tab/>
              <w:t xml:space="preserve">które </w:t>
            </w:r>
            <w:r w:rsidRPr="0001456D">
              <w:rPr>
                <w:b/>
                <w:i/>
              </w:rPr>
              <w:t>sprowadzono na ląd w wyniku operacji poszukiwawczo-ratowniczej;</w:t>
            </w:r>
          </w:p>
        </w:tc>
        <w:tc>
          <w:tcPr>
            <w:tcW w:w="4876" w:type="dxa"/>
            <w:hideMark/>
          </w:tcPr>
          <w:p w:rsidR="007605D8" w:rsidRPr="0001456D" w:rsidRDefault="00FD031D" w:rsidP="007605D8">
            <w:pPr>
              <w:pStyle w:val="Normal6"/>
              <w:rPr>
                <w:b/>
                <w:i/>
              </w:rPr>
            </w:pPr>
            <w:r w:rsidRPr="0001456D">
              <w:rPr>
                <w:b/>
                <w:i/>
              </w:rPr>
              <w:t>skreśla się</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49</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dotyczący </w:t>
      </w:r>
      <w:r w:rsidRPr="0001456D">
        <w:t>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f – podpunkt iv a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(iva)</w:t>
            </w:r>
            <w:r w:rsidRPr="0001456D">
              <w:rPr>
                <w:b/>
                <w:i/>
              </w:rPr>
              <w:tab/>
              <w:t>które sprowadzono na ląd w wyniku operacji poszukiwawczo-ratowniczej;</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 xml:space="preserve">Część normatywna – punkt 13 – artykuł 9 – </w:t>
      </w:r>
      <w:r w:rsidRPr="0001456D">
        <w:t>ustęp 1 – litera f – podpunkt iv b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(ivb)</w:t>
            </w:r>
            <w:r w:rsidRPr="0001456D">
              <w:rPr>
                <w:b/>
                <w:i/>
              </w:rPr>
              <w:tab/>
              <w:t xml:space="preserve">które były małoletnie w momencie rejestracji zbioru danych w Eurodac; </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lang w:val="en-GB"/>
        </w:rPr>
        <w:tab/>
      </w:r>
      <w:r w:rsidRPr="00FD031D">
        <w:rPr>
          <w:rStyle w:val="HideTWBExt"/>
          <w:lang w:val="en-GB"/>
        </w:rPr>
        <w:t>&lt;NumAm&gt;</w:t>
      </w:r>
      <w:r w:rsidRPr="00FD031D">
        <w:rPr>
          <w:lang w:val="en-GB"/>
        </w:rPr>
        <w:t>51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g – podpunkt iv a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w:t>
            </w:r>
            <w:r w:rsidRPr="0001456D">
              <w:t>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(iva)</w:t>
            </w:r>
            <w:r w:rsidRPr="0001456D">
              <w:rPr>
                <w:b/>
                <w:i/>
              </w:rPr>
              <w:tab/>
              <w:t>które sprowadzono na ląd w wyniku operacji poszukiwawczo-ratowniczej;</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1 – litera g – podpunkt iv b (nowy)</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(ivb)</w:t>
            </w:r>
            <w:r w:rsidRPr="0001456D">
              <w:rPr>
                <w:b/>
                <w:i/>
              </w:rPr>
              <w:tab/>
              <w:t xml:space="preserve">które były małoletnie w momencie rejestracji </w:t>
            </w:r>
            <w:r w:rsidRPr="0001456D">
              <w:rPr>
                <w:b/>
                <w:i/>
              </w:rPr>
              <w:t xml:space="preserve">zbioru danych w Eurodac; </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w:t>
      </w:r>
      <w:r w:rsidRPr="0001456D">
        <w:t>normatywna – punkt 13 – artykuł 9 – ustęp 1 – litera m</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m)</w:t>
            </w:r>
            <w:r w:rsidRPr="0001456D">
              <w:tab/>
              <w:t xml:space="preserve">liczbę wniosków </w:t>
            </w:r>
            <w:r w:rsidRPr="0001456D">
              <w:rPr>
                <w:b/>
                <w:i/>
              </w:rPr>
              <w:t>w odniesieniu do osób, o których mowa w</w:t>
            </w:r>
            <w:r w:rsidRPr="0001456D">
              <w:t> art. 31;</w:t>
            </w:r>
          </w:p>
        </w:tc>
        <w:tc>
          <w:tcPr>
            <w:tcW w:w="4876" w:type="dxa"/>
            <w:hideMark/>
          </w:tcPr>
          <w:p w:rsidR="007605D8" w:rsidRPr="0001456D" w:rsidRDefault="00FD031D" w:rsidP="007605D8">
            <w:pPr>
              <w:pStyle w:val="Normal6"/>
            </w:pPr>
            <w:r w:rsidRPr="0001456D">
              <w:t>m)</w:t>
            </w:r>
            <w:r w:rsidRPr="0001456D">
              <w:tab/>
              <w:t xml:space="preserve">liczbę wniosków </w:t>
            </w:r>
            <w:r w:rsidRPr="0001456D">
              <w:rPr>
                <w:b/>
                <w:i/>
              </w:rPr>
              <w:t>złożonych zgodnie z</w:t>
            </w:r>
            <w:r w:rsidRPr="0001456D">
              <w:t> art. 31;</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 xml:space="preserve">Miesięczne dane statystyczne odnoszące się do osób, o których mowa w ust. 1 lit. a)–n), są publikowane każdego miesiąca. Pod koniec każdego roku roczne dane statystyczne odnoszące się do osób, o których mowa </w:t>
            </w:r>
            <w:r w:rsidRPr="0001456D">
              <w:t>w ust. 1 lit. a)–n) są publikowane przez eu-LISA. Dane statystyczne przedstawiane są z podziałem na państwa członkowskie. Dane statystyczne dotyczące osób, o których mowa w ust. 1 lit. c), są w miarę możliwości przedstawiane w podziale na rok urodzenia i p</w:t>
            </w:r>
            <w:r w:rsidRPr="0001456D">
              <w:t>łeć.</w:t>
            </w:r>
          </w:p>
        </w:tc>
        <w:tc>
          <w:tcPr>
            <w:tcW w:w="4876" w:type="dxa"/>
            <w:hideMark/>
          </w:tcPr>
          <w:p w:rsidR="007605D8" w:rsidRPr="0001456D" w:rsidRDefault="00FD031D" w:rsidP="009C5DC8">
            <w:pPr>
              <w:pStyle w:val="Normal6"/>
            </w:pPr>
            <w:r w:rsidRPr="0001456D">
              <w:t>2.</w:t>
            </w:r>
            <w:r w:rsidRPr="0001456D">
              <w:tab/>
              <w:t>Miesięczne dane statystyczne odnoszące się do osób, o których mowa w ust. 1 lit. a)–n), są publikowane każdego miesiąca. Pod koniec każdego roku roczne dane statystyczne odnoszące się do osób, o których mowa w ust. 1 lit. a)–n) są publikowane przez</w:t>
            </w:r>
            <w:r w:rsidRPr="0001456D">
              <w:t xml:space="preserve"> eu-LISA. Dane statystyczne przedstawiane są z podziałem na państwa członkowskie. Dane statystyczne dotyczące osób, o których mowa w ust. 1 lit. c), są w miarę możliwości przedstawiane w podziale na rok urodzenia i płeć. </w:t>
            </w:r>
            <w:r w:rsidRPr="0001456D">
              <w:rPr>
                <w:b/>
                <w:i/>
              </w:rPr>
              <w:t>Wszystkie dane dotyczące osób są an</w:t>
            </w:r>
            <w:r w:rsidRPr="0001456D">
              <w:rPr>
                <w:b/>
                <w:i/>
              </w:rPr>
              <w:t>onimizowane, a tworzenie danych statystycznych jest uwarunkowane przepisami dotyczącymi możliwości sprostowania nieprawidłowych danych.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 xml:space="preserve">Jorge Buxadé </w:t>
      </w:r>
      <w:r w:rsidRPr="00FD031D">
        <w:rPr>
          <w:lang w:val="en-GB"/>
        </w:rPr>
        <w:t>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13 – artykuł 9 – ustęp 3 – akapit 1</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3.</w:t>
            </w:r>
            <w:r w:rsidRPr="0001456D">
              <w:tab/>
              <w:t xml:space="preserve">Na potrzeby realizowania celu, </w:t>
            </w:r>
            <w:r w:rsidRPr="0001456D">
              <w:t>o którym mowa w art. 1 lit. c), eu-LISA sporządza miesięczne statystyki międzysystemowe. Statystyki te nie pozwalają na identyfikację osób fizycznych i wykorzystują dane z Eurodac, wizowego systemu informacyjnego, ETIAS i systemu wjazdu/wyjazdu.</w:t>
            </w:r>
          </w:p>
        </w:tc>
        <w:tc>
          <w:tcPr>
            <w:tcW w:w="4876" w:type="dxa"/>
            <w:hideMark/>
          </w:tcPr>
          <w:p w:rsidR="007605D8" w:rsidRPr="0001456D" w:rsidRDefault="00FD031D" w:rsidP="007605D8">
            <w:pPr>
              <w:pStyle w:val="Normal6"/>
              <w:rPr>
                <w:szCs w:val="24"/>
              </w:rPr>
            </w:pPr>
            <w:r w:rsidRPr="0001456D">
              <w:t>3.</w:t>
            </w:r>
            <w:r w:rsidRPr="0001456D">
              <w:tab/>
              <w:t>Na potr</w:t>
            </w:r>
            <w:r w:rsidRPr="0001456D">
              <w:t>zeby realizowania celu, o którym mowa w art. 1 lit. c)</w:t>
            </w:r>
            <w:r w:rsidRPr="0001456D">
              <w:rPr>
                <w:b/>
                <w:i/>
              </w:rPr>
              <w:t xml:space="preserve"> i art. 1 lit. h)</w:t>
            </w:r>
            <w:r w:rsidRPr="0001456D">
              <w:t>, eu-LISA sporządza miesięczne statystyki międzysystemowe. Statystyki te nie pozwalają na identyfikację osób fizycznych i wykorzystują dane z Eurodac, wizowego systemu informacyjnego, E</w:t>
            </w:r>
            <w:r w:rsidRPr="0001456D">
              <w:t>TIAS i systemu wjazdu/wyjazdu.</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 xml:space="preserve">Część </w:t>
      </w:r>
      <w:r w:rsidRPr="0001456D">
        <w:t>normatywna – punkt 13 – artykuł 9 – ustęp 3 – akapit 2</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 xml:space="preserve">Statystyki te są udostępniane Komisji, [Agencji Unii Europejskiej ds. Azylu], Europejskiej Agencji Straży Granicznej i Przybrzeżnej oraz </w:t>
            </w:r>
            <w:r w:rsidRPr="0001456D">
              <w:rPr>
                <w:b/>
                <w:i/>
              </w:rPr>
              <w:t xml:space="preserve">państwom </w:t>
            </w:r>
            <w:r w:rsidRPr="0001456D">
              <w:rPr>
                <w:b/>
                <w:i/>
              </w:rPr>
              <w:t>członkowskim</w:t>
            </w:r>
            <w:r w:rsidRPr="0001456D">
              <w:t>. Komisja określa w drodze aktów wykonawczych zawartość miesięcznych statystyk międzysystemowych. Te akty wykonawcze przyjmuje się zgodnie z procedurą sprawdzającą, o której mowa w art. 41a ust. 2.</w:t>
            </w:r>
          </w:p>
        </w:tc>
        <w:tc>
          <w:tcPr>
            <w:tcW w:w="4876" w:type="dxa"/>
            <w:hideMark/>
          </w:tcPr>
          <w:p w:rsidR="007605D8" w:rsidRPr="0001456D" w:rsidRDefault="00FD031D" w:rsidP="009C5DC8">
            <w:pPr>
              <w:pStyle w:val="Normal6"/>
              <w:rPr>
                <w:szCs w:val="24"/>
              </w:rPr>
            </w:pPr>
            <w:r w:rsidRPr="0001456D">
              <w:t xml:space="preserve">Statystyki te są udostępniane Komisji, </w:t>
            </w:r>
            <w:r w:rsidRPr="0001456D">
              <w:rPr>
                <w:b/>
                <w:i/>
              </w:rPr>
              <w:t>Parlame</w:t>
            </w:r>
            <w:r w:rsidRPr="0001456D">
              <w:rPr>
                <w:b/>
                <w:i/>
              </w:rPr>
              <w:t xml:space="preserve">ntowi Europejskiemu, państwom członkowskim i odpowiednim agencjom unijnym, w szczególności </w:t>
            </w:r>
            <w:r w:rsidRPr="0001456D">
              <w:t xml:space="preserve">[Agencji Unii Europejskiej ds. Azylu], Europejskiej Agencji Straży Granicznej i Przybrzeżnej oraz </w:t>
            </w:r>
            <w:r w:rsidRPr="0001456D">
              <w:rPr>
                <w:b/>
                <w:i/>
              </w:rPr>
              <w:t>Europolowi</w:t>
            </w:r>
            <w:r w:rsidRPr="0001456D">
              <w:t>. Komisja określa w drodze aktów wykonawczych zawartość m</w:t>
            </w:r>
            <w:r w:rsidRPr="0001456D">
              <w:t xml:space="preserve">iesięcznych statystyk międzysystemowych. Te akty wykonawcze przyjmuje się zgodnie z procedurą sprawdzającą, o której mowa w art. 41a ust. 2. </w:t>
            </w:r>
            <w:r w:rsidRPr="0001456D">
              <w:rPr>
                <w:b/>
                <w:i/>
              </w:rPr>
              <w:t>Statystyki międzysystemowe nie mogą być wykorzystywane w powiązaniu z osobami fizycznymi, nie mogą umożliwiać ident</w:t>
            </w:r>
            <w:r w:rsidRPr="0001456D">
              <w:rPr>
                <w:b/>
                <w:i/>
              </w:rPr>
              <w:t>yfikacji osób fizycznych i nie mogą być wykorzystywane do odmowy wstępu na terytorium Unii.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4</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4.</w:t>
            </w:r>
            <w:r w:rsidRPr="0001456D">
              <w:tab/>
              <w:t>Na wniosek Komisji agencja eu-LISA udostępnia jej dane statystyczne odnoszące się do konkretnych</w:t>
            </w:r>
            <w:r w:rsidRPr="0001456D">
              <w:t xml:space="preserve"> aspektów związanych z zastosowaniem niniejszego rozporządzenia, jak również dane statystyczne zgodnie z ust. 1 oraz udostępnia je, na wniosek, państwu członkowskiemu i [Agencji Unii Europejskiej ds. Azylu].</w:t>
            </w:r>
          </w:p>
        </w:tc>
        <w:tc>
          <w:tcPr>
            <w:tcW w:w="4876" w:type="dxa"/>
            <w:hideMark/>
          </w:tcPr>
          <w:p w:rsidR="007605D8" w:rsidRPr="0001456D" w:rsidRDefault="00FD031D" w:rsidP="007605D8">
            <w:pPr>
              <w:pStyle w:val="Normal6"/>
              <w:rPr>
                <w:szCs w:val="24"/>
              </w:rPr>
            </w:pPr>
            <w:r w:rsidRPr="0001456D">
              <w:t>4.</w:t>
            </w:r>
            <w:r w:rsidRPr="0001456D">
              <w:tab/>
              <w:t>Na wniosek Komisji agencja eu-LISA udostępnia</w:t>
            </w:r>
            <w:r w:rsidRPr="0001456D">
              <w:t xml:space="preserve"> jej dane statystyczne odnoszące się do konkretnych aspektów związanych z zastosowaniem niniejszego rozporządzenia, jak również dane statystyczne zgodnie z ust. 1 oraz udostępnia je, na wniosek, państwu członkowskiemu</w:t>
            </w:r>
            <w:r w:rsidRPr="0001456D">
              <w:rPr>
                <w:b/>
                <w:i/>
              </w:rPr>
              <w:t>, Parlamentowi Europejskiemu</w:t>
            </w:r>
            <w:r w:rsidRPr="0001456D">
              <w:t xml:space="preserve"> i </w:t>
            </w:r>
            <w:r w:rsidRPr="0001456D">
              <w:rPr>
                <w:b/>
                <w:i/>
              </w:rPr>
              <w:t>odpowied</w:t>
            </w:r>
            <w:r w:rsidRPr="0001456D">
              <w:rPr>
                <w:b/>
                <w:i/>
              </w:rPr>
              <w:t xml:space="preserve">nim agencjom unijnym, w szczególności </w:t>
            </w:r>
            <w:r w:rsidRPr="0001456D">
              <w:t>[Agencji Unii Europejskiej ds. Azylu]</w:t>
            </w:r>
            <w:r w:rsidRPr="0001456D">
              <w:rPr>
                <w:b/>
                <w:i/>
              </w:rPr>
              <w:t>, Europejskiej Agencji Straży Granicznej i Przybrzeżnej oraz Europolowi</w:t>
            </w:r>
            <w:r w:rsidRPr="0001456D">
              <w:t>.</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58</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 xml:space="preserve">Jorge </w:t>
      </w:r>
      <w:r w:rsidRPr="00FD031D">
        <w:rPr>
          <w:lang w:val="en-GB"/>
        </w:rPr>
        <w:t>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5</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5.</w:t>
            </w:r>
            <w:r w:rsidRPr="0001456D">
              <w:tab/>
              <w:t>Agencja eu-LISA przechowuje dane, o</w:t>
            </w:r>
            <w:r w:rsidRPr="0001456D">
              <w:rPr>
                <w:b/>
                <w:i/>
              </w:rPr>
              <w:t> </w:t>
            </w:r>
            <w:r w:rsidRPr="0001456D">
              <w:t>których mowa w ust. 1–4 niniejszego artykułu, które nie pozwalają na identyfikację osób fizycznych, do celów badań i</w:t>
            </w:r>
            <w:r w:rsidRPr="0001456D">
              <w:rPr>
                <w:b/>
                <w:i/>
              </w:rPr>
              <w:t> </w:t>
            </w:r>
            <w:r w:rsidRPr="0001456D">
              <w:t>analiz</w:t>
            </w:r>
            <w:r w:rsidRPr="0001456D">
              <w:rPr>
                <w:b/>
                <w:i/>
              </w:rPr>
              <w:t>, tym samym umożliwiając organom, o których mowa w ust. 3 niniejszego artykułu, uzyskiwanie dostosowanych do ich potrzeb sprawozdań i</w:t>
            </w:r>
            <w:r w:rsidRPr="0001456D">
              <w:rPr>
                <w:b/>
                <w:i/>
              </w:rPr>
              <w:t> statystyk w centralnym repozytorium sprawozdawczo-statystycznym, o którym mowa w art. 39 rozporządzenia (UE) 2019/818</w:t>
            </w:r>
            <w:r w:rsidRPr="0001456D">
              <w:t>.</w:t>
            </w:r>
          </w:p>
        </w:tc>
        <w:tc>
          <w:tcPr>
            <w:tcW w:w="4876" w:type="dxa"/>
            <w:hideMark/>
          </w:tcPr>
          <w:p w:rsidR="007605D8" w:rsidRPr="0001456D" w:rsidRDefault="00FD031D" w:rsidP="007605D8">
            <w:pPr>
              <w:pStyle w:val="Normal6"/>
              <w:rPr>
                <w:szCs w:val="24"/>
              </w:rPr>
            </w:pPr>
            <w:r w:rsidRPr="0001456D">
              <w:t>5.</w:t>
            </w:r>
            <w:r w:rsidRPr="0001456D">
              <w:tab/>
              <w:t>Agencja eu-LISA przechowuje</w:t>
            </w:r>
            <w:r w:rsidRPr="0001456D">
              <w:rPr>
                <w:b/>
                <w:i/>
              </w:rPr>
              <w:t>, przez okres najwyżej pięciu lat,</w:t>
            </w:r>
            <w:r w:rsidRPr="0001456D">
              <w:t xml:space="preserve"> dane, o</w:t>
            </w:r>
            <w:r w:rsidRPr="0001456D">
              <w:rPr>
                <w:b/>
                <w:i/>
              </w:rPr>
              <w:t xml:space="preserve"> </w:t>
            </w:r>
            <w:r w:rsidRPr="0001456D">
              <w:t>których mowa w ust. 1–4 niniejszego artykułu, które nie pozwala</w:t>
            </w:r>
            <w:r w:rsidRPr="0001456D">
              <w:t xml:space="preserve">ją </w:t>
            </w:r>
            <w:r w:rsidRPr="0001456D">
              <w:rPr>
                <w:b/>
                <w:i/>
              </w:rPr>
              <w:t xml:space="preserve">w żadnym wypadku </w:t>
            </w:r>
            <w:r w:rsidRPr="0001456D">
              <w:t>na identyfikację osób fizycznych, do celów badań i</w:t>
            </w:r>
            <w:r w:rsidRPr="0001456D">
              <w:rPr>
                <w:b/>
                <w:i/>
              </w:rPr>
              <w:t xml:space="preserve"> </w:t>
            </w:r>
            <w:r w:rsidRPr="0001456D">
              <w:t>analiz.</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59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w:t>
      </w:r>
      <w:r w:rsidRPr="0001456D">
        <w:t>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ustęp 6</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6.</w:t>
            </w:r>
            <w:r w:rsidRPr="0001456D">
              <w:tab/>
              <w:t>Agencja eu-LISA, Komisja</w:t>
            </w:r>
            <w:r w:rsidRPr="0001456D">
              <w:rPr>
                <w:b/>
                <w:i/>
              </w:rPr>
              <w:t>, [Agencja Unii Europejskiej ds. Azylu]</w:t>
            </w:r>
            <w:r w:rsidRPr="0001456D">
              <w:t xml:space="preserve"> i organy wyznaczone przez każde państwo członkowskie zgodnie z art. 28 ust. 2 otrzymują dostęp do centralnego repozytorium sprawozdawczo-statystycznego, o którym mowa w art. 39 rozporządzenia (UE) 2019/818. Dostęp można również przyznać upoważnionym użytk</w:t>
            </w:r>
            <w:r w:rsidRPr="0001456D">
              <w:t>ownikom z </w:t>
            </w:r>
            <w:r w:rsidRPr="0001456D">
              <w:rPr>
                <w:b/>
                <w:i/>
              </w:rPr>
              <w:t>innych</w:t>
            </w:r>
            <w:r w:rsidRPr="0001456D">
              <w:t xml:space="preserve"> agencji prowadzących działania w dziedzinie sprawiedliwości i spraw wewnętrznych, o ile taki dostęp jest istotny dla wykonywania przez nie swoich zadań.</w:t>
            </w:r>
          </w:p>
        </w:tc>
        <w:tc>
          <w:tcPr>
            <w:tcW w:w="4876" w:type="dxa"/>
            <w:hideMark/>
          </w:tcPr>
          <w:p w:rsidR="007605D8" w:rsidRPr="0001456D" w:rsidRDefault="00FD031D" w:rsidP="00397221">
            <w:pPr>
              <w:pStyle w:val="Normal6"/>
              <w:rPr>
                <w:szCs w:val="24"/>
              </w:rPr>
            </w:pPr>
            <w:r w:rsidRPr="0001456D">
              <w:t>6.</w:t>
            </w:r>
            <w:r w:rsidRPr="0001456D">
              <w:tab/>
              <w:t>Agencja eu-LISA, Komisja i organy wyznaczone przez każde państwo członkowskie zgodn</w:t>
            </w:r>
            <w:r w:rsidRPr="0001456D">
              <w:t>ie z art. 28 ust. 2 otrzymują dostęp do centralnego repozytorium sprawozdawczo-statystycznego, o którym mowa w art. 39 rozporządzenia (UE) 2019/818. Dostęp można również przyznać upoważnionym użytkownikom z </w:t>
            </w:r>
            <w:r w:rsidRPr="0001456D">
              <w:rPr>
                <w:b/>
                <w:i/>
              </w:rPr>
              <w:t xml:space="preserve">odpowiednich </w:t>
            </w:r>
            <w:r w:rsidRPr="0001456D">
              <w:t xml:space="preserve">agencji </w:t>
            </w:r>
            <w:r w:rsidRPr="0001456D">
              <w:rPr>
                <w:b/>
                <w:i/>
              </w:rPr>
              <w:t>unijnych</w:t>
            </w:r>
            <w:r w:rsidRPr="0001456D">
              <w:t xml:space="preserve"> prowadzących działa</w:t>
            </w:r>
            <w:r w:rsidRPr="0001456D">
              <w:t xml:space="preserve">nia w dziedzinie sprawiedliwości i spraw wewnętrznych, </w:t>
            </w:r>
            <w:r w:rsidRPr="0001456D">
              <w:rPr>
                <w:b/>
                <w:i/>
              </w:rPr>
              <w:t xml:space="preserve">w szczególności [Agencji Unii Europejskiej ds. Azylu], Europejskiej Agencji Straży Granicznej i Przybrzeżnej oraz Europolowi, </w:t>
            </w:r>
            <w:r w:rsidRPr="0001456D">
              <w:t>o ile taki dostęp jest istotny dla wykonywania przez nie swoich zadań.</w:t>
            </w:r>
          </w:p>
        </w:tc>
      </w:tr>
    </w:tbl>
    <w:p w:rsidR="007605D8" w:rsidRPr="00FD031D" w:rsidRDefault="00FD031D" w:rsidP="007605D8">
      <w:pPr>
        <w:pStyle w:val="Olang"/>
        <w:rPr>
          <w:noProof w:val="0"/>
          <w:lang w:val="en-GB"/>
        </w:rPr>
      </w:pPr>
      <w:r w:rsidRPr="00FD031D">
        <w:rPr>
          <w:noProof w:val="0"/>
          <w:lang w:val="en-GB"/>
        </w:rPr>
        <w:t>Or.</w:t>
      </w:r>
      <w:r w:rsidRPr="00FD031D">
        <w:rPr>
          <w:noProof w:val="0"/>
          <w:lang w:val="en-GB"/>
        </w:rPr>
        <w:t xml:space="preserve">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13 – artykuł 9 – ust</w:t>
      </w:r>
      <w:r w:rsidRPr="0001456D">
        <w:t>ęp 6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9C5DC8">
            <w:pPr>
              <w:pStyle w:val="Normal6"/>
              <w:rPr>
                <w:b/>
                <w:i/>
              </w:rPr>
            </w:pPr>
            <w:r w:rsidRPr="0001456D">
              <w:rPr>
                <w:b/>
                <w:i/>
              </w:rPr>
              <w:t>6a.</w:t>
            </w:r>
            <w:r w:rsidRPr="0001456D">
              <w:rPr>
                <w:b/>
                <w:i/>
              </w:rPr>
              <w:tab/>
              <w:t xml:space="preserve">Aby zapewnić dokładność gromadzonych danych i jakość sporządzanych statystyk, tworzeniu danych statystycznych towarzyszą rygorystyczne przepisy wymagające od państw członkowskich </w:t>
            </w:r>
            <w:r w:rsidRPr="0001456D">
              <w:rPr>
                <w:b/>
                <w:i/>
              </w:rPr>
              <w:t>sprostowania nieprawidłowych danych w określonych terminach.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b w:val="0"/>
        </w:rPr>
        <w:t>&lt;Article&gt;</w:t>
      </w:r>
      <w:r w:rsidRPr="0001456D">
        <w:t>Część normatywna – punkt 14 – artykuł 10 – ustęp 1 – akapit 1</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Każde państwo członkowskie</w:t>
            </w:r>
            <w:r w:rsidRPr="0001456D">
              <w:rPr>
                <w:b/>
                <w:i/>
              </w:rPr>
              <w:t xml:space="preserve"> </w:t>
            </w:r>
            <w:r w:rsidRPr="0001456D">
              <w:t>pobiera dane biometryczne od każdej osoby ubiegającej się o ochronę międzynarodową w wiek</w:t>
            </w:r>
            <w:r w:rsidRPr="0001456D">
              <w:t xml:space="preserve">u co najmniej sześciu lat </w:t>
            </w:r>
            <w:r w:rsidRPr="0001456D">
              <w:rPr>
                <w:b/>
                <w:i/>
              </w:rPr>
              <w:t>podczas kontroli przesiewowej</w:t>
            </w:r>
            <w:r w:rsidRPr="0001456D">
              <w:t xml:space="preserve">, </w:t>
            </w:r>
            <w:r w:rsidRPr="0001456D">
              <w:rPr>
                <w:b/>
                <w:i/>
              </w:rPr>
              <w:t xml:space="preserve">o której mowa </w:t>
            </w:r>
            <w:r w:rsidRPr="0001456D">
              <w:t>w</w:t>
            </w:r>
            <w:r w:rsidRPr="0001456D">
              <w:rPr>
                <w:b/>
                <w:i/>
              </w:rPr>
              <w:t> rozporządzeniu (UE) XXX/XXX [Rozporządzenie dotyczące kontroli przesiewowej] lub, jeżeli pobranie danych biometrycznych nie było możliwe podczas kontroli przesiewowej lub jeżeli wnios</w:t>
            </w:r>
            <w:r w:rsidRPr="0001456D">
              <w:rPr>
                <w:b/>
                <w:i/>
              </w:rPr>
              <w:t xml:space="preserve">kodawca nie był poddany kontroli przesiewowej, </w:t>
            </w:r>
            <w:r w:rsidRPr="0001456D">
              <w:t>po zarejestrowaniu wniosku o udzielenie ochrony międzynarodowej, o którym to zarejestrowaniu mowa w art. 27 rozporządzenia (UE) XXX/XXX [Rozporządzenie w sprawie procedury azylowej]</w:t>
            </w:r>
            <w:r w:rsidRPr="0001456D">
              <w:rPr>
                <w:b/>
                <w:i/>
              </w:rPr>
              <w:t xml:space="preserve">, oraz </w:t>
            </w:r>
            <w:r w:rsidRPr="0001456D">
              <w:t>najszybciej jak to mo</w:t>
            </w:r>
            <w:r w:rsidRPr="0001456D">
              <w:t xml:space="preserve">żliwe </w:t>
            </w:r>
            <w:r w:rsidRPr="0001456D">
              <w:rPr>
                <w:b/>
                <w:i/>
              </w:rPr>
              <w:t>i</w:t>
            </w:r>
            <w:r w:rsidRPr="0001456D">
              <w:t> nie później niż 72 godziny po pobraniu danych biometrycznych</w:t>
            </w:r>
            <w:r w:rsidRPr="0001456D">
              <w:rPr>
                <w:b/>
                <w:i/>
              </w:rPr>
              <w:t xml:space="preserve"> </w:t>
            </w:r>
            <w:r w:rsidRPr="0001456D">
              <w:t xml:space="preserve">przesyła je, wraz z danymi, o których mowa w art. 12 </w:t>
            </w:r>
            <w:r w:rsidRPr="0001456D">
              <w:rPr>
                <w:b/>
                <w:i/>
              </w:rPr>
              <w:t xml:space="preserve">lit. c)–p) </w:t>
            </w:r>
            <w:r w:rsidRPr="0001456D">
              <w:t>niniejszego rozporządzenia, do systemu centralnego i, w stosownych przypadkach zgodnie z art. 4 ust. 2, do CIR.</w:t>
            </w:r>
          </w:p>
        </w:tc>
        <w:tc>
          <w:tcPr>
            <w:tcW w:w="4876" w:type="dxa"/>
            <w:hideMark/>
          </w:tcPr>
          <w:p w:rsidR="007605D8" w:rsidRPr="0001456D" w:rsidRDefault="00FD031D" w:rsidP="007605D8">
            <w:pPr>
              <w:pStyle w:val="Normal6"/>
              <w:rPr>
                <w:szCs w:val="24"/>
              </w:rPr>
            </w:pPr>
            <w:r w:rsidRPr="0001456D">
              <w:t>1.</w:t>
            </w:r>
            <w:r w:rsidRPr="0001456D">
              <w:tab/>
            </w:r>
            <w:r w:rsidRPr="0001456D">
              <w:t xml:space="preserve">Każde państwo członkowskie, </w:t>
            </w:r>
            <w:r w:rsidRPr="0001456D">
              <w:rPr>
                <w:b/>
                <w:i/>
              </w:rPr>
              <w:t>w sposób dostosowany do wymogów udzielania</w:t>
            </w:r>
            <w:r w:rsidRPr="0001456D">
              <w:t xml:space="preserve"> ochrony, pobiera dane biometryczne od każdej osoby ubiegającej się o ochronę międzynarodową w wieku co najmniej sześciu lat</w:t>
            </w:r>
            <w:r w:rsidRPr="0001456D">
              <w:rPr>
                <w:b/>
                <w:i/>
              </w:rPr>
              <w:t>:</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a)</w:t>
            </w:r>
            <w:r w:rsidRPr="0001456D">
              <w:t xml:space="preserve"> po zarejestrowaniu wniosku o udzielenie ochrony </w:t>
            </w:r>
            <w:r w:rsidRPr="0001456D">
              <w:t>międzynarodowej, o którym to zarejestrowaniu mowa w art. 27 rozporządzenia (UE) XXX/XXX [rozporządzenie w sprawie procedury azylowej]</w:t>
            </w:r>
            <w:r w:rsidRPr="0001456D">
              <w:rPr>
                <w:b/>
                <w:i/>
              </w:rPr>
              <w:t>;</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b) po wystąpieniu z wnioskiem o udzielenie ochrony międzynarodowej, jeżeli wniosek został złożony na przejściach granic</w:t>
            </w:r>
            <w:r w:rsidRPr="0001456D">
              <w:rPr>
                <w:b/>
                <w:i/>
              </w:rPr>
              <w:t>znych na granicach zewnętrznych lub w strefach tranzytowych przez osoby, które nie spełniają warunków wjazdu określonych w art. 6 rozporządzenia (UE) 2016/399</w:t>
            </w:r>
            <w:r w:rsidRPr="0001456D">
              <w:t>.</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 xml:space="preserve">Każde państwo członkowskie </w:t>
            </w:r>
            <w:r w:rsidRPr="0001456D">
              <w:t>najszybciej jak to możliwe</w:t>
            </w:r>
            <w:r w:rsidRPr="0001456D">
              <w:rPr>
                <w:b/>
                <w:i/>
              </w:rPr>
              <w:t>, lecz </w:t>
            </w:r>
            <w:r w:rsidRPr="0001456D">
              <w:t>nie później niż 72 godziny po pobr</w:t>
            </w:r>
            <w:r w:rsidRPr="0001456D">
              <w:t>aniu danych biometrycznych</w:t>
            </w:r>
            <w:r w:rsidRPr="0001456D">
              <w:rPr>
                <w:b/>
                <w:i/>
              </w:rPr>
              <w:t xml:space="preserve"> osoby ubiegającej się o ochronę międzynarodową</w:t>
            </w:r>
            <w:r w:rsidRPr="0001456D">
              <w:t xml:space="preserve"> przesyła je, wraz z danymi, o których mowa w art. 12 </w:t>
            </w:r>
            <w:r w:rsidRPr="0001456D">
              <w:rPr>
                <w:b/>
                <w:i/>
              </w:rPr>
              <w:t xml:space="preserve">ust. 1 </w:t>
            </w:r>
            <w:r w:rsidRPr="0001456D">
              <w:t>niniejszego rozporządzenia, do systemu centralnego i, w stosownych przypadkach zgodnie z art. 4 ust. 2, do CIR.</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w:t>
      </w:r>
      <w:r w:rsidRPr="00FD031D">
        <w:rPr>
          <w:rStyle w:val="HideTWBExt"/>
          <w:noProof w:val="0"/>
          <w:lang w:val="en-GB"/>
        </w:rPr>
        <w:t>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14 – artykuł 10 – ustęp 3</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3.</w:t>
            </w:r>
            <w:r w:rsidRPr="0001456D">
              <w:tab/>
              <w:t>Na wniosek danego państwa członkowskiego dane biometryczne mogą być także pobierane i przesyłane w imieniu tego państwa członkowskiego przez członków zespołów Europejskiej Straży Granicznej i Przybr</w:t>
            </w:r>
            <w:r w:rsidRPr="0001456D">
              <w:t xml:space="preserve">zeżnej lub </w:t>
            </w:r>
            <w:r w:rsidRPr="0001456D">
              <w:rPr>
                <w:b/>
                <w:i/>
              </w:rPr>
              <w:t xml:space="preserve">przez </w:t>
            </w:r>
            <w:r w:rsidRPr="0001456D">
              <w:t>ekspertów z zespołów wsparcia ds. azylu podczas realizacji przez nich zadań i wykonywania uprawnień na podstawie rozporządzenia (UE) 2019/1896 i rozporządzenia (UE) XXX/XXX [Rozporządzenie w sprawie Agencji Unii Europejskiej ds. Azylu].</w:t>
            </w:r>
          </w:p>
        </w:tc>
        <w:tc>
          <w:tcPr>
            <w:tcW w:w="4876" w:type="dxa"/>
            <w:hideMark/>
          </w:tcPr>
          <w:p w:rsidR="007605D8" w:rsidRPr="0001456D" w:rsidRDefault="00FD031D" w:rsidP="007605D8">
            <w:pPr>
              <w:pStyle w:val="Normal6"/>
              <w:rPr>
                <w:szCs w:val="24"/>
              </w:rPr>
            </w:pPr>
            <w:r w:rsidRPr="0001456D">
              <w:t>3.</w:t>
            </w:r>
            <w:r w:rsidRPr="0001456D">
              <w:tab/>
              <w:t xml:space="preserve">Na wniosek danego państwa członkowskiego dane biometryczne </w:t>
            </w:r>
            <w:r w:rsidRPr="0001456D">
              <w:rPr>
                <w:b/>
                <w:i/>
              </w:rPr>
              <w:t xml:space="preserve">i alfanumeryczne </w:t>
            </w:r>
            <w:r w:rsidRPr="0001456D">
              <w:t xml:space="preserve">mogą być także pobierane i przesyłane w imieniu tego państwa członkowskiego przez </w:t>
            </w:r>
            <w:r w:rsidRPr="0001456D">
              <w:rPr>
                <w:b/>
                <w:i/>
              </w:rPr>
              <w:t xml:space="preserve">specjalnie przeszkolonych </w:t>
            </w:r>
            <w:r w:rsidRPr="0001456D">
              <w:t xml:space="preserve">członków zespołów Europejskiej Straży Granicznej i Przybrzeżnej lub </w:t>
            </w:r>
            <w:r w:rsidRPr="0001456D">
              <w:t>ekspertów z zespołów wsparcia ds. azylu podczas realizacji</w:t>
            </w:r>
            <w:r w:rsidRPr="0001456D">
              <w:rPr>
                <w:b/>
                <w:i/>
              </w:rPr>
              <w:t xml:space="preserve"> </w:t>
            </w:r>
            <w:r w:rsidRPr="0001456D">
              <w:t xml:space="preserve"> przez nich zadań i wykonywania uprawnień na podstawie rozporządzenia (UE) 2019/1896 i rozporządzenia (UE) XXX/XXX [rozporządzenie w sprawie Agencji Unii Europejskiej ds. Azylu].</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rStyle w:val="HideTWBInt"/>
          <w:noProof w:val="0"/>
        </w:rPr>
        <w:t>}</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63</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14 – artykuł 10 – ustęp 4</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4.</w:t>
            </w:r>
            <w:r w:rsidRPr="0001456D">
              <w:rPr>
                <w:b/>
                <w:i/>
              </w:rPr>
              <w:tab/>
            </w:r>
            <w:r w:rsidRPr="0001456D">
              <w:t>Każdy zestaw danych zgromadzony i przesłany zgodnie z ust. 1 jest powiązany z innymi zestawami danych dotyczących tego samego obywatela państwa trzeciego lub bezpaństwowca w ramach sekwencji, jak ok</w:t>
            </w:r>
            <w:r w:rsidRPr="0001456D">
              <w:t>reślono w art. 4 ust. 6</w:t>
            </w:r>
            <w:r w:rsidRPr="0001456D">
              <w:rPr>
                <w:b/>
                <w:i/>
              </w:rPr>
              <w:t>.</w:t>
            </w:r>
          </w:p>
        </w:tc>
        <w:tc>
          <w:tcPr>
            <w:tcW w:w="4876" w:type="dxa"/>
            <w:hideMark/>
          </w:tcPr>
          <w:p w:rsidR="007605D8" w:rsidRPr="0001456D" w:rsidRDefault="00FD031D" w:rsidP="0015056E">
            <w:pPr>
              <w:pStyle w:val="Normal6"/>
              <w:rPr>
                <w:szCs w:val="24"/>
              </w:rPr>
            </w:pPr>
            <w:r w:rsidRPr="0001456D">
              <w:t>4.</w:t>
            </w:r>
            <w:r w:rsidRPr="0001456D">
              <w:rPr>
                <w:b/>
                <w:i/>
              </w:rPr>
              <w:tab/>
            </w:r>
            <w:r w:rsidRPr="0001456D">
              <w:t>Każdy zestaw danych zgromadzony i przesłany zgodnie z ust. 1 jest powiązany z innymi zestawami danych dotyczących tego samego obywatela państwa trzeciego lub bezpaństwowca w ramach sekwencji, jak określono w art. 4 ust. 6</w:t>
            </w:r>
            <w:r w:rsidRPr="0001456D">
              <w:rPr>
                <w:b/>
                <w:i/>
              </w:rPr>
              <w:t xml:space="preserve">, z </w:t>
            </w:r>
            <w:r w:rsidRPr="0001456D">
              <w:rPr>
                <w:b/>
                <w:i/>
              </w:rPr>
              <w:t>poszanowaniem ustanowionych tam ograniczeń;</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14 – artykuł 10 – ustęp 4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4a.</w:t>
            </w:r>
            <w:r w:rsidRPr="0001456D">
              <w:rPr>
                <w:b/>
                <w:i/>
              </w:rPr>
              <w:tab/>
              <w:t xml:space="preserve">Dane biometryczne małoletnich w wieku od sześciu lat są pobierane przez urzędników wyszkolonych specjalnie do pobierania danych </w:t>
            </w:r>
            <w:r w:rsidRPr="0001456D">
              <w:rPr>
                <w:b/>
                <w:i/>
              </w:rPr>
              <w:t>biometrycznych małoletnich w sposób przyjazny dla dziecka i z wyczuciem jego potrzeb, przy pełnym poszanowaniu nadrzędnego interesu dziecka oraz gwarancji określonych w Konwencji Narodów Zjednoczonych o prawach dziecka.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Małoletnim podczas pobierania ich </w:t>
            </w:r>
            <w:r w:rsidRPr="0001456D">
              <w:rPr>
                <w:b/>
                <w:i/>
              </w:rPr>
              <w:t>danych biometrycznych towarzyszy – jeżeli jest obecny – pełnoletni członek rodziny. Małoletnim bez opieki podczas pobierania ich danych biometrycznych towarzyszy opiekun, przedstawiciel lub, jeżeli nie wyznaczono przedstawiciela, osoba przeszkolona do ochr</w:t>
            </w:r>
            <w:r w:rsidRPr="0001456D">
              <w:rPr>
                <w:b/>
                <w:i/>
              </w:rPr>
              <w:t>ony nadrzędnego interesu osoby małoletniej i jej ogólnego dobrostanu. Taka przeszkolona osoba nie jest urzędnikiem odpowiedzialnym za pobieranie danych biometrycznych, działa niezależnie i nie otrzymuje poleceń ani od urzędnika, ani od służby odpowiedzialn</w:t>
            </w:r>
            <w:r w:rsidRPr="0001456D">
              <w:rPr>
                <w:b/>
                <w:i/>
              </w:rPr>
              <w:t>ej za pobieranie danych biometrycznych.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65</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 artykuł 12 – wprowadzenie</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 xml:space="preserve">W systemie centralnym </w:t>
            </w:r>
            <w:r w:rsidRPr="0001456D">
              <w:rPr>
                <w:b/>
                <w:i/>
              </w:rPr>
              <w:t>i</w:t>
            </w:r>
            <w:r w:rsidRPr="0001456D">
              <w:t>, w stosownych przypadkach, w CIR zapisywane są tylko następujące dane:</w:t>
            </w:r>
          </w:p>
        </w:tc>
        <w:tc>
          <w:tcPr>
            <w:tcW w:w="4876" w:type="dxa"/>
            <w:hideMark/>
          </w:tcPr>
          <w:p w:rsidR="007605D8" w:rsidRPr="0001456D" w:rsidRDefault="00FD031D" w:rsidP="007605D8">
            <w:pPr>
              <w:pStyle w:val="Normal6"/>
              <w:rPr>
                <w:szCs w:val="24"/>
              </w:rPr>
            </w:pPr>
            <w:r w:rsidRPr="0001456D">
              <w:t xml:space="preserve">W systemie centralnym </w:t>
            </w:r>
            <w:r w:rsidRPr="0001456D">
              <w:rPr>
                <w:b/>
                <w:i/>
              </w:rPr>
              <w:t>lub</w:t>
            </w:r>
            <w:r w:rsidRPr="0001456D">
              <w:t xml:space="preserve">, w stosownych </w:t>
            </w:r>
            <w:r w:rsidRPr="0001456D">
              <w:t>przypadkach, w CIR zapisywane są tylko następujące dane</w:t>
            </w:r>
            <w:r w:rsidRPr="0001456D">
              <w:rPr>
                <w:b/>
                <w:i/>
              </w:rPr>
              <w:t>, zgodnie z art. 4 ust. 2</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 xml:space="preserve">Wniosek </w:t>
      </w:r>
      <w:r w:rsidRPr="0001456D">
        <w:t>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 artykuł 12 – litera o</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o)</w:t>
            </w:r>
            <w:r w:rsidRPr="0001456D">
              <w:tab/>
              <w:t>data przesłania danych do systemu centralnego i, w</w:t>
            </w:r>
            <w:r w:rsidRPr="0001456D">
              <w:rPr>
                <w:b/>
                <w:i/>
              </w:rPr>
              <w:t xml:space="preserve"> </w:t>
            </w:r>
            <w:r w:rsidRPr="0001456D">
              <w:t>stosownych przypadkach, do CIR;</w:t>
            </w:r>
          </w:p>
        </w:tc>
        <w:tc>
          <w:tcPr>
            <w:tcW w:w="4876" w:type="dxa"/>
            <w:hideMark/>
          </w:tcPr>
          <w:p w:rsidR="007605D8" w:rsidRPr="0001456D" w:rsidRDefault="00FD031D" w:rsidP="007605D8">
            <w:pPr>
              <w:pStyle w:val="Normal6"/>
              <w:rPr>
                <w:szCs w:val="24"/>
              </w:rPr>
            </w:pPr>
            <w:r w:rsidRPr="0001456D">
              <w:t>o)</w:t>
            </w:r>
            <w:r w:rsidRPr="0001456D">
              <w:tab/>
              <w:t xml:space="preserve">data przesłania </w:t>
            </w:r>
            <w:r w:rsidRPr="0001456D">
              <w:t>danych do systemu centralnego i, w</w:t>
            </w:r>
            <w:r w:rsidRPr="0001456D">
              <w:rPr>
                <w:b/>
                <w:i/>
              </w:rPr>
              <w:t> </w:t>
            </w:r>
            <w:r w:rsidRPr="0001456D">
              <w:t>stosownych przypadkach, do CIR</w:t>
            </w:r>
            <w:r w:rsidRPr="0001456D">
              <w:rPr>
                <w:b/>
                <w:i/>
              </w:rPr>
              <w:t>, zgodnie z art. 4 ust. 2</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 artykuł 12 – litera v</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v)</w:t>
            </w:r>
            <w:r w:rsidRPr="0001456D">
              <w:tab/>
              <w:t xml:space="preserve">fakt, że osoba może stanowić zagrożenie bezpieczeństwa wewnętrznego, co stwierdzono wskutek </w:t>
            </w:r>
            <w:r w:rsidRPr="0001456D">
              <w:rPr>
                <w:b/>
                <w:i/>
              </w:rPr>
              <w:t xml:space="preserve">kontroli przesiewowej, o której mowa w rozporządzeniu (UE) XXX/XXX [Rozporządzenie dotyczące kontroli przesiewowej], lub wskutek </w:t>
            </w:r>
            <w:r w:rsidRPr="0001456D">
              <w:t>sprawdzenia zgodnie z art. 8 ust. 4 rozporządzenia (UE) nr XXX/XXX [Rozporządzenie w sprawie zarządzania azylem i migracją];</w:t>
            </w:r>
          </w:p>
        </w:tc>
        <w:tc>
          <w:tcPr>
            <w:tcW w:w="4876" w:type="dxa"/>
            <w:hideMark/>
          </w:tcPr>
          <w:p w:rsidR="007605D8" w:rsidRPr="0001456D" w:rsidRDefault="00FD031D" w:rsidP="007605D8">
            <w:pPr>
              <w:pStyle w:val="Normal6"/>
              <w:rPr>
                <w:szCs w:val="24"/>
              </w:rPr>
            </w:pPr>
            <w:r w:rsidRPr="0001456D">
              <w:t>v)</w:t>
            </w:r>
            <w:r w:rsidRPr="0001456D">
              <w:tab/>
              <w:t>fakt, że osoba może stanowić zagrożenie bezpieczeństwa wewnętrznego, co stwierdzono wskutek sprawdzenia zgodnie z art. 8 ust. 4 rozporządzenia (UE) nr XXX/XXX [rozporządzenie w sprawie zarządzania azylem i migracją];</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w:t>
      </w:r>
      <w:r w:rsidRPr="00FD031D">
        <w:rPr>
          <w:rStyle w:val="HideTWBExt"/>
          <w:lang w:val="en-GB"/>
        </w:rPr>
        <w:t>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 artykuł 12 – ustęp 3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 xml:space="preserve">Tekst </w:t>
            </w:r>
            <w:r w:rsidRPr="0001456D">
              <w:t>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15056E">
            <w:pPr>
              <w:pStyle w:val="Normal6"/>
              <w:rPr>
                <w:b/>
                <w:i/>
                <w:szCs w:val="24"/>
              </w:rPr>
            </w:pPr>
            <w:r w:rsidRPr="0001456D">
              <w:rPr>
                <w:b/>
                <w:i/>
              </w:rPr>
              <w:t>3.</w:t>
            </w:r>
            <w:r w:rsidRPr="0001456D">
              <w:rPr>
                <w:b/>
                <w:i/>
              </w:rPr>
              <w:tab/>
              <w:t xml:space="preserve">Państwo członkowskie pochodzenia, które stwierdziło, że zagrożenie bezpieczeństwa wewnętrznego zidentyfikowane w wyniku rozpatrzenia wniosku na podstawie art. 8 ust. 4 rozporządzenia (UE) XXX/XXX (rozporządzenie w </w:t>
            </w:r>
            <w:r w:rsidRPr="0001456D">
              <w:rPr>
                <w:b/>
                <w:i/>
              </w:rPr>
              <w:t>sprawie zarządzania azylem i migracją) już nie występuje, usuwa znacznik bezpieczeństwa ze zbioru danych. System centralny informuje wszystkie państwa członkowskie pochodzenia – najszybciej jak to możliwe i nie później niż w ciągu 72 godzin – o usunięciu p</w:t>
            </w:r>
            <w:r w:rsidRPr="0001456D">
              <w:rPr>
                <w:b/>
                <w:i/>
              </w:rPr>
              <w:t>rzez inne państwo członkowskie pochodzenia znacznika bezpieczeństwa, który doprowadził do trafienia w połączeniu z danymi przesłanymi przez te państwa, dotyczącymi osób, o których mowa w art. 13 ust. 1, art. 14 ust. 1 lub art. 14a ust. 1. Te państwa członk</w:t>
            </w:r>
            <w:r w:rsidRPr="0001456D">
              <w:rPr>
                <w:b/>
                <w:i/>
              </w:rPr>
              <w:t>owskie pochodzenia również usuwają znacznik bezpieczeństwa w odpowiednim zbiorze danych.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69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a (nowy) – artykuł 12 a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jc w:val="center"/>
              <w:rPr>
                <w:szCs w:val="24"/>
              </w:rPr>
            </w:pPr>
            <w:r w:rsidRPr="0001456D">
              <w:rPr>
                <w:b/>
                <w:i/>
              </w:rPr>
              <w:t>Artykuł 12 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jc w:val="center"/>
              <w:rPr>
                <w:szCs w:val="24"/>
              </w:rPr>
            </w:pPr>
            <w:r w:rsidRPr="0001456D">
              <w:rPr>
                <w:b/>
                <w:i/>
              </w:rPr>
              <w:t xml:space="preserve">Pobieranie i przesyłanie danych dotyczących odcisków palców oraz danych </w:t>
            </w:r>
            <w:r w:rsidRPr="0001456D">
              <w:rPr>
                <w:b/>
                <w:i/>
              </w:rPr>
              <w:t>dotyczących wizerunku twarzy</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97221">
            <w:pPr>
              <w:pStyle w:val="Normal6"/>
              <w:rPr>
                <w:szCs w:val="24"/>
              </w:rPr>
            </w:pPr>
            <w:r w:rsidRPr="0001456D">
              <w:rPr>
                <w:b/>
                <w:i/>
              </w:rPr>
              <w:t xml:space="preserve">1. </w:t>
            </w:r>
            <w:r w:rsidRPr="0001456D">
              <w:rPr>
                <w:b/>
                <w:i/>
              </w:rPr>
              <w:tab/>
              <w:t xml:space="preserve">Każde państwo członkowskie pobiera odciski wszystkich palców oraz wykonuje zdjęcie wizerunku twarzy każdego przesiedlonego obywatela państwa trzeciego lub bezpaństwowca w wieku co najmniej sześciu lat niezwłocznie po ich </w:t>
            </w:r>
            <w:r w:rsidRPr="0001456D">
              <w:rPr>
                <w:b/>
                <w:i/>
              </w:rPr>
              <w:t>przybyciu na jego terytorium. Każde państwo członkowskie przesyła takie dane biometryczne wraz z innymi danymi, o których mowa w art. 10 rozporządzenia (UE) …/…, do systemu centralnego.</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15056E">
            <w:pPr>
              <w:pStyle w:val="Normal6"/>
              <w:rPr>
                <w:szCs w:val="24"/>
              </w:rPr>
            </w:pPr>
            <w:r w:rsidRPr="0001456D">
              <w:rPr>
                <w:b/>
                <w:i/>
              </w:rPr>
              <w:t>Jeżeli państwo członkowskie nie zastosuje się do wymogu niezwłoczneg</w:t>
            </w:r>
            <w:r w:rsidRPr="0001456D">
              <w:rPr>
                <w:b/>
                <w:i/>
              </w:rPr>
              <w:t>o pobrania danych biometrycznych osób, o których mowa w akapicie pierwszym niniejszego ustępu, nie zwalnia go to z obowiązku pobrania danych biometrycznych i przesłania ich do systemu centralnego. Jeżeli stan opuszków palców nie pozwala na pobranie odciskó</w:t>
            </w:r>
            <w:r w:rsidRPr="0001456D">
              <w:rPr>
                <w:b/>
                <w:i/>
              </w:rPr>
              <w:t>w palców o jakości zapewniającej odpowiednie porównanie zgodnie z art. 26, państwo członkowskie przesiedlenia pobiera powtórnie odciski palców osoby ubiegającej się o ochronę międzynarodową i przesyła je ponownie, najszybciej jak to możliwe i nie później n</w:t>
            </w:r>
            <w:r w:rsidRPr="0001456D">
              <w:rPr>
                <w:b/>
                <w:i/>
              </w:rPr>
              <w:t>iż 48 godziny po ich skutecznym ponownym pobraniu.</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2. </w:t>
            </w:r>
            <w:r w:rsidRPr="0001456D">
              <w:rPr>
                <w:b/>
                <w:i/>
              </w:rPr>
              <w:tab/>
              <w:t>Na zasadzie odstępstwa od ust. 1, jeżeli pobranie odcisków palców, wykonanie zdjęcia wizerunku twarzy osoby ubiegającej się o ochronę międzynarodową lub przeprowadzenie obu tych czynności nie jest mo</w:t>
            </w:r>
            <w:r w:rsidRPr="0001456D">
              <w:rPr>
                <w:b/>
                <w:i/>
              </w:rPr>
              <w:t>żliwe z powodu środków podjętych w celu ochrony zdrowia tej osoby lub ochrony zdrowia publicznego, państwa członkowskie pobierają i przesyłają takie odciski palców, zdjęcie wizerunku twarzy lub jedne i drugie możliwie najszybciej i nie później niż 48 godzi</w:t>
            </w:r>
            <w:r w:rsidRPr="0001456D">
              <w:rPr>
                <w:b/>
                <w:i/>
              </w:rPr>
              <w:t>n po ustaniu tych powodów zdrowotnych.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16 b (nowy) – artykuł 12 b (nowy)</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jc w:val="center"/>
              <w:rPr>
                <w:szCs w:val="24"/>
              </w:rPr>
            </w:pPr>
            <w:r w:rsidRPr="0001456D">
              <w:rPr>
                <w:b/>
                <w:i/>
              </w:rPr>
              <w:t>Artykuł 12b</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jc w:val="center"/>
              <w:rPr>
                <w:b/>
                <w:i/>
              </w:rPr>
            </w:pPr>
            <w:r w:rsidRPr="0001456D">
              <w:rPr>
                <w:b/>
                <w:i/>
              </w:rPr>
              <w:t>Zapisywanie danych</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b/>
                <w:i/>
              </w:rPr>
            </w:pPr>
            <w:r w:rsidRPr="0001456D">
              <w:rPr>
                <w:b/>
                <w:i/>
              </w:rPr>
              <w:t xml:space="preserve">W systemie centralnym zapisywane są tylko następujące dane: </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a) </w:t>
            </w:r>
            <w:r w:rsidRPr="0001456D">
              <w:rPr>
                <w:b/>
                <w:i/>
              </w:rPr>
              <w:tab/>
              <w:t>dane daktyloskopijne;</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b) </w:t>
            </w:r>
            <w:r w:rsidRPr="0001456D">
              <w:rPr>
                <w:b/>
                <w:i/>
              </w:rPr>
              <w:tab/>
              <w:t xml:space="preserve">wizerunek </w:t>
            </w:r>
            <w:r w:rsidRPr="0001456D">
              <w:rPr>
                <w:b/>
                <w:i/>
              </w:rPr>
              <w:t>twarzy;</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c) </w:t>
            </w:r>
            <w:r w:rsidRPr="0001456D">
              <w:rPr>
                <w:b/>
                <w:i/>
              </w:rPr>
              <w:tab/>
              <w:t>nazwisko(-a) i imię (imiona), nazwisko(-a) rodowe oraz wcześniej stosowane nazwiska lub wszelkie pseudonimy; dane te mogą być wprowadzane oddzielnie;</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d) </w:t>
            </w:r>
            <w:r w:rsidRPr="0001456D">
              <w:rPr>
                <w:b/>
                <w:i/>
              </w:rPr>
              <w:tab/>
              <w:t>obywatelstwo(-a);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e) </w:t>
            </w:r>
            <w:r w:rsidRPr="0001456D">
              <w:rPr>
                <w:b/>
                <w:i/>
              </w:rPr>
              <w:tab/>
              <w:t>miejsce i data urodzenia;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f) </w:t>
            </w:r>
            <w:r w:rsidRPr="0001456D">
              <w:rPr>
                <w:b/>
                <w:i/>
              </w:rPr>
              <w:tab/>
              <w:t xml:space="preserve">państwo członkowskie </w:t>
            </w:r>
            <w:r w:rsidRPr="0001456D">
              <w:rPr>
                <w:b/>
                <w:i/>
              </w:rPr>
              <w:t>przesiedlenia, miejsce i data rejestracji;</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g) </w:t>
            </w:r>
            <w:r w:rsidRPr="0001456D">
              <w:rPr>
                <w:b/>
                <w:i/>
              </w:rPr>
              <w:tab/>
              <w:t>płeć;</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h) </w:t>
            </w:r>
            <w:r w:rsidRPr="0001456D">
              <w:rPr>
                <w:b/>
                <w:i/>
              </w:rPr>
              <w:tab/>
              <w:t>w stosownych przypadkach – rodzaj i numer dokumentu tożsamości lub dokumentu podróży; trzyliterowy kod kraju wydającego dokument oraz data ważności;</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i) </w:t>
            </w:r>
            <w:r w:rsidRPr="0001456D">
              <w:rPr>
                <w:b/>
                <w:i/>
              </w:rPr>
              <w:tab/>
              <w:t xml:space="preserve">numer referencyjny użyty przez państwo </w:t>
            </w:r>
            <w:r w:rsidRPr="0001456D">
              <w:rPr>
                <w:b/>
                <w:i/>
              </w:rPr>
              <w:t>członkowskie pochodzenia;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j) </w:t>
            </w:r>
            <w:r w:rsidRPr="0001456D">
              <w:rPr>
                <w:b/>
                <w:i/>
              </w:rPr>
              <w:tab/>
              <w:t>data pobrania odcisków palców lub wykonania zdjęcia wizerunku twarzy;</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k) </w:t>
            </w:r>
            <w:r w:rsidRPr="0001456D">
              <w:rPr>
                <w:b/>
                <w:i/>
              </w:rPr>
              <w:tab/>
              <w:t>data przesłania danych do systemu centralnego;</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 xml:space="preserve">l) </w:t>
            </w:r>
            <w:r w:rsidRPr="0001456D">
              <w:rPr>
                <w:b/>
                <w:i/>
              </w:rPr>
              <w:tab/>
              <w:t>numer identyfikacyjny operatora.</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71</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17 – artykuł 13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t>
            </w:r>
            <w:r w:rsidRPr="0001456D">
              <w:t>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 xml:space="preserve">Każde państwo członkowskie niezwłocznie pobiera dane biometryczne od każdego obywatela państwa trzeciego lub bezpaństwowca w wieku co najmniej sześciu lat, przybywającego z państwa trzeciego, który został zatrzymany przez właściwe organy kontrolne </w:t>
            </w:r>
            <w:r w:rsidRPr="0001456D">
              <w:t>w związku z nielegalnym przekroczeniem lądowej, morskiej lub powietrznej granicy tego państwa członkowskiego i nie został zawrócony lub który pozostaje fizycznie na terytorium państw członkowskich i nie został uwięziony, umieszczony w miejscu zatrzymania l</w:t>
            </w:r>
            <w:r w:rsidRPr="0001456D">
              <w:t>ub zakładzie zamkniętym przez cały okres pomiędzy zatrzymaniem i wydaleniem na podstawie decyzji o zawróceniu.</w:t>
            </w:r>
          </w:p>
        </w:tc>
        <w:tc>
          <w:tcPr>
            <w:tcW w:w="4876" w:type="dxa"/>
            <w:hideMark/>
          </w:tcPr>
          <w:p w:rsidR="007605D8" w:rsidRPr="0001456D" w:rsidRDefault="00FD031D" w:rsidP="007605D8">
            <w:pPr>
              <w:pStyle w:val="Normal6"/>
            </w:pPr>
            <w:r w:rsidRPr="0001456D">
              <w:t>1.</w:t>
            </w:r>
            <w:r w:rsidRPr="0001456D">
              <w:tab/>
              <w:t>Każde państwo członkowskie</w:t>
            </w:r>
            <w:r w:rsidRPr="0001456D">
              <w:rPr>
                <w:b/>
                <w:i/>
              </w:rPr>
              <w:t>, w sposób dostosowany do wymogów udzielania ochrony,</w:t>
            </w:r>
            <w:r w:rsidRPr="0001456D">
              <w:t xml:space="preserve"> niezwłocznie pobiera dane biometryczne od każdego obywatela pa</w:t>
            </w:r>
            <w:r w:rsidRPr="0001456D">
              <w:t>ństwa trzeciego lub bezpaństwowca w wieku co najmniej sześciu lat, przybywającego z państwa trzeciego, który został zatrzymany przez właściwe organy kontrolne w związku z nielegalnym przekroczeniem lądowej, morskiej lub powietrznej granicy tego państwa czł</w:t>
            </w:r>
            <w:r w:rsidRPr="0001456D">
              <w:t xml:space="preserve">onkowskiego i nie został zawrócony lub który pozostaje fizycznie na terytorium państw członkowskich i nie został uwięziony, umieszczony w miejscu zatrzymania lub zakładzie zamkniętym przez cały okres pomiędzy zatrzymaniem i wydaleniem na podstawie decyzji </w:t>
            </w:r>
            <w:r w:rsidRPr="0001456D">
              <w:t>o zawróceniu.</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17</w:t>
      </w:r>
      <w:r w:rsidRPr="0001456D">
        <w:t xml:space="preserve"> – artykuł 13 – ustęp 2 – wprowadzenie</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 xml:space="preserve">Dane państwo członkowskie przesyła do systemu centralnego </w:t>
            </w:r>
            <w:r w:rsidRPr="0001456D">
              <w:rPr>
                <w:b/>
                <w:i/>
              </w:rPr>
              <w:t>i</w:t>
            </w:r>
            <w:r w:rsidRPr="0001456D">
              <w:t xml:space="preserve">, w stosownych przypadkach, do CIR – najszybciej jak to możliwe i nie później niż 72 godzin po dniu </w:t>
            </w:r>
            <w:r w:rsidRPr="0001456D">
              <w:t>zatrzymania – następujące dane dotyczące każdego obywatela państwa trzeciego lub bezpaństwowca, o którym mowa w ust. 1 i który nie został zawrócony:</w:t>
            </w:r>
          </w:p>
        </w:tc>
        <w:tc>
          <w:tcPr>
            <w:tcW w:w="4876" w:type="dxa"/>
            <w:hideMark/>
          </w:tcPr>
          <w:p w:rsidR="007605D8" w:rsidRPr="0001456D" w:rsidRDefault="00FD031D" w:rsidP="007605D8">
            <w:pPr>
              <w:pStyle w:val="Normal6"/>
              <w:rPr>
                <w:szCs w:val="24"/>
              </w:rPr>
            </w:pPr>
            <w:r w:rsidRPr="0001456D">
              <w:t>2.</w:t>
            </w:r>
            <w:r w:rsidRPr="0001456D">
              <w:tab/>
              <w:t xml:space="preserve">Dane państwo członkowskie przesyła do systemu centralnego </w:t>
            </w:r>
            <w:r w:rsidRPr="0001456D">
              <w:rPr>
                <w:b/>
                <w:i/>
              </w:rPr>
              <w:t>lub</w:t>
            </w:r>
            <w:r w:rsidRPr="0001456D">
              <w:t>, w stosownych przypadkach, do CIR</w:t>
            </w:r>
            <w:r w:rsidRPr="0001456D">
              <w:rPr>
                <w:b/>
                <w:i/>
              </w:rPr>
              <w:t>, zgodnie</w:t>
            </w:r>
            <w:r w:rsidRPr="0001456D">
              <w:rPr>
                <w:b/>
                <w:i/>
              </w:rPr>
              <w:t xml:space="preserve"> z art. 4 ust. 2</w:t>
            </w:r>
            <w:r w:rsidRPr="0001456D">
              <w:t xml:space="preserve"> – najszybciej jak to możliwe i nie później niż 72 godzin po dniu</w:t>
            </w:r>
            <w:r w:rsidRPr="0001456D">
              <w:rPr>
                <w:b/>
                <w:i/>
              </w:rPr>
              <w:t xml:space="preserve"> </w:t>
            </w:r>
            <w:r w:rsidRPr="0001456D">
              <w:t xml:space="preserve"> zatrzymania – następujące dane dotyczące każdego obywatela państwa trzeciego lub bezpaństwowca, o którym mowa w ust. 1 i który nie został zawrócony:</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w:t>
      </w:r>
      <w:r w:rsidRPr="00FD031D">
        <w:rPr>
          <w:rStyle w:val="HideTWBExt"/>
          <w:noProof w:val="0"/>
          <w:lang w:val="en-GB"/>
        </w:rPr>
        <w:t>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17 – artykuł 13 – ustęp 2 – litera r</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rPr>
                <w:b/>
                <w:i/>
              </w:rPr>
            </w:pPr>
            <w:r w:rsidRPr="0001456D">
              <w:rPr>
                <w:b/>
                <w:i/>
              </w:rPr>
              <w:t>r)</w:t>
            </w:r>
            <w:r w:rsidRPr="0001456D">
              <w:rPr>
                <w:b/>
                <w:i/>
              </w:rPr>
              <w:tab/>
              <w:t xml:space="preserve">fakt, że osoba może stanowić zagrożenie bezpieczeństwa wewnętrznego, co stwierdzono wskutek kontroli przesiewowej, o której mowa w rozporządzeniu (UE) XXX/XXX [Rozporządzenie dotyczące kontroli </w:t>
            </w:r>
            <w:r w:rsidRPr="0001456D">
              <w:rPr>
                <w:b/>
                <w:i/>
              </w:rPr>
              <w:t>przesiewowej].</w:t>
            </w:r>
          </w:p>
        </w:tc>
        <w:tc>
          <w:tcPr>
            <w:tcW w:w="4876" w:type="dxa"/>
          </w:tcPr>
          <w:p w:rsidR="007605D8" w:rsidRPr="0001456D" w:rsidRDefault="00FD031D" w:rsidP="007605D8">
            <w:pPr>
              <w:pStyle w:val="Normal6"/>
              <w:rPr>
                <w:b/>
                <w:i/>
              </w:rPr>
            </w:pPr>
            <w:r w:rsidRPr="0001456D">
              <w:rPr>
                <w:b/>
                <w:i/>
              </w:rPr>
              <w:t xml:space="preserve">skreśla się </w:t>
            </w:r>
          </w:p>
          <w:p w:rsidR="007605D8" w:rsidRPr="0001456D" w:rsidRDefault="007605D8" w:rsidP="007605D8">
            <w:pPr>
              <w:pStyle w:val="Normal6"/>
              <w:rPr>
                <w:b/>
                <w:i/>
              </w:rPr>
            </w:pP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FD031D" w:rsidRPr="00FD031D" w:rsidRDefault="00FD031D" w:rsidP="00FD031D">
      <w:pPr>
        <w:rPr>
          <w:lang w:val="en-GB"/>
        </w:rPr>
      </w:pPr>
      <w:r w:rsidRPr="00FD031D">
        <w:rPr>
          <w:rStyle w:val="HideTWBExt"/>
          <w:lang w:val="en-GB"/>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74</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w:t>
      </w:r>
      <w:r w:rsidRPr="0001456D">
        <w:t>normatywna – punkt 17 – artykuł 13 – ustęp 7</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7.</w:t>
            </w:r>
            <w:r w:rsidRPr="0001456D">
              <w:tab/>
              <w:t>Na wniosek danego państwa członkowskiego dane biometryczne mogą być także pobierane i przesyłane w imieniu tego państwa członkowskiego przez członków zesp</w:t>
            </w:r>
            <w:r w:rsidRPr="0001456D">
              <w:t>ołów Europejskiej Straży Granicznej i Przybrzeżnej lub przez ekspertów z zespołów wsparcia ds. azylu podczas realizacji przez nich zadań i wykonywania uprawnień na podstawie rozporządzenia (UE) 2019/1896 i rozporządzenia (UE) XXX/XXX [Rozporządzenie w spra</w:t>
            </w:r>
            <w:r w:rsidRPr="0001456D">
              <w:t>wie Agencji Unii Europejskiej ds. Azylu].</w:t>
            </w:r>
          </w:p>
        </w:tc>
        <w:tc>
          <w:tcPr>
            <w:tcW w:w="4876" w:type="dxa"/>
            <w:hideMark/>
          </w:tcPr>
          <w:p w:rsidR="007605D8" w:rsidRPr="0001456D" w:rsidRDefault="00FD031D" w:rsidP="007605D8">
            <w:pPr>
              <w:pStyle w:val="Normal6"/>
              <w:rPr>
                <w:szCs w:val="24"/>
              </w:rPr>
            </w:pPr>
            <w:r w:rsidRPr="0001456D">
              <w:t>7.</w:t>
            </w:r>
            <w:r w:rsidRPr="0001456D">
              <w:tab/>
              <w:t xml:space="preserve">Na wniosek danego państwa członkowskiego dane biometryczne </w:t>
            </w:r>
            <w:r w:rsidRPr="0001456D">
              <w:rPr>
                <w:b/>
                <w:i/>
              </w:rPr>
              <w:t xml:space="preserve">i alfanumeryczne </w:t>
            </w:r>
            <w:r w:rsidRPr="0001456D">
              <w:t>mogą być także pobierane i przesyłane w imieniu tego państwa członkowskiego przez członków zespołów Europejskiej Straży Granicznej i Pr</w:t>
            </w:r>
            <w:r w:rsidRPr="0001456D">
              <w:t>zybrzeżnej lub przez ekspertów z zespołów wsparcia ds. azylu podczas realizacji przez nich zadań i wykonywania uprawnień na podstawie rozporządzenia (UE) 2019/1896 i rozporządzenia (UE) XXX/XXX [rozporządzenie w sprawie Agencji Unii Europejskiej ds. Azylu]</w:t>
            </w:r>
            <w:r w:rsidRPr="0001456D">
              <w:t>.</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75</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17 – artykuł </w:t>
      </w:r>
      <w:r w:rsidRPr="0001456D">
        <w:t>13 – ustęp 8</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8.</w:t>
            </w:r>
            <w:r w:rsidRPr="0001456D">
              <w:tab/>
              <w:t xml:space="preserve">Każdy zestaw danych zgromadzony i przesłany zgodnie z ust. 1 jest powiązany z innymi zestawami danych dotyczących tego samego obywatela państwa trzeciego lub bezpaństwowca w ramach </w:t>
            </w:r>
            <w:r w:rsidRPr="0001456D">
              <w:t>sekwencji, jak określono w art. 4 ust. 6.</w:t>
            </w:r>
          </w:p>
        </w:tc>
        <w:tc>
          <w:tcPr>
            <w:tcW w:w="4876" w:type="dxa"/>
            <w:hideMark/>
          </w:tcPr>
          <w:p w:rsidR="007605D8" w:rsidRPr="0001456D" w:rsidRDefault="00FD031D" w:rsidP="0015056E">
            <w:pPr>
              <w:pStyle w:val="Normal6"/>
              <w:rPr>
                <w:szCs w:val="24"/>
              </w:rPr>
            </w:pPr>
            <w:r w:rsidRPr="0001456D">
              <w:t>8.</w:t>
            </w:r>
            <w:r w:rsidRPr="0001456D">
              <w:tab/>
              <w:t>Każdy zestaw danych zgromadzony i przesłany zgodnie z ust. 1 jest powiązany z innymi zestawami danych dotyczących tego samego obywatela państwa trzeciego lub bezpaństwowca w ramach sekwencji, jak określono w art</w:t>
            </w:r>
            <w:r w:rsidRPr="0001456D">
              <w:t>. 4 ust. 6</w:t>
            </w:r>
            <w:r w:rsidRPr="0001456D">
              <w:rPr>
                <w:b/>
                <w:i/>
              </w:rPr>
              <w:t>, z poszanowaniem ustanowionych tam ograniczeń</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76</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w:t>
      </w:r>
      <w:r w:rsidRPr="0001456D">
        <w:rPr>
          <w:rStyle w:val="HideTWBExt"/>
        </w:rPr>
        <w:t>cAmend&gt;</w:t>
      </w:r>
    </w:p>
    <w:p w:rsidR="007605D8" w:rsidRPr="0001456D" w:rsidRDefault="00FD031D" w:rsidP="007605D8">
      <w:pPr>
        <w:pStyle w:val="NormalBold"/>
      </w:pPr>
      <w:r w:rsidRPr="0001456D">
        <w:rPr>
          <w:rStyle w:val="HideTWBExt"/>
        </w:rPr>
        <w:t>&lt;Article&gt;</w:t>
      </w:r>
      <w:r w:rsidRPr="0001456D">
        <w:t>Część normatywna – punkt 18 – artykuł 14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 xml:space="preserve">Każde państwo członkowskie bez zwłoki pobiera dane biometryczne każdego obywatela państwa trzeciego lub bezpaństwowca w wieku co </w:t>
            </w:r>
            <w:r w:rsidRPr="0001456D">
              <w:t>najmniej sześciu lat, który nielegalnie przebywa na terytorium tego państwa członkowskiego.</w:t>
            </w:r>
          </w:p>
        </w:tc>
        <w:tc>
          <w:tcPr>
            <w:tcW w:w="4876" w:type="dxa"/>
            <w:hideMark/>
          </w:tcPr>
          <w:p w:rsidR="007605D8" w:rsidRPr="0001456D" w:rsidRDefault="00FD031D" w:rsidP="007605D8">
            <w:pPr>
              <w:pStyle w:val="Normal6"/>
              <w:rPr>
                <w:szCs w:val="24"/>
              </w:rPr>
            </w:pPr>
            <w:r w:rsidRPr="0001456D">
              <w:t>1.</w:t>
            </w:r>
            <w:r w:rsidRPr="0001456D">
              <w:tab/>
              <w:t>Każde państwo członkowskie</w:t>
            </w:r>
            <w:r w:rsidRPr="0001456D">
              <w:rPr>
                <w:b/>
                <w:i/>
              </w:rPr>
              <w:t>, w sposób dostosowany do wymogów udzielania ochrony,</w:t>
            </w:r>
            <w:r w:rsidRPr="0001456D">
              <w:t xml:space="preserve"> bez zwłoki pobiera dane biometryczne każdego obywatela państwa trzeciego lub bezp</w:t>
            </w:r>
            <w:r w:rsidRPr="0001456D">
              <w:t>aństwowca w wieku co najmniej sześciu lat, który nielegalnie przebywa na terytorium tego państwa członkowskiego.</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w:t>
      </w:r>
      <w:r w:rsidRPr="0001456D">
        <w:rPr>
          <w:rStyle w:val="HideTWBExt"/>
        </w:rPr>
        <w:t>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18 – artykuł 14 – ustęp 2 – wprowadzenie</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 xml:space="preserve">Dane państwo członkowskie przesyła do systemu centralnego i, </w:t>
            </w:r>
            <w:r w:rsidRPr="0001456D">
              <w:t>w stosownych przypadkach, do CIR</w:t>
            </w:r>
            <w:r w:rsidRPr="0001456D">
              <w:rPr>
                <w:b/>
                <w:i/>
              </w:rPr>
              <w:t xml:space="preserve"> –</w:t>
            </w:r>
            <w:r w:rsidRPr="0001456D">
              <w:t xml:space="preserve"> najszybciej jak to </w:t>
            </w:r>
            <w:r w:rsidRPr="0001456D">
              <w:rPr>
                <w:b/>
                <w:i/>
              </w:rPr>
              <w:t>możliwie</w:t>
            </w:r>
            <w:r w:rsidRPr="0001456D">
              <w:t xml:space="preserve"> i nie później niż 72 godziny po</w:t>
            </w:r>
            <w:r w:rsidRPr="0001456D">
              <w:rPr>
                <w:b/>
                <w:i/>
              </w:rPr>
              <w:t xml:space="preserve"> –</w:t>
            </w:r>
            <w:r w:rsidRPr="0001456D">
              <w:t xml:space="preserve"> stwierdzeniu, że obywatel państwa trzeciego lub bezpaństwowiec nielegalnie przebywa na terytorium państwa członkowskiego, następujące dane dotyczące każdego ob</w:t>
            </w:r>
            <w:r w:rsidRPr="0001456D">
              <w:t>ywatela państwa trzeciego lub bezpaństwowca, o którym mowa w ust. 1:</w:t>
            </w:r>
          </w:p>
        </w:tc>
        <w:tc>
          <w:tcPr>
            <w:tcW w:w="4876" w:type="dxa"/>
            <w:hideMark/>
          </w:tcPr>
          <w:p w:rsidR="007605D8" w:rsidRPr="0001456D" w:rsidRDefault="00FD031D" w:rsidP="007605D8">
            <w:pPr>
              <w:pStyle w:val="Normal6"/>
              <w:rPr>
                <w:szCs w:val="24"/>
              </w:rPr>
            </w:pPr>
            <w:r w:rsidRPr="0001456D">
              <w:t>2.</w:t>
            </w:r>
            <w:r w:rsidRPr="0001456D">
              <w:tab/>
              <w:t>Dane państwo członkowskie przesyła do systemu centralnego i, w stosownych przypadkach, do CIR</w:t>
            </w:r>
            <w:r w:rsidRPr="0001456D">
              <w:rPr>
                <w:b/>
                <w:i/>
              </w:rPr>
              <w:t>, zgodnie z art. 4 ust. 2,</w:t>
            </w:r>
            <w:r w:rsidRPr="0001456D">
              <w:t xml:space="preserve"> najszybciej jak to </w:t>
            </w:r>
            <w:r w:rsidRPr="0001456D">
              <w:rPr>
                <w:b/>
                <w:i/>
              </w:rPr>
              <w:t>możliwe</w:t>
            </w:r>
            <w:r w:rsidRPr="0001456D">
              <w:t xml:space="preserve"> i nie później niż 72 godziny po stwie</w:t>
            </w:r>
            <w:r w:rsidRPr="0001456D">
              <w:t>rdzeniu, że obywatel państwa trzeciego lub bezpaństwowiec nielegalnie przebywa na terytorium państwa członkowskiego, następujące dane dotyczące każdego obywatela państwa trzeciego lub bezpaństwowca, o którym mowa w ust. 1:</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78</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18 – artykuł 14 – ustęp 2 – litera s</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rPr>
                <w:b/>
                <w:i/>
              </w:rPr>
            </w:pPr>
            <w:r w:rsidRPr="0001456D">
              <w:rPr>
                <w:b/>
                <w:i/>
              </w:rPr>
              <w:t>s)</w:t>
            </w:r>
            <w:r w:rsidRPr="0001456D">
              <w:rPr>
                <w:b/>
                <w:i/>
              </w:rPr>
              <w:tab/>
              <w:t xml:space="preserve">w stosownych przypadkach, fakt, że osoba może stanowić zagrożenie bezpieczeństwa wewnętrznego, co stwierdzono wskutek kontroli przesiewowej, o której mowa w rozporządzeniu (UE) XXX/XXX [Rozporządzenie dotyczące </w:t>
            </w:r>
            <w:r w:rsidRPr="0001456D">
              <w:rPr>
                <w:b/>
                <w:i/>
              </w:rPr>
              <w:t>kontroli przesiewowej].</w:t>
            </w:r>
          </w:p>
        </w:tc>
        <w:tc>
          <w:tcPr>
            <w:tcW w:w="4876" w:type="dxa"/>
            <w:hideMark/>
          </w:tcPr>
          <w:p w:rsidR="007605D8" w:rsidRPr="0001456D" w:rsidRDefault="00FD031D" w:rsidP="007605D8">
            <w:pPr>
              <w:pStyle w:val="Normal6"/>
              <w:rPr>
                <w:b/>
                <w:i/>
              </w:rPr>
            </w:pPr>
            <w:r w:rsidRPr="0001456D">
              <w:rPr>
                <w:b/>
                <w:i/>
              </w:rPr>
              <w:t>skreśla się</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&lt;NumAm&gt;</w:t>
      </w:r>
      <w:r w:rsidRPr="0001456D">
        <w:t>79</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w:t>
      </w:r>
      <w:r w:rsidRPr="0001456D">
        <w:t xml:space="preserve"> normatywna – punkt 18 – artykuł 14 – ustęp 6</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6.</w:t>
            </w:r>
            <w:r w:rsidRPr="0001456D">
              <w:tab/>
              <w:t>Każdy zestaw danych zgromadzony i przesłany zgodnie z ust. 1 jest powiązany z innymi zestawami danych dotyczących tego samego obywatela państwa trzeciego</w:t>
            </w:r>
            <w:r w:rsidRPr="0001456D">
              <w:t xml:space="preserve"> lub bezpaństwowca w ramach sekwencji, jak określono w art. 4 ust. 6.</w:t>
            </w:r>
          </w:p>
        </w:tc>
        <w:tc>
          <w:tcPr>
            <w:tcW w:w="4876" w:type="dxa"/>
            <w:hideMark/>
          </w:tcPr>
          <w:p w:rsidR="007605D8" w:rsidRPr="0001456D" w:rsidRDefault="00FD031D" w:rsidP="0015056E">
            <w:pPr>
              <w:pStyle w:val="Normal6"/>
            </w:pPr>
            <w:r w:rsidRPr="0001456D">
              <w:t>6.</w:t>
            </w:r>
            <w:r w:rsidRPr="0001456D">
              <w:tab/>
              <w:t>Każdy zestaw danych zgromadzony i przesłany zgodnie z ust. 1 jest powiązany z innymi zestawami danych dotyczących tego samego obywatela państwa trzeciego lub bezpaństwowca w ramach se</w:t>
            </w:r>
            <w:r w:rsidRPr="0001456D">
              <w:t>kwencji, jak określono w art. 4 ust. 6</w:t>
            </w:r>
            <w:r w:rsidRPr="0001456D">
              <w:rPr>
                <w:b/>
                <w:i/>
              </w:rPr>
              <w:t>, z poszanowaniem ustanowionych tam ograniczeń</w:t>
            </w:r>
            <w:r w:rsidRPr="0001456D">
              <w:t>.</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4A52D4" w:rsidRPr="00FD031D" w:rsidRDefault="00FD031D" w:rsidP="004A52D4">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80</w:t>
      </w:r>
      <w:r w:rsidRPr="00FD031D">
        <w:rPr>
          <w:rStyle w:val="HideTWBExt"/>
          <w:lang w:val="en-GB"/>
        </w:rPr>
        <w:t>&lt;/NumAm&gt;</w:t>
      </w:r>
    </w:p>
    <w:p w:rsidR="004A52D4" w:rsidRPr="00FD031D" w:rsidRDefault="00FD031D" w:rsidP="004A52D4">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4A52D4" w:rsidRPr="0001456D" w:rsidRDefault="00FD031D" w:rsidP="004A52D4">
      <w:r w:rsidRPr="0001456D">
        <w:rPr>
          <w:rStyle w:val="HideTWBExt"/>
        </w:rPr>
        <w:t>&lt;/RepeatBlock-By&gt;</w:t>
      </w:r>
    </w:p>
    <w:p w:rsidR="004A52D4" w:rsidRPr="0001456D" w:rsidRDefault="00FD031D" w:rsidP="004A52D4">
      <w:pPr>
        <w:pStyle w:val="NormalBold"/>
        <w:keepNext/>
      </w:pPr>
      <w:r w:rsidRPr="0001456D">
        <w:rPr>
          <w:rStyle w:val="HideTWBExt"/>
        </w:rPr>
        <w:t>&lt;DocAmend&gt;</w:t>
      </w:r>
      <w:r w:rsidRPr="0001456D">
        <w:t xml:space="preserve">Wniosek </w:t>
      </w:r>
      <w:r w:rsidRPr="0001456D">
        <w:t>dotyczący rozporządzenia</w:t>
      </w:r>
      <w:r w:rsidRPr="0001456D">
        <w:rPr>
          <w:rStyle w:val="HideTWBExt"/>
        </w:rPr>
        <w:t>&lt;/DocAmend&gt;</w:t>
      </w:r>
    </w:p>
    <w:p w:rsidR="004A52D4" w:rsidRPr="0001456D" w:rsidRDefault="00FD031D" w:rsidP="004A52D4">
      <w:pPr>
        <w:pStyle w:val="NormalBold"/>
      </w:pPr>
      <w:r w:rsidRPr="0001456D">
        <w:rPr>
          <w:rStyle w:val="HideTWBExt"/>
        </w:rPr>
        <w:t>&lt;Article&gt;</w:t>
      </w:r>
      <w:r w:rsidRPr="0001456D">
        <w:t>Punkt 19 – rozdział IV 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3A3762">
        <w:trPr>
          <w:jc w:val="center"/>
        </w:trPr>
        <w:tc>
          <w:tcPr>
            <w:tcW w:w="9752" w:type="dxa"/>
            <w:gridSpan w:val="2"/>
          </w:tcPr>
          <w:p w:rsidR="004A52D4" w:rsidRPr="0001456D" w:rsidRDefault="004A52D4" w:rsidP="003A3762">
            <w:pPr>
              <w:keepNext/>
            </w:pPr>
          </w:p>
        </w:tc>
      </w:tr>
      <w:tr w:rsidR="00FF61D0" w:rsidRPr="0001456D" w:rsidTr="003A3762">
        <w:trPr>
          <w:jc w:val="center"/>
        </w:trPr>
        <w:tc>
          <w:tcPr>
            <w:tcW w:w="4876" w:type="dxa"/>
            <w:hideMark/>
          </w:tcPr>
          <w:p w:rsidR="004A52D4" w:rsidRPr="0001456D" w:rsidRDefault="00FD031D" w:rsidP="003A3762">
            <w:pPr>
              <w:pStyle w:val="ColumnHeading"/>
              <w:keepNext/>
            </w:pPr>
            <w:r w:rsidRPr="0001456D">
              <w:t>Tekst proponowany przez Komisję</w:t>
            </w:r>
          </w:p>
        </w:tc>
        <w:tc>
          <w:tcPr>
            <w:tcW w:w="4876" w:type="dxa"/>
            <w:hideMark/>
          </w:tcPr>
          <w:p w:rsidR="004A52D4" w:rsidRPr="0001456D" w:rsidRDefault="00FD031D" w:rsidP="003A3762">
            <w:pPr>
              <w:pStyle w:val="ColumnHeading"/>
              <w:keepNext/>
            </w:pPr>
            <w:r w:rsidRPr="0001456D">
              <w:t>Poprawka</w:t>
            </w: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(19) </w:t>
            </w:r>
            <w:r w:rsidRPr="0001456D">
              <w:rPr>
                <w:b/>
                <w:i/>
              </w:rPr>
              <w:tab/>
              <w:t>po art. 14 dodaje się rozdział w brzmieniu:</w:t>
            </w:r>
          </w:p>
        </w:tc>
        <w:tc>
          <w:tcPr>
            <w:tcW w:w="4876" w:type="dxa"/>
            <w:hideMark/>
          </w:tcPr>
          <w:p w:rsidR="004A52D4" w:rsidRPr="0001456D" w:rsidRDefault="00FD031D" w:rsidP="003A3762">
            <w:pPr>
              <w:pStyle w:val="Normal6"/>
              <w:rPr>
                <w:szCs w:val="24"/>
              </w:rPr>
            </w:pPr>
            <w:r w:rsidRPr="0001456D">
              <w:rPr>
                <w:b/>
                <w:i/>
              </w:rPr>
              <w:t>skreśla się</w:t>
            </w:r>
            <w:r w:rsidRPr="0001456D">
              <w:rPr>
                <w:i/>
              </w:rPr>
              <w:t xml:space="preserve"> </w:t>
            </w:r>
          </w:p>
        </w:tc>
      </w:tr>
      <w:tr w:rsidR="00FF61D0" w:rsidRPr="0001456D" w:rsidTr="003A3762">
        <w:trPr>
          <w:jc w:val="center"/>
        </w:trPr>
        <w:tc>
          <w:tcPr>
            <w:tcW w:w="4876" w:type="dxa"/>
            <w:hideMark/>
          </w:tcPr>
          <w:p w:rsidR="004A52D4" w:rsidRPr="0001456D" w:rsidRDefault="00FD031D" w:rsidP="003A3762">
            <w:pPr>
              <w:pStyle w:val="Normal6"/>
              <w:jc w:val="center"/>
              <w:rPr>
                <w:b/>
                <w:i/>
              </w:rPr>
            </w:pPr>
            <w:r w:rsidRPr="0001456D">
              <w:rPr>
                <w:b/>
                <w:i/>
              </w:rPr>
              <w:t>„ROZDZIAŁ IV a</w:t>
            </w:r>
          </w:p>
        </w:tc>
        <w:tc>
          <w:tcPr>
            <w:tcW w:w="4876" w:type="dxa"/>
            <w:hideMark/>
          </w:tcPr>
          <w:p w:rsidR="004A52D4" w:rsidRPr="0001456D" w:rsidRDefault="00FD031D" w:rsidP="003A3762">
            <w:pPr>
              <w:pStyle w:val="Normal6"/>
              <w:rPr>
                <w:i/>
              </w:rPr>
            </w:pPr>
            <w:r w:rsidRPr="0001456D">
              <w:rPr>
                <w:i/>
              </w:rPr>
              <w:t xml:space="preserve">(Poprawka ta dotyczy całego tekstu. Jej przyjęcie </w:t>
            </w:r>
            <w:r w:rsidRPr="0001456D">
              <w:rPr>
                <w:i/>
              </w:rPr>
              <w:t>będzie wymagać zmian technicznych w całym tekście).</w:t>
            </w:r>
          </w:p>
        </w:tc>
      </w:tr>
      <w:tr w:rsidR="00FF61D0" w:rsidRPr="0001456D" w:rsidTr="003A3762">
        <w:trPr>
          <w:jc w:val="center"/>
        </w:trPr>
        <w:tc>
          <w:tcPr>
            <w:tcW w:w="4876" w:type="dxa"/>
            <w:hideMark/>
          </w:tcPr>
          <w:p w:rsidR="004A52D4" w:rsidRPr="0001456D" w:rsidRDefault="00FD031D" w:rsidP="003A3762">
            <w:pPr>
              <w:pStyle w:val="Normal6"/>
              <w:jc w:val="center"/>
              <w:rPr>
                <w:b/>
                <w:i/>
              </w:rPr>
            </w:pPr>
            <w:r w:rsidRPr="0001456D">
              <w:rPr>
                <w:b/>
                <w:i/>
              </w:rPr>
              <w:t>Obywatele państw trzecich i bezpaństwowcy sprowadzeni na ląd w następstwie operacji poszukiwawczo-ratowniczej</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jc w:val="center"/>
              <w:rPr>
                <w:b/>
                <w:i/>
              </w:rPr>
            </w:pPr>
            <w:r w:rsidRPr="0001456D">
              <w:rPr>
                <w:b/>
                <w:i/>
              </w:rPr>
              <w:t>Artykuł 14 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jc w:val="center"/>
              <w:rPr>
                <w:b/>
                <w:i/>
              </w:rPr>
            </w:pPr>
            <w:r w:rsidRPr="0001456D">
              <w:rPr>
                <w:b/>
                <w:i/>
              </w:rPr>
              <w:t>Gromadzenie i przesyłanie danych biometrycznych</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1. </w:t>
            </w:r>
            <w:r w:rsidRPr="0001456D">
              <w:rPr>
                <w:b/>
                <w:i/>
              </w:rPr>
              <w:tab/>
              <w:t xml:space="preserve">Każde państwo </w:t>
            </w:r>
            <w:r w:rsidRPr="0001456D">
              <w:rPr>
                <w:b/>
                <w:i/>
              </w:rPr>
              <w:t>członkowskie bez zwłoki pobiera dane biometryczne każdego obywatela państwa trzeciego lub bezpaństwowca w wieku co najmniej sześciu lat, który został sprowadzony na ląd w następstwie operacji poszukiwawczo-ratowniczej, jak określono w rozporządzeniu (UE) X</w:t>
            </w:r>
            <w:r w:rsidRPr="0001456D">
              <w:rPr>
                <w:b/>
                <w:i/>
              </w:rPr>
              <w:t>XX/XXX [Rozporządzenie w sprawie zarządzania azylem i migracją].</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2. </w:t>
            </w:r>
            <w:r w:rsidRPr="0001456D">
              <w:rPr>
                <w:b/>
                <w:i/>
              </w:rPr>
              <w:tab/>
              <w:t>Dane państwo członkowskie przesyła do systemu centralnego i, w stosownych przypadkach, do CIR – najszybciej jak to możliwe i nie później niż 72 godziny po dniu sprowadzenia na ląd – nas</w:t>
            </w:r>
            <w:r w:rsidRPr="0001456D">
              <w:rPr>
                <w:b/>
                <w:i/>
              </w:rPr>
              <w:t>tępujące dane dotyczące każdego obywatela państwa trzeciego lub bezpaństwowca, o którym mowa w ust. 1:</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a)</w:t>
            </w:r>
            <w:r w:rsidRPr="0001456D">
              <w:rPr>
                <w:b/>
                <w:i/>
              </w:rPr>
              <w:tab/>
              <w:t>dane daktyloskopijne;</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b)</w:t>
            </w:r>
            <w:r w:rsidRPr="0001456D">
              <w:rPr>
                <w:b/>
                <w:i/>
              </w:rPr>
              <w:tab/>
              <w:t>wizerunek twarzy;</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c)</w:t>
            </w:r>
            <w:r w:rsidRPr="0001456D">
              <w:rPr>
                <w:b/>
                <w:i/>
              </w:rPr>
              <w:tab/>
              <w:t>nazwisko(-a) i imię (imiona), nazwisko(-a) rodowe oraz wcześniej stosowane nazwiska lub wszelkie p</w:t>
            </w:r>
            <w:r w:rsidRPr="0001456D">
              <w:rPr>
                <w:b/>
                <w:i/>
              </w:rPr>
              <w:t>seudonimy; dane te mogą być wprowadzane oddzielnie;</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d)</w:t>
            </w:r>
            <w:r w:rsidRPr="0001456D">
              <w:rPr>
                <w:b/>
                <w:i/>
              </w:rPr>
              <w:tab/>
              <w:t>obywatelstwo(-a);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e)</w:t>
            </w:r>
            <w:r w:rsidRPr="0001456D">
              <w:rPr>
                <w:b/>
                <w:i/>
              </w:rPr>
              <w:tab/>
              <w:t>datę urodzenia;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f)</w:t>
            </w:r>
            <w:r w:rsidRPr="0001456D">
              <w:rPr>
                <w:b/>
                <w:i/>
              </w:rPr>
              <w:tab/>
              <w:t>miejsce urodzenia;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g)</w:t>
            </w:r>
            <w:r w:rsidRPr="0001456D">
              <w:rPr>
                <w:b/>
                <w:i/>
              </w:rPr>
              <w:tab/>
              <w:t>państwo członkowskie pochodzenia, miejsce i datę sprowadzenia na ląd;</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h)</w:t>
            </w:r>
            <w:r w:rsidRPr="0001456D">
              <w:rPr>
                <w:b/>
                <w:i/>
              </w:rPr>
              <w:tab/>
              <w:t>płeć;</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i)</w:t>
            </w:r>
            <w:r w:rsidRPr="0001456D">
              <w:rPr>
                <w:b/>
                <w:i/>
              </w:rPr>
              <w:tab/>
              <w:t xml:space="preserve">rodzaj i numer dokumentu tożsamości lub </w:t>
            </w:r>
            <w:r w:rsidRPr="0001456D">
              <w:rPr>
                <w:b/>
                <w:i/>
              </w:rPr>
              <w:t>dokumentu podróży, jeżeli są dostępne; trzyliterowy kod kraju wydającego dokument oraz datę ważności;</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j)</w:t>
            </w:r>
            <w:r w:rsidRPr="0001456D">
              <w:rPr>
                <w:b/>
                <w:i/>
              </w:rPr>
              <w:tab/>
              <w:t>o ile są dostępne, zeskanowaną kolorową kopię dokumentu tożsamości lub dokumentu podróży, wraz z adnotacją o jego autentyczności lub, jeżeli nie są d</w:t>
            </w:r>
            <w:r w:rsidRPr="0001456D">
              <w:rPr>
                <w:b/>
                <w:i/>
              </w:rPr>
              <w:t>ostępne – innego dokumentu ułatwiającego identyfikację obywatela państwa trzeciego lub bezpaństwowca, wraz z adnotacją o jego autentyczności;</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k)</w:t>
            </w:r>
            <w:r w:rsidRPr="0001456D">
              <w:rPr>
                <w:b/>
                <w:i/>
              </w:rPr>
              <w:tab/>
              <w:t>numer referencyjny użyty przez państwo członkowskie pochodzenia;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l)</w:t>
            </w:r>
            <w:r w:rsidRPr="0001456D">
              <w:rPr>
                <w:b/>
                <w:i/>
              </w:rPr>
              <w:tab/>
              <w:t>datę pobrania danych biometrycznych;</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m)</w:t>
            </w:r>
            <w:r w:rsidRPr="0001456D">
              <w:rPr>
                <w:b/>
                <w:i/>
              </w:rPr>
              <w:tab/>
              <w:t>datę przesłania danych do systemu centralnego i, w stosownych przypadkach, do CIR;</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n)</w:t>
            </w:r>
            <w:r w:rsidRPr="0001456D">
              <w:rPr>
                <w:b/>
                <w:i/>
              </w:rPr>
              <w:tab/>
              <w:t>numer identyfikacyjny operatora;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o)</w:t>
            </w:r>
            <w:r w:rsidRPr="0001456D">
              <w:rPr>
                <w:b/>
                <w:i/>
              </w:rPr>
              <w:tab/>
              <w:t>w stosownych przypadkach, zgodnie z ust. 6 – datę opuszczenia przez daną osobę terytorium państw członkowskich lub wydalenia je</w:t>
            </w:r>
            <w:r w:rsidRPr="0001456D">
              <w:rPr>
                <w:b/>
                <w:i/>
              </w:rPr>
              <w:t>j z ich terytorium;</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p)</w:t>
            </w:r>
            <w:r w:rsidRPr="0001456D">
              <w:rPr>
                <w:b/>
                <w:i/>
              </w:rPr>
              <w:tab/>
              <w:t>państwo członkowskie relokacji zgodnie z art. 14b ust. 1;</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q)</w:t>
            </w:r>
            <w:r w:rsidRPr="0001456D">
              <w:rPr>
                <w:b/>
                <w:i/>
              </w:rPr>
              <w:tab/>
              <w:t>w stosownych przypadkach – fakt przyznania pomocy w dobrowolnym powrocie i środków reintegracyjnych (AVRR);</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r)</w:t>
            </w:r>
            <w:r w:rsidRPr="0001456D">
              <w:rPr>
                <w:b/>
                <w:i/>
              </w:rPr>
              <w:tab/>
              <w:t xml:space="preserve">fakt, że osoba może stanowić zagrożenie bezpieczeństwa </w:t>
            </w:r>
            <w:r w:rsidRPr="0001456D">
              <w:rPr>
                <w:b/>
                <w:i/>
              </w:rPr>
              <w:t>wewnętrznego, co stwierdzono wskutek kontroli przesiewowej, o której mowa w rozporządzeniu (UE) XXX/XXX [Rozporządzenie dotyczące kontroli przesiewowej].</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4. </w:t>
            </w:r>
            <w:r w:rsidRPr="0001456D">
              <w:rPr>
                <w:b/>
                <w:i/>
              </w:rPr>
              <w:tab/>
              <w:t xml:space="preserve">Niedotrzymanie 72-godzinnego terminu, o którym mowa w ust. 2 niniejszego artykułu, nie zwalnia </w:t>
            </w:r>
            <w:r w:rsidRPr="0001456D">
              <w:rPr>
                <w:b/>
                <w:i/>
              </w:rPr>
              <w:t>państw członkowskich z obowiązku pobrania i przesłania danych biometrycznych do CIR. W przypadku gdy stan opuszków palców nie pozwala na pobranie odcisków palców o jakości zapewniającej odpowiednie porównanie zgodnie z art. 26, państwo członkowskie pochodz</w:t>
            </w:r>
            <w:r w:rsidRPr="0001456D">
              <w:rPr>
                <w:b/>
                <w:i/>
              </w:rPr>
              <w:t>enia pobiera powtórnie odciski palców osób sprowadzonych na ląd w sposób opisany w ust. 1 niniejszego artykułu i przesyła je ponownie, najszybciej jak to możliwe i nie później niż 48 godzin po ich skutecznym ponownym pobraniu.</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5. </w:t>
            </w:r>
            <w:r w:rsidRPr="0001456D">
              <w:rPr>
                <w:b/>
                <w:i/>
              </w:rPr>
              <w:tab/>
              <w:t xml:space="preserve">Na zasadzie odstępstwa </w:t>
            </w:r>
            <w:r w:rsidRPr="0001456D">
              <w:rPr>
                <w:b/>
                <w:i/>
              </w:rPr>
              <w:t>od ust. 1, w przypadku gdy pobranie danych biometrycznych osoby sprowadzonej na ląd nie jest możliwe z powodu środków podjętych w celu ochrony jej zdrowia lub ochrony zdrowia publicznego, dane państwo członkowskie pobiera i przesyła jej dane biometryczne n</w:t>
            </w:r>
            <w:r w:rsidRPr="0001456D">
              <w:rPr>
                <w:b/>
                <w:i/>
              </w:rPr>
              <w:t>ajszybciej jak to możliwe i nie później niż 48 godzin po ustaniu tych powodów zdrowotnych.</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W razie poważnych problemów technicznych państwa członkowskie mogą przedłużyć 72-godzinny okres, o którym mowa w ust. 2, o kolejne 48 godzin w celu wykonywania swo</w:t>
            </w:r>
            <w:r w:rsidRPr="0001456D">
              <w:rPr>
                <w:b/>
                <w:i/>
              </w:rPr>
              <w:t>ich krajowych planów zapewnienia ciągłości działania.</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6. </w:t>
            </w:r>
            <w:r w:rsidRPr="0001456D">
              <w:rPr>
                <w:b/>
                <w:i/>
              </w:rPr>
              <w:tab/>
              <w:t>Kiedy tylko państwo członkowskie pochodzenia zapewni, aby dana osoba, której dane zapisano w systemie Eurodac zgodnie z ust. 1, opuściła terytorium państw członkowskich zgodnie z decyzją nakazując</w:t>
            </w:r>
            <w:r w:rsidRPr="0001456D">
              <w:rPr>
                <w:b/>
                <w:i/>
              </w:rPr>
              <w:t>ą powrót lub z nakazem jej wydalenia, państwo to aktualizuje zestaw danych dotyczących tej osoby, zapisanych zgodnie z ust. 2 , dodając informację o dacie wydalenia tej osoby lub opuszczenia przez nią terytorium państw członkowskich.</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7. </w:t>
            </w:r>
            <w:r w:rsidRPr="0001456D">
              <w:rPr>
                <w:b/>
                <w:i/>
              </w:rPr>
              <w:tab/>
              <w:t>Na wniosek daneg</w:t>
            </w:r>
            <w:r w:rsidRPr="0001456D">
              <w:rPr>
                <w:b/>
                <w:i/>
              </w:rPr>
              <w:t>o państwa członkowskiego dane biometryczne mogą być także pobierane i przesyłane w imieniu tego państwa członkowskiego przez członków zespołów Europejskiej Straży Granicznej i Przybrzeżnej lub przez ekspertów z zespołów wsparcia ds. azylu podczas wykonywan</w:t>
            </w:r>
            <w:r w:rsidRPr="0001456D">
              <w:rPr>
                <w:b/>
                <w:i/>
              </w:rPr>
              <w:t>ia przez nich uprawnień i realizowania zadań na podstawie rozporządzenia (UE) 2019/1896 i rozporządzenia (UE) XXX/XXX [Rozporządzenie w sprawie Agencji Unii Europejskiej ds. Azylu].</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8. </w:t>
            </w:r>
            <w:r w:rsidRPr="0001456D">
              <w:rPr>
                <w:b/>
                <w:i/>
              </w:rPr>
              <w:tab/>
              <w:t>Każdy zestaw danych zgromadzony i przesłany zgodnie z ust. 1 jest po</w:t>
            </w:r>
            <w:r w:rsidRPr="0001456D">
              <w:rPr>
                <w:b/>
                <w:i/>
              </w:rPr>
              <w:t>wiązany z innymi zestawami danych dotyczących tego samego obywatela państwa trzeciego lub bezpaństwowca w ramach sekwencji, jak określono w art. 4 ust. 6.</w:t>
            </w:r>
          </w:p>
        </w:tc>
        <w:tc>
          <w:tcPr>
            <w:tcW w:w="4876" w:type="dxa"/>
          </w:tcPr>
          <w:p w:rsidR="004A52D4" w:rsidRPr="0001456D" w:rsidRDefault="004A52D4" w:rsidP="003A3762">
            <w:pPr>
              <w:pStyle w:val="Normal6"/>
              <w:rPr>
                <w:i/>
              </w:rPr>
            </w:pPr>
          </w:p>
        </w:tc>
      </w:tr>
      <w:tr w:rsidR="00FF61D0" w:rsidRPr="0001456D" w:rsidTr="003A3762">
        <w:trPr>
          <w:jc w:val="center"/>
        </w:trPr>
        <w:tc>
          <w:tcPr>
            <w:tcW w:w="4876" w:type="dxa"/>
            <w:hideMark/>
          </w:tcPr>
          <w:p w:rsidR="004A52D4" w:rsidRPr="0001456D" w:rsidRDefault="00FD031D" w:rsidP="003A3762">
            <w:pPr>
              <w:pStyle w:val="Normal6"/>
              <w:rPr>
                <w:b/>
                <w:i/>
              </w:rPr>
            </w:pPr>
            <w:r w:rsidRPr="0001456D">
              <w:rPr>
                <w:b/>
                <w:i/>
              </w:rPr>
              <w:t xml:space="preserve">9. </w:t>
            </w:r>
            <w:r w:rsidRPr="0001456D">
              <w:rPr>
                <w:b/>
                <w:i/>
              </w:rPr>
              <w:tab/>
              <w:t>Uznaje się, że zestaw danych zgodnie z ust. 1 został stworzony na potrzeby art. 27 ust. 1 rozpo</w:t>
            </w:r>
            <w:r w:rsidRPr="0001456D">
              <w:rPr>
                <w:b/>
                <w:i/>
              </w:rPr>
              <w:t>rządzenia (UE) 818/2019, jeżeli zarejestrowano wszystkie dane wymienione w lit. a)–f) i lit. h).”;</w:t>
            </w:r>
          </w:p>
        </w:tc>
        <w:tc>
          <w:tcPr>
            <w:tcW w:w="4876" w:type="dxa"/>
          </w:tcPr>
          <w:p w:rsidR="004A52D4" w:rsidRPr="0001456D" w:rsidRDefault="004A52D4" w:rsidP="003A3762">
            <w:pPr>
              <w:pStyle w:val="Normal6"/>
              <w:rPr>
                <w:i/>
              </w:rPr>
            </w:pPr>
          </w:p>
        </w:tc>
      </w:tr>
    </w:tbl>
    <w:p w:rsidR="004A52D4" w:rsidRPr="00FD031D" w:rsidRDefault="00FD031D" w:rsidP="004A52D4">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4A52D4" w:rsidRPr="00FD031D" w:rsidRDefault="00FD031D" w:rsidP="004A52D4">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81</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20 – artykuł 14 b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 xml:space="preserve">Jak tylko państwo członkowskie relokacji zostaje </w:t>
            </w:r>
            <w:r w:rsidRPr="0001456D">
              <w:rPr>
                <w:b/>
                <w:i/>
              </w:rPr>
              <w:t xml:space="preserve">zobowiązane do relokacji danej </w:t>
            </w:r>
            <w:r w:rsidRPr="0001456D">
              <w:rPr>
                <w:b/>
                <w:i/>
              </w:rPr>
              <w:t>osoby</w:t>
            </w:r>
            <w:r w:rsidRPr="0001456D">
              <w:t xml:space="preserve"> zgodnie z art. 57 ust. 7 rozporządzenia (UE) XXX/XXX [Rozporządzenie w sprawie zarządzania azylem i migracją], państwo członkowskie będące beneficjentem aktualizuje swój zestaw danych zarejestrowany zgodnie z art. 12</w:t>
            </w:r>
            <w:r w:rsidRPr="0001456D">
              <w:rPr>
                <w:b/>
                <w:i/>
              </w:rPr>
              <w:t>, 13, 14 i 14a</w:t>
            </w:r>
            <w:r w:rsidRPr="0001456D">
              <w:t xml:space="preserve"> niniejszego rozporz</w:t>
            </w:r>
            <w:r w:rsidRPr="0001456D">
              <w:t>ądzenia w odniesieniu do danej osoby przez dodanie państwa członkowskiego relokacji.</w:t>
            </w:r>
          </w:p>
        </w:tc>
        <w:tc>
          <w:tcPr>
            <w:tcW w:w="4876" w:type="dxa"/>
            <w:hideMark/>
          </w:tcPr>
          <w:p w:rsidR="007605D8" w:rsidRPr="0001456D" w:rsidRDefault="00FD031D" w:rsidP="007605D8">
            <w:pPr>
              <w:pStyle w:val="Normal6"/>
              <w:rPr>
                <w:szCs w:val="24"/>
              </w:rPr>
            </w:pPr>
            <w:r w:rsidRPr="0001456D">
              <w:t>1.</w:t>
            </w:r>
            <w:r w:rsidRPr="0001456D">
              <w:tab/>
              <w:t xml:space="preserve">Jak tylko państwo członkowskie relokacji zostaje </w:t>
            </w:r>
            <w:r w:rsidRPr="0001456D">
              <w:rPr>
                <w:b/>
                <w:i/>
              </w:rPr>
              <w:t>ustalone</w:t>
            </w:r>
            <w:r w:rsidRPr="0001456D">
              <w:t xml:space="preserve"> zgodnie z art. 57 ust. 7 rozporządzenia (UE) XXX/XXX [rozporządzenie w sprawie zarządzania azylem i migracją],</w:t>
            </w:r>
            <w:r w:rsidRPr="0001456D">
              <w:t xml:space="preserve"> państwo członkowskie będące beneficjentem aktualizuje swój zestaw danych zarejestrowany zgodnie z art. 12</w:t>
            </w:r>
            <w:r w:rsidRPr="0001456D">
              <w:rPr>
                <w:b/>
                <w:i/>
              </w:rPr>
              <w:t xml:space="preserve"> lub 13</w:t>
            </w:r>
            <w:r w:rsidRPr="0001456D">
              <w:t xml:space="preserve"> niniejszego rozporządzenia w odniesieniu do danej osoby przez dodanie państwa członkowskiego relokacji.</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w:t>
      </w:r>
      <w:r w:rsidRPr="00FD031D">
        <w:rPr>
          <w:rStyle w:val="HideTWBExt"/>
          <w:lang w:val="en-GB"/>
        </w:rPr>
        <w:t>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82</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21 – litera -a (nowa) – artykuł 17 – ustęp 1 a (nowy)</w:t>
      </w:r>
      <w:r w:rsidRPr="0001456D">
        <w:rPr>
          <w:rStyle w:val="HideTWBExt"/>
        </w:rPr>
        <w:t>&lt;</w:t>
      </w:r>
      <w:r w:rsidRPr="0001456D">
        <w:rPr>
          <w:rStyle w:val="HideTWBExt"/>
        </w:rPr>
        <w: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397221">
            <w:pPr>
              <w:pStyle w:val="Normal6"/>
              <w:rPr>
                <w:szCs w:val="24"/>
              </w:rPr>
            </w:pPr>
            <w:r w:rsidRPr="0001456D">
              <w:rPr>
                <w:b/>
                <w:i/>
              </w:rPr>
              <w:t>1a.</w:t>
            </w:r>
            <w:r w:rsidRPr="0001456D">
              <w:rPr>
                <w:b/>
                <w:i/>
              </w:rPr>
              <w:tab/>
              <w:t xml:space="preserve">Do celów określonych w art. 12a każdy zestaw danych odnoszący się do przesiedlonego obywatela państwa trzeciego lub bezpaństwowca jest przechowywany w systemie centralnym przez pięć lat od daty </w:t>
            </w:r>
            <w:r w:rsidRPr="0001456D">
              <w:rPr>
                <w:b/>
                <w:i/>
              </w:rPr>
              <w:t>pobrania danych biometrycznych.</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FD031D" w:rsidRPr="00FD031D" w:rsidRDefault="00FD031D" w:rsidP="00FD031D">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83</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w:t>
      </w:r>
      <w:r w:rsidRPr="0001456D">
        <w:t>normatywna – punkt 21 – litera b – artykuł 17 – ustęp 4</w:t>
      </w:r>
      <w:r w:rsidRPr="0001456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4.</w:t>
            </w:r>
            <w:r w:rsidRPr="0001456D">
              <w:tab/>
              <w:t>Po upływie okresów przechowywania danych, o których mowa w ust. 1–3a niniejszego artykułu, dane osób, których te dane dotyczą, usuwa się z syst</w:t>
            </w:r>
            <w:r w:rsidRPr="0001456D">
              <w:t>emu centralnego i, w stosownych przypadkach, z CIR.</w:t>
            </w:r>
          </w:p>
        </w:tc>
        <w:tc>
          <w:tcPr>
            <w:tcW w:w="4876" w:type="dxa"/>
            <w:hideMark/>
          </w:tcPr>
          <w:p w:rsidR="007605D8" w:rsidRPr="0001456D" w:rsidRDefault="00FD031D" w:rsidP="007605D8">
            <w:pPr>
              <w:pStyle w:val="Normal6"/>
              <w:rPr>
                <w:szCs w:val="24"/>
              </w:rPr>
            </w:pPr>
            <w:r w:rsidRPr="0001456D">
              <w:t>4.</w:t>
            </w:r>
            <w:r w:rsidRPr="0001456D">
              <w:tab/>
              <w:t xml:space="preserve">Po upływie okresów przechowywania danych, o których mowa w ust. 1–3a niniejszego artykułu, dane osób, których te dane dotyczą, </w:t>
            </w:r>
            <w:r w:rsidRPr="0001456D">
              <w:rPr>
                <w:b/>
                <w:i/>
              </w:rPr>
              <w:t xml:space="preserve">automatycznie </w:t>
            </w:r>
            <w:r w:rsidRPr="0001456D">
              <w:t>usuwa się z systemu centralnego i, w stosownych przypadkach,</w:t>
            </w:r>
            <w:r w:rsidRPr="0001456D">
              <w:t xml:space="preserve"> z CIR.</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84</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Część normatywna – punkt 22 – </w:t>
      </w:r>
      <w:r w:rsidRPr="0001456D">
        <w:t>artykuł 19 – nagłówek</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 xml:space="preserve">Oznaczanie </w:t>
            </w:r>
            <w:r w:rsidRPr="0001456D">
              <w:rPr>
                <w:b/>
                <w:i/>
              </w:rPr>
              <w:t xml:space="preserve">i blokowanie </w:t>
            </w:r>
            <w:r w:rsidRPr="0001456D">
              <w:t>danych</w:t>
            </w:r>
          </w:p>
        </w:tc>
        <w:tc>
          <w:tcPr>
            <w:tcW w:w="4876" w:type="dxa"/>
            <w:hideMark/>
          </w:tcPr>
          <w:p w:rsidR="007605D8" w:rsidRPr="0001456D" w:rsidRDefault="00FD031D" w:rsidP="007605D8">
            <w:pPr>
              <w:pStyle w:val="Normal6"/>
              <w:rPr>
                <w:szCs w:val="24"/>
              </w:rPr>
            </w:pPr>
            <w:r w:rsidRPr="0001456D">
              <w:t>Oznaczanie danych</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FD031D" w:rsidRPr="00FD031D" w:rsidRDefault="00FD031D" w:rsidP="00FD031D">
      <w:pPr>
        <w:rPr>
          <w:lang w:val="en-GB"/>
        </w:rPr>
      </w:pPr>
      <w:r w:rsidRPr="00FD031D">
        <w:rPr>
          <w:rStyle w:val="HideTWBExt"/>
          <w:lang w:val="en-GB"/>
        </w:rPr>
        <w:t>&lt;/Amend&gt;</w:t>
      </w:r>
    </w:p>
    <w:p w:rsidR="007605D8" w:rsidRPr="0001456D" w:rsidRDefault="00FD031D" w:rsidP="007605D8">
      <w:pPr>
        <w:rPr>
          <w:b/>
        </w:rPr>
      </w:pPr>
      <w:r w:rsidRPr="0001456D">
        <w:rPr>
          <w:rStyle w:val="HideTWBExt"/>
          <w:b/>
        </w:rPr>
        <w:t>&lt;Amend&gt;</w:t>
      </w:r>
      <w:r w:rsidRPr="0001456D">
        <w:rPr>
          <w:b/>
        </w:rPr>
        <w:t>Poprawka</w:t>
      </w:r>
      <w:r w:rsidRPr="0001456D">
        <w:rPr>
          <w:b/>
        </w:rPr>
        <w:tab/>
      </w:r>
      <w:r w:rsidRPr="0001456D">
        <w:rPr>
          <w:rStyle w:val="HideTWBExt"/>
          <w:b/>
        </w:rPr>
        <w:t>&lt;NumAm&gt;</w:t>
      </w:r>
      <w:r w:rsidRPr="0001456D">
        <w:rPr>
          <w:b/>
        </w:rPr>
        <w:t>85</w:t>
      </w:r>
      <w:r w:rsidRPr="0001456D">
        <w:rPr>
          <w:rStyle w:val="HideTWBExt"/>
          <w: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22 – artykuł 19 – ustęp 1</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1.</w:t>
            </w:r>
            <w:r w:rsidRPr="0001456D">
              <w:tab/>
              <w:t xml:space="preserve">W celach określonych w art. 1 ust. 1 lit. a) państwo </w:t>
            </w:r>
            <w:r w:rsidRPr="0001456D">
              <w:t>członkowskie pochodzenia, które udzieliło ochrony międzynarodowej osobie, której dane zostały uprzednio zapisane w systemie centralnym i, w stosownych przypadkach, w CIR zgodnie z art. 12, oznacza odpowiednie dane zgodnie z wymogami w zakresie łączności el</w:t>
            </w:r>
            <w:r w:rsidRPr="0001456D">
              <w:t>ektronicznej z systemem centralnym ustanowionymi przez eu-LISA. Oznaczenie to zapisywane jest w systemie centralnym zgodnie z art. 17 ust. 1 na potrzeby przekazywania danych na mocy art. 15 i art.</w:t>
            </w:r>
            <w:r w:rsidRPr="0001456D">
              <w:rPr>
                <w:b/>
                <w:i/>
              </w:rPr>
              <w:t> </w:t>
            </w:r>
            <w:r w:rsidRPr="0001456D">
              <w:t>16. System centralny informuje wszystkie państwa członkowsk</w:t>
            </w:r>
            <w:r w:rsidRPr="0001456D">
              <w:t>ie pochodzenia – najszybciej jak to możliwe i nie później niż w ciągu 72 godzin – o oznaczeniu przez inne państwo członkowskie pochodzenia danych, które doprowadziły do trafienia w połączeniu z danymi przesłanymi przez te państwa, dotyczącymi osób, o który</w:t>
            </w:r>
            <w:r w:rsidRPr="0001456D">
              <w:t>ch mowa w art. 10 ust. 1, art. 13 ust. 1, art.</w:t>
            </w:r>
            <w:r w:rsidRPr="0001456D">
              <w:rPr>
                <w:b/>
                <w:i/>
              </w:rPr>
              <w:t> </w:t>
            </w:r>
            <w:r w:rsidRPr="0001456D">
              <w:t>14 ust.</w:t>
            </w:r>
            <w:r w:rsidRPr="0001456D">
              <w:rPr>
                <w:b/>
                <w:i/>
              </w:rPr>
              <w:t> </w:t>
            </w:r>
            <w:r w:rsidRPr="0001456D">
              <w:t>1 lub art. 14a ust. 1. Te państwa członkowskie pochodzenia również oznaczają odpowiadające zestawy danych.</w:t>
            </w:r>
          </w:p>
        </w:tc>
        <w:tc>
          <w:tcPr>
            <w:tcW w:w="4876" w:type="dxa"/>
            <w:hideMark/>
          </w:tcPr>
          <w:p w:rsidR="007605D8" w:rsidRPr="0001456D" w:rsidRDefault="00FD031D" w:rsidP="007605D8">
            <w:pPr>
              <w:pStyle w:val="Normal6"/>
              <w:rPr>
                <w:szCs w:val="24"/>
              </w:rPr>
            </w:pPr>
            <w:r w:rsidRPr="0001456D">
              <w:t>1.</w:t>
            </w:r>
            <w:r w:rsidRPr="0001456D">
              <w:tab/>
              <w:t xml:space="preserve">W celach określonych w art. 1 ust. 1 lit. a) </w:t>
            </w:r>
            <w:r w:rsidRPr="0001456D">
              <w:rPr>
                <w:b/>
                <w:i/>
              </w:rPr>
              <w:t xml:space="preserve">i art. 1 ust. 1 lit. b) </w:t>
            </w:r>
            <w:r w:rsidRPr="0001456D">
              <w:t xml:space="preserve">państwo członkowskie </w:t>
            </w:r>
            <w:r w:rsidRPr="0001456D">
              <w:t>pochodzenia, które udzieliło ochrony międzynarodowej osobie, której dane zostały uprzednio zapisane w systemie centralnym i, w stosownych przypadkach, w CIR zgodnie z art. 12</w:t>
            </w:r>
            <w:r w:rsidRPr="0001456D">
              <w:rPr>
                <w:b/>
                <w:i/>
              </w:rPr>
              <w:t xml:space="preserve"> lub 12a</w:t>
            </w:r>
            <w:r w:rsidRPr="0001456D">
              <w:t>, oznacza odpowiednie dane zgodnie z wymogami w zakresie łączności elektro</w:t>
            </w:r>
            <w:r w:rsidRPr="0001456D">
              <w:t xml:space="preserve">nicznej z systemem centralnym ustanowionymi przez eu-LISA. Oznaczenie to zapisywane jest w systemie centralnym zgodnie z art. 17 ust. 1 </w:t>
            </w:r>
            <w:r w:rsidRPr="0001456D">
              <w:rPr>
                <w:b/>
                <w:i/>
              </w:rPr>
              <w:t xml:space="preserve">i art. 17 ust. 1a </w:t>
            </w:r>
            <w:r w:rsidRPr="0001456D">
              <w:t>na potrzeby przekazywania danych na mocy art. 15 i art.</w:t>
            </w:r>
            <w:r w:rsidRPr="0001456D">
              <w:rPr>
                <w:b/>
                <w:i/>
              </w:rPr>
              <w:t xml:space="preserve"> </w:t>
            </w:r>
            <w:r w:rsidRPr="0001456D">
              <w:t>16. System centralny informuje wszystkie państ</w:t>
            </w:r>
            <w:r w:rsidRPr="0001456D">
              <w:t xml:space="preserve">wa członkowskie pochodzenia – najszybciej jak to możliwe i nie później niż w ciągu 72 godzin – o oznaczeniu przez inne państwo członkowskie pochodzenia danych, które doprowadziły do trafienia w połączeniu z danymi przesłanymi przez te państwa, dotyczącymi </w:t>
            </w:r>
            <w:r w:rsidRPr="0001456D">
              <w:t>osób, o których mowa w art. 10 ust. 1, art. </w:t>
            </w:r>
            <w:r w:rsidRPr="0001456D">
              <w:rPr>
                <w:b/>
                <w:i/>
              </w:rPr>
              <w:t xml:space="preserve">12 lit. b, art. </w:t>
            </w:r>
            <w:r w:rsidRPr="0001456D">
              <w:t>13 ust. 1, art.</w:t>
            </w:r>
            <w:r w:rsidRPr="0001456D">
              <w:rPr>
                <w:b/>
                <w:i/>
              </w:rPr>
              <w:t xml:space="preserve"> </w:t>
            </w:r>
            <w:r w:rsidRPr="0001456D">
              <w:t>14 ust.</w:t>
            </w:r>
            <w:r w:rsidRPr="0001456D">
              <w:rPr>
                <w:b/>
                <w:i/>
              </w:rPr>
              <w:t xml:space="preserve"> </w:t>
            </w:r>
            <w:r w:rsidRPr="0001456D">
              <w:t>1 lub art. 14a ust. 1. Te państwa członkowskie pochodzenia również oznaczają odpowiadające zestawy danych.</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&lt;NumAm</w:t>
      </w:r>
      <w:r w:rsidRPr="0001456D">
        <w:rPr>
          <w:rStyle w:val="HideTWBExt"/>
        </w:rPr>
        <w:t>&gt;</w:t>
      </w:r>
      <w:r w:rsidRPr="0001456D">
        <w:t>86</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Część normatywna – punkt 22 – artykuł 19 – ustęp 2</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2.</w:t>
            </w:r>
            <w:r w:rsidRPr="0001456D">
              <w:tab/>
              <w:t>Przechowywane w systemie centralnym i, w stosownych przypadkach, w CIR i oznaczone zgodnie z ust. 1 niniejszego artykułu dane beneficjentów ochrony międzynarodowej są udostępniane do porównywania w celach określonych w art. 1 ust. 1 lit. d) do chwili ic</w:t>
            </w:r>
            <w:r w:rsidRPr="0001456D">
              <w:t>h automatycznego usunięcia z systemu centralnego i, w stosownych przypadkach, z CIR zgodnie z art. 17 ust. 4.</w:t>
            </w:r>
          </w:p>
        </w:tc>
        <w:tc>
          <w:tcPr>
            <w:tcW w:w="4876" w:type="dxa"/>
            <w:hideMark/>
          </w:tcPr>
          <w:p w:rsidR="007605D8" w:rsidRPr="0001456D" w:rsidRDefault="00FD031D" w:rsidP="007605D8">
            <w:pPr>
              <w:pStyle w:val="Normal6"/>
              <w:rPr>
                <w:szCs w:val="24"/>
              </w:rPr>
            </w:pPr>
            <w:r w:rsidRPr="0001456D">
              <w:t>2.</w:t>
            </w:r>
            <w:r w:rsidRPr="0001456D">
              <w:tab/>
              <w:t>Przechowywane w systemie centralnym i, w stosownych przypadkach, w CIR</w:t>
            </w:r>
            <w:r w:rsidRPr="0001456D">
              <w:rPr>
                <w:b/>
                <w:i/>
              </w:rPr>
              <w:t>, zgodnie z art. 4 ust. 2,</w:t>
            </w:r>
            <w:r w:rsidRPr="0001456D">
              <w:t xml:space="preserve"> i oznaczone zgodnie z ust. 1 niniejszego artyk</w:t>
            </w:r>
            <w:r w:rsidRPr="0001456D">
              <w:t>ułu dane beneficjentów ochrony międzynarodowej są udostępniane do porównywania w celach określonych w art. 1 ust. 1 lit. d) do chwili ich automatycznego usunięcia z systemu centralnego i, w stosownych przypadkach, z CIR zgodnie z art. 17 ust. 4.</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w:t>
      </w:r>
      <w:r w:rsidRPr="00FD031D">
        <w:rPr>
          <w:rStyle w:val="HideTWBExt"/>
          <w:noProof w:val="0"/>
          <w:lang w:val="en-GB"/>
        </w:rPr>
        <w:t>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87</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w:t>
      </w:r>
      <w:bookmarkStart w:id="1" w:name="_GoBack"/>
      <w:bookmarkEnd w:id="1"/>
      <w:r w:rsidRPr="0001456D">
        <w:rPr>
          <w:rStyle w:val="HideTWBExt"/>
        </w:rPr>
        <w:t>DocAmend&gt;</w:t>
      </w:r>
    </w:p>
    <w:p w:rsidR="007605D8" w:rsidRPr="0001456D" w:rsidRDefault="00FD031D" w:rsidP="007605D8">
      <w:pPr>
        <w:pStyle w:val="NormalBold"/>
      </w:pPr>
      <w:r w:rsidRPr="0001456D">
        <w:rPr>
          <w:rStyle w:val="HideTWBExt"/>
        </w:rPr>
        <w:t>&lt;Article&gt;</w:t>
      </w:r>
      <w:r w:rsidRPr="0001456D">
        <w:t>Część normatywna – punkt 22 – artykuł 19 – ustęp 4</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4.</w:t>
            </w:r>
            <w:r w:rsidRPr="0001456D">
              <w:tab/>
              <w:t xml:space="preserve">W celach określonych w art. 1 ust. 1 lit. a) </w:t>
            </w:r>
            <w:r w:rsidRPr="0001456D">
              <w:rPr>
                <w:b/>
                <w:i/>
              </w:rPr>
              <w:t xml:space="preserve">i c) </w:t>
            </w:r>
            <w:r w:rsidRPr="0001456D">
              <w:t>państwo członkowskie pochodzenia, które wydało dokument pobytowy</w:t>
            </w:r>
            <w:r w:rsidRPr="0001456D">
              <w:rPr>
                <w:b/>
                <w:i/>
              </w:rPr>
              <w:t xml:space="preserve"> przebywającemu nielegalnie</w:t>
            </w:r>
            <w:r w:rsidRPr="0001456D">
              <w:t xml:space="preserve"> obywatelowi państwa trzeciego lub bezpaństwowcowi, których dane zostały uprzednio zapisane w systemie centralnym i, w stosownych przypadkach, w CIR zgodnie z art. 13 ust. 2 i art. 14</w:t>
            </w:r>
            <w:r w:rsidRPr="0001456D">
              <w:rPr>
                <w:b/>
                <w:i/>
              </w:rPr>
              <w:t xml:space="preserve"> ust. 2, lub obywatelowi państwa trzeciego lub bezpaństwowcowi, sprowadzo</w:t>
            </w:r>
            <w:r w:rsidRPr="0001456D">
              <w:rPr>
                <w:b/>
                <w:i/>
              </w:rPr>
              <w:t>nym na ląd w następstwie operacji poszukiwawczo-ratowniczej, których dane zostały uprzednio zapisane w systemie centralnym i, w stosownych przypadkach, w CIR zgodnie z art. 14a</w:t>
            </w:r>
            <w:r w:rsidRPr="0001456D">
              <w:t xml:space="preserve"> ust. 2, oznacza odpowiednie dane zgodnie z wymogami w zakresie łączności elektr</w:t>
            </w:r>
            <w:r w:rsidRPr="0001456D">
              <w:t>onicznej z systemem centralnym ustanowionymi przez eu-LISA. Oznaczenie to zapisywane jest w systemie centralnym zgodnie z art. 17 ust. 2, 3 i 3a na potrzeby przesyłania danych zgodnie z art. 15 i art. 16. System centralny informuje wszystkie państwa członk</w:t>
            </w:r>
            <w:r w:rsidRPr="0001456D">
              <w:t>owskie pochodzenia – najszybciej jak to możliwe i nie później niż w ciągu 72 godzin – o oznaczeniu przez inne państwo członkowskie pochodzenia danych, które doprowadziły do trafienia w połączeniu z danymi przesłanymi przez te państwa, dotyczącymi osób, o k</w:t>
            </w:r>
            <w:r w:rsidRPr="0001456D">
              <w:t>tórych mowa w art. 10 ust. 1</w:t>
            </w:r>
            <w:r w:rsidRPr="0001456D">
              <w:rPr>
                <w:b/>
                <w:i/>
              </w:rPr>
              <w:t>, art. 13 ust. 1, art. 14 ust. 1</w:t>
            </w:r>
            <w:r w:rsidRPr="0001456D">
              <w:t xml:space="preserve"> lub art. </w:t>
            </w:r>
            <w:r w:rsidRPr="0001456D">
              <w:rPr>
                <w:b/>
                <w:i/>
              </w:rPr>
              <w:t>14a ust. 1.</w:t>
            </w:r>
            <w:r w:rsidRPr="0001456D">
              <w:t xml:space="preserve"> Te państwa członkowskie pochodzenia również oznaczają odpowiadające zestawy danych.</w:t>
            </w:r>
          </w:p>
        </w:tc>
        <w:tc>
          <w:tcPr>
            <w:tcW w:w="4876" w:type="dxa"/>
            <w:hideMark/>
          </w:tcPr>
          <w:p w:rsidR="007605D8" w:rsidRPr="0001456D" w:rsidRDefault="00FD031D" w:rsidP="00F022DC">
            <w:pPr>
              <w:pStyle w:val="Normal6"/>
              <w:rPr>
                <w:szCs w:val="24"/>
              </w:rPr>
            </w:pPr>
            <w:r w:rsidRPr="0001456D">
              <w:t>4.</w:t>
            </w:r>
            <w:r w:rsidRPr="0001456D">
              <w:tab/>
              <w:t>W celach określonych w art. 1 ust. 1 lit. a) państwo członkowskie pochodzenia, które wy</w:t>
            </w:r>
            <w:r w:rsidRPr="0001456D">
              <w:t>dało dokument pobytowy obywatelowi państwa trzeciego lub bezpaństwowcowi</w:t>
            </w:r>
            <w:r w:rsidRPr="0001456D">
              <w:rPr>
                <w:b/>
                <w:i/>
              </w:rPr>
              <w:t xml:space="preserve"> o nieuregulowanym statusie pobytu</w:t>
            </w:r>
            <w:r w:rsidRPr="0001456D">
              <w:t xml:space="preserve">, których dane zostały uprzednio zapisane w systemie centralnym i, w stosownych przypadkach, w CIR zgodnie z art. 13 ust. 2 i art. 14 ust. 2, oznacza </w:t>
            </w:r>
            <w:r w:rsidRPr="0001456D">
              <w:t>odpowiednie dane zgodnie z wymogami w zakresie łączności elektronicznej z systemem centralnym ustanowionymi przez eu-LISA. Oznaczenie to zapisywane jest w systemie centralnym zgodnie z art. 17 ust. 2, 3 i 3a na potrzeby przesyłania danych zgodnie z art. 15</w:t>
            </w:r>
            <w:r w:rsidRPr="0001456D">
              <w:t xml:space="preserve"> i art. 16. System centralny informuje wszystkie państwa członkowskie pochodzenia – najszybciej jak to możliwe i nie później niż w ciągu 72 godzin – o oznaczeniu przez inne państwo członkowskie pochodzenia danych, które doprowadziły do trafienia w połączen</w:t>
            </w:r>
            <w:r w:rsidRPr="0001456D">
              <w:t>iu z danymi przesłanymi przez te państwa, dotyczącymi osób, o których mowa w art. 10 ust. 1 lub art. </w:t>
            </w:r>
            <w:r w:rsidRPr="0001456D">
              <w:rPr>
                <w:b/>
                <w:i/>
              </w:rPr>
              <w:t>13 ust. 1.</w:t>
            </w:r>
            <w:r w:rsidRPr="0001456D">
              <w:t xml:space="preserve"> Te państwa członkowskie pochodzenia również oznaczają odpowiadające zestawy danych.</w:t>
            </w:r>
          </w:p>
        </w:tc>
      </w:tr>
    </w:tbl>
    <w:p w:rsidR="007605D8" w:rsidRPr="0001456D" w:rsidRDefault="00FD031D" w:rsidP="007605D8">
      <w:pPr>
        <w:pStyle w:val="Olang"/>
        <w:rPr>
          <w:noProof w:val="0"/>
        </w:rPr>
      </w:pPr>
      <w:r w:rsidRPr="0001456D">
        <w:rPr>
          <w:noProof w:val="0"/>
        </w:rPr>
        <w:t xml:space="preserve">Or. </w:t>
      </w:r>
      <w:r w:rsidRPr="0001456D">
        <w:rPr>
          <w:rStyle w:val="HideTWBExt"/>
          <w:noProof w:val="0"/>
        </w:rPr>
        <w:t>&lt;Original&gt;</w:t>
      </w:r>
      <w:r w:rsidRPr="0001456D">
        <w:rPr>
          <w:rStyle w:val="HideTWBInt"/>
          <w:noProof w:val="0"/>
        </w:rPr>
        <w:t>{EN}</w:t>
      </w:r>
      <w:r w:rsidRPr="0001456D">
        <w:rPr>
          <w:noProof w:val="0"/>
        </w:rPr>
        <w:t>en</w:t>
      </w:r>
      <w:r w:rsidRPr="0001456D">
        <w:rPr>
          <w:rStyle w:val="HideTWBExt"/>
          <w:noProof w:val="0"/>
        </w:rPr>
        <w:t>&lt;/Original&gt;</w:t>
      </w:r>
    </w:p>
    <w:p w:rsidR="007605D8" w:rsidRPr="0001456D" w:rsidRDefault="00FD031D" w:rsidP="007605D8">
      <w:r w:rsidRPr="0001456D">
        <w:rPr>
          <w:rStyle w:val="HideTWBExt"/>
        </w:rPr>
        <w:t>&lt;/Amend&gt;</w:t>
      </w:r>
    </w:p>
    <w:p w:rsidR="007605D8" w:rsidRPr="0001456D" w:rsidRDefault="00FD031D" w:rsidP="007605D8">
      <w:pPr>
        <w:pStyle w:val="AMNumberTabs0"/>
        <w:keepNext/>
      </w:pPr>
      <w:r w:rsidRPr="0001456D">
        <w:rPr>
          <w:rStyle w:val="HideTWBExt"/>
        </w:rPr>
        <w:t>&lt;Amend&gt;</w:t>
      </w:r>
      <w:r w:rsidRPr="0001456D">
        <w:t>Poprawka</w:t>
      </w:r>
      <w:r w:rsidRPr="0001456D">
        <w:tab/>
      </w:r>
      <w:r w:rsidRPr="0001456D">
        <w:tab/>
      </w:r>
      <w:r w:rsidRPr="0001456D">
        <w:rPr>
          <w:rStyle w:val="HideTWBExt"/>
        </w:rPr>
        <w:t>&lt;</w:t>
      </w:r>
      <w:r w:rsidRPr="0001456D">
        <w:rPr>
          <w:rStyle w:val="HideTWBExt"/>
        </w:rPr>
        <w:t>NumAm&gt;</w:t>
      </w:r>
      <w:r w:rsidRPr="0001456D">
        <w:t>88</w:t>
      </w:r>
      <w:r w:rsidRPr="0001456D">
        <w:rPr>
          <w:rStyle w:val="HideTWBExt"/>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22 – artykuł 19 – ustęp 5</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5.</w:t>
            </w:r>
            <w:r w:rsidRPr="0001456D">
              <w:tab/>
              <w:t xml:space="preserve">Przechowywane w systemie centralnym i w CIR i oznaczone zgodnie z ust. 4 niniejszego artykułu dane </w:t>
            </w:r>
            <w:r w:rsidRPr="0001456D">
              <w:rPr>
                <w:b/>
                <w:i/>
              </w:rPr>
              <w:t xml:space="preserve">przebywających nielegalnie </w:t>
            </w:r>
            <w:r w:rsidRPr="0001456D">
              <w:t>obywateli państwa trzeciego lub bezpaństwowców są udostępniane do porównania w celach określonych w art. 1 ust. 1 lit</w:t>
            </w:r>
            <w:r w:rsidRPr="0001456D">
              <w:t>. </w:t>
            </w:r>
            <w:r w:rsidRPr="0001456D">
              <w:rPr>
                <w:b/>
                <w:i/>
              </w:rPr>
              <w:t>c</w:t>
            </w:r>
            <w:r w:rsidRPr="0001456D">
              <w:t>) do momentu ich automatycznego usunięcia z systemu centralnego i z CIR zgodnie z art. 17 ust. 4.</w:t>
            </w:r>
          </w:p>
        </w:tc>
        <w:tc>
          <w:tcPr>
            <w:tcW w:w="4876" w:type="dxa"/>
            <w:hideMark/>
          </w:tcPr>
          <w:p w:rsidR="007605D8" w:rsidRPr="0001456D" w:rsidRDefault="00FD031D" w:rsidP="007605D8">
            <w:pPr>
              <w:pStyle w:val="Normal6"/>
              <w:rPr>
                <w:szCs w:val="24"/>
              </w:rPr>
            </w:pPr>
            <w:r w:rsidRPr="0001456D">
              <w:t>5.</w:t>
            </w:r>
            <w:r w:rsidRPr="0001456D">
              <w:tab/>
              <w:t>Przechowywane w systemie centralnym i w CIR i oznaczone zgodnie z ust. 4 niniejszego artykułu dane obywateli państwa trzeciego lub bezpaństwowców</w:t>
            </w:r>
            <w:r w:rsidRPr="0001456D">
              <w:rPr>
                <w:b/>
                <w:i/>
              </w:rPr>
              <w:t xml:space="preserve"> o nieu</w:t>
            </w:r>
            <w:r w:rsidRPr="0001456D">
              <w:rPr>
                <w:b/>
                <w:i/>
              </w:rPr>
              <w:t>regulowanym statusie pobytu</w:t>
            </w:r>
            <w:r w:rsidRPr="0001456D">
              <w:t xml:space="preserve"> są udostępniane do porównania w celach określonych w art. 1 ust. 1 lit. </w:t>
            </w:r>
            <w:r w:rsidRPr="0001456D">
              <w:rPr>
                <w:b/>
                <w:i/>
              </w:rPr>
              <w:t>d</w:t>
            </w:r>
            <w:r w:rsidRPr="0001456D">
              <w:t>) do momentu ich automatycznego usunięcia z systemu centralnego i z CIR zgodnie z art. 17 ust. 4.</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89</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25 – artykuł 28 – ustęp 3 a</w:t>
      </w:r>
      <w:r w:rsidRPr="00014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7605D8">
        <w:trPr>
          <w:jc w:val="center"/>
        </w:trPr>
        <w:tc>
          <w:tcPr>
            <w:tcW w:w="9752" w:type="dxa"/>
            <w:gridSpan w:val="2"/>
          </w:tcPr>
          <w:p w:rsidR="007605D8" w:rsidRPr="0001456D" w:rsidRDefault="007605D8" w:rsidP="007605D8">
            <w:pPr>
              <w:keepNext/>
            </w:pPr>
          </w:p>
        </w:tc>
      </w:tr>
      <w:tr w:rsidR="00FF61D0" w:rsidRPr="0001456D" w:rsidTr="007605D8">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7605D8">
        <w:trPr>
          <w:jc w:val="center"/>
        </w:trPr>
        <w:tc>
          <w:tcPr>
            <w:tcW w:w="4876" w:type="dxa"/>
            <w:hideMark/>
          </w:tcPr>
          <w:p w:rsidR="007605D8" w:rsidRPr="0001456D" w:rsidRDefault="00FD031D" w:rsidP="007605D8">
            <w:pPr>
              <w:pStyle w:val="Normal6"/>
            </w:pPr>
            <w:r w:rsidRPr="0001456D">
              <w:t>3a.</w:t>
            </w:r>
            <w:r w:rsidRPr="0001456D">
              <w:tab/>
              <w:t>Dostęp do celów sprawdzania danych Eurodac przechowywanych w CIR jest udzielany należycie upoważnionemu personelowi organów krajowych każdego państwa członkowskiego i należycie upoważnionemu personelowi organów Unii, które są właściwe do celó</w:t>
            </w:r>
            <w:r w:rsidRPr="0001456D">
              <w:t>w określonych w art. 20 i 21 rozporządzenia (UE) 2019/818. Dostęp taki jest ograniczony do zakresu niezbędnego do wykonywania zadań tych organów krajowych i unijnych zgodnie ze wspomnianymi celami oraz proporcjonalnie do wyznaczonych celów.</w:t>
            </w:r>
          </w:p>
        </w:tc>
        <w:tc>
          <w:tcPr>
            <w:tcW w:w="4876" w:type="dxa"/>
            <w:hideMark/>
          </w:tcPr>
          <w:p w:rsidR="007605D8" w:rsidRPr="0001456D" w:rsidRDefault="00FD031D" w:rsidP="007605D8">
            <w:pPr>
              <w:pStyle w:val="Normal6"/>
              <w:rPr>
                <w:szCs w:val="24"/>
              </w:rPr>
            </w:pPr>
            <w:r w:rsidRPr="0001456D">
              <w:t>3a.</w:t>
            </w:r>
            <w:r w:rsidRPr="0001456D">
              <w:tab/>
              <w:t>Dostęp do c</w:t>
            </w:r>
            <w:r w:rsidRPr="0001456D">
              <w:t xml:space="preserve">elów sprawdzania danych Eurodac przechowywanych w CIR jest udzielany należycie upoważnionemu personelowi </w:t>
            </w:r>
            <w:r w:rsidRPr="0001456D">
              <w:rPr>
                <w:b/>
                <w:i/>
              </w:rPr>
              <w:t xml:space="preserve">właściwych </w:t>
            </w:r>
            <w:r w:rsidRPr="0001456D">
              <w:t xml:space="preserve">organów krajowych każdego państwa członkowskiego i należycie upoważnionemu personelowi organów Unii, które są właściwe do celów określonych </w:t>
            </w:r>
            <w:r w:rsidRPr="0001456D">
              <w:t>w art. 20 i 21 rozporządzenia (UE) 2019/818. Dostęp taki jest ograniczony do zakresu niezbędnego do wykonywania zadań tych organów krajowych i unijnych zgodnie ze wspomnianymi celami oraz proporcjonalnie do wyznaczonych celów.</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lang w:val="en-GB"/>
        </w:rPr>
      </w:pPr>
      <w:r w:rsidRPr="00FD031D">
        <w:rPr>
          <w:rStyle w:val="HideTWBExt"/>
          <w:lang w:val="en-GB"/>
        </w:rPr>
        <w:t>&lt;/Amend&gt;</w:t>
      </w:r>
    </w:p>
    <w:p w:rsidR="007605D8" w:rsidRPr="00FD031D" w:rsidRDefault="00FD031D" w:rsidP="007605D8">
      <w:pPr>
        <w:pStyle w:val="AMNumberTabs0"/>
        <w:keepNext/>
        <w:rPr>
          <w:lang w:val="en-GB"/>
        </w:rPr>
      </w:pPr>
      <w:r w:rsidRPr="00FD031D">
        <w:rPr>
          <w:rStyle w:val="HideTWBExt"/>
          <w:lang w:val="en-GB"/>
        </w:rPr>
        <w:t>&lt;Amend&gt;</w:t>
      </w:r>
      <w:r w:rsidRPr="00FD031D">
        <w:rPr>
          <w:lang w:val="en-GB"/>
        </w:rPr>
        <w:t>Poprawka</w:t>
      </w:r>
      <w:r w:rsidRPr="00FD031D">
        <w:rPr>
          <w:lang w:val="en-GB"/>
        </w:rPr>
        <w:tab/>
      </w:r>
      <w:r w:rsidRPr="00FD031D">
        <w:rPr>
          <w:lang w:val="en-GB"/>
        </w:rPr>
        <w:tab/>
      </w:r>
      <w:r w:rsidRPr="00FD031D">
        <w:rPr>
          <w:rStyle w:val="HideTWBExt"/>
          <w:lang w:val="en-GB"/>
        </w:rPr>
        <w:t>&lt;NumAm&gt;</w:t>
      </w:r>
      <w:r w:rsidRPr="00FD031D">
        <w:rPr>
          <w:lang w:val="en-GB"/>
        </w:rPr>
        <w:t>90</w:t>
      </w:r>
      <w:r w:rsidRPr="00FD031D">
        <w:rPr>
          <w:rStyle w:val="HideTWBExt"/>
          <w:lang w:val="en-GB"/>
        </w:rPr>
        <w:t>&lt;/NumAm&gt;</w:t>
      </w:r>
    </w:p>
    <w:p w:rsidR="007605D8" w:rsidRPr="00FD031D" w:rsidRDefault="00FD031D" w:rsidP="007605D8">
      <w:pPr>
        <w:pStyle w:val="NormalBold"/>
        <w:rPr>
          <w:lang w:val="en-GB"/>
        </w:rPr>
      </w:pPr>
      <w:r w:rsidRPr="00FD031D">
        <w:rPr>
          <w:rStyle w:val="HideTWBExt"/>
          <w:lang w:val="en-GB"/>
        </w:rPr>
        <w:t>&lt;RepeatBlock-By&gt;&lt;Members&gt;</w:t>
      </w:r>
      <w:r w:rsidRPr="00FD031D">
        <w:rPr>
          <w:lang w:val="en-GB"/>
        </w:rPr>
        <w:t>Jorge Buxadé Villalba</w:t>
      </w:r>
      <w:r w:rsidRPr="00FD031D">
        <w:rPr>
          <w:rStyle w:val="HideTWBExt"/>
          <w:lang w:val="en-GB"/>
        </w:rPr>
        <w:t>&lt;/Members&gt;</w:t>
      </w:r>
    </w:p>
    <w:p w:rsidR="007605D8" w:rsidRPr="0001456D" w:rsidRDefault="00FD031D" w:rsidP="007605D8">
      <w:r w:rsidRPr="0001456D">
        <w:rPr>
          <w:rStyle w:val="HideTWBExt"/>
        </w:rPr>
        <w:t>&lt;/RepeatBlock-By&gt;</w:t>
      </w:r>
    </w:p>
    <w:p w:rsidR="007605D8" w:rsidRPr="0001456D" w:rsidRDefault="00FD031D" w:rsidP="007605D8">
      <w:pPr>
        <w:pStyle w:val="NormalBold"/>
        <w:keepNext/>
      </w:pPr>
      <w:r w:rsidRPr="0001456D">
        <w:rPr>
          <w:rStyle w:val="HideTWBExt"/>
        </w:rPr>
        <w:t>&lt;DocAmend&gt;</w:t>
      </w:r>
      <w:r w:rsidRPr="0001456D">
        <w:t>Wniosek dotyczący rozporządzenia</w:t>
      </w:r>
      <w:r w:rsidRPr="0001456D">
        <w:rPr>
          <w:rStyle w:val="HideTWBExt"/>
        </w:rPr>
        <w:t>&lt;/DocAmend&gt;</w:t>
      </w:r>
    </w:p>
    <w:p w:rsidR="007605D8" w:rsidRPr="0001456D" w:rsidRDefault="00FD031D" w:rsidP="007605D8">
      <w:pPr>
        <w:pStyle w:val="NormalBold"/>
      </w:pPr>
      <w:r w:rsidRPr="0001456D">
        <w:rPr>
          <w:rStyle w:val="HideTWBExt"/>
        </w:rPr>
        <w:t>&lt;Article&gt;</w:t>
      </w:r>
      <w:r w:rsidRPr="0001456D">
        <w:t xml:space="preserve"> Część normatywna – punkt 26 a (nowy) – artykuł 34 – ustęp 1</w:t>
      </w:r>
      <w:r w:rsidRPr="0001456D">
        <w:rPr>
          <w:rStyle w:val="HideTWBExt"/>
        </w:rPr>
        <w:t>&lt;/</w:t>
      </w:r>
      <w:r w:rsidRPr="0001456D">
        <w:rPr>
          <w:rStyle w:val="HideTWBExt"/>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61D0" w:rsidRPr="0001456D" w:rsidTr="00D1390F">
        <w:trPr>
          <w:jc w:val="center"/>
        </w:trPr>
        <w:tc>
          <w:tcPr>
            <w:tcW w:w="9752" w:type="dxa"/>
            <w:gridSpan w:val="2"/>
          </w:tcPr>
          <w:p w:rsidR="007605D8" w:rsidRPr="0001456D" w:rsidRDefault="007605D8" w:rsidP="007605D8">
            <w:pPr>
              <w:keepNext/>
            </w:pPr>
          </w:p>
        </w:tc>
      </w:tr>
      <w:tr w:rsidR="00FF61D0" w:rsidRPr="0001456D" w:rsidTr="00D1390F">
        <w:trPr>
          <w:jc w:val="center"/>
        </w:trPr>
        <w:tc>
          <w:tcPr>
            <w:tcW w:w="4876" w:type="dxa"/>
            <w:hideMark/>
          </w:tcPr>
          <w:p w:rsidR="007605D8" w:rsidRPr="0001456D" w:rsidRDefault="00FD031D" w:rsidP="007605D8">
            <w:pPr>
              <w:pStyle w:val="ColumnHeading"/>
              <w:keepNext/>
            </w:pPr>
            <w:r w:rsidRPr="0001456D">
              <w:t>Tekst proponowany przez Komisję</w:t>
            </w:r>
          </w:p>
        </w:tc>
        <w:tc>
          <w:tcPr>
            <w:tcW w:w="4876" w:type="dxa"/>
            <w:hideMark/>
          </w:tcPr>
          <w:p w:rsidR="007605D8" w:rsidRPr="0001456D" w:rsidRDefault="00FD031D" w:rsidP="007605D8">
            <w:pPr>
              <w:pStyle w:val="ColumnHeading"/>
              <w:keepNext/>
            </w:pPr>
            <w:r w:rsidRPr="0001456D">
              <w:t>Poprawka</w:t>
            </w:r>
          </w:p>
        </w:tc>
      </w:tr>
      <w:tr w:rsidR="00FF61D0" w:rsidRPr="0001456D" w:rsidTr="00D1390F">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7605D8">
            <w:pPr>
              <w:pStyle w:val="Normal6"/>
              <w:rPr>
                <w:szCs w:val="24"/>
              </w:rPr>
            </w:pPr>
            <w:r w:rsidRPr="0001456D">
              <w:rPr>
                <w:b/>
                <w:i/>
              </w:rPr>
              <w:t>(26a)</w:t>
            </w:r>
            <w:r w:rsidRPr="0001456D">
              <w:rPr>
                <w:b/>
                <w:i/>
              </w:rPr>
              <w:tab/>
              <w:t xml:space="preserve"> w art. 34 ust. 1 wprowadza się następujące zmiany:</w:t>
            </w:r>
          </w:p>
        </w:tc>
      </w:tr>
      <w:tr w:rsidR="00FF61D0" w:rsidRPr="0001456D" w:rsidTr="00D1390F">
        <w:trPr>
          <w:jc w:val="center"/>
        </w:trPr>
        <w:tc>
          <w:tcPr>
            <w:tcW w:w="4876" w:type="dxa"/>
          </w:tcPr>
          <w:p w:rsidR="007605D8" w:rsidRPr="0001456D" w:rsidRDefault="007605D8" w:rsidP="007605D8">
            <w:pPr>
              <w:pStyle w:val="Normal6"/>
            </w:pPr>
          </w:p>
        </w:tc>
        <w:tc>
          <w:tcPr>
            <w:tcW w:w="4876" w:type="dxa"/>
            <w:hideMark/>
          </w:tcPr>
          <w:p w:rsidR="007605D8" w:rsidRPr="0001456D" w:rsidRDefault="00FD031D" w:rsidP="00E81E98">
            <w:pPr>
              <w:pStyle w:val="Normal6"/>
              <w:rPr>
                <w:szCs w:val="24"/>
              </w:rPr>
            </w:pPr>
            <w:r w:rsidRPr="0001456D">
              <w:rPr>
                <w:b/>
                <w:i/>
              </w:rPr>
              <w:t xml:space="preserve">1. Krajowe organy nadzorcze oraz Europejski Inspektor Ochrony Danych, działając w granicach swych odpowiednich kompetencji, aktywnie </w:t>
            </w:r>
            <w:r w:rsidRPr="0001456D">
              <w:rPr>
                <w:b/>
                <w:i/>
              </w:rPr>
              <w:t>współpracują w ramach swoich zadań oraz zapewniają skoordynowany nadzór nad Eurodac. W odniesieniu do wspólnych operacji organów nadzorczych Krajowe organy nadzorcze i Europejski Inspektor Ochrony Danych stosują jednolity model skoordynowanego nadzoru, o k</w:t>
            </w:r>
            <w:r w:rsidRPr="0001456D">
              <w:rPr>
                <w:b/>
                <w:i/>
              </w:rPr>
              <w:t>tórym mowa w art. 62 rozporządzenia (UE) 2018/1725.</w:t>
            </w:r>
          </w:p>
        </w:tc>
      </w:tr>
    </w:tbl>
    <w:p w:rsidR="007605D8" w:rsidRPr="00FD031D" w:rsidRDefault="00FD031D" w:rsidP="007605D8">
      <w:pPr>
        <w:pStyle w:val="Olang"/>
        <w:rPr>
          <w:noProof w:val="0"/>
          <w:lang w:val="en-GB"/>
        </w:rPr>
      </w:pPr>
      <w:r w:rsidRPr="00FD031D">
        <w:rPr>
          <w:noProof w:val="0"/>
          <w:lang w:val="en-GB"/>
        </w:rPr>
        <w:t xml:space="preserve">Or. </w:t>
      </w:r>
      <w:r w:rsidRPr="00FD031D">
        <w:rPr>
          <w:rStyle w:val="HideTWBExt"/>
          <w:noProof w:val="0"/>
          <w:lang w:val="en-GB"/>
        </w:rPr>
        <w:t>&lt;Original&gt;</w:t>
      </w:r>
      <w:r w:rsidRPr="00FD031D">
        <w:rPr>
          <w:rStyle w:val="HideTWBInt"/>
          <w:noProof w:val="0"/>
          <w:lang w:val="en-GB"/>
        </w:rPr>
        <w:t>{EN}</w:t>
      </w:r>
      <w:r w:rsidRPr="00FD031D">
        <w:rPr>
          <w:noProof w:val="0"/>
          <w:lang w:val="en-GB"/>
        </w:rPr>
        <w:t>en</w:t>
      </w:r>
      <w:r w:rsidRPr="00FD031D">
        <w:rPr>
          <w:rStyle w:val="HideTWBExt"/>
          <w:noProof w:val="0"/>
          <w:lang w:val="en-GB"/>
        </w:rPr>
        <w:t>&lt;/Original&gt;</w:t>
      </w:r>
    </w:p>
    <w:p w:rsidR="007605D8" w:rsidRPr="00FD031D" w:rsidRDefault="00FD031D" w:rsidP="007605D8">
      <w:pPr>
        <w:rPr>
          <w:rFonts w:ascii="Arial" w:hAnsi="Arial"/>
          <w:noProof/>
          <w:vanish/>
          <w:color w:val="000080"/>
          <w:sz w:val="20"/>
          <w:lang w:val="en-GB"/>
        </w:rPr>
      </w:pPr>
      <w:r w:rsidRPr="00FD031D">
        <w:rPr>
          <w:rStyle w:val="HideTWBExt"/>
          <w:lang w:val="en-GB"/>
        </w:rPr>
        <w:t>&lt;/Amend&gt;&lt;/RepeatBlock-Amend&gt;</w:t>
      </w:r>
    </w:p>
    <w:p w:rsidR="00A64FB9" w:rsidRPr="00FD031D" w:rsidRDefault="00A64FB9" w:rsidP="007605D8">
      <w:pPr>
        <w:pStyle w:val="AMNumberTabs0"/>
        <w:keepNext/>
        <w:rPr>
          <w:lang w:val="en-GB"/>
        </w:rPr>
      </w:pPr>
    </w:p>
    <w:bookmarkEnd w:id="0"/>
    <w:p w:rsidR="001E3613" w:rsidRPr="00FD031D" w:rsidRDefault="001E3613" w:rsidP="00FA192C">
      <w:pPr>
        <w:rPr>
          <w:lang w:val="en-GB"/>
        </w:rPr>
        <w:sectPr w:rsidR="001E3613" w:rsidRPr="00FD031D" w:rsidSect="000145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01456D" w:rsidRDefault="00FD031D" w:rsidP="001E3613">
      <w:pPr>
        <w:pStyle w:val="PageHeading"/>
      </w:pPr>
      <w:bookmarkStart w:id="2" w:name="_Toc121842161"/>
      <w:bookmarkStart w:id="3" w:name="RollCallPageRR"/>
      <w:r w:rsidRPr="0001456D">
        <w:t>GŁOSOWANIE KOŃCOWE W FORMIE GŁOSOWANIA IMIENNEGO W KOMISJI PRZEDMIOTOWO WŁAŚCIWEJ</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61D0" w:rsidRPr="0001456D" w:rsidTr="001E3613">
        <w:trPr>
          <w:cantSplit/>
        </w:trPr>
        <w:tc>
          <w:tcPr>
            <w:tcW w:w="1701" w:type="dxa"/>
            <w:shd w:val="pct10" w:color="000000" w:fill="FFFFFF"/>
            <w:vAlign w:val="center"/>
          </w:tcPr>
          <w:p w:rsidR="001E3613" w:rsidRPr="0001456D" w:rsidRDefault="00FD031D" w:rsidP="002B59CE">
            <w:pPr>
              <w:pStyle w:val="RollCallVotes"/>
            </w:pPr>
            <w:r w:rsidRPr="0001456D">
              <w:t>39</w:t>
            </w:r>
          </w:p>
        </w:tc>
        <w:tc>
          <w:tcPr>
            <w:tcW w:w="7371" w:type="dxa"/>
            <w:shd w:val="pct10" w:color="000000" w:fill="FFFFFF"/>
          </w:tcPr>
          <w:p w:rsidR="001E3613" w:rsidRPr="0001456D" w:rsidRDefault="00FD031D" w:rsidP="002B59CE">
            <w:pPr>
              <w:pStyle w:val="RollCallSymbols14pt"/>
            </w:pPr>
            <w:r w:rsidRPr="0001456D">
              <w:t>+</w:t>
            </w:r>
          </w:p>
        </w:tc>
      </w:tr>
      <w:tr w:rsidR="00FF61D0" w:rsidRPr="0001456D" w:rsidTr="001E3613">
        <w:trPr>
          <w:cantSplit/>
        </w:trPr>
        <w:tc>
          <w:tcPr>
            <w:tcW w:w="1701" w:type="dxa"/>
            <w:shd w:val="clear" w:color="auto" w:fill="FFFFFF"/>
          </w:tcPr>
          <w:p w:rsidR="001E3613" w:rsidRPr="0001456D" w:rsidRDefault="00FD031D" w:rsidP="002B59CE">
            <w:pPr>
              <w:pStyle w:val="RollCallTable"/>
            </w:pPr>
            <w:r w:rsidRPr="0001456D">
              <w:t>PPE</w:t>
            </w:r>
          </w:p>
        </w:tc>
        <w:tc>
          <w:tcPr>
            <w:tcW w:w="7371" w:type="dxa"/>
            <w:shd w:val="clear" w:color="auto" w:fill="FFFFFF"/>
          </w:tcPr>
          <w:p w:rsidR="001E3613" w:rsidRPr="0001456D" w:rsidRDefault="00FD031D" w:rsidP="002B59CE">
            <w:pPr>
              <w:pStyle w:val="RollCallTable"/>
            </w:pPr>
            <w:r w:rsidRPr="0001456D">
              <w:t xml:space="preserve">Magdalena Adamowicz, </w:t>
            </w:r>
            <w:r w:rsidRPr="0001456D">
              <w:t>François-Xavier Bellamy, Vladimír Bilčík, Vasile Blaga, Karolin Braunsberger-Reinhold, Lena Düpont, Andrzej Halicki, Jeroen Lenaers, Lukas Mandl, Nadine Morano, Paulo Rangel, Sara Skyttedal, Axel Voss, Javier Zarzalejos, Tomáš Zdechovský</w:t>
            </w:r>
          </w:p>
        </w:tc>
      </w:tr>
      <w:tr w:rsidR="00FF61D0" w:rsidRPr="0001456D" w:rsidTr="002B59CE">
        <w:trPr>
          <w:cantSplit/>
        </w:trPr>
        <w:tc>
          <w:tcPr>
            <w:tcW w:w="1701" w:type="dxa"/>
            <w:shd w:val="clear" w:color="auto" w:fill="FFFFFF"/>
          </w:tcPr>
          <w:p w:rsidR="001E3613" w:rsidRPr="0001456D" w:rsidRDefault="00FD031D" w:rsidP="002B59CE">
            <w:pPr>
              <w:pStyle w:val="RollCallTable"/>
            </w:pPr>
            <w:r w:rsidRPr="0001456D">
              <w:t>S&amp;D</w:t>
            </w:r>
          </w:p>
        </w:tc>
        <w:tc>
          <w:tcPr>
            <w:tcW w:w="7371" w:type="dxa"/>
            <w:shd w:val="clear" w:color="auto" w:fill="FFFFFF"/>
          </w:tcPr>
          <w:p w:rsidR="001E3613" w:rsidRPr="0001456D" w:rsidRDefault="00FD031D" w:rsidP="002B59CE">
            <w:pPr>
              <w:pStyle w:val="RollCallTable"/>
            </w:pPr>
            <w:r w:rsidRPr="0001456D">
              <w:t>Elena Yonchev</w:t>
            </w:r>
            <w:r w:rsidRPr="0001456D">
              <w:t>a</w:t>
            </w:r>
          </w:p>
        </w:tc>
      </w:tr>
      <w:tr w:rsidR="00FF61D0" w:rsidRPr="0001456D" w:rsidTr="002B59CE">
        <w:trPr>
          <w:cantSplit/>
        </w:trPr>
        <w:tc>
          <w:tcPr>
            <w:tcW w:w="1701" w:type="dxa"/>
            <w:shd w:val="clear" w:color="auto" w:fill="FFFFFF"/>
          </w:tcPr>
          <w:p w:rsidR="001E3613" w:rsidRPr="0001456D" w:rsidRDefault="00FD031D" w:rsidP="002B59CE">
            <w:pPr>
              <w:pStyle w:val="RollCallTable"/>
            </w:pPr>
            <w:r w:rsidRPr="0001456D">
              <w:t>RENEW</w:t>
            </w:r>
          </w:p>
        </w:tc>
        <w:tc>
          <w:tcPr>
            <w:tcW w:w="7371" w:type="dxa"/>
            <w:shd w:val="clear" w:color="auto" w:fill="FFFFFF"/>
          </w:tcPr>
          <w:p w:rsidR="001E3613" w:rsidRPr="0001456D" w:rsidRDefault="00FD031D" w:rsidP="002B59CE">
            <w:pPr>
              <w:pStyle w:val="RollCallTable"/>
            </w:pPr>
            <w:r w:rsidRPr="0001456D">
              <w:t>Abir Al-Sahlani, Malik Azmani, Lucia Ďuriš Nicholsonová, Sophia in 't Veld, Irena Joveva, Fabienne Keller, Moritz Körner, Jan-Christoph Oetjen, Maite Pagazaurtundúa, Dragoş Tudorache</w:t>
            </w:r>
          </w:p>
        </w:tc>
      </w:tr>
      <w:tr w:rsidR="00FF61D0" w:rsidRPr="0001456D" w:rsidTr="001E3613">
        <w:trPr>
          <w:cantSplit/>
        </w:trPr>
        <w:tc>
          <w:tcPr>
            <w:tcW w:w="1701" w:type="dxa"/>
            <w:shd w:val="clear" w:color="auto" w:fill="FFFFFF"/>
          </w:tcPr>
          <w:p w:rsidR="001E3613" w:rsidRPr="0001456D" w:rsidRDefault="00FD031D" w:rsidP="002B59CE">
            <w:pPr>
              <w:pStyle w:val="RollCallTable"/>
            </w:pPr>
            <w:r w:rsidRPr="0001456D">
              <w:t>ID</w:t>
            </w:r>
          </w:p>
        </w:tc>
        <w:tc>
          <w:tcPr>
            <w:tcW w:w="7371" w:type="dxa"/>
            <w:shd w:val="clear" w:color="auto" w:fill="FFFFFF"/>
          </w:tcPr>
          <w:p w:rsidR="001E3613" w:rsidRPr="0001456D" w:rsidRDefault="00FD031D" w:rsidP="002B59CE">
            <w:pPr>
              <w:pStyle w:val="RollCallTable"/>
            </w:pPr>
            <w:r w:rsidRPr="0001456D">
              <w:t xml:space="preserve">Patricia Chagnon, Nicolaus Fest, Jean-Paul Garraud, Laura </w:t>
            </w:r>
            <w:r w:rsidRPr="0001456D">
              <w:t>Huhtasaari, Annalisa Tardino, Tom Vandendriessche</w:t>
            </w:r>
          </w:p>
        </w:tc>
      </w:tr>
      <w:tr w:rsidR="00FF61D0" w:rsidRPr="0001456D" w:rsidTr="002B59CE">
        <w:trPr>
          <w:cantSplit/>
        </w:trPr>
        <w:tc>
          <w:tcPr>
            <w:tcW w:w="1701" w:type="dxa"/>
            <w:shd w:val="clear" w:color="auto" w:fill="FFFFFF"/>
          </w:tcPr>
          <w:p w:rsidR="001E3613" w:rsidRPr="0001456D" w:rsidRDefault="00FD031D" w:rsidP="002B59CE">
            <w:pPr>
              <w:pStyle w:val="RollCallTable"/>
            </w:pPr>
            <w:r w:rsidRPr="0001456D">
              <w:t>ECR</w:t>
            </w:r>
          </w:p>
        </w:tc>
        <w:tc>
          <w:tcPr>
            <w:tcW w:w="7371" w:type="dxa"/>
            <w:shd w:val="clear" w:color="auto" w:fill="FFFFFF"/>
          </w:tcPr>
          <w:p w:rsidR="001E3613" w:rsidRPr="0001456D" w:rsidRDefault="00FD031D" w:rsidP="002B59CE">
            <w:pPr>
              <w:pStyle w:val="RollCallTable"/>
            </w:pPr>
            <w:r w:rsidRPr="0001456D">
              <w:t>Joachim Stanisław Brudziński, Jorge Buxadé Villalba, Patryk Jaki, Assita Kanko, Margarita de la Pisa Carrión, Jadwiga Wiśniewska</w:t>
            </w:r>
          </w:p>
        </w:tc>
      </w:tr>
      <w:tr w:rsidR="00FF61D0" w:rsidRPr="0001456D" w:rsidTr="001E3613">
        <w:trPr>
          <w:cantSplit/>
        </w:trPr>
        <w:tc>
          <w:tcPr>
            <w:tcW w:w="1701" w:type="dxa"/>
            <w:shd w:val="clear" w:color="auto" w:fill="FFFFFF"/>
          </w:tcPr>
          <w:p w:rsidR="001E3613" w:rsidRPr="0001456D" w:rsidRDefault="00FD031D" w:rsidP="002B59CE">
            <w:pPr>
              <w:pStyle w:val="RollCallTable"/>
            </w:pPr>
            <w:r w:rsidRPr="0001456D">
              <w:t>NI</w:t>
            </w:r>
          </w:p>
        </w:tc>
        <w:tc>
          <w:tcPr>
            <w:tcW w:w="7371" w:type="dxa"/>
            <w:shd w:val="clear" w:color="auto" w:fill="FFFFFF"/>
          </w:tcPr>
          <w:p w:rsidR="001E3613" w:rsidRPr="0001456D" w:rsidRDefault="00FD031D" w:rsidP="002B59CE">
            <w:pPr>
              <w:pStyle w:val="RollCallTable"/>
            </w:pPr>
            <w:r w:rsidRPr="0001456D">
              <w:t>Milan Uhrík</w:t>
            </w:r>
          </w:p>
        </w:tc>
      </w:tr>
    </w:tbl>
    <w:p w:rsidR="001E3613" w:rsidRPr="0001456D"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61D0" w:rsidRPr="0001456D" w:rsidTr="001E3613">
        <w:trPr>
          <w:cantSplit/>
        </w:trPr>
        <w:tc>
          <w:tcPr>
            <w:tcW w:w="1701" w:type="dxa"/>
            <w:shd w:val="pct10" w:color="000000" w:fill="FFFFFF"/>
            <w:vAlign w:val="center"/>
          </w:tcPr>
          <w:p w:rsidR="001E3613" w:rsidRPr="0001456D" w:rsidRDefault="00FD031D" w:rsidP="002B59CE">
            <w:pPr>
              <w:pStyle w:val="RollCallVotes"/>
            </w:pPr>
            <w:r w:rsidRPr="0001456D">
              <w:t>15</w:t>
            </w:r>
          </w:p>
        </w:tc>
        <w:tc>
          <w:tcPr>
            <w:tcW w:w="7371" w:type="dxa"/>
            <w:shd w:val="pct10" w:color="000000" w:fill="FFFFFF"/>
          </w:tcPr>
          <w:p w:rsidR="001E3613" w:rsidRPr="0001456D" w:rsidRDefault="00FD031D" w:rsidP="002B59CE">
            <w:pPr>
              <w:pStyle w:val="RollCallSymbols14pt"/>
            </w:pPr>
            <w:r w:rsidRPr="0001456D">
              <w:t>-</w:t>
            </w:r>
          </w:p>
        </w:tc>
      </w:tr>
      <w:tr w:rsidR="00FF61D0" w:rsidRPr="00FD031D" w:rsidTr="001E3613">
        <w:trPr>
          <w:cantSplit/>
        </w:trPr>
        <w:tc>
          <w:tcPr>
            <w:tcW w:w="1701" w:type="dxa"/>
            <w:shd w:val="clear" w:color="auto" w:fill="FFFFFF"/>
          </w:tcPr>
          <w:p w:rsidR="001E3613" w:rsidRPr="0001456D" w:rsidRDefault="00FD031D" w:rsidP="002B59CE">
            <w:pPr>
              <w:pStyle w:val="RollCallTable"/>
            </w:pPr>
            <w:r w:rsidRPr="0001456D">
              <w:t>S&amp;D</w:t>
            </w:r>
          </w:p>
        </w:tc>
        <w:tc>
          <w:tcPr>
            <w:tcW w:w="7371" w:type="dxa"/>
            <w:shd w:val="clear" w:color="auto" w:fill="FFFFFF"/>
          </w:tcPr>
          <w:p w:rsidR="001E3613" w:rsidRPr="00FD031D" w:rsidRDefault="00FD031D" w:rsidP="002B59CE">
            <w:pPr>
              <w:pStyle w:val="RollCallTable"/>
              <w:rPr>
                <w:lang w:val="it-IT"/>
              </w:rPr>
            </w:pPr>
            <w:r w:rsidRPr="00FD031D">
              <w:rPr>
                <w:lang w:val="it-IT"/>
              </w:rPr>
              <w:t xml:space="preserve">Pietro Bartolo, Sylvie Guillaume, Theresa </w:t>
            </w:r>
            <w:r w:rsidRPr="00FD031D">
              <w:rPr>
                <w:lang w:val="it-IT"/>
              </w:rPr>
              <w:t>Muigg</w:t>
            </w:r>
          </w:p>
        </w:tc>
      </w:tr>
      <w:tr w:rsidR="00FF61D0" w:rsidRPr="0001456D" w:rsidTr="002B59CE">
        <w:trPr>
          <w:cantSplit/>
        </w:trPr>
        <w:tc>
          <w:tcPr>
            <w:tcW w:w="1701" w:type="dxa"/>
            <w:shd w:val="clear" w:color="auto" w:fill="FFFFFF"/>
          </w:tcPr>
          <w:p w:rsidR="001E3613" w:rsidRPr="0001456D" w:rsidRDefault="00FD031D" w:rsidP="002B59CE">
            <w:pPr>
              <w:pStyle w:val="RollCallTable"/>
            </w:pPr>
            <w:r w:rsidRPr="0001456D">
              <w:t>VERTS/ALE</w:t>
            </w:r>
          </w:p>
        </w:tc>
        <w:tc>
          <w:tcPr>
            <w:tcW w:w="7371" w:type="dxa"/>
            <w:shd w:val="clear" w:color="auto" w:fill="FFFFFF"/>
          </w:tcPr>
          <w:p w:rsidR="001E3613" w:rsidRPr="0001456D" w:rsidRDefault="00FD031D" w:rsidP="002B59CE">
            <w:pPr>
              <w:pStyle w:val="RollCallTable"/>
            </w:pPr>
            <w:r w:rsidRPr="0001456D">
              <w:t>Saskia Bricmont, Damien Carême, Gwendoline Delbos-Corfield, Alice Kuhnke, Ana Miranda, Diana Riba i Giner, Tineke Strik</w:t>
            </w:r>
          </w:p>
        </w:tc>
      </w:tr>
      <w:tr w:rsidR="00FF61D0" w:rsidRPr="00FD031D" w:rsidTr="002B59CE">
        <w:trPr>
          <w:cantSplit/>
        </w:trPr>
        <w:tc>
          <w:tcPr>
            <w:tcW w:w="1701" w:type="dxa"/>
            <w:shd w:val="clear" w:color="auto" w:fill="FFFFFF"/>
          </w:tcPr>
          <w:p w:rsidR="001E3613" w:rsidRPr="0001456D" w:rsidRDefault="00FD031D" w:rsidP="002B59CE">
            <w:pPr>
              <w:pStyle w:val="RollCallTable"/>
            </w:pPr>
            <w:r w:rsidRPr="0001456D">
              <w:t>THE LEFT</w:t>
            </w:r>
          </w:p>
        </w:tc>
        <w:tc>
          <w:tcPr>
            <w:tcW w:w="7371" w:type="dxa"/>
            <w:shd w:val="clear" w:color="auto" w:fill="FFFFFF"/>
          </w:tcPr>
          <w:p w:rsidR="001E3613" w:rsidRPr="00FD031D" w:rsidRDefault="00FD031D" w:rsidP="002B59CE">
            <w:pPr>
              <w:pStyle w:val="RollCallTable"/>
              <w:rPr>
                <w:lang w:val="pt-PT"/>
              </w:rPr>
            </w:pPr>
            <w:r w:rsidRPr="00FD031D">
              <w:rPr>
                <w:lang w:val="pt-PT"/>
              </w:rPr>
              <w:t>Malin Björk, Cornelia Ernst, Sira Rego, Miguel Urbán Crespo</w:t>
            </w:r>
          </w:p>
        </w:tc>
      </w:tr>
      <w:tr w:rsidR="00FF61D0" w:rsidRPr="0001456D" w:rsidTr="001E3613">
        <w:trPr>
          <w:cantSplit/>
        </w:trPr>
        <w:tc>
          <w:tcPr>
            <w:tcW w:w="1701" w:type="dxa"/>
            <w:shd w:val="clear" w:color="auto" w:fill="FFFFFF"/>
          </w:tcPr>
          <w:p w:rsidR="001E3613" w:rsidRPr="0001456D" w:rsidRDefault="00FD031D" w:rsidP="002B59CE">
            <w:pPr>
              <w:pStyle w:val="RollCallTable"/>
            </w:pPr>
            <w:r w:rsidRPr="0001456D">
              <w:t>NI</w:t>
            </w:r>
          </w:p>
        </w:tc>
        <w:tc>
          <w:tcPr>
            <w:tcW w:w="7371" w:type="dxa"/>
            <w:shd w:val="clear" w:color="auto" w:fill="FFFFFF"/>
          </w:tcPr>
          <w:p w:rsidR="001E3613" w:rsidRPr="0001456D" w:rsidRDefault="00FD031D" w:rsidP="002B59CE">
            <w:pPr>
              <w:pStyle w:val="RollCallTable"/>
            </w:pPr>
            <w:r w:rsidRPr="0001456D">
              <w:t>Laura Ferrara</w:t>
            </w:r>
          </w:p>
        </w:tc>
      </w:tr>
    </w:tbl>
    <w:p w:rsidR="001E3613" w:rsidRPr="0001456D"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61D0" w:rsidRPr="0001456D" w:rsidTr="002B59CE">
        <w:trPr>
          <w:cantSplit/>
        </w:trPr>
        <w:tc>
          <w:tcPr>
            <w:tcW w:w="1701" w:type="dxa"/>
            <w:shd w:val="pct10" w:color="000000" w:fill="FFFFFF"/>
            <w:vAlign w:val="center"/>
          </w:tcPr>
          <w:p w:rsidR="001E3613" w:rsidRPr="0001456D" w:rsidRDefault="00FD031D" w:rsidP="002B59CE">
            <w:pPr>
              <w:pStyle w:val="RollCallVotes"/>
            </w:pPr>
            <w:r w:rsidRPr="0001456D">
              <w:t>7</w:t>
            </w:r>
          </w:p>
        </w:tc>
        <w:tc>
          <w:tcPr>
            <w:tcW w:w="7371" w:type="dxa"/>
            <w:shd w:val="pct10" w:color="000000" w:fill="FFFFFF"/>
          </w:tcPr>
          <w:p w:rsidR="001E3613" w:rsidRPr="0001456D" w:rsidRDefault="00FD031D" w:rsidP="002B59CE">
            <w:pPr>
              <w:pStyle w:val="RollCallSymbols14pt"/>
            </w:pPr>
            <w:r w:rsidRPr="0001456D">
              <w:t>0</w:t>
            </w:r>
          </w:p>
        </w:tc>
      </w:tr>
      <w:tr w:rsidR="00FF61D0" w:rsidRPr="0001456D" w:rsidTr="002B59CE">
        <w:trPr>
          <w:cantSplit/>
        </w:trPr>
        <w:tc>
          <w:tcPr>
            <w:tcW w:w="1701" w:type="dxa"/>
            <w:shd w:val="clear" w:color="auto" w:fill="FFFFFF"/>
          </w:tcPr>
          <w:p w:rsidR="001E3613" w:rsidRPr="0001456D" w:rsidRDefault="00FD031D" w:rsidP="002B59CE">
            <w:pPr>
              <w:pStyle w:val="RollCallTable"/>
            </w:pPr>
            <w:r w:rsidRPr="0001456D">
              <w:t>S&amp;D</w:t>
            </w:r>
          </w:p>
        </w:tc>
        <w:tc>
          <w:tcPr>
            <w:tcW w:w="7371" w:type="dxa"/>
            <w:shd w:val="clear" w:color="auto" w:fill="FFFFFF"/>
          </w:tcPr>
          <w:p w:rsidR="001E3613" w:rsidRPr="0001456D" w:rsidRDefault="00FD031D" w:rsidP="002B59CE">
            <w:pPr>
              <w:pStyle w:val="RollCallTable"/>
            </w:pPr>
            <w:r w:rsidRPr="0001456D">
              <w:t xml:space="preserve">Katarina Barley, </w:t>
            </w:r>
            <w:r w:rsidRPr="0001456D">
              <w:t>Delara Burkhardt, Evin Incir, Dietmar Köster, Domènec Ruiz Devesa, Isabel Santos, Birgit Sippel</w:t>
            </w:r>
          </w:p>
        </w:tc>
      </w:tr>
    </w:tbl>
    <w:p w:rsidR="001E3613" w:rsidRPr="0001456D" w:rsidRDefault="001E3613" w:rsidP="001E3613">
      <w:pPr>
        <w:pStyle w:val="Normal12a"/>
      </w:pPr>
    </w:p>
    <w:p w:rsidR="001E3613" w:rsidRPr="0001456D" w:rsidRDefault="00FD031D" w:rsidP="001E3613">
      <w:r w:rsidRPr="0001456D">
        <w:t>Objaśnienie używanych znaków:</w:t>
      </w:r>
    </w:p>
    <w:p w:rsidR="001E3613" w:rsidRPr="0001456D" w:rsidRDefault="00FD031D" w:rsidP="001E3613">
      <w:pPr>
        <w:pStyle w:val="RollCallTabs"/>
      </w:pPr>
      <w:r w:rsidRPr="0001456D">
        <w:t>+</w:t>
      </w:r>
      <w:r w:rsidRPr="0001456D">
        <w:tab/>
        <w:t>:</w:t>
      </w:r>
      <w:r w:rsidRPr="0001456D">
        <w:tab/>
        <w:t>za</w:t>
      </w:r>
    </w:p>
    <w:p w:rsidR="001E3613" w:rsidRPr="0001456D" w:rsidRDefault="00FD031D" w:rsidP="001E3613">
      <w:pPr>
        <w:pStyle w:val="RollCallTabs"/>
      </w:pPr>
      <w:r w:rsidRPr="0001456D">
        <w:t>-</w:t>
      </w:r>
      <w:r w:rsidRPr="0001456D">
        <w:tab/>
        <w:t>:</w:t>
      </w:r>
      <w:r w:rsidRPr="0001456D">
        <w:tab/>
        <w:t>przeciw</w:t>
      </w:r>
    </w:p>
    <w:p w:rsidR="001E3613" w:rsidRPr="0001456D" w:rsidRDefault="00FD031D" w:rsidP="001E3613">
      <w:pPr>
        <w:pStyle w:val="RollCallTabs"/>
      </w:pPr>
      <w:r w:rsidRPr="0001456D">
        <w:t>0</w:t>
      </w:r>
      <w:r w:rsidRPr="0001456D">
        <w:tab/>
        <w:t>:</w:t>
      </w:r>
      <w:r w:rsidRPr="0001456D">
        <w:tab/>
        <w:t>wstrzymało się</w:t>
      </w:r>
    </w:p>
    <w:p w:rsidR="001E3613" w:rsidRPr="0001456D" w:rsidRDefault="001E3613" w:rsidP="001E3613"/>
    <w:bookmarkEnd w:id="3"/>
    <w:p w:rsidR="008363E4" w:rsidRPr="0001456D" w:rsidRDefault="008363E4" w:rsidP="00FA192C"/>
    <w:sectPr w:rsidR="008363E4" w:rsidRPr="0001456D"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1456D" w:rsidRDefault="00FD031D">
      <w:r w:rsidRPr="0001456D">
        <w:separator/>
      </w:r>
    </w:p>
  </w:endnote>
  <w:endnote w:type="continuationSeparator" w:id="0">
    <w:p w:rsidR="00000000" w:rsidRPr="0001456D" w:rsidRDefault="00FD031D">
      <w:r w:rsidRPr="00014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56D" w:rsidRPr="0001456D" w:rsidRDefault="0001456D" w:rsidP="0001456D">
    <w:pPr>
      <w:pStyle w:val="EPFooter"/>
    </w:pPr>
    <w:r w:rsidRPr="0001456D">
      <w:t>PE</w:t>
    </w:r>
    <w:r w:rsidRPr="0001456D">
      <w:rPr>
        <w:rStyle w:val="HideTWBExt"/>
      </w:rPr>
      <w:t>&lt;NoPE&gt;</w:t>
    </w:r>
    <w:r w:rsidRPr="0001456D">
      <w:t>739.726</w:t>
    </w:r>
    <w:r w:rsidRPr="0001456D">
      <w:rPr>
        <w:rStyle w:val="HideTWBExt"/>
      </w:rPr>
      <w:t>&lt;/NoPE&gt;&lt;Version&gt;</w:t>
    </w:r>
    <w:r w:rsidRPr="0001456D">
      <w:t>v03-00</w:t>
    </w:r>
    <w:r w:rsidRPr="0001456D">
      <w:rPr>
        <w:rStyle w:val="HideTWBExt"/>
      </w:rPr>
      <w:t>&lt;/Version&gt;</w:t>
    </w:r>
    <w:r w:rsidRPr="0001456D">
      <w:tab/>
    </w:r>
    <w:r w:rsidRPr="0001456D">
      <w:fldChar w:fldCharType="begin"/>
    </w:r>
    <w:r w:rsidRPr="0001456D">
      <w:instrText xml:space="preserve"> PAGE  \* MERGEFORMAT </w:instrText>
    </w:r>
    <w:r w:rsidRPr="0001456D">
      <w:fldChar w:fldCharType="separate"/>
    </w:r>
    <w:r w:rsidR="00FD031D">
      <w:rPr>
        <w:noProof/>
      </w:rPr>
      <w:t>54</w:t>
    </w:r>
    <w:r w:rsidRPr="0001456D">
      <w:fldChar w:fldCharType="end"/>
    </w:r>
    <w:r w:rsidRPr="0001456D">
      <w:t>/</w:t>
    </w:r>
    <w:fldSimple w:instr=" NUMPAGES  \* MERGEFORMAT ">
      <w:r w:rsidR="00FD031D">
        <w:rPr>
          <w:noProof/>
        </w:rPr>
        <w:t>56</w:t>
      </w:r>
    </w:fldSimple>
    <w:r w:rsidRPr="0001456D">
      <w:tab/>
    </w:r>
    <w:r w:rsidRPr="0001456D">
      <w:rPr>
        <w:rStyle w:val="HideTWBExt"/>
      </w:rPr>
      <w:t>&lt;PathFdR&gt;</w:t>
    </w:r>
    <w:r w:rsidRPr="0001456D">
      <w:t>AM\1272524PL.docx</w:t>
    </w:r>
    <w:r w:rsidRPr="0001456D">
      <w:rPr>
        <w:rStyle w:val="HideTWBExt"/>
      </w:rPr>
      <w:t>&lt;/PathFdR&gt;</w:t>
    </w:r>
  </w:p>
  <w:p w:rsidR="00777B46" w:rsidRPr="0001456D" w:rsidRDefault="0001456D" w:rsidP="0001456D">
    <w:pPr>
      <w:pStyle w:val="EPFooter2"/>
    </w:pPr>
    <w:r w:rsidRPr="0001456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56D" w:rsidRPr="0001456D" w:rsidRDefault="0001456D" w:rsidP="0001456D">
    <w:pPr>
      <w:pStyle w:val="EPFooter"/>
    </w:pPr>
    <w:r w:rsidRPr="0001456D">
      <w:rPr>
        <w:rStyle w:val="HideTWBExt"/>
      </w:rPr>
      <w:t>&lt;PathFdR&gt;</w:t>
    </w:r>
    <w:r w:rsidRPr="0001456D">
      <w:t>AM\1272524PL.docx</w:t>
    </w:r>
    <w:r w:rsidRPr="0001456D">
      <w:rPr>
        <w:rStyle w:val="HideTWBExt"/>
      </w:rPr>
      <w:t>&lt;/PathFdR&gt;</w:t>
    </w:r>
    <w:r w:rsidRPr="0001456D">
      <w:tab/>
    </w:r>
    <w:r w:rsidRPr="0001456D">
      <w:fldChar w:fldCharType="begin"/>
    </w:r>
    <w:r w:rsidRPr="0001456D">
      <w:instrText xml:space="preserve"> PAGE  \* MERGEFORMAT </w:instrText>
    </w:r>
    <w:r w:rsidRPr="0001456D">
      <w:fldChar w:fldCharType="separate"/>
    </w:r>
    <w:r w:rsidR="00FD031D">
      <w:rPr>
        <w:noProof/>
      </w:rPr>
      <w:t>53</w:t>
    </w:r>
    <w:r w:rsidRPr="0001456D">
      <w:fldChar w:fldCharType="end"/>
    </w:r>
    <w:r w:rsidRPr="0001456D">
      <w:t>/</w:t>
    </w:r>
    <w:fldSimple w:instr=" NUMPAGES  \* MERGEFORMAT ">
      <w:r w:rsidR="00FD031D">
        <w:rPr>
          <w:noProof/>
        </w:rPr>
        <w:t>56</w:t>
      </w:r>
    </w:fldSimple>
    <w:r w:rsidRPr="0001456D">
      <w:tab/>
      <w:t>PE</w:t>
    </w:r>
    <w:r w:rsidRPr="0001456D">
      <w:rPr>
        <w:rStyle w:val="HideTWBExt"/>
      </w:rPr>
      <w:t>&lt;NoPE&gt;</w:t>
    </w:r>
    <w:r w:rsidRPr="0001456D">
      <w:t>739.726</w:t>
    </w:r>
    <w:r w:rsidRPr="0001456D">
      <w:rPr>
        <w:rStyle w:val="HideTWBExt"/>
      </w:rPr>
      <w:t>&lt;/NoPE&gt;&lt;Version&gt;</w:t>
    </w:r>
    <w:r w:rsidRPr="0001456D">
      <w:t>v03-00</w:t>
    </w:r>
    <w:r w:rsidRPr="0001456D">
      <w:rPr>
        <w:rStyle w:val="HideTWBExt"/>
      </w:rPr>
      <w:t>&lt;/Version&gt;</w:t>
    </w:r>
  </w:p>
  <w:p w:rsidR="00777B46" w:rsidRPr="0001456D" w:rsidRDefault="0001456D" w:rsidP="0001456D">
    <w:pPr>
      <w:pStyle w:val="EPFooter2"/>
    </w:pPr>
    <w:r w:rsidRPr="0001456D">
      <w:tab/>
    </w:r>
    <w:r w:rsidRPr="0001456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56D" w:rsidRPr="0001456D" w:rsidRDefault="0001456D" w:rsidP="0001456D">
    <w:pPr>
      <w:pStyle w:val="EPFooter"/>
    </w:pPr>
    <w:r w:rsidRPr="0001456D">
      <w:rPr>
        <w:rStyle w:val="HideTWBExt"/>
      </w:rPr>
      <w:t>&lt;PathFdR&gt;</w:t>
    </w:r>
    <w:r w:rsidRPr="0001456D">
      <w:t>AM\1272524PL.docx</w:t>
    </w:r>
    <w:r w:rsidRPr="0001456D">
      <w:rPr>
        <w:rStyle w:val="HideTWBExt"/>
      </w:rPr>
      <w:t>&lt;/PathFdR&gt;</w:t>
    </w:r>
    <w:r w:rsidRPr="0001456D">
      <w:tab/>
    </w:r>
    <w:r w:rsidRPr="0001456D">
      <w:tab/>
      <w:t>PE</w:t>
    </w:r>
    <w:r w:rsidRPr="0001456D">
      <w:rPr>
        <w:rStyle w:val="HideTWBExt"/>
      </w:rPr>
      <w:t>&lt;NoPE&gt;</w:t>
    </w:r>
    <w:r w:rsidRPr="0001456D">
      <w:t>739.726</w:t>
    </w:r>
    <w:r w:rsidRPr="0001456D">
      <w:rPr>
        <w:rStyle w:val="HideTWBExt"/>
      </w:rPr>
      <w:t>&lt;/NoPE&gt;&lt;Version&gt;</w:t>
    </w:r>
    <w:r w:rsidRPr="0001456D">
      <w:t>v03-00</w:t>
    </w:r>
    <w:r w:rsidRPr="0001456D">
      <w:rPr>
        <w:rStyle w:val="HideTWBExt"/>
      </w:rPr>
      <w:t>&lt;/Version&gt;</w:t>
    </w:r>
  </w:p>
  <w:p w:rsidR="00777B46" w:rsidRPr="0001456D" w:rsidRDefault="0001456D" w:rsidP="0001456D">
    <w:pPr>
      <w:pStyle w:val="EPFooter2"/>
    </w:pPr>
    <w:r w:rsidRPr="0001456D">
      <w:t>PL</w:t>
    </w:r>
    <w:r w:rsidRPr="0001456D">
      <w:tab/>
    </w:r>
    <w:r w:rsidRPr="0001456D">
      <w:rPr>
        <w:b w:val="0"/>
        <w:i/>
        <w:color w:val="C0C0C0"/>
        <w:sz w:val="22"/>
      </w:rPr>
      <w:t>Zjednoczona w różnorodności</w:t>
    </w:r>
    <w:r w:rsidRPr="0001456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1456D" w:rsidRDefault="00FD031D">
      <w:r w:rsidRPr="0001456D">
        <w:separator/>
      </w:r>
    </w:p>
  </w:footnote>
  <w:footnote w:type="continuationSeparator" w:id="0">
    <w:p w:rsidR="00000000" w:rsidRPr="0001456D" w:rsidRDefault="00FD031D">
      <w:r w:rsidRPr="000145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1D" w:rsidRDefault="00FD0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1D" w:rsidRDefault="00FD0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1D" w:rsidRDefault="00FD0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1456D"/>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31D"/>
    <w:rsid w:val="00FD05BD"/>
    <w:rsid w:val="00FD3EAC"/>
    <w:rsid w:val="00FD675F"/>
    <w:rsid w:val="00FE03B4"/>
    <w:rsid w:val="00FF5E22"/>
    <w:rsid w:val="00FF61D0"/>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pl-PL"/>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A6A6C-C5BD-4A4E-96FC-A52E1D5E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11518</Words>
  <Characters>71862</Characters>
  <Application>Microsoft Office Word</Application>
  <DocSecurity>0</DocSecurity>
  <Lines>2983</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2023-02-20T10:02:00Z</dcterms:created>
  <dcterms:modified xsi:type="dcterms:W3CDTF">2023-02-20T10:02:00Z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AM\1272524PL.docx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- 2023/02/20 11:01</vt:lpwstr>
  </property>
</Properties>
</file>