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Европейски парламент</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Владимир Билчик</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Информационна сигурност в институциите, органите, службите и агенциите на Съюза</w:t>
      </w:r>
      <w:r>
        <w:rPr>
          <w:rStyle w:val="HideTWBExt"/>
        </w:rPr>
        <w:t>&lt;/Titre&gt;</w:t>
      </w:r>
    </w:p>
    <w:p>
      <w:pPr>
        <w:pStyle w:val="CoverNormal"/>
      </w:pPr>
      <w:r>
        <w:rPr>
          <w:rStyle w:val="HideTWBExt"/>
        </w:rPr>
        <w:t>&lt;DocAmend&gt;</w:t>
      </w:r>
      <w:r>
        <w:t>Предложение за регламент</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Позоваване 1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като взе предвид, че за ефективното упражняване на техния мандат в съответствие с Договорите членовете на Парламента имат достъп до всички видове информация въз основа на принципа „необходимост да се знае“;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Позоваване 1 б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като взе предвид спецификата на мандата на членовете на Парламента, избрани в държавите — членки на ЕС, и разделението на властите между изпълнителната и законодателната власт и в резултат на това членовете на ЕП се освобождават от процедура за проверка за надеждност от страна на националните органи по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Понастоящем институциите и органите на Съюза имат собствени правила за информационна сигурност, основани на техните правилници за дейността или на основополагащите им актове, или изобщо нямат такива правила. В този контекст всяка институция и орган на Съюза инвестира значителни усилия за приемането на различни подходи и в резултат на това обменът на информация не винаги е надежден. Липсата на общ подход възпрепятства внедряването на общи инструменти, които да се основават на съгласуван набор от правила в зависимост от нуждите за сигурност на информацията, която трябва да бъде защитена.</w:t>
            </w:r>
          </w:p>
        </w:tc>
        <w:tc>
          <w:tcPr>
            <w:tcW w:w="4876" w:type="dxa"/>
          </w:tcPr>
          <w:p>
            <w:pPr>
              <w:pStyle w:val="Normal6a"/>
            </w:pPr>
            <w:r>
              <w:t>(1)</w:t>
            </w:r>
            <w:r>
              <w:tab/>
            </w:r>
            <w:r>
              <w:t xml:space="preserve">Понастоящем институциите и органите на Съюза имат собствени правила за информационна сигурност, основани на техните правилници за дейността или на основополагащите им актове, или изобщо нямат такива правила. В този контекст всяка институция и орган на Съюза инвестира значителни усилия за приемането на различни подходи и в резултат на това обменът на информация не винаги е надежден </w:t>
            </w:r>
            <w:r>
              <w:rPr>
                <w:b/>
                <w:i/>
              </w:rPr>
              <w:t>или устойчив на пробиви</w:t>
            </w:r>
            <w:r>
              <w:t xml:space="preserve"> . Липсата на общ подход възпрепятства внедряването на общи инструменти, които да се основават на съгласуван набор от правила в зависимост от нуждите за сигурност на информацията, която трябва да бъде защитена</w:t>
            </w:r>
            <w:r>
              <w:rPr>
                <w:b/>
                <w:i/>
              </w:rPr>
              <w:t>, както и на оперативната съвместимост на тези инструменти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Като се има предвид, че институциите на Съюза са задължени да прилагат член 15, параграф 3 от ДФЕС в съответствие с демократичните принципи, по-специално принципите, посочени в член 10, параграф 3 от ДЕС и член 42 от Хартата на основните права на Европейския съюз („Хартата“), системата за класифицирана информация на Европейския съюз („КИЕС“) следва да се придържа към принципите на свеждане на класификацията на данните до минимум и на ограничаване във времето за всяка такава класификация.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Съществуват опасения във връзка с факта, че Комисията и Европейската служба за външна дейност (ЕСВД) въвеждат две паралелни инициативи за сътрудничество с частни дружества във връзка със заплахите за киберсигурността.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Нилс Ушаковс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Въпреки че е постигнат напредък за по-последователни правила за защита на класифицираната информация на ЕС („КИЕС“) и на некласифицираната информация, оперативната съвместимост на съответните системи остава ограничена и това възпрепятства безпроблемното предаване на информация между различните институции и органи на Съюза. Затова следва да се положат допълнителни усилия, за да се създаде възможност за междуинституционален подход към обмена на КИЕС и на чувствителна некласифицирана информация, с общи категории информация и общи основни принципи за боравенето с нея. Следва да бъдат предвидени и минимални стандарти, за да се опростят процедурите за споделяне на КИЕС и на чувствителна некласифицирана информация между институциите и органите на Съюза и с държавите членки.</w:t>
            </w:r>
          </w:p>
        </w:tc>
        <w:tc>
          <w:tcPr>
            <w:tcW w:w="4876" w:type="dxa"/>
          </w:tcPr>
          <w:p>
            <w:pPr>
              <w:pStyle w:val="Normal6a"/>
            </w:pPr>
            <w:r>
              <w:t>(2)</w:t>
            </w:r>
            <w:r>
              <w:tab/>
            </w:r>
            <w:r>
              <w:t xml:space="preserve">Въпреки че е постигнат напредък за по-последователни правила за защита на класифицираната информация на ЕС („КИЕС“) и на некласифицираната информация, оперативната съвместимост на съответните системи остава ограничена и това възпрепятства безпроблемното предаване на информация между различните институции и органи на Съюза. </w:t>
            </w:r>
            <w:r>
              <w:rPr>
                <w:b/>
                <w:i/>
              </w:rPr>
              <w:t>Междуинституционалното сътрудничество и доверие са от ключово значение за осигуряването на ефикасна и ефективна защита за средата на Съюза, свързана с информационната сигурност.</w:t>
            </w:r>
            <w:r>
              <w:t xml:space="preserve"> Затова следва да се положат допълнителни усилия, за да се създаде възможност за междуинституционален подход</w:t>
            </w:r>
            <w:r>
              <w:rPr>
                <w:b/>
                <w:i/>
              </w:rPr>
              <w:t>, основан на засилени полезни взаимодействия,</w:t>
            </w:r>
            <w:r>
              <w:t xml:space="preserve"> към обмена на КИЕС и на чувствителна некласифицирана информация, с общи категории информация и общи основни принципи за боравенето с нея. Следва да бъдат предвидени и минимални стандарти, за да се опростят процедурите за споделяне на КИЕС и на чувствителна некласифицирана информация между институциите и органите на Съюза и с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Въпреки че е постигнат напредък за по-последователни правила за защита на класифицираната информация на ЕС („КИЕС“) и на некласифицираната информация, оперативната съвместимост на съответните системи остава ограничена и това възпрепятства безпроблемното предаване на информация между различните институции и органи на Съюза. Затова следва да се </w:t>
            </w:r>
            <w:r>
              <w:rPr>
                <w:b/>
                <w:i/>
              </w:rPr>
              <w:t>положат допълнителни усилия, за да се</w:t>
            </w:r>
            <w:r>
              <w:t xml:space="preserve"> създаде </w:t>
            </w:r>
            <w:r>
              <w:rPr>
                <w:b/>
                <w:i/>
              </w:rPr>
              <w:t>възможност за</w:t>
            </w:r>
            <w:r>
              <w:t xml:space="preserve"> междуинституционален подход към обмена на КИЕС и на чувствителна некласифицирана информация, с общи категории информация и общи основни принципи за боравенето с нея. Следва да бъдат </w:t>
            </w:r>
            <w:r>
              <w:rPr>
                <w:b/>
                <w:i/>
              </w:rPr>
              <w:t>предвидени и минимални стандарти, за да се опростят</w:t>
            </w:r>
            <w:r>
              <w:t xml:space="preserve"> процедурите за споделяне на КИЕС и на чувствителна некласифицирана информация между институциите и органите на Съюза и с държавите членки.</w:t>
            </w:r>
          </w:p>
        </w:tc>
        <w:tc>
          <w:tcPr>
            <w:tcW w:w="4876" w:type="dxa"/>
          </w:tcPr>
          <w:p>
            <w:pPr>
              <w:pStyle w:val="Normal6a"/>
            </w:pPr>
            <w:r>
              <w:t>(2)</w:t>
            </w:r>
            <w:r>
              <w:tab/>
            </w:r>
            <w:r>
              <w:t xml:space="preserve">Въпреки че е постигнат напредък за по-последователни правила за защита на класифицираната информация на ЕС („КИЕС“) и на некласифицираната информация, оперативната съвместимост на съответните системи остава ограничена и това възпрепятства безпроблемното предаване на информация между различните институции и органи на Съюза. Затова следва да се създаде междуинституционален подход към обмена на КИЕС и на чувствителна некласифицирана информация, с общи категории информация и общи основни принципи за боравенето с нея. Следва да бъдат </w:t>
            </w:r>
            <w:r>
              <w:rPr>
                <w:b/>
                <w:i/>
              </w:rPr>
              <w:t>опростени</w:t>
            </w:r>
            <w:r>
              <w:t xml:space="preserve"> процедурите за споделяне на КИЕС и на чувствителна некласифицирана информация между институциите и органите на Съюза и с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Поради това следва да се определят подходящи правила за гарантиране на общо равнище на информационна сигурност във всички институции и органи на Съюза. Правилата следва да съставляват цялостна и съгласувана обща рамка за защита на КИЕС и на некласифицираната информация и да осигуряват равностойност на основните принципи и минимални стандарти.</w:t>
            </w:r>
          </w:p>
        </w:tc>
        <w:tc>
          <w:tcPr>
            <w:tcW w:w="4876" w:type="dxa"/>
          </w:tcPr>
          <w:p>
            <w:pPr>
              <w:pStyle w:val="Normal6a"/>
            </w:pPr>
            <w:r>
              <w:t>(3)</w:t>
            </w:r>
            <w:r>
              <w:tab/>
            </w:r>
            <w:r>
              <w:t>Поради това следва да се определят подходящи правила за гарантиране на общо равнище на информационна сигурност във всички институции и органи на Съюза</w:t>
            </w:r>
            <w:r>
              <w:rPr>
                <w:b/>
                <w:i/>
              </w:rPr>
              <w:t>, особено като се има предвид, че заплахите за киберсигурността нарастват и много на брой национални органи са били атакувани</w:t>
            </w:r>
            <w:r>
              <w:t>. Правилата следва да съставляват цялостна и съгласувана обща рамка за защита на КИЕС и на некласифицираната информация и да осигуряват равностойност на основните принципи и минимални стандарти.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Поради това следва да се определят подходящи правила за гарантиране на общо равнище на информационна сигурност във всички институции и органи на Съюза. Правилата следва да съставляват цялостна и съгласувана обща рамка за защита на КИЕС и на некласифицираната информация и да осигуряват равностойност на основните принципи и минимални стандарти.</w:t>
            </w:r>
          </w:p>
        </w:tc>
        <w:tc>
          <w:tcPr>
            <w:tcW w:w="4876" w:type="dxa"/>
          </w:tcPr>
          <w:p>
            <w:pPr>
              <w:pStyle w:val="Normal6a"/>
            </w:pPr>
            <w:r>
              <w:t>(3)</w:t>
            </w:r>
            <w:r>
              <w:tab/>
            </w:r>
            <w:r>
              <w:t xml:space="preserve">Поради това следва да се определят подходящи правила за гарантиране на общо равнище на информационна сигурност във всички институции и органи на Съюза. Правилата следва да съставляват цялостна и съгласувана обща рамка за защита на КИЕС и на некласифицираната информация и да осигуряват равностойност на основните принципи и </w:t>
            </w:r>
            <w:r>
              <w:rPr>
                <w:b/>
                <w:i/>
              </w:rPr>
              <w:t>общите</w:t>
            </w:r>
            <w:r>
              <w:t xml:space="preserve"> минимални стандарти.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Настоящият регламент определя правилата, приложими за администрацията на всички институции и органи на Съюза, но не включва членовете на Комисията, представителите на държавите членки, действащи в рамките на Съвета, членовете на Европейския парламент, съдиите в съдилищата на Съюза или членовете на Европейската сметна палата, за които се прилагат техните вътрешни правила.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В член 15 от ДФЕС се предвижда, че институциите, органите, службите и агенциите на Съюза работят при възможно най-голямо зачитане на принципа на откритост и че всеки гражданин на Съюза имат право на достъп до документи.</w:t>
            </w:r>
            <w:r>
              <w:t xml:space="preserve"> </w:t>
            </w:r>
            <w:r>
              <w:rPr>
                <w:b/>
                <w:i/>
              </w:rPr>
              <w:t>Съответно всяка класификация на документите се извършва в контекста на тези общи принципи.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Като има предвид, че Договорите предоставят правомощия на различните институции на Съюза.</w:t>
            </w:r>
            <w:r>
              <w:t xml:space="preserve"> </w:t>
            </w:r>
            <w:r>
              <w:rPr>
                <w:b/>
                <w:i/>
              </w:rPr>
              <w:t>За да могат тези правомощия да бъдат упражнявани ефективно, членовете на ЕП следва да имат достъп по силата на своя мандат до цялата необходима информация въз основа на принципа „необходимост да се знае“.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Нилс Ушаковс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Членовете на институциите на Съюза следва да имат достъп по силата на своя мандат до цялата необходима информация въз основа на принципа „необходимост да се знае“, за да упражняват правомощията, предоставени им от Договорите.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Правителствата на ЕС следва да пазят своите чувствителни данни.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б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(3б)</w:t>
            </w:r>
            <w:r>
              <w:tab/>
            </w:r>
            <w:r>
              <w:rPr>
                <w:b/>
                <w:i/>
              </w:rPr>
              <w:t>За да се гарантира ефективността на настоящия регламент, би било целесъобразно да се прецени дали вътрешните правила, приложими за членовете на Комисията, представителите на държавите членки, действащи в рамките на Съвета, членовете на Европейския парламент, съдиите в съдилищата на Съюза или членовете на Европейската сметна палата, са в съответствие с общото минимално равнище на защита, установено с настоящия регламент, и да се направят необходимите изменения, ако това не е така.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б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(3б)</w:t>
            </w:r>
            <w:r>
              <w:tab/>
            </w:r>
            <w:r>
              <w:rPr>
                <w:b/>
                <w:i/>
              </w:rPr>
              <w:t>В контекста на информационната сигурност институциите и органите на Съюза следва да повишават организационната оперативна съвместимост и да предприемат съвместни действия, за да гарантират надлежната защита на мрежите, информационните системи, данните и на всички материални активи, използвани за улавянето, съхранението, обработването и предаването на информацията.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 в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(3в)</w:t>
            </w:r>
            <w:r>
              <w:tab/>
            </w:r>
            <w:r>
              <w:rPr>
                <w:b/>
                <w:i/>
              </w:rPr>
              <w:t>Достъпът до информация по сигурен начин и в контекста на взаимно доверие е от съществено значение, за да могат европейските съзаконодатели да упражняват своите функции и да не бъдат ограничавани при упражняването на демократичните си функции;</w:t>
            </w:r>
            <w:r>
              <w:t xml:space="preserve"> </w:t>
            </w:r>
            <w:r>
              <w:rPr>
                <w:b/>
                <w:i/>
              </w:rPr>
              <w:t>Членовете на Европейския парламент упражняват тази законодателна функция и поради това техният достъп до информация следва да се урежда от правила, сравними по отношение на изискванията с общите минимални стандарти, установени с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Неотдавнашната пандемия </w:t>
            </w:r>
            <w:r>
              <w:rPr>
                <w:b/>
                <w:i/>
              </w:rPr>
              <w:t>предизвика значителна промяна в</w:t>
            </w:r>
            <w:r>
              <w:t xml:space="preserve"> работните практики, като средствата за дистанционна комуникация се превръщат в правило. По тази причина много процедури, които бяха поне отчасти на хартиен носител, бързо бяха приспособени, за да се осигури възможност за електронна обработка и обмен на информация. Тези промени налагат промени в начина на боравене с информацията и в нейната защита. В настоящия регламент са взети предвид новите работни практики.</w:t>
            </w:r>
          </w:p>
        </w:tc>
        <w:tc>
          <w:tcPr>
            <w:tcW w:w="4876" w:type="dxa"/>
          </w:tcPr>
          <w:p>
            <w:pPr>
              <w:pStyle w:val="Normal6a"/>
            </w:pPr>
            <w:r>
              <w:t>(4)</w:t>
            </w:r>
            <w:r>
              <w:tab/>
            </w:r>
            <w:r>
              <w:t xml:space="preserve">Неотдавнашната пандемия </w:t>
            </w:r>
            <w:r>
              <w:rPr>
                <w:b/>
                <w:i/>
              </w:rPr>
              <w:t>ускори значителната трансформация, свързана с</w:t>
            </w:r>
            <w:r>
              <w:t xml:space="preserve"> работните практики, като средствата за дистанционна комуникация се превръщат в правило. По тази причина много процедури, които бяха поне отчасти на хартиен носител, бързо бяха приспособени, за да се осигури възможност за електронна обработка и обмен на информация. Тези промени налагат промени в начина на боравене с информацията и в нейната защита. В настоящия регламент са взети предвид новите работни практики.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С настоящия регламент се създава минимално общо равнище на защита на КИЕС и на некласифицираната информация, като по този начин се допринася за гарантиране, че при изпълнението на своите мисии институциите и органите на Съюза се подпомагат от ефективна и независима администрация. Същевременно всяка институция и орган на Съюза запазва самостоятелност при определянето как да прилага правилата, установени с настоящия регламент, в съответствие със собствените си нужди за сигурност. Настоящият регламент в никакъв случай не възпрепятства институциите и органите на Съюза да изпълняват своята мисия, възложена им от законодателството на ЕС, нито засяга тяхната институционална автономност.</w:t>
            </w:r>
          </w:p>
        </w:tc>
        <w:tc>
          <w:tcPr>
            <w:tcW w:w="4876" w:type="dxa"/>
          </w:tcPr>
          <w:p>
            <w:pPr>
              <w:pStyle w:val="Normal6a"/>
            </w:pPr>
            <w:r>
              <w:t>(5)</w:t>
            </w:r>
            <w:r>
              <w:tab/>
            </w:r>
            <w:r>
              <w:t xml:space="preserve">С настоящия регламент се създава минимално общо равнище на защита на КИЕС и на некласифицираната информация, като по този начин се допринася за гарантиране, че при изпълнението на своите мисии институциите и органите на Съюза се подпомагат от ефективна и независима администрация. Същевременно всяка институция и орган на Съюза запазва самостоятелност при определянето как да прилага правилата, установени с настоящия регламент, в съответствие със собствените си нужди за сигурност. Настоящият регламент в никакъв случай не възпрепятства институциите и органите на Съюза да изпълняват своята мисия, възложена им от законодателството на ЕС, нито засяга тяхната институционална автономност. </w:t>
            </w:r>
            <w:r>
              <w:rPr>
                <w:b/>
                <w:i/>
              </w:rPr>
              <w:t>Това минимално общо ниво на защита на КИЕС следва да гарантира справедлив баланс между прозрачността и използването на класификацията по начин, който възпрепятства органите на ЕС да изпълняват своята роля.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С настоящия регламент се създава минимално общо равнище на защита на КИЕС и на некласифицираната информация, като по този начин се допринася за гарантиране, че при изпълнението на своите мисии институциите и органите на Съюза се подпомагат от ефективна и независима администрация. Същевременно всяка институция и орган на Съюза запазва самостоятелност при определянето как да прилага правилата, установени с настоящия регламент, в съответствие със собствените си нужди за сигурност. Настоящият регламент в никакъв случай не възпрепятства институциите и органите на Съюза да изпълняват своята мисия, възложена им от законодателството на ЕС, нито засяга тяхната институционална автономност.</w:t>
            </w:r>
          </w:p>
        </w:tc>
        <w:tc>
          <w:tcPr>
            <w:tcW w:w="4876" w:type="dxa"/>
          </w:tcPr>
          <w:p>
            <w:pPr>
              <w:pStyle w:val="Normal6a"/>
            </w:pPr>
            <w:r>
              <w:t>(5)</w:t>
            </w:r>
            <w:r>
              <w:tab/>
            </w:r>
            <w:r>
              <w:t xml:space="preserve">С настоящия регламент се създава минимално общо равнище на защита на КИЕС и на некласифицираната информация, като по този начин се допринася за гарантиране, че при изпълнението на своите мисии институциите и органите на Съюза се подпомагат от ефективна и независима администрация. Същевременно всяка институция и орган на Съюза запазва самостоятелност при определянето как да прилага правилата, установени с настоящия регламент, в съответствие със собствените си нужди за сигурност. Настоящият регламент в никакъв случай не възпрепятства институциите и органите на Съюза да изпълняват своята мисия, възложена им от законодателството на ЕС, нито засяга тяхната институционална автономност. </w:t>
            </w:r>
            <w:r>
              <w:rPr>
                <w:b/>
                <w:i/>
              </w:rPr>
              <w:t>Следва да се обръща надлежно внимание и на това мерките да не засягат по отрицателен начин ефикасния обмен на информация и операциите на субектите на Съюза с други субекти на Съюза и с националните компетентни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Прозрачното и навременно споделяне на КИЕС е от първостепенно значение за правилното функциониране на институциите и органите на Съюза.</w:t>
            </w:r>
            <w:r>
              <w:t xml:space="preserve"> </w:t>
            </w:r>
            <w:r>
              <w:rPr>
                <w:b/>
                <w:i/>
              </w:rPr>
              <w:t>При прилагането на настоящия регламент институциите и органите на Съюза следва да се стремят да повишават прозрачността, да свеждат до минимум и да ограничават във времето използването на поверителни документи, да предоставят гаранции срещу използването на класификация по начин, който би попречил на субектите от Съюза да изпълняват своите функции, и които следва да гарантират, че лицата, подаващи сигнали за нередности, са адекватно защитени, както и че съществува високо равнище на защита на информацията в съответствие с правото на Съюза и с най-добрите практики.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Нилс Ушаковс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Настоящият регламент следва да гарантира, че всяко ограничаване на правото на защита на личните данни и неприкосновеността на личния живот е необходимо и пропорционално и зачита същината на това право в съответствие с член 52, параграф 1 от Хартата на основните права на Европейския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Нилс Ушаковс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 б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(5б)</w:t>
            </w:r>
            <w:r>
              <w:tab/>
            </w:r>
            <w:r>
              <w:rPr>
                <w:b/>
                <w:i/>
              </w:rPr>
              <w:t>Всички мерки за информационна сигурност, включващи обработването на лични данни, следва да са в съответствие със съответното право на Съюза в областта на защитата на данните и неприкосновеността на личния живот.</w:t>
            </w:r>
            <w:r>
              <w:t xml:space="preserve"> </w:t>
            </w:r>
            <w:r>
              <w:rPr>
                <w:b/>
                <w:i/>
              </w:rPr>
              <w:t>Институциите и органите на Съюза следва да предоставят съответните технически и организационни предпазни мерки, за да гарантират спазването им по подлежащ на отчетност, прозрачен и обоснован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(6а)</w:t>
            </w:r>
            <w:r>
              <w:tab/>
            </w:r>
            <w:r>
              <w:rPr>
                <w:b/>
                <w:i/>
              </w:rPr>
              <w:t xml:space="preserve">По-голямата част от информацията за киберзаплахите е свързана с използваните уязвимости, с други думи слабостите, които хакерите използват, за да получат неразрешен достъп. </w:t>
            </w:r>
            <w:r>
              <w:t xml:space="preserve"> </w:t>
            </w:r>
            <w:r>
              <w:rPr>
                <w:b/>
                <w:i/>
              </w:rPr>
              <w:t>Агенцията на Европейския съюз за киберсигурност (ENISA) може да не разполага с достатъчен капацитет, за да се справя с обема на докладите, получавани от производителите на продукти, относно такива уязвимости.</w:t>
            </w:r>
            <w:r>
              <w:t xml:space="preserve"> </w:t>
            </w:r>
            <w:r>
              <w:rPr>
                <w:b/>
                <w:i/>
              </w:rPr>
              <w:t>Държавите членки биха предпочели тези уведомления да се изпращат до националните екипи за реагиране при инциденти, свързани с компютърната сигурност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(7а)</w:t>
            </w:r>
            <w:r>
              <w:tab/>
            </w:r>
            <w:r>
              <w:rPr>
                <w:b/>
                <w:i/>
              </w:rPr>
              <w:t>За да се запази специфичният характер на задачите и дейностите на Европейската централна банка (ЕЦБ) като част от Европейската система на централните банки (ЕСЦБ) и единния надзорен механизъм (ЕНМ), които се изпълняват в сътрудничество с националните централни банки и националните компетентни органи, настоящият регламент не следва да се прилага за информацията от ЕСЦБ и ЕНМ.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За да се създаде формална структура за сътрудничество между институциите и органите на Съюза в областта на информационната сигурност, е необходимо да се сформира междуинституционална координационна група („координационната група“), в която са представени органите по сигурността на всички институции и органи на Съюза. Без да разполага с правомощия за вземане на решения, координационната група следва да подобри съгласуваността на политиките в областта на информационната сигурност и да допринесе за хармонизирането на процедурите и инструментите за информационна сигурност във всички институции и органи на Съюза.</w:t>
            </w:r>
          </w:p>
        </w:tc>
        <w:tc>
          <w:tcPr>
            <w:tcW w:w="4876" w:type="dxa"/>
          </w:tcPr>
          <w:p>
            <w:pPr>
              <w:pStyle w:val="Normal6a"/>
            </w:pPr>
            <w:r>
              <w:t>(8)</w:t>
            </w:r>
            <w:r>
              <w:tab/>
            </w:r>
            <w:r>
              <w:t xml:space="preserve">За да се създаде формална </w:t>
            </w:r>
            <w:r>
              <w:rPr>
                <w:b/>
                <w:i/>
              </w:rPr>
              <w:t>обща и единна</w:t>
            </w:r>
            <w:r>
              <w:t xml:space="preserve"> структура за сътрудничество между институциите и органите на Съюза в областта на информационната сигурност, е необходимо да се сформира междуинституционална координационна група („координационната група“), в която са представени органите по сигурността на всички институции и органи на Съюза. Без да разполага с правомощия за вземане на решения, координационната група следва да подобри съгласуваността на политиките в областта на информационната сигурност и да допринесе за хармонизирането на процедурите и инструментите за информационна сигурност във всички институции и органи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Нилс Ушаковс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За работата на координационната група е необходима подкрепата на експерти в различни области на информационната сигурност: категоризиране и обозначаване, комуникационни и информационни системи, акредитиране, физическа сигурност, споделяне на КИЕС и обмен на класифицирана информация. Следователно, за да се избегне дублиране на усилията в институциите и органите на Съюза, следва да бъдат създадени тематични подгрупи. Освен това координационната група следва да може да създава други подгрупи със специфични задачи, когато това е необходимо.</w:t>
            </w:r>
          </w:p>
        </w:tc>
        <w:tc>
          <w:tcPr>
            <w:tcW w:w="4876" w:type="dxa"/>
          </w:tcPr>
          <w:p>
            <w:pPr>
              <w:pStyle w:val="Normal6a"/>
            </w:pPr>
            <w:r>
              <w:t>(9)</w:t>
            </w:r>
            <w:r>
              <w:tab/>
            </w:r>
            <w:r>
              <w:t xml:space="preserve">За работата на координационната група е необходима подкрепата на експерти в различни области на информационната сигурност: категоризиране и обозначаване, комуникационни и информационни системи, акредитиране, физическа сигурност, споделяне на КИЕС и обмен на класифицирана информация. Следователно, за да </w:t>
            </w:r>
            <w:r>
              <w:rPr>
                <w:b/>
                <w:i/>
              </w:rPr>
              <w:t>бъде намалена административната тежест и за да</w:t>
            </w:r>
            <w:r>
              <w:t xml:space="preserve"> се избегне дублиране на усилията в институциите и органите на Съюза, следва да бъдат създадени тематични подгрупи. Освен това координационната група следва да може да създава други подгрупи със специфични задачи, когато това е необходимо.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Координационната група следва да си сътрудничи тясно с националните органи по сигурността на държавите членки за повишаване на информационната сигурност в Съюза. Затова следва да бъде създаден Комитет за информационна сигурност на държавите членки, който да съветва координационната група.</w:t>
            </w:r>
          </w:p>
        </w:tc>
        <w:tc>
          <w:tcPr>
            <w:tcW w:w="4876" w:type="dxa"/>
          </w:tcPr>
          <w:p>
            <w:pPr>
              <w:pStyle w:val="Normal6a"/>
            </w:pPr>
            <w:r>
              <w:t>(10)</w:t>
            </w:r>
            <w:r>
              <w:tab/>
            </w:r>
            <w:r>
              <w:t>Координационната група следва да си сътрудничи тясно с националните органи по сигурността на държавите членки за повишаване на информационната сигурност в Съюза. Затова следва да бъде създаден Комитет за информационна сигурност на държавите членки, който да съветва координационната група</w:t>
            </w:r>
            <w:r>
              <w:rPr>
                <w:b/>
                <w:i/>
              </w:rPr>
              <w:t>, при зачитане на прерогативите на държавите членки по отношение на поверителните данни, свързани със сигурността.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Координационната група следва да си сътрудничи тясно с </w:t>
            </w:r>
            <w:r>
              <w:rPr>
                <w:b/>
                <w:i/>
              </w:rPr>
              <w:t>националните органи по сигурността</w:t>
            </w:r>
            <w:r>
              <w:t xml:space="preserve"> на държавите членки за повишаване на информационната сигурност в Съюза. Затова следва да бъде създаден Комитет за информационна сигурност на държавите членки, който да съветва координационната група.</w:t>
            </w:r>
          </w:p>
        </w:tc>
        <w:tc>
          <w:tcPr>
            <w:tcW w:w="4876" w:type="dxa"/>
          </w:tcPr>
          <w:p>
            <w:pPr>
              <w:pStyle w:val="Normal6a"/>
            </w:pPr>
            <w:r>
              <w:t>(10)</w:t>
            </w:r>
            <w:r>
              <w:tab/>
            </w:r>
            <w:r>
              <w:t xml:space="preserve">Координационната група следва да си сътрудничи тясно с </w:t>
            </w:r>
            <w:r>
              <w:rPr>
                <w:b/>
                <w:i/>
              </w:rPr>
              <w:t>органа по класифицирането</w:t>
            </w:r>
            <w:r>
              <w:t xml:space="preserve"> на държавите членки за повишаване на информационната сигурност в Съюза. Затова следва да бъде създаден Комитет за информационна сигурност на държавите членки, който да съветва координационната група.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следва да се прилага хоризонтално.</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Принципът на управление на риска за сигурността на информацията следва да е в основата на политиката, която ще бъде разработена в тази област от всяка институция и орган на Съюза. Въпреки че определените в настоящия регламент минимални изисквания трябва да бъдат изпълнени, всяка институция и орган на Съюза следва да приеме специфични мерки за сигурност за защита на информацията в съответствие с резултатите от вътрешна оценка на риска. По същия начин техническите средства за защита на информацията следва да се адаптират към </w:t>
            </w:r>
            <w:r>
              <w:rPr>
                <w:b/>
                <w:i/>
              </w:rPr>
              <w:t>конкретната ситуация</w:t>
            </w:r>
            <w:r>
              <w:t xml:space="preserve"> на всяка институция и орган.</w:t>
            </w:r>
          </w:p>
        </w:tc>
        <w:tc>
          <w:tcPr>
            <w:tcW w:w="4876" w:type="dxa"/>
          </w:tcPr>
          <w:p>
            <w:pPr>
              <w:pStyle w:val="Normal6a"/>
            </w:pPr>
            <w:r>
              <w:t>(12)</w:t>
            </w:r>
            <w:r>
              <w:tab/>
            </w:r>
            <w:r>
              <w:t xml:space="preserve">Принципът на управление на риска за сигурността на информацията следва да е в основата на политиката, която ще бъде разработена в тази област от всяка институция и орган на Съюза. Въпреки че определените в настоящия регламент </w:t>
            </w:r>
            <w:r>
              <w:rPr>
                <w:b/>
                <w:i/>
              </w:rPr>
              <w:t>общи</w:t>
            </w:r>
            <w:r>
              <w:t xml:space="preserve"> минимални изисквания трябва да бъдат изпълнени, всяка институция и орган на Съюза следва да приеме специфични мерки за сигурност за защита на информацията в съответствие с резултатите от вътрешна оценка на риска. По същия начин техническите средства за защита на информацията следва да се адаптират към </w:t>
            </w:r>
            <w:r>
              <w:rPr>
                <w:b/>
                <w:i/>
              </w:rPr>
              <w:t>нуждите и характеристиките</w:t>
            </w:r>
            <w:r>
              <w:t xml:space="preserve"> на всяка институция и орган.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Поради разнообразието от категории некласифицирана информация, които институциите и органите на Съюза са разработили въз основа на собствените си правила за информационна сигурност, и за да се избегне забавяне на прилагането на настоящия регламент, институциите или органите на Съюза следва да могат да запазят своята система за обозначаване за вътрешни цели или при обмена на информация с колегите си от други институции и органи или от държави членки.</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С цел приспособяване към новите практики за работа от разстояние </w:t>
            </w:r>
            <w:r>
              <w:rPr>
                <w:b/>
                <w:i/>
              </w:rPr>
              <w:t>мрежите</w:t>
            </w:r>
            <w:r>
              <w:t xml:space="preserve">, използвани за свързване с услуги с отдалечен достъп на институцията или на органа на Съюза, следва да са защитени чрез </w:t>
            </w:r>
            <w:r>
              <w:rPr>
                <w:b/>
                <w:i/>
              </w:rPr>
              <w:t>подходящи</w:t>
            </w:r>
            <w:r>
              <w:t xml:space="preserve"> мерки за сигурност.</w:t>
            </w:r>
          </w:p>
        </w:tc>
        <w:tc>
          <w:tcPr>
            <w:tcW w:w="4876" w:type="dxa"/>
          </w:tcPr>
          <w:p>
            <w:pPr>
              <w:pStyle w:val="Normal6a"/>
            </w:pPr>
            <w:r>
              <w:t>(14)</w:t>
            </w:r>
            <w:r>
              <w:tab/>
            </w:r>
            <w:r>
              <w:t xml:space="preserve">С цел приспособяване към новите практики за работа от разстояние </w:t>
            </w:r>
            <w:r>
              <w:rPr>
                <w:b/>
                <w:i/>
              </w:rPr>
              <w:t>информационните мрежови системи, цифровата инфраструктура и крайните устройства (терминалите)</w:t>
            </w:r>
            <w:r>
              <w:t xml:space="preserve">, използвани за свързване с услуги с отдалечен достъп на институцията или на органа на Съюза, следва да са защитени чрез </w:t>
            </w:r>
            <w:r>
              <w:rPr>
                <w:b/>
                <w:i/>
              </w:rPr>
              <w:t>свръхмодерни</w:t>
            </w:r>
            <w:r>
              <w:t xml:space="preserve"> мерки за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С цел приспособяване към новите практики за работа от разстояние мрежите, използвани за свързване с услуги с отдалечен достъп на институцията или на органа на Съюза, следва да са защитени чрез подходящи мерки за сигурност.</w:t>
            </w:r>
          </w:p>
        </w:tc>
        <w:tc>
          <w:tcPr>
            <w:tcW w:w="4876" w:type="dxa"/>
          </w:tcPr>
          <w:p>
            <w:pPr>
              <w:pStyle w:val="Normal6a"/>
            </w:pPr>
            <w:r>
              <w:t>(14)</w:t>
            </w:r>
            <w:r>
              <w:tab/>
            </w:r>
            <w:r>
              <w:t xml:space="preserve">С цел приспособяване към новите практики за работа от разстояние мрежите, използвани за свързване с услуги с отдалечен достъп на институцията или на органа на Съюза, следва да са защитени чрез подходящи мерки за сигурност </w:t>
            </w:r>
            <w:r>
              <w:rPr>
                <w:b/>
                <w:i/>
              </w:rPr>
              <w:t>чрез инвестиране в мрежовата сигурност от край до край</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Тъй като институциите и органите на Съюза често използват подизпълнители и възлагат дейности на външни изпълнители, е важно да се въведат общи разпоредби по отношение на персонала на изпълнителите, който изпълнява задачи, свързани с информационната сигурност.</w:t>
            </w:r>
          </w:p>
        </w:tc>
        <w:tc>
          <w:tcPr>
            <w:tcW w:w="4876" w:type="dxa"/>
          </w:tcPr>
          <w:p>
            <w:pPr>
              <w:pStyle w:val="Normal6a"/>
            </w:pPr>
            <w:r>
              <w:t>(15)</w:t>
            </w:r>
            <w:r>
              <w:tab/>
            </w:r>
            <w:r>
              <w:t xml:space="preserve">Тъй като институциите и органите на Съюза често използват подизпълнители и възлагат дейности на външни изпълнители, е важно да се въведат общи разпоредби по отношение на персонала на изпълнителите, който изпълнява задачи, свързани с информационната сигурност. </w:t>
            </w:r>
            <w:r>
              <w:rPr>
                <w:b/>
                <w:i/>
              </w:rPr>
              <w:t>Тези разпоредби следва да включват, наред с другото, изискване в процедурите за възлагане на поръчки да се извърши щателна проверка, като се вземат предвид пълният обхват на веригата на доставки и икономическата и политическата среда, в която работят третите страни.</w:t>
            </w:r>
            <w:r>
              <w:t xml:space="preserve"> </w:t>
            </w:r>
            <w:r>
              <w:rPr>
                <w:b/>
                <w:i/>
              </w:rPr>
              <w:t>Когато отношенията с трети страни представляват риск за целостта на демократичните процеси в ЕС, те следва да бъдат прекратени без ненужно забавяне.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Аника Брюна, Жан-Пол Гаро</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Тъй като институциите и органите на Съюза често използват подизпълнители и възлагат дейности на външни изпълнители, е важно да се въведат общи разпоредби по отношение на персонала на изпълнителите, който изпълнява задачи, свързани с информационната сигурност.</w:t>
            </w:r>
          </w:p>
        </w:tc>
        <w:tc>
          <w:tcPr>
            <w:tcW w:w="4876" w:type="dxa"/>
          </w:tcPr>
          <w:p>
            <w:pPr>
              <w:pStyle w:val="Normal6a"/>
            </w:pPr>
            <w:r>
              <w:t>(15)</w:t>
            </w:r>
            <w:r>
              <w:tab/>
            </w:r>
            <w:r>
              <w:t>Тъй като институциите и органите на Съюза често използват подизпълнители и възлагат дейности на външни изпълнители, е важно да се въведат общи разпоредби по отношение на персонала на изпълнителите, който изпълнява задачи, свързани с информационната сигурност</w:t>
            </w:r>
            <w:r>
              <w:rPr>
                <w:b/>
                <w:i/>
              </w:rPr>
              <w:t>, както и да бъдат проверявани качеството и надеждността на външните изпълнители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Понастоящем съществените правила относно достъпа до КИЕС във вътрешните правила на различните институции и органи на Съюза са уеднаквени, но съществуват значителни различия по отношение на наименованията и изискваните процедури. </w:t>
            </w:r>
            <w:r>
              <w:rPr>
                <w:b/>
                <w:i/>
              </w:rPr>
              <w:t>Това обременява националните органи по сигурността на държавите членки, които трябва да се нагаждат към различни изисквания.</w:t>
            </w:r>
            <w:r>
              <w:t xml:space="preserve"> Следователно е необходимо да се предвидят общ речник и общи процедури в областта на персоналната сигурност, с което ще се опрости сътрудничеството с националните органи по сигурността на държавите членки и ще се ограничи рискът от компрометиране на КИЕС.</w:t>
            </w:r>
          </w:p>
        </w:tc>
        <w:tc>
          <w:tcPr>
            <w:tcW w:w="4876" w:type="dxa"/>
          </w:tcPr>
          <w:p>
            <w:pPr>
              <w:pStyle w:val="Normal6a"/>
            </w:pPr>
            <w:r>
              <w:t>(16)</w:t>
            </w:r>
            <w:r>
              <w:tab/>
            </w:r>
            <w:r>
              <w:t>Понастоящем съществените правила относно достъпа до КИЕС във вътрешните правила на различните институции и органи на Съюза са уеднаквени, но съществуват значителни различия по отношение на наименованията и изискваните процедури. Следователно е необходимо да се предвидят общ речник и общи процедури в областта на персоналната сигурност, с което ще се опрости сътрудничеството с националните органи по сигурността на държавите членки и ще се ограничи рискът от компрометиране на КИЕС.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Защитата на КИЕС се осигурява също чрез технически и организационни мерки, които се прилагат по отношение на помещенията, сградите, стаите, офисите или съоръженията на институциите и органите на Съюза, в които се борави с КИЕС или КИЕС се обсъжда или съхранява. В настоящия регламент се предвижда прилагане на процес на управление на информационната сигурност в областта на физическата сигурност, който ще позволи на институциите и органите на Съюза да изберат подходящите мерки за сигурност за своите обекти.</w:t>
            </w:r>
          </w:p>
        </w:tc>
        <w:tc>
          <w:tcPr>
            <w:tcW w:w="4876" w:type="dxa"/>
          </w:tcPr>
          <w:p>
            <w:pPr>
              <w:pStyle w:val="Normal6a"/>
            </w:pPr>
            <w:r>
              <w:t>(18)</w:t>
            </w:r>
            <w:r>
              <w:tab/>
            </w:r>
            <w:r>
              <w:t xml:space="preserve">Защитата на КИЕС се осигурява също чрез технически и организационни мерки, които се прилагат по отношение на помещенията, сградите, стаите, офисите или съоръженията на институциите и органите на Съюза, в които се борави с КИЕС или КИЕС се обсъжда или съхранява. В настоящия регламент се предвижда прилагане на процес на управление на информационната сигурност в областта на физическата сигурност, който ще позволи на институциите и органите на Съюза да изберат подходящите мерки за сигурност за своите обекти. </w:t>
            </w:r>
            <w:r>
              <w:rPr>
                <w:b/>
                <w:i/>
              </w:rPr>
              <w:t>Следва да се извърши задълбочена оценка на инфраструктурата за сигурност, включително на услугите, която да обхваща всички аспекти на оперативната верига и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Контролът на създателя е важен принцип при управлението на КИЕС, затова той трябва да бъде </w:t>
            </w:r>
            <w:r>
              <w:rPr>
                <w:b/>
                <w:i/>
              </w:rPr>
              <w:t>ясно формулиран и развит в настоящия регламент</w:t>
            </w:r>
            <w:r>
              <w:t>. Във връзка с това със създаването на КИЕС за създателя възниква отговорност</w:t>
            </w:r>
            <w:r>
              <w:rPr>
                <w:b/>
                <w:i/>
              </w:rPr>
              <w:t>, която следва да обхваща целия жизнен</w:t>
            </w:r>
            <w:r>
              <w:t xml:space="preserve"> цикъл на съответния документ с КИЕС.</w:t>
            </w:r>
          </w:p>
        </w:tc>
        <w:tc>
          <w:tcPr>
            <w:tcW w:w="4876" w:type="dxa"/>
          </w:tcPr>
          <w:p>
            <w:pPr>
              <w:pStyle w:val="Normal6a"/>
            </w:pPr>
            <w:r>
              <w:t>(20)</w:t>
            </w:r>
            <w:r>
              <w:tab/>
            </w:r>
            <w:r>
              <w:t xml:space="preserve">Контролът на създателя е важен принцип при управлението на КИЕС, затова той трябва да бъде </w:t>
            </w:r>
            <w:r>
              <w:rPr>
                <w:b/>
                <w:i/>
              </w:rPr>
              <w:t>вземан предвид</w:t>
            </w:r>
            <w:r>
              <w:t xml:space="preserve">. Във връзка с това със създаването на КИЕС за създателя възниква отговорност </w:t>
            </w:r>
            <w:r>
              <w:rPr>
                <w:b/>
                <w:i/>
              </w:rPr>
              <w:t>в началото на жизнения</w:t>
            </w:r>
            <w:r>
              <w:t xml:space="preserve"> цикъл на съответния документ с КИЕС.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По традиция институциите и органите на Съюза разработват своите комуникационни и информационни системи самостоятелно, като не обръщат достатъчно внимание на тяхната оперативна съвместимост с всички институции и органи на Съюза. По тази причина е необходимо да се постановят минимални изисквания за сигурност относно комуникационните и информационните системи (КИС), които боравят със </w:t>
            </w:r>
            <w:r>
              <w:rPr>
                <w:b/>
                <w:i/>
              </w:rPr>
              <w:t>и съхраняват</w:t>
            </w:r>
            <w:r>
              <w:t xml:space="preserve"> както КИЕС, така и некласифицирана информация, за да се гарантира безпрепятствен обмен на информация със съответните заинтересовани страни.</w:t>
            </w:r>
          </w:p>
        </w:tc>
        <w:tc>
          <w:tcPr>
            <w:tcW w:w="4876" w:type="dxa"/>
          </w:tcPr>
          <w:p>
            <w:pPr>
              <w:pStyle w:val="Normal6a"/>
            </w:pPr>
            <w:r>
              <w:t>(21)</w:t>
            </w:r>
            <w:r>
              <w:tab/>
            </w:r>
            <w:r>
              <w:t>По традиция институциите и органите на Съюза разработват своите комуникационни и информационни системи самостоятелно, като не обръщат достатъчно внимание на тяхната оперативна съвместимост с всички институции и органи на Съюза. По тази причина е необходимо да се постановят минимални изисквания за сигурност относно комуникационните и информационните системи (КИС), които боравят със</w:t>
            </w:r>
            <w:r>
              <w:rPr>
                <w:b/>
                <w:i/>
              </w:rPr>
              <w:t>, съхраняват и предават</w:t>
            </w:r>
            <w:r>
              <w:t xml:space="preserve"> както КИЕС, така и некласифицирана информация, за да се гарантира безпрепятствен обмен на информация със съответните заинтересовани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21 a (ново)</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(21а)</w:t>
            </w:r>
            <w:r>
              <w:tab/>
            </w:r>
            <w:r>
              <w:rPr>
                <w:b/>
                <w:i/>
              </w:rPr>
              <w:t>Информацията, държана от субектите на Съюза, се обменя също така чрез ИКТ средата, на място или чрез виртуални активи, ИКТ продукти, ИКТ услуги и ИКТ процеси, както и мрежите и информационните системи, независимо дали са собственост на субект на Съюза и биват управлявани от този субект или се хостват или управляват от трета страна, включително мобилни устройства, корпоративни мрежи и бизнес мрежи, които не са свързани с интернет, и всякакви устройства, свързани с ИКТ средата.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С настоящия регламент се </w:t>
            </w:r>
            <w:r>
              <w:rPr>
                <w:b/>
                <w:i/>
              </w:rPr>
              <w:t>определят</w:t>
            </w:r>
            <w:r>
              <w:t xml:space="preserve"> правила за информационна сигурност за всички институции и органи на Съюза.</w:t>
            </w:r>
          </w:p>
        </w:tc>
        <w:tc>
          <w:tcPr>
            <w:tcW w:w="4876" w:type="dxa"/>
          </w:tcPr>
          <w:p>
            <w:pPr>
              <w:pStyle w:val="Normal6a"/>
            </w:pPr>
            <w:r>
              <w:t>1.</w:t>
            </w:r>
            <w:r>
              <w:tab/>
            </w:r>
            <w:r>
              <w:t xml:space="preserve">С настоящия регламент се </w:t>
            </w:r>
            <w:r>
              <w:rPr>
                <w:b/>
                <w:i/>
              </w:rPr>
              <w:t>определя минимален набор от общи и единни</w:t>
            </w:r>
            <w:r>
              <w:t xml:space="preserve"> правила за информационна сигурност за всички институции и органи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С настоящия регламент се определят правила за информационна сигурност за всички институции и органи на Съюза.</w:t>
            </w:r>
          </w:p>
        </w:tc>
        <w:tc>
          <w:tcPr>
            <w:tcW w:w="4876" w:type="dxa"/>
          </w:tcPr>
          <w:p>
            <w:pPr>
              <w:pStyle w:val="Normal6a"/>
            </w:pPr>
            <w:r>
              <w:t>1.</w:t>
            </w:r>
            <w:r>
              <w:tab/>
            </w:r>
            <w:r>
              <w:t xml:space="preserve">С настоящия регламент се определят </w:t>
            </w:r>
            <w:r>
              <w:rPr>
                <w:b/>
                <w:i/>
              </w:rPr>
              <w:t>общи минимални</w:t>
            </w:r>
            <w:r>
              <w:t xml:space="preserve"> правила за информационна сигурност за всички институции и органи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Настоящият регламент не засяга Регламент (ЕО) № 1049/2001 на Европейския парламент и на Съвета.</w:t>
            </w:r>
            <w:r>
              <w:t xml:space="preserve"> </w:t>
            </w:r>
            <w:r>
              <w:rPr>
                <w:b/>
                <w:i/>
              </w:rPr>
              <w:t>Нищо в настоящия регламент, по-специално разпоредбите относно КИЕС, не може да се използва за ограничаване на правото на достъп до документи на институциите, органите, службите и агенциите на Съюза извън приложимото законодателство относно този достъп.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Настоящият регламент се прилага за цялата информация, с която боравят и която съхраняват институциите и органите на Съюза, включително информация, свързана с дейността на Европейската общност за атомна енергия, с изключение на класифицираната информация на Евратом.</w:t>
            </w:r>
          </w:p>
        </w:tc>
        <w:tc>
          <w:tcPr>
            <w:tcW w:w="4876" w:type="dxa"/>
          </w:tcPr>
          <w:p>
            <w:pPr>
              <w:pStyle w:val="Normal6a"/>
            </w:pPr>
            <w:r>
              <w:t>1.</w:t>
            </w:r>
            <w:r>
              <w:tab/>
            </w:r>
            <w:r>
              <w:t>Настоящият регламент се прилага за цялата информация, с която боравят и която съхраняват институциите и органите на Съюза, включително информация, свързана с дейността на Европейската общност за атомна енергия, с изключение на класифицираната информация на Евратом</w:t>
            </w:r>
            <w:r>
              <w:rPr>
                <w:b/>
                <w:i/>
              </w:rPr>
              <w:t>, и с изключение на информацията, свързана със задачите и дейностите на ЕЦБ в рамките на ЕСЦБ и ЕНМ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Настоящият регламент не засяга Регламент (Евратом) № 3/1958[1], Регламент № 31 (ЕИО), 11 (Евратом) за определяне на правилника за длъжностните лица и условията за работа на другите служители на Европейската икономическа общност и на Европейската общност за атомна енергия[2], Регламент (ЕО) 1049/2001 на Европейския парламент и на Съвета[3], Регламент (ЕС) 2018/1725 на Европейския парламент и на Съвета[4], Регламент (ЕИО, Евратом) № 354/83 на Съвета[5], Регламент (ЕС, Евратом) 2018/1046 на Европейския парламент и на Съвета[6], Регламент (ЕС) 2021/697 на Европейския парламент и на Съвета[7], и Регламент (ЕС) [...] на Европейския парламент и на Съвета[8] за определяне на мерки за високо общо ниво на киберсигурност в институциите, органите, службите и агенциите на Съюза. [KL1] [1] Регламент (Евратом) № 3/1958 относно прилагането на член 24 от Договора за създаване на Европейската общност за атомна енергия (OВ 17, 6.10.1958 г., стр. </w:t>
            </w:r>
            <w:r>
              <w:t xml:space="preserve"> </w:t>
            </w:r>
            <w:r>
              <w:rPr>
                <w:b/>
                <w:i/>
              </w:rPr>
              <w:t>406). [2] ОВ 45, 14.6.1962 г., стр.</w:t>
            </w:r>
            <w:r>
              <w:t xml:space="preserve"> </w:t>
            </w:r>
            <w:r>
              <w:rPr>
                <w:b/>
                <w:i/>
              </w:rPr>
              <w:t>1385. [3] 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(OB L 145, 31.5.2001 г., стр. </w:t>
            </w:r>
            <w:r>
              <w:t xml:space="preserve"> </w:t>
            </w:r>
            <w:r>
              <w:rPr>
                <w:b/>
                <w:i/>
              </w:rPr>
              <w:t>43). [4]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(OВ L 295, 21.11.2018 г., стр. </w:t>
            </w:r>
            <w:r>
              <w:t xml:space="preserve"> </w:t>
            </w:r>
            <w:r>
              <w:rPr>
                <w:b/>
                <w:i/>
              </w:rPr>
              <w:t>39). [5] Регламент (ЕИО, Евратом) № 354/83 на Съвета от 1 февруари 1983 г. относно отваряне за обществеността на историческите архиви на Европейската икономическа общност и на Европейската общност за атомна енергия (ОВ L 43, 15.2.1983 г., стр.</w:t>
            </w:r>
            <w:r>
              <w:t xml:space="preserve"> </w:t>
            </w:r>
            <w:r>
              <w:rPr>
                <w:b/>
                <w:i/>
              </w:rPr>
              <w:t>1). [6]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(OB L 193, 30.7.2018 г., стр.</w:t>
            </w:r>
            <w:r>
              <w:t xml:space="preserve"> </w:t>
            </w:r>
            <w:r>
              <w:rPr>
                <w:b/>
                <w:i/>
              </w:rPr>
              <w:t>1). [7] Регламент (ЕС) 2021/697 на Европейския парламент и на Съвета от 29 април 2021 г. за създаване на Европейски фонд за отбрана и за отмяна на Регламент (ЕС) 2018/1092 (OB L 170, 12.5.2021 г., стр. 149). [8] Регламент […] на Европейския парламент и на Съвета за определяне на мерки за високо общо ниво на киберсигурност в институциите, органите, службите и агенциите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Настоящият регламент не се прилага за членовете на Комисията, представителите на държавите членки, действащи в рамките на Съвета, членовете на Европейския парламент, съдиите в съдилищата на Съюза или членовете на Европейската сметна палата.</w:t>
            </w:r>
            <w:r>
              <w:t xml:space="preserve"> </w:t>
            </w:r>
            <w:r>
              <w:rPr>
                <w:b/>
                <w:i/>
              </w:rPr>
              <w:t>За да се гарантира ефективността на регламента и да не се създават пропуски в системата за информационна сигурност или несъответствия между хората в рамките на една и съща институция, тези институции и органи приемат вътрешни правила, приведени в съответствие с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2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 xml:space="preserve">три нива на некласифицирана информация: за обществено ползване, обикновена и </w:t>
            </w:r>
            <w:r>
              <w:rPr>
                <w:b/>
                <w:i/>
              </w:rPr>
              <w:t>чувствителна</w:t>
            </w:r>
            <w:r>
              <w:t xml:space="preserve"> некласифицирана;</w:t>
            </w:r>
          </w:p>
        </w:tc>
        <w:tc>
          <w:tcPr>
            <w:tcW w:w="4876" w:type="dxa"/>
          </w:tcPr>
          <w:p>
            <w:pPr>
              <w:pStyle w:val="Normal6a"/>
            </w:pPr>
            <w:r>
              <w:rPr>
                <w:b/>
                <w:i/>
              </w:rPr>
              <w:t>a</w:t>
            </w:r>
            <w:r>
              <w:t>)</w:t>
            </w:r>
            <w:r>
              <w:tab/>
            </w:r>
            <w:r>
              <w:t xml:space="preserve">три нива на некласифицирана информация: за обществено ползване, обикновена и </w:t>
            </w:r>
            <w:r>
              <w:rPr>
                <w:b/>
                <w:i/>
              </w:rPr>
              <w:t>защитена</w:t>
            </w:r>
            <w:r>
              <w:t xml:space="preserve"> некласифицирана;</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(Настоящото изменение се прилага в целия текст. Приемането му ще наложи съответните промени в целия текст.)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Само CONFIDENTIEL UE/EU CONFIDENTIAL, SECRET UE/EU SECRET, TRES SECRET UE/EU TOP SECRET се наричат „чувствителни“ в член 9 от Регламент 1049/2001.</w:t>
      </w:r>
      <w:r>
        <w:t xml:space="preserve"> </w:t>
      </w:r>
      <w:r>
        <w:t>За да се избегне объркване, следва да се използва различна терминология.</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2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б)</w:t>
            </w:r>
            <w:r>
              <w:tab/>
            </w:r>
            <w:r>
              <w:rPr>
                <w:b/>
                <w:i/>
              </w:rPr>
              <w:t>четири</w:t>
            </w:r>
            <w:r>
              <w:t xml:space="preserve"> нива на </w:t>
            </w:r>
            <w:r>
              <w:rPr>
                <w:b/>
                <w:i/>
              </w:rPr>
              <w:t>класифицирана</w:t>
            </w:r>
            <w:r>
              <w:t xml:space="preserve"> информация на ЕС: </w:t>
            </w:r>
            <w:r>
              <w:rPr>
                <w:b/>
                <w:i/>
              </w:rPr>
              <w:t>RESTREINT UE/EU RESTRICTED,</w:t>
            </w:r>
            <w:r>
              <w:t xml:space="preserve"> CONFIDENTIEL UE/EU CONFIDENTIAL, SECRET UE/EU SECRET, TRES SECRET UE/EU TOP SECRET.</w:t>
            </w:r>
          </w:p>
        </w:tc>
        <w:tc>
          <w:tcPr>
            <w:tcW w:w="4876" w:type="dxa"/>
          </w:tcPr>
          <w:p>
            <w:pPr>
              <w:pStyle w:val="Normal6a"/>
            </w:pPr>
            <w:r>
              <w:t>б)</w:t>
            </w:r>
            <w:r>
              <w:tab/>
            </w:r>
            <w:r>
              <w:rPr>
                <w:b/>
                <w:i/>
              </w:rPr>
              <w:t>три</w:t>
            </w:r>
            <w:r>
              <w:t xml:space="preserve"> нива на </w:t>
            </w:r>
            <w:r>
              <w:rPr>
                <w:b/>
                <w:i/>
              </w:rPr>
              <w:t>некласифицирана</w:t>
            </w:r>
            <w:r>
              <w:t xml:space="preserve"> информация на ЕС: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(Настоящото изменение се прилага в целия текст. Приемането му ще наложи съответните промени в целия текст.)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Тези нива се основават на вредните последствия, които неразрешено разкриване може да причини на законните </w:t>
            </w:r>
            <w:r>
              <w:rPr>
                <w:b/>
                <w:i/>
              </w:rPr>
              <w:t>частни и</w:t>
            </w:r>
            <w:r>
              <w:t xml:space="preserve"> обществени интереси, включително тези на Съюза, на институциите и органите на Съюза, на държавите членки или на други заинтересовани страни, така че може да се прилагат подходящи защитни мерки.</w:t>
            </w:r>
          </w:p>
        </w:tc>
        <w:tc>
          <w:tcPr>
            <w:tcW w:w="4876" w:type="dxa"/>
          </w:tcPr>
          <w:p>
            <w:pPr>
              <w:pStyle w:val="Normal6a"/>
            </w:pPr>
            <w:r>
              <w:t>3.</w:t>
            </w:r>
            <w:r>
              <w:tab/>
            </w:r>
            <w:r>
              <w:t>Тези нива се основават на вредните последствия, които неразрешено разкриване може да причини на законните обществени интереси, включително тези на Съюза, на институциите и органите на Съюза, на държавите членки или на други заинтересовани страни, така че може да се прилагат подходящи защитни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Членовете на институциите на Съюза имат достъп до всички видове информация въз основа на принципа „необходимост да се знае“ за ефективното упражняване на мандата им в съответствие с Договорите.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Неспазването на настоящия регламент, по-специално неразрешеното разкриване на информация с посочените в член 2, параграф 2 нива на поверителност, с изключение на информацията за обществено ползване, подлежи на разследване и персоналът може понесе отговорност в съответствие с Договорите или със съответните правила за персонала.</w:t>
            </w:r>
          </w:p>
        </w:tc>
        <w:tc>
          <w:tcPr>
            <w:tcW w:w="4876" w:type="dxa"/>
          </w:tcPr>
          <w:p>
            <w:pPr>
              <w:pStyle w:val="Normal6a"/>
            </w:pPr>
            <w:r>
              <w:t>2.</w:t>
            </w:r>
            <w:r>
              <w:tab/>
            </w:r>
            <w:r>
              <w:t xml:space="preserve">Неспазването на настоящия регламент, по-специално неразрешеното разкриване на информация с посочените в член 2, параграф 2 нива на поверителност, с изключение на информацията за обществено ползване, подлежи на разследване и персоналът може понесе отговорност в съответствие с Договорите или със съответните правила за персонала </w:t>
            </w:r>
            <w:r>
              <w:rPr>
                <w:b/>
                <w:i/>
              </w:rPr>
              <w:t>при надлежно спазване на разпоредбите относно разкриването на факти, които пораждат презумпция за съществуването на евентуална незаконна дейност, включително измама или корупция, накърняваща интересите на Съюза, или на поведение, свързано с изпълнението на професионални задължения, което може да представлява сериозно неспазване на професионалните задължения, както и защитата на лицата, които подават сигнали за нарушения на правото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Институциите и органите на Съюза оценяват цялата информация, с която боравят и която съхраняват, за да я категоризират в съответствие с нивата на поверителност, посочени в член 2, параграф 2.</w:t>
            </w:r>
          </w:p>
        </w:tc>
        <w:tc>
          <w:tcPr>
            <w:tcW w:w="4876" w:type="dxa"/>
          </w:tcPr>
          <w:p>
            <w:pPr>
              <w:pStyle w:val="Normal6a"/>
            </w:pPr>
            <w:r>
              <w:t>3.</w:t>
            </w:r>
            <w:r>
              <w:tab/>
            </w:r>
            <w:r>
              <w:rPr>
                <w:b/>
                <w:i/>
              </w:rPr>
              <w:t>Без да се засяга член 15 от ДФЕС,</w:t>
            </w:r>
            <w:r>
              <w:t xml:space="preserve"> институциите и органите на Съюза оценяват цялата информация, с която боравят и която съхраняват, за да я категоризират в съответствие с нивата на поверителност, посочени в член 2, параграф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4 – буква 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г)</w:t>
            </w:r>
            <w:r>
              <w:tab/>
            </w:r>
            <w:r>
              <w:t>цялост: фактът, че информацията е пълна и пълнотата на информацията е непроменена;</w:t>
            </w:r>
          </w:p>
        </w:tc>
        <w:tc>
          <w:tcPr>
            <w:tcW w:w="4876" w:type="dxa"/>
          </w:tcPr>
          <w:p>
            <w:pPr>
              <w:pStyle w:val="Normal6a"/>
            </w:pPr>
            <w:r>
              <w:t>г)</w:t>
            </w:r>
            <w:r>
              <w:tab/>
            </w:r>
            <w:r>
              <w:t>цялост: фактът, че информацията е пълна и пълнотата на информацията е непроменена</w:t>
            </w:r>
            <w:r>
              <w:rPr>
                <w:b/>
                <w:i/>
              </w:rPr>
              <w:t>, както и фактът, че техническата инфраструктура, използвана за обмен на информация, е защитена от всякаква външна намеса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6 – алинея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Институциите и органите на Съюза, които боравят с КИЕС и съхраняват такава информация, организират задължително обучение най-малко веднъж на всеки пет години за всички лица, които имат право на достъп до КИЕС. Съответните институции и органи на Съюза организират специално обучение за конкретните функции, на които са възложени задачи, свързани с информационната сигурност.</w:t>
            </w:r>
          </w:p>
        </w:tc>
        <w:tc>
          <w:tcPr>
            <w:tcW w:w="4876" w:type="dxa"/>
          </w:tcPr>
          <w:p>
            <w:pPr>
              <w:pStyle w:val="Normal6a"/>
            </w:pPr>
            <w:r>
              <w:t xml:space="preserve">Институциите и органите на Съюза, които боравят с КИЕС и съхраняват такава информация, организират задължително обучение най-малко веднъж на всеки пет години за всички лица, които имат право на достъп до КИЕС. Съответните институции и органи на Съюза организират специално обучение за конкретните функции, на които са възложени задачи, свързани с информационната сигурност. </w:t>
            </w:r>
            <w:r>
              <w:rPr>
                <w:b/>
                <w:i/>
              </w:rPr>
              <w:t>Не по-късно от шест месеца след датата на влизане в сила на настоящия регламент субектите на Съюза разработват и прилагат ефективни и подходящи курсове за обучение за всички лица, на които е разрешен достъп до КИЕС, съизмерими с рисковете, установени в съответствие с член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 – буква a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aа)</w:t>
            </w:r>
            <w:r>
              <w:tab/>
            </w:r>
            <w:r>
              <w:rPr>
                <w:b/>
                <w:i/>
              </w:rPr>
              <w:t>рисковете за правата и свободите на физическите лица;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3 – буква 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е)</w:t>
            </w:r>
            <w:r>
              <w:tab/>
            </w:r>
            <w:r>
              <w:t>непрекъснатост на дейността и възстановяване след бедствия;</w:t>
            </w:r>
          </w:p>
        </w:tc>
        <w:tc>
          <w:tcPr>
            <w:tcW w:w="4876" w:type="dxa"/>
          </w:tcPr>
          <w:p>
            <w:pPr>
              <w:pStyle w:val="Normal6a"/>
            </w:pPr>
            <w:r>
              <w:t>е)</w:t>
            </w:r>
            <w:r>
              <w:tab/>
            </w:r>
            <w:r>
              <w:t>непрекъснатост на дейността</w:t>
            </w:r>
            <w:r>
              <w:rPr>
                <w:b/>
                <w:i/>
              </w:rPr>
              <w:t>, управление на кризи</w:t>
            </w:r>
            <w:r>
              <w:t xml:space="preserve"> и възстановяване след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 – алинея 2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Назначените членове на координационната група са подходящо балансирани по пол и в географско отношение.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 – буква a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aа)</w:t>
            </w:r>
            <w:r>
              <w:tab/>
            </w:r>
            <w:r>
              <w:rPr>
                <w:b/>
                <w:i/>
              </w:rPr>
              <w:t>приемане на решения относно създаването на тематични подгрупи, техния мандат и редовността на техните заседания;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 – буква д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да)</w:t>
            </w:r>
            <w:r>
              <w:tab/>
            </w:r>
            <w:r>
              <w:rPr>
                <w:b/>
                <w:i/>
              </w:rPr>
              <w:t>наблюдаване на спазването от страна на институциите и органите на Съюза на настоящия регламент, както и на документите с насоки, изготвени съгласно буква в), чрез приемането на годишен доклад за оценка, в който се събира информация от съответните подгрупи.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2 – буква д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да)</w:t>
            </w:r>
            <w:r>
              <w:tab/>
            </w:r>
            <w:r>
              <w:rPr>
                <w:b/>
                <w:i/>
              </w:rPr>
              <w:t>наблюдаване на спазването от страна на институциите и органите на Съюза на настоящия регламент, както и на документите с насоки, изготвени съгласно буква в), чрез приемането на годишен доклад за оценка;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Всяка институция или орган на Съюза е подходящо представен/а в координационната група</w:t>
            </w:r>
            <w:r>
              <w:rPr>
                <w:b/>
                <w:i/>
              </w:rPr>
              <w:t>, а когато е приложимо — и в тематичните подгрупи</w:t>
            </w:r>
            <w:r>
              <w:t>.</w:t>
            </w:r>
          </w:p>
        </w:tc>
        <w:tc>
          <w:tcPr>
            <w:tcW w:w="4876" w:type="dxa"/>
          </w:tcPr>
          <w:p>
            <w:pPr>
              <w:pStyle w:val="Normal6a"/>
            </w:pPr>
            <w:r>
              <w:t>6.</w:t>
            </w:r>
            <w:r>
              <w:tab/>
            </w:r>
            <w:r>
              <w:t>Всяка институция или орган на Съюза е подходящо представен/а в координационната група</w:t>
            </w:r>
            <w:r>
              <w:rPr>
                <w:b/>
                <w:i/>
              </w:rPr>
              <w:t>.</w:t>
            </w:r>
            <w:r>
              <w:t xml:space="preserve"> </w:t>
            </w:r>
            <w:r>
              <w:rPr>
                <w:b/>
                <w:i/>
              </w:rPr>
              <w:t>Парламентът, Комисията и Съветът са представени във всички тематични подгрупи.</w:t>
            </w:r>
            <w:r>
              <w:t xml:space="preserve"> </w:t>
            </w:r>
            <w:r>
              <w:rPr>
                <w:b/>
                <w:i/>
              </w:rPr>
              <w:t>Други институции и органи, когато е приложимо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Институциите и органите на Съюза довеждат до знанието на координационната група всяко значимо развитие на политиката за информационна сигурност в рамките на своята организация.</w:t>
            </w:r>
          </w:p>
        </w:tc>
        <w:tc>
          <w:tcPr>
            <w:tcW w:w="4876" w:type="dxa"/>
          </w:tcPr>
          <w:p>
            <w:pPr>
              <w:pStyle w:val="Normal6a"/>
            </w:pPr>
            <w:r>
              <w:t>7.</w:t>
            </w:r>
            <w:r>
              <w:tab/>
            </w:r>
            <w:r>
              <w:t>Институциите и органите на Съюза довеждат до знанието на координационната група всяко значимо развитие на политиката за информационна сигурност в рамките на своята организация</w:t>
            </w:r>
            <w:r>
              <w:rPr>
                <w:b/>
                <w:i/>
              </w:rPr>
              <w:t>, без необосновано забавяне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При изпълнението на задачите, посочени в параграф 2, буква д) координационната група се подпомага от Комитет за информационна </w:t>
            </w:r>
            <w:r>
              <w:rPr>
                <w:b/>
                <w:i/>
              </w:rPr>
              <w:t>сигурност.</w:t>
            </w:r>
            <w:r>
              <w:t xml:space="preserve"> </w:t>
            </w:r>
            <w:r>
              <w:rPr>
                <w:b/>
                <w:i/>
              </w:rPr>
              <w:t>Той</w:t>
            </w:r>
            <w:r>
              <w:t xml:space="preserve"> се състои от по един представител от всеки национален орган по сигурността и се председателства от секретариата на координационната група, посочен в параграф 5. Комитетът за информационна сигурност има консултативна роля.</w:t>
            </w:r>
          </w:p>
        </w:tc>
        <w:tc>
          <w:tcPr>
            <w:tcW w:w="4876" w:type="dxa"/>
          </w:tcPr>
          <w:p>
            <w:pPr>
              <w:pStyle w:val="Normal6a"/>
            </w:pPr>
            <w:r>
              <w:t>8.</w:t>
            </w:r>
            <w:r>
              <w:tab/>
            </w:r>
            <w:r>
              <w:t xml:space="preserve">При изпълнението на задачите, посочени в параграф 2, буква д) координационната група се подпомага от Комитет за информационна </w:t>
            </w:r>
            <w:r>
              <w:rPr>
                <w:b/>
                <w:i/>
              </w:rPr>
              <w:t>сигурност.Той</w:t>
            </w:r>
            <w:r>
              <w:t xml:space="preserve"> се състои от по един представител от всеки национален орган по сигурността и се председателства от секретариата на координационната група, посочен в параграф 5</w:t>
            </w:r>
            <w:r>
              <w:rPr>
                <w:b/>
                <w:i/>
              </w:rPr>
              <w:t>.</w:t>
            </w:r>
            <w:r>
              <w:t xml:space="preserve"> </w:t>
            </w:r>
            <w:r>
              <w:rPr>
                <w:b/>
                <w:i/>
              </w:rPr>
              <w:t>Един представител на Парламента присъства като наблюдател</w:t>
            </w:r>
            <w:r>
              <w:t>. Комитетът за информационна сигурност има консултативна роля.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1 – буква д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да)</w:t>
            </w:r>
            <w:r>
              <w:tab/>
            </w:r>
            <w:r>
              <w:rPr>
                <w:b/>
                <w:i/>
              </w:rPr>
              <w:t>Подгрупа относно административните договорености с трети държави и международни организации.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Всяка институция и орган на Съюза назначава орган по сигурността, който да поеме отговорностите, възложени с настоящия регламент, </w:t>
            </w:r>
            <w:r>
              <w:rPr>
                <w:b/>
                <w:i/>
              </w:rPr>
              <w:t>а когато е приложимо — и с нейните/неговите вътрешни правила за сигурност</w:t>
            </w:r>
            <w:r>
              <w:t>. При изпълнението на своите задачи всеки орган по сигурността се подпомага от отдела или служителя, натоварен със задачите за информационна сигурност.</w:t>
            </w:r>
          </w:p>
        </w:tc>
        <w:tc>
          <w:tcPr>
            <w:tcW w:w="4876" w:type="dxa"/>
          </w:tcPr>
          <w:p>
            <w:pPr>
              <w:pStyle w:val="Normal6a"/>
            </w:pPr>
            <w:r>
              <w:t>1.</w:t>
            </w:r>
            <w:r>
              <w:tab/>
            </w:r>
            <w:r>
              <w:t xml:space="preserve">Всяка институция и орган на Съюза назначава орган по сигурността, който да поеме отговорностите, възложени с настоящия регламент, </w:t>
            </w:r>
            <w:r>
              <w:rPr>
                <w:b/>
                <w:i/>
              </w:rPr>
              <w:t>и да наблюдава и гарантира спазването от всяка институция или орган на Съюза, имаща отношение към документите с насоки, приети от координационната група</w:t>
            </w:r>
            <w:r>
              <w:t>. При изпълнението на своите задачи всеки орган по сигурността се подпомага от отдела или служителя, натоварен със задачите за информационна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11 – параграф 4 – буква 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г)</w:t>
            </w:r>
            <w:r>
              <w:tab/>
            </w:r>
            <w:r>
              <w:t xml:space="preserve">криптиране </w:t>
            </w:r>
            <w:r>
              <w:rPr>
                <w:b/>
                <w:i/>
              </w:rPr>
              <w:t>на информация в покой и при транзит</w:t>
            </w:r>
            <w:r>
              <w:t>;</w:t>
            </w:r>
          </w:p>
        </w:tc>
        <w:tc>
          <w:tcPr>
            <w:tcW w:w="4876" w:type="dxa"/>
          </w:tcPr>
          <w:p>
            <w:pPr>
              <w:pStyle w:val="Normal6a"/>
            </w:pPr>
            <w:r>
              <w:t>г)</w:t>
            </w:r>
            <w:r>
              <w:tab/>
            </w:r>
            <w:r>
              <w:t xml:space="preserve">криптиране </w:t>
            </w:r>
            <w:r>
              <w:rPr>
                <w:b/>
                <w:i/>
              </w:rPr>
              <w:t>от край до край на информацията на всички етапи от съответните процеси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Институциите и органите на Съюза може да обозначат с гриф „PUBLIC USE“ („За обществено ползване“) информацията, посочени в параграф 1.</w:t>
            </w:r>
          </w:p>
        </w:tc>
        <w:tc>
          <w:tcPr>
            <w:tcW w:w="4876" w:type="dxa"/>
          </w:tcPr>
          <w:p>
            <w:pPr>
              <w:pStyle w:val="Normal6a"/>
            </w:pPr>
            <w:r>
              <w:t>2.</w:t>
            </w:r>
            <w:r>
              <w:tab/>
            </w:r>
            <w:r>
              <w:t xml:space="preserve">Институциите и органите на Съюза може да обозначат с гриф „PUBLIC USE“ („За обществено ползване“) информацията, посочени в параграф 1. </w:t>
            </w:r>
            <w:r>
              <w:rPr>
                <w:b/>
                <w:i/>
              </w:rPr>
              <w:t>Липсата на такова обозначаване не води до предположение, че информацията може да бъде класифицирана.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Институциите и органите на Съюза </w:t>
            </w:r>
            <w:r>
              <w:rPr>
                <w:b/>
                <w:i/>
              </w:rPr>
              <w:t>може да обозначат</w:t>
            </w:r>
            <w:r>
              <w:t xml:space="preserve"> с гриф „PUBLIC USE“ („За обществено ползване“) информацията, посочени в параграф 1.</w:t>
            </w:r>
          </w:p>
        </w:tc>
        <w:tc>
          <w:tcPr>
            <w:tcW w:w="4876" w:type="dxa"/>
          </w:tcPr>
          <w:p>
            <w:pPr>
              <w:pStyle w:val="Normal6a"/>
            </w:pPr>
            <w:r>
              <w:t>2.</w:t>
            </w:r>
            <w:r>
              <w:tab/>
            </w:r>
            <w:r>
              <w:t xml:space="preserve">Институциите и органите на Съюза </w:t>
            </w:r>
            <w:r>
              <w:rPr>
                <w:b/>
                <w:i/>
              </w:rPr>
              <w:t>обозначават</w:t>
            </w:r>
            <w:r>
              <w:t xml:space="preserve"> с гриф „PUBLIC USE“ („За обществено ползване“) информацията, посочени в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12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Всички институции и органи на Съюза осигуряват целостта и наличността на информацията за обществено ползване чрез подходящи мерки, основани на </w:t>
            </w:r>
            <w:r>
              <w:rPr>
                <w:b/>
                <w:i/>
              </w:rPr>
              <w:t>свързаните с нея</w:t>
            </w:r>
            <w:r>
              <w:t xml:space="preserve"> нужди от сигурност.</w:t>
            </w:r>
          </w:p>
        </w:tc>
        <w:tc>
          <w:tcPr>
            <w:tcW w:w="4876" w:type="dxa"/>
          </w:tcPr>
          <w:p>
            <w:pPr>
              <w:pStyle w:val="Normal6a"/>
            </w:pPr>
            <w:r>
              <w:t>3.</w:t>
            </w:r>
            <w:r>
              <w:tab/>
            </w:r>
            <w:r>
              <w:t xml:space="preserve">Всички институции и органи на Съюза осигуряват целостта и наличността на информацията за обществено ползване чрез подходящи мерки, основани на </w:t>
            </w:r>
            <w:r>
              <w:rPr>
                <w:b/>
                <w:i/>
              </w:rPr>
              <w:t>техните</w:t>
            </w:r>
            <w:r>
              <w:t xml:space="preserve"> нужди от сигурност </w:t>
            </w:r>
            <w:r>
              <w:rPr>
                <w:b/>
                <w:i/>
              </w:rPr>
              <w:t>и като се взема предвид правото на информация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Обикновената информация може да бъде обозначена визуално или чрез метаданни, когато това е необходимо за осигуряване на нейната защита, по-специално когато се споделя извън институции и органи на Съюза. В този случай се използва гриф „EU NORMAL“ или „[название или акроним на институцията или органа на Съюза] NORMAL“ (пригоден за всеки отделен случай).</w:t>
            </w:r>
          </w:p>
        </w:tc>
        <w:tc>
          <w:tcPr>
            <w:tcW w:w="4876" w:type="dxa"/>
          </w:tcPr>
          <w:p>
            <w:pPr>
              <w:pStyle w:val="Normal6a"/>
            </w:pPr>
            <w:r>
              <w:t>2.</w:t>
            </w:r>
            <w:r>
              <w:tab/>
            </w:r>
            <w:r>
              <w:t xml:space="preserve">Обикновената информация може да бъде обозначена визуално или чрез метаданни, когато това е необходимо за осигуряване на нейната защита, по-специално когато се споделя извън институции и органи на Съюза. В този случай се използва гриф „EU NORMAL“ или „[название или акроним на институцията или органа на Съюза] NORMAL“ (пригоден за всеки отделен случай). </w:t>
            </w:r>
            <w:r>
              <w:rPr>
                <w:b/>
                <w:i/>
              </w:rPr>
              <w:t>Липсата на такова обозначаване не води до предположение, че информацията може да бъде класифицирана.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Обикновената информация се обменя извън институциите и органите на Съюза само с физически или юридически лица, за които е налице „необходимост да се знае“.</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13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Обикновената информация се обменя извън институциите и органите на Съюза само с физически или юридически лица, за които е налице „необходимост да се знае“.</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Институциите и органите на Съюза категоризират, боравят със и съхраняват като чувствителна некласифицирана информация цялата информация, която не е класифицирана, но трябва да се опазва поради правни задължения или заради вредата, която може да бъде причинена на законните </w:t>
            </w:r>
            <w:r>
              <w:rPr>
                <w:b/>
                <w:i/>
              </w:rPr>
              <w:t>частни и</w:t>
            </w:r>
            <w:r>
              <w:t xml:space="preserve"> обществени интереси, включително интересите на институциите и органите на Съюза</w:t>
            </w:r>
            <w:r>
              <w:rPr>
                <w:b/>
                <w:i/>
              </w:rPr>
              <w:t>,</w:t>
            </w:r>
            <w:r>
              <w:t xml:space="preserve"> държавите членки </w:t>
            </w:r>
            <w:r>
              <w:rPr>
                <w:b/>
                <w:i/>
              </w:rPr>
              <w:t>или лицата</w:t>
            </w:r>
            <w:r>
              <w:t>, в резултат от нейното неразрешено разкриване.</w:t>
            </w:r>
          </w:p>
        </w:tc>
        <w:tc>
          <w:tcPr>
            <w:tcW w:w="4876" w:type="dxa"/>
          </w:tcPr>
          <w:p>
            <w:pPr>
              <w:pStyle w:val="Normal6a"/>
            </w:pPr>
            <w:r>
              <w:t>1.</w:t>
            </w:r>
            <w:r>
              <w:tab/>
            </w:r>
            <w:r>
              <w:t xml:space="preserve">Институциите и органите на Съюза категоризират, боравят със и съхраняват като чувствителна некласифицирана информация цялата информация, която не е класифицирана, но трябва да се опазва поради правни задължения или заради вредата, която може да бъде причинена на законните обществени интереси, включително интересите на институциите и органите на Съюза </w:t>
            </w:r>
            <w:r>
              <w:rPr>
                <w:b/>
                <w:i/>
              </w:rPr>
              <w:t>или</w:t>
            </w:r>
            <w:r>
              <w:t xml:space="preserve"> държавите членки, в резултат от нейното неразрешено разкриване.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14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Чувствителната некласифицирана информация се обменя извън институциите и органите на Съюза само с физически или юридически лица, за които е налице „необходимост да се знае“, при съблюдаване на съпровождащите информацията указания за боравене с нея. Всички участващи страни се запознават със съответните указания за боравене.</w:t>
            </w:r>
          </w:p>
        </w:tc>
        <w:tc>
          <w:tcPr>
            <w:tcW w:w="4876" w:type="dxa"/>
          </w:tcPr>
          <w:p>
            <w:pPr>
              <w:pStyle w:val="Normal6a"/>
            </w:pPr>
            <w:r>
              <w:t>4.</w:t>
            </w:r>
            <w:r>
              <w:tab/>
            </w:r>
            <w:r>
              <w:t xml:space="preserve">Чувствителната некласифицирана информация се обменя извън институциите и органите на Съюза само с физически или юридически лица, за които е налице „необходимост да се знае“, при съблюдаване на съпровождащите информацията указания за боравене с нея </w:t>
            </w:r>
            <w:r>
              <w:rPr>
                <w:b/>
                <w:i/>
              </w:rPr>
              <w:t>и на изискванията, произтичащи от правните защити, които могат да се прилагат, като например в параграф 1</w:t>
            </w:r>
            <w:r>
              <w:t>. Всички участващи страни се запознават със съответните указания за боравене.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15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Институциите и органите на Съюза въвеждат процедури за докладването и управлението на всеки инцидент или подозрение за инцидент, който може да доведе до компрометиране на сигурността на некласифицираната информация.</w:t>
            </w:r>
          </w:p>
        </w:tc>
        <w:tc>
          <w:tcPr>
            <w:tcW w:w="4876" w:type="dxa"/>
          </w:tcPr>
          <w:p>
            <w:pPr>
              <w:pStyle w:val="Normal6a"/>
            </w:pPr>
            <w:r>
              <w:t>1.</w:t>
            </w:r>
            <w:r>
              <w:tab/>
            </w:r>
            <w:r>
              <w:t xml:space="preserve">Институциите и органите на Съюза въвеждат </w:t>
            </w:r>
            <w:r>
              <w:rPr>
                <w:b/>
                <w:i/>
              </w:rPr>
              <w:t>уеднаквени</w:t>
            </w:r>
            <w:r>
              <w:t xml:space="preserve"> процедури за докладването и управлението на всеки инцидент или подозрение за инцидент, който може да доведе до компрометиране на сигурността на некласифицираната информация.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15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Когато е необходимо, институциите и органите на Съюза използват обозначенията, посочени в членове 12, 13 и 14. </w:t>
            </w:r>
            <w:r>
              <w:rPr>
                <w:b/>
                <w:i/>
              </w:rPr>
              <w:t>По изключение други, равностойни обозначения може да се използват вътрешно и в отношенията с техни конкретни колеги от други институции и органи на Съюза или от държавите членки, когато всички страни са съгласни с това.</w:t>
            </w:r>
            <w:r>
              <w:t xml:space="preserve"> </w:t>
            </w:r>
            <w:r>
              <w:rPr>
                <w:b/>
                <w:i/>
              </w:rPr>
              <w:t>За такова изключение се уведомява подгрупата по некласифицирана информация, посочена в член 7, параграф 1, буква б).</w:t>
            </w:r>
          </w:p>
        </w:tc>
        <w:tc>
          <w:tcPr>
            <w:tcW w:w="4876" w:type="dxa"/>
          </w:tcPr>
          <w:p>
            <w:pPr>
              <w:pStyle w:val="Normal6a"/>
            </w:pPr>
            <w:r>
              <w:t>2.</w:t>
            </w:r>
            <w:r>
              <w:tab/>
            </w:r>
            <w:r>
              <w:t>Когато е необходимо, институциите и органите на Съюза използват обозначенията, посочени в членове 12, 13 и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16 – параграф 1 – буква д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да)</w:t>
            </w:r>
            <w:r>
              <w:tab/>
            </w:r>
            <w:r>
              <w:rPr>
                <w:b/>
                <w:i/>
              </w:rPr>
              <w:t>наблюдаване на спазването от страна на институциите и органите на Съюза на съответните разпоредби на настоящия регламент, както и на документите с насоки, приети от координационната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18 – параграф 1 – буква 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г)</w:t>
            </w:r>
            <w:r>
              <w:tab/>
            </w:r>
            <w:r>
              <w:rPr>
                <w:b/>
                <w:i/>
              </w:rPr>
              <w:t>RESTREINT UE/EU RESTRICTED:</w:t>
            </w:r>
            <w:r>
              <w:t xml:space="preserve"> </w:t>
            </w:r>
            <w:r>
              <w:rPr>
                <w:b/>
                <w:i/>
              </w:rPr>
              <w:t>информация и материали, чието неразрешено разкриване би се отразило неблагоприятно на интересите на Съюза или на една или повече от държавите членки.</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18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Координационната група приема документи с насоки относно създаването и класифицирането на КИЕС.</w:t>
            </w:r>
          </w:p>
        </w:tc>
        <w:tc>
          <w:tcPr>
            <w:tcW w:w="4876" w:type="dxa"/>
          </w:tcPr>
          <w:p>
            <w:pPr>
              <w:pStyle w:val="Normal6a"/>
            </w:pPr>
            <w:r>
              <w:t>2.</w:t>
            </w:r>
            <w:r>
              <w:tab/>
            </w:r>
            <w:r>
              <w:t xml:space="preserve">Координационната група приема документи с насоки относно създаването и класифицирането на КИЕС. </w:t>
            </w:r>
            <w:r>
              <w:rPr>
                <w:b/>
                <w:i/>
              </w:rPr>
              <w:t>Тези документи вземат предвид както принципа за свеждане до минимум на използването на класифицирана информация, така и риска от свръхкласифициране на определени документи, и включват правила за оценка и обосноваване на класификацията на информацията и материалите, насочени към повишаване на прозрачността и избягване на необосновани ефекти на блокиране.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18 – параграф 2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2а.</w:t>
            </w:r>
            <w:r>
              <w:tab/>
            </w:r>
            <w:r>
              <w:rPr>
                <w:b/>
                <w:i/>
              </w:rPr>
              <w:t>В случай на съмнение относно поверителния характер на дадена информация или нейното ниво на класификация, или в случай на разногласие между европейските институции, те се консултират помежду си без забавяне и преди предаването на тази информация.</w:t>
            </w:r>
            <w:r>
              <w:t xml:space="preserve"> </w:t>
            </w:r>
            <w:r>
              <w:rPr>
                <w:b/>
                <w:i/>
              </w:rPr>
              <w:t>При тези консултации институциите се представляват от председателя на съответния орган или от отговорника по въпросите на сигурността.</w:t>
            </w:r>
            <w:r>
              <w:t xml:space="preserve"> </w:t>
            </w:r>
            <w:r>
              <w:rPr>
                <w:b/>
                <w:i/>
              </w:rPr>
              <w:t>В случай на разногласие въпросът се отнася до председателите на институциите, за да бъде разрешен спорът.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20 – параграф 3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3а.</w:t>
            </w:r>
            <w:r>
              <w:tab/>
            </w:r>
            <w:r>
              <w:rPr>
                <w:b/>
                <w:i/>
              </w:rPr>
              <w:t>Настоящият член не засяга Регламент (ЕО) №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22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Действие или</w:t>
            </w:r>
            <w:r>
              <w:t xml:space="preserve"> бездействие на институция или орган на Съюза или на физическо лице в нарушение на разпоредбите на настоящия регламент се счита за нарушение на сигурността.</w:t>
            </w:r>
          </w:p>
        </w:tc>
        <w:tc>
          <w:tcPr>
            <w:tcW w:w="4876" w:type="dxa"/>
          </w:tcPr>
          <w:p>
            <w:pPr>
              <w:pStyle w:val="Normal6a"/>
            </w:pPr>
            <w:r>
              <w:t>1.</w:t>
            </w:r>
            <w:r>
              <w:tab/>
            </w:r>
            <w:r>
              <w:rPr>
                <w:b/>
                <w:i/>
              </w:rPr>
              <w:t>Всяко</w:t>
            </w:r>
            <w:r>
              <w:t xml:space="preserve"> бездействие на институция или орган на Съюза или на физическо лице в нарушение на разпоредбите на настоящия регламент се счита за нарушение на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22 – параграф 3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информиране на създателя на информацията;</w:t>
            </w:r>
          </w:p>
        </w:tc>
        <w:tc>
          <w:tcPr>
            <w:tcW w:w="4876" w:type="dxa"/>
          </w:tcPr>
          <w:p>
            <w:pPr>
              <w:pStyle w:val="Normal6a"/>
            </w:pPr>
            <w:r>
              <w:rPr>
                <w:b/>
                <w:i/>
              </w:rPr>
              <w:t>a</w:t>
            </w:r>
            <w:r>
              <w:t>)</w:t>
            </w:r>
            <w:r>
              <w:tab/>
            </w:r>
            <w:r>
              <w:t xml:space="preserve">информиране на създателя на информацията </w:t>
            </w:r>
            <w:r>
              <w:rPr>
                <w:b/>
                <w:i/>
              </w:rPr>
              <w:t>без ненужно забавяне и във всеки случай не по-късно от три дни, след като органът по сигурността е бил уведомен за нарушението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22 – параграф 3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б)</w:t>
            </w:r>
            <w:r>
              <w:tab/>
            </w:r>
            <w:r>
              <w:t>осигуряване на разследване на случая от служители, които нямат непосредствено отношение към нарушението, с оглед установяване на фактите;</w:t>
            </w:r>
          </w:p>
        </w:tc>
        <w:tc>
          <w:tcPr>
            <w:tcW w:w="4876" w:type="dxa"/>
          </w:tcPr>
          <w:p>
            <w:pPr>
              <w:pStyle w:val="Normal6a"/>
            </w:pPr>
            <w:r>
              <w:t>б)</w:t>
            </w:r>
            <w:r>
              <w:tab/>
            </w:r>
            <w:r>
              <w:t xml:space="preserve">осигуряване на </w:t>
            </w:r>
            <w:r>
              <w:rPr>
                <w:b/>
                <w:i/>
              </w:rPr>
              <w:t>обстойно</w:t>
            </w:r>
            <w:r>
              <w:t xml:space="preserve"> разследване на случая от служители, които нямат непосредствено отношение към нарушението, с оглед установяване на фактите;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22 – параграф 3 – буква 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д)</w:t>
            </w:r>
            <w:r>
              <w:tab/>
            </w:r>
            <w:r>
              <w:t>уведомяване на компетентните органи за фактическото или предполагаемо излагане на риск и за предприетите действия.</w:t>
            </w:r>
          </w:p>
        </w:tc>
        <w:tc>
          <w:tcPr>
            <w:tcW w:w="4876" w:type="dxa"/>
          </w:tcPr>
          <w:p>
            <w:pPr>
              <w:pStyle w:val="Normal6a"/>
            </w:pPr>
            <w:r>
              <w:t>д)</w:t>
            </w:r>
            <w:r>
              <w:tab/>
            </w:r>
            <w:r>
              <w:t xml:space="preserve">уведомяване на компетентните органи за фактическото или предполагаемо излагане на риск и за предприетите действия </w:t>
            </w:r>
            <w:r>
              <w:rPr>
                <w:b/>
                <w:i/>
              </w:rPr>
              <w:t>без ненужно забавяне и във всеки случай не по-късно от три дни, след като органът по сигурността е бил уведомен за нарушението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23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Институциите и органите на Съюза вземат предвид лоялността и надеждността на дадено лице, определени чрез провеждане на проучване за надеждност </w:t>
            </w:r>
            <w:r>
              <w:rPr>
                <w:b/>
                <w:i/>
              </w:rPr>
              <w:t>от</w:t>
            </w:r>
            <w:r>
              <w:t xml:space="preserve"> компетентните органи на </w:t>
            </w:r>
            <w:r>
              <w:rPr>
                <w:b/>
                <w:i/>
              </w:rPr>
              <w:t>държава членка, на която заявителят е гражданин</w:t>
            </w:r>
            <w:r>
              <w:t>.</w:t>
            </w:r>
          </w:p>
        </w:tc>
        <w:tc>
          <w:tcPr>
            <w:tcW w:w="4876" w:type="dxa"/>
          </w:tcPr>
          <w:p>
            <w:pPr>
              <w:pStyle w:val="Normal6a"/>
            </w:pPr>
            <w:r>
              <w:t>2.</w:t>
            </w:r>
            <w:r>
              <w:tab/>
            </w:r>
            <w:r>
              <w:t>Институциите и органите на Съюза вземат предвид лоялността и надеждността на дадено лице, определени чрез провеждане на проучване за надеждност</w:t>
            </w:r>
            <w:r>
              <w:rPr>
                <w:b/>
                <w:i/>
              </w:rPr>
              <w:t>, проведено от Комисията в сътрудничество с</w:t>
            </w:r>
            <w:r>
              <w:t xml:space="preserve"> компетентните органи на </w:t>
            </w:r>
            <w:r>
              <w:rPr>
                <w:b/>
                <w:i/>
              </w:rPr>
              <w:t>съответните държави членки. Комисията може също така да си сътрудничи с трети държави и международни организации, с които Съюзът има споразумение за информационна сигурност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23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Институциите и органите на Съюза може да приемат разрешения за достъп, издадени от трети държави и международни организации, с които Съюзът е сключил споразумение за сигурност на информацията.</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23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Институциите и органите на Съюза може да приемат разрешения за достъп, издадени от трети държави и международни организации, с които Съюзът е сключил споразумение за сигурност на информацията.</w:t>
            </w:r>
          </w:p>
        </w:tc>
        <w:tc>
          <w:tcPr>
            <w:tcW w:w="4876" w:type="dxa"/>
          </w:tcPr>
          <w:p>
            <w:pPr>
              <w:pStyle w:val="Normal6a"/>
            </w:pPr>
            <w:r>
              <w:t>3.</w:t>
            </w:r>
            <w:r>
              <w:tab/>
            </w:r>
            <w:r>
              <w:t xml:space="preserve">Институциите и органите на Съюза може да приемат разрешения за достъп, издадени от трети държави и международни организации, с които Съюзът е сключил споразумение за сигурност на информацията. </w:t>
            </w:r>
            <w:r>
              <w:rPr>
                <w:b/>
                <w:i/>
              </w:rPr>
              <w:t>При всички случаи те гарантират спазването на принципите по параграф 1 и параграф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23 – параграф 4 – алинея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Когато е сключено споразумение за нивото на услугите, органът по сигурността на Комисията е звеното за контакт между службите за сигурност на съответната институция или орган на Съюза и компетентните национални органи на държавите членки в контекста на въпросите, свързани с проучванията за надеждност.</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24 – параграф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При извънредни обстоятелства, когато това е надлежно оправдано от интереса на работата и до завършването на цялостното проучване за надеждност, органът по сигурността на институция или орган на Съюза може да разреши на лицето временен достъп до КИЕС за конкретна позиция, без това да засяга разпоредбите относно подновяването на разрешенията за достъп до КИЕС </w:t>
            </w:r>
            <w:r>
              <w:rPr>
                <w:b/>
                <w:i/>
              </w:rPr>
              <w:t>и при потвърждение от съответния национален орган по сигурността</w:t>
            </w:r>
            <w:r>
              <w:t>.</w:t>
            </w:r>
          </w:p>
        </w:tc>
        <w:tc>
          <w:tcPr>
            <w:tcW w:w="4876" w:type="dxa"/>
          </w:tcPr>
          <w:p>
            <w:pPr>
              <w:pStyle w:val="Normal6a"/>
            </w:pPr>
            <w:r>
              <w:t>4.</w:t>
            </w:r>
            <w:r>
              <w:tab/>
            </w:r>
            <w:r>
              <w:t>При извънредни обстоятелства, когато това е надлежно оправдано от интереса на работата и до завършването на цялостното проучване за надеждност, органът по сигурността на институция или орган на Съюза може да разреши на лицето временен достъп до КИЕС за конкретна позиция, без това да засяга разпоредбите относно подновяването на разрешенията за достъп до КИЕС.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Когато притежателят на разрешение за достъп до КИЕС започва работа в друга институция или орган на Съюза, тази институция или този орган уведомява съответния НОС чрез компетентния орган по сигурността за промяна на работодателя.</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Когато притежателят на разрешение за достъп до КИЕС започва работа в друга институция или орган на Съюза, тази институция или този орган уведомява съответния НОС чрез компетентния орган по сигурността за промяна на работодателя.</w:t>
            </w:r>
          </w:p>
        </w:tc>
        <w:tc>
          <w:tcPr>
            <w:tcW w:w="4876" w:type="dxa"/>
          </w:tcPr>
          <w:p>
            <w:pPr>
              <w:pStyle w:val="Normal6a"/>
            </w:pPr>
            <w:r>
              <w:t>3.</w:t>
            </w:r>
            <w:r>
              <w:tab/>
            </w:r>
            <w:r>
              <w:t xml:space="preserve">Когато притежателят на разрешение за достъп до КИЕС започва работа в друга институция или орган на Съюза, тази институция или този орган уведомява </w:t>
            </w:r>
            <w:r>
              <w:rPr>
                <w:b/>
                <w:i/>
              </w:rPr>
              <w:t>без необосновано забавяне</w:t>
            </w:r>
            <w:r>
              <w:t xml:space="preserve"> съответния НОС чрез компетентния орган по сигурността за промяна на работодателя.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28 – параграф 1 – буква г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га)</w:t>
            </w:r>
            <w:r>
              <w:tab/>
            </w:r>
            <w:r>
              <w:rPr>
                <w:b/>
                <w:i/>
              </w:rPr>
              <w:t>наблюдаване на спазването от страна на институциите и органите на Съюза на съответните разпоредби на настоящия регламент, както и на документите с насоки, приети от координационната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30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Всяка институция и орган на Съюза, която/който е създател на КИЕС, определя </w:t>
            </w:r>
            <w:r>
              <w:rPr>
                <w:b/>
                <w:i/>
              </w:rPr>
              <w:t>класификацията</w:t>
            </w:r>
            <w:r>
              <w:t xml:space="preserve"> за сигурност на тази информация при нейното създаване и в съответствие с член 18, параграф 1.</w:t>
            </w:r>
          </w:p>
        </w:tc>
        <w:tc>
          <w:tcPr>
            <w:tcW w:w="4876" w:type="dxa"/>
          </w:tcPr>
          <w:p>
            <w:pPr>
              <w:pStyle w:val="Normal6a"/>
            </w:pPr>
            <w:r>
              <w:t>2.</w:t>
            </w:r>
            <w:r>
              <w:tab/>
            </w:r>
            <w:r>
              <w:t xml:space="preserve">Всяка институция и орган на Съюза, която/който е създател на КИЕС, определя </w:t>
            </w:r>
            <w:r>
              <w:rPr>
                <w:b/>
                <w:i/>
              </w:rPr>
              <w:t>първоначалната класификация</w:t>
            </w:r>
            <w:r>
              <w:t xml:space="preserve"> за сигурност на тази информация при нейното създаване и в съответствие с член 18,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31 – параграф 1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върху всяка страница се отбелязва ясно нивото на класификация;</w:t>
            </w:r>
          </w:p>
        </w:tc>
        <w:tc>
          <w:tcPr>
            <w:tcW w:w="4876" w:type="dxa"/>
          </w:tcPr>
          <w:p>
            <w:pPr>
              <w:pStyle w:val="Normal6a"/>
            </w:pPr>
            <w:r>
              <w:rPr>
                <w:b/>
                <w:i/>
              </w:rPr>
              <w:t>a</w:t>
            </w:r>
            <w:r>
              <w:t>)</w:t>
            </w:r>
            <w:r>
              <w:tab/>
            </w:r>
            <w:r>
              <w:t xml:space="preserve">върху всяка страница се отбелязва ясно нивото на класификация </w:t>
            </w:r>
            <w:r>
              <w:rPr>
                <w:b/>
                <w:i/>
              </w:rPr>
              <w:t>и продължителността на класификацията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32 – заглавие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Контрол</w:t>
            </w:r>
            <w:r>
              <w:t xml:space="preserve"> на създателя</w:t>
            </w:r>
          </w:p>
        </w:tc>
        <w:tc>
          <w:tcPr>
            <w:tcW w:w="4876" w:type="dxa"/>
          </w:tcPr>
          <w:p>
            <w:pPr>
              <w:pStyle w:val="Normal6a"/>
            </w:pPr>
            <w:r>
              <w:rPr>
                <w:b/>
                <w:i/>
              </w:rPr>
              <w:t>Съгласие</w:t>
            </w:r>
            <w:r>
              <w:t xml:space="preserve"> на създателя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32 – параграф 1 – уводна част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Институцията или органът на Съюза, под чието ръководство се създава документ с КИЕС, упражнява върху него „контрол на създателя“. Създателят определя нивото на класификацията на документа и отговаря за неговото първоначално разпространение. Без да се засяга Регламент 1049/2001, е необходимо предварително писмено съгласие на създателя, преди информацията да бъде:</w:t>
            </w:r>
          </w:p>
        </w:tc>
        <w:tc>
          <w:tcPr>
            <w:tcW w:w="4876" w:type="dxa"/>
          </w:tcPr>
          <w:p>
            <w:pPr>
              <w:pStyle w:val="Normal6a"/>
            </w:pPr>
            <w:r>
              <w:t>1.</w:t>
            </w:r>
            <w:r>
              <w:tab/>
            </w:r>
            <w:r>
              <w:t xml:space="preserve">Институцията или органът на Съюза, под чието ръководство се създава документ с КИЕС, упражнява върху него „контрол на създателя“. Създателят определя нивото на класификацията на документа и отговаря за неговото първоначално разпространение. </w:t>
            </w:r>
            <w:r>
              <w:rPr>
                <w:b/>
                <w:i/>
              </w:rPr>
              <w:t>Създателят може да се консултира с предвидените получатели относно нивото на класификация на документ с КИЕС, по-специално в случай на съмнение относно поверителния характер на дадена информация и подходящото ѝ ниво на класификация, както и за да се предотврати свръхкласификация на тези документи.</w:t>
            </w:r>
            <w:r>
              <w:t xml:space="preserve"> </w:t>
            </w:r>
            <w:r>
              <w:rPr>
                <w:b/>
                <w:i/>
              </w:rPr>
              <w:t>За целите на първоначалното разпространение на документ с КИЕС създателят взема предвид правата и задълженията на получателите на информация, произтичащи от Договорите.</w:t>
            </w:r>
            <w:r>
              <w:t xml:space="preserve"> Без да се засяга Регламент 1049/2001, е необходимо предварително писмено съгласие на създателя, преди информацията да бъде: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32 – параграф 1 – уводна част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Институцията или органът на Съюза, под чието ръководство </w:t>
            </w:r>
            <w:r>
              <w:rPr>
                <w:b/>
                <w:i/>
              </w:rPr>
              <w:t>се създава</w:t>
            </w:r>
            <w:r>
              <w:t xml:space="preserve"> документ с КИЕС, упражнява върху него </w:t>
            </w:r>
            <w:r>
              <w:rPr>
                <w:b/>
                <w:i/>
              </w:rPr>
              <w:t>„контрол</w:t>
            </w:r>
            <w:r>
              <w:t xml:space="preserve"> на създателя</w:t>
            </w:r>
            <w:r>
              <w:rPr>
                <w:b/>
                <w:i/>
              </w:rPr>
              <w:t>“</w:t>
            </w:r>
            <w:r>
              <w:t xml:space="preserve">. Създателят определя нивото на </w:t>
            </w:r>
            <w:r>
              <w:rPr>
                <w:b/>
                <w:i/>
              </w:rPr>
              <w:t>класификацията</w:t>
            </w:r>
            <w:r>
              <w:t xml:space="preserve"> на документа и отговаря за неговото първоначално разпространение. </w:t>
            </w:r>
            <w:r>
              <w:rPr>
                <w:b/>
                <w:i/>
              </w:rPr>
              <w:t>Без да се засяга Регламент 1049/2001,</w:t>
            </w:r>
            <w:r>
              <w:t xml:space="preserve"> е необходимо </w:t>
            </w:r>
            <w:r>
              <w:rPr>
                <w:b/>
                <w:i/>
              </w:rPr>
              <w:t>предварително писмено съгласие на създателя</w:t>
            </w:r>
            <w:r>
              <w:t>, преди информацията да бъде:</w:t>
            </w:r>
          </w:p>
        </w:tc>
        <w:tc>
          <w:tcPr>
            <w:tcW w:w="4876" w:type="dxa"/>
          </w:tcPr>
          <w:p>
            <w:pPr>
              <w:pStyle w:val="Normal6a"/>
            </w:pPr>
            <w:r>
              <w:t>1.</w:t>
            </w:r>
            <w:r>
              <w:tab/>
            </w:r>
            <w:r>
              <w:t xml:space="preserve">Институцията или органът на Съюза, под чието ръководство </w:t>
            </w:r>
            <w:r>
              <w:rPr>
                <w:b/>
                <w:i/>
              </w:rPr>
              <w:t>е създаден</w:t>
            </w:r>
            <w:r>
              <w:t xml:space="preserve"> документ с КИЕС </w:t>
            </w:r>
            <w:r>
              <w:rPr>
                <w:b/>
                <w:i/>
              </w:rPr>
              <w:t>с ниво на класификация за сигурност с гриф CONFIDENTIEL UE/EU-CONFIDENTIAL или по-високо</w:t>
            </w:r>
            <w:r>
              <w:t xml:space="preserve">, упражнява върху него </w:t>
            </w:r>
            <w:r>
              <w:rPr>
                <w:b/>
                <w:i/>
              </w:rPr>
              <w:t>право на съгласие</w:t>
            </w:r>
            <w:r>
              <w:t xml:space="preserve"> на създателя </w:t>
            </w:r>
            <w:r>
              <w:rPr>
                <w:b/>
                <w:i/>
              </w:rPr>
              <w:t>на документа</w:t>
            </w:r>
            <w:r>
              <w:t xml:space="preserve">. Създателят определя нивото на </w:t>
            </w:r>
            <w:r>
              <w:rPr>
                <w:b/>
                <w:i/>
              </w:rPr>
              <w:t>първоначалната класификация</w:t>
            </w:r>
            <w:r>
              <w:t xml:space="preserve"> на документа и отговаря за неговото първоначално разпространение. </w:t>
            </w:r>
            <w:r>
              <w:rPr>
                <w:b/>
                <w:i/>
              </w:rPr>
              <w:t>Предварителното писмено съгласие на създателя се получава, ако</w:t>
            </w:r>
            <w:r>
              <w:t xml:space="preserve"> е необходимо</w:t>
            </w:r>
            <w:r>
              <w:rPr>
                <w:b/>
                <w:i/>
              </w:rPr>
              <w:t>, за да се защитят основните интереси на Европейския съюз или на една или повече от неговите държави членки в областта на обществената сигурност, отбраната и военните въпроси, международните отношения или финансовата, паричната или икономическата политика</w:t>
            </w:r>
            <w:r>
              <w:t>, преди информацията да бъде: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32 – параграф 1 – буква 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г)</w:t>
            </w:r>
            <w:r>
              <w:tab/>
            </w:r>
            <w:r>
              <w:rPr>
                <w:b/>
                <w:i/>
              </w:rPr>
              <w:t>копирана и превеждана, когато е с ниво TRES SECRET-UE/EU-TOP SECRET.</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Когато създателят на документ с КИЕС не може да бъде установен, институцията или органът на Съюза, която/който притежава тази класифицирана информация, упражнява </w:t>
            </w:r>
            <w:r>
              <w:rPr>
                <w:b/>
                <w:i/>
              </w:rPr>
              <w:t>контрол</w:t>
            </w:r>
            <w:r>
              <w:t xml:space="preserve"> от първоизточника.</w:t>
            </w:r>
          </w:p>
        </w:tc>
        <w:tc>
          <w:tcPr>
            <w:tcW w:w="4876" w:type="dxa"/>
          </w:tcPr>
          <w:p>
            <w:pPr>
              <w:pStyle w:val="Normal6a"/>
            </w:pPr>
            <w:r>
              <w:t>2.</w:t>
            </w:r>
            <w:r>
              <w:tab/>
            </w:r>
            <w:r>
              <w:t xml:space="preserve">Когато създателят на документ с КИЕС не може да бъде установен, институцията или органът на Съюза, която/който притежава тази класифицирана информация, упражнява </w:t>
            </w:r>
            <w:r>
              <w:rPr>
                <w:b/>
                <w:i/>
              </w:rPr>
              <w:t>право на съгласие</w:t>
            </w:r>
            <w:r>
              <w:t xml:space="preserve"> от първоизточника.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35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Информацията е класифицирана само докато е необходима нейната защита. При КИЕС, за която вече не е нужно първоначалното ниво на класификация, то се понижава. КИЕС, която вече изобщо не е нужно да се смята за класифицирана, се декласифицира.</w:t>
            </w:r>
          </w:p>
        </w:tc>
        <w:tc>
          <w:tcPr>
            <w:tcW w:w="4876" w:type="dxa"/>
          </w:tcPr>
          <w:p>
            <w:pPr>
              <w:pStyle w:val="Normal6a"/>
            </w:pPr>
            <w:r>
              <w:t>1.</w:t>
            </w:r>
            <w:r>
              <w:tab/>
            </w:r>
            <w:r>
              <w:t xml:space="preserve">Информацията е класифицирана само докато е необходима нейната защита. При КИЕС, за която вече не е нужно първоначалното ниво на класификация, то се понижава. КИЕС, която вече изобщо не е нужно да се смята за класифицирана, се декласифицира. </w:t>
            </w:r>
            <w:r>
              <w:rPr>
                <w:b/>
                <w:i/>
              </w:rPr>
              <w:t>Всяка класификация се преразглежда най-късно една година след създаването на документа и всяка година след това.</w:t>
            </w:r>
            <w:r>
              <w:t xml:space="preserve"> </w:t>
            </w:r>
            <w:r>
              <w:rPr>
                <w:b/>
                <w:i/>
              </w:rPr>
              <w:t>В случай на документи, които се отнасят до текущ законодателен процес, този преглед се извършва не по-късно от два месеца след създаването на документа и на всеки два месеца след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35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При създаване на КИЕС създателят обозначава</w:t>
            </w:r>
            <w:r>
              <w:rPr>
                <w:b/>
                <w:i/>
              </w:rPr>
              <w:t>, когато е възможно, и особено за информация с ниво на класификация за сигурност RESTREINT UE/EU RESTRICTED, дали нивото на класификация</w:t>
            </w:r>
            <w:r>
              <w:t xml:space="preserve"> на КИЕС може да бъде </w:t>
            </w:r>
            <w:r>
              <w:rPr>
                <w:b/>
                <w:i/>
              </w:rPr>
              <w:t>понижено или информацията може да бъде декласифицирана</w:t>
            </w:r>
            <w:r>
              <w:t xml:space="preserve"> на определена дата или след настъпване на определено събитие.</w:t>
            </w:r>
          </w:p>
        </w:tc>
        <w:tc>
          <w:tcPr>
            <w:tcW w:w="4876" w:type="dxa"/>
          </w:tcPr>
          <w:p>
            <w:pPr>
              <w:pStyle w:val="Normal6a"/>
            </w:pPr>
            <w:r>
              <w:t>2.</w:t>
            </w:r>
            <w:r>
              <w:tab/>
            </w:r>
            <w:r>
              <w:t xml:space="preserve">При създаване на КИЕС създателят обозначава </w:t>
            </w:r>
            <w:r>
              <w:rPr>
                <w:b/>
                <w:i/>
              </w:rPr>
              <w:t>дали класификацията</w:t>
            </w:r>
            <w:r>
              <w:t xml:space="preserve"> на КИЕС може да бъде </w:t>
            </w:r>
            <w:r>
              <w:rPr>
                <w:b/>
                <w:i/>
              </w:rPr>
              <w:t>понижена или премахната</w:t>
            </w:r>
            <w:r>
              <w:t xml:space="preserve"> на определена дата или след настъпване на определено събитие.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35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При създаване на КИЕС създателят обозначава, когато е възможно, </w:t>
            </w:r>
            <w:r>
              <w:rPr>
                <w:b/>
                <w:i/>
              </w:rPr>
              <w:t>и особено за информация с ниво на класификация за сигурност RESTREINT UE/EU RESTRICTED, дали нивото на класификация</w:t>
            </w:r>
            <w:r>
              <w:t xml:space="preserve"> на КИЕС може да бъде </w:t>
            </w:r>
            <w:r>
              <w:rPr>
                <w:b/>
                <w:i/>
              </w:rPr>
              <w:t>понижено или информацията може да бъде декласифицирана</w:t>
            </w:r>
            <w:r>
              <w:t xml:space="preserve"> на определена дата или след настъпване на определено събитие.</w:t>
            </w:r>
          </w:p>
        </w:tc>
        <w:tc>
          <w:tcPr>
            <w:tcW w:w="4876" w:type="dxa"/>
          </w:tcPr>
          <w:p>
            <w:pPr>
              <w:pStyle w:val="Normal6a"/>
            </w:pPr>
            <w:r>
              <w:t>2.</w:t>
            </w:r>
            <w:r>
              <w:tab/>
            </w:r>
            <w:r>
              <w:t xml:space="preserve">При създаване на КИЕС създателят обозначава, когато е възможно, </w:t>
            </w:r>
            <w:r>
              <w:rPr>
                <w:b/>
                <w:i/>
              </w:rPr>
              <w:t>дали класификацията</w:t>
            </w:r>
            <w:r>
              <w:t xml:space="preserve"> на КИЕС може да бъде </w:t>
            </w:r>
            <w:r>
              <w:rPr>
                <w:b/>
                <w:i/>
              </w:rPr>
              <w:t>понижена или премахната</w:t>
            </w:r>
            <w:r>
              <w:t xml:space="preserve"> на определена дата или след настъпване на определено събитие.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35 – параграф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Институцията или органът</w:t>
            </w:r>
            <w:r>
              <w:t xml:space="preserve"> на Съюза</w:t>
            </w:r>
            <w:r>
              <w:rPr>
                <w:b/>
                <w:i/>
              </w:rPr>
              <w:t>, която/който създава документ с КИЕС,</w:t>
            </w:r>
            <w:r>
              <w:t xml:space="preserve"> отговаря за взимането на решение дали </w:t>
            </w:r>
            <w:r>
              <w:rPr>
                <w:b/>
                <w:i/>
              </w:rPr>
              <w:t>неговото ниво</w:t>
            </w:r>
            <w:r>
              <w:t xml:space="preserve"> на класификация </w:t>
            </w:r>
            <w:r>
              <w:rPr>
                <w:b/>
                <w:i/>
              </w:rPr>
              <w:t>може да бъде понижено или може да бъде декласифициран.</w:t>
            </w:r>
            <w:r>
              <w:t xml:space="preserve"> </w:t>
            </w:r>
            <w:r>
              <w:rPr>
                <w:b/>
                <w:i/>
              </w:rPr>
              <w:t>Тя/той прави преглед на информацията и преценява рисковете периодично и най-малко на всеки 5 години, за да определи дали първоначалното ниво на класификация продължава да е подходящо</w:t>
            </w:r>
            <w:r>
              <w:t>.</w:t>
            </w:r>
          </w:p>
        </w:tc>
        <w:tc>
          <w:tcPr>
            <w:tcW w:w="4876" w:type="dxa"/>
          </w:tcPr>
          <w:p>
            <w:pPr>
              <w:pStyle w:val="Normal6a"/>
            </w:pPr>
            <w:r>
              <w:t>3.</w:t>
            </w:r>
            <w:r>
              <w:tab/>
            </w:r>
            <w:r>
              <w:rPr>
                <w:b/>
                <w:i/>
              </w:rPr>
              <w:t>Всяка институция или орган</w:t>
            </w:r>
            <w:r>
              <w:t xml:space="preserve"> на Съюза отговаря за взимането на решение дали </w:t>
            </w:r>
            <w:r>
              <w:rPr>
                <w:b/>
                <w:i/>
              </w:rPr>
              <w:t>нивото</w:t>
            </w:r>
            <w:r>
              <w:t xml:space="preserve"> на класификация </w:t>
            </w:r>
            <w:r>
              <w:rPr>
                <w:b/>
                <w:i/>
              </w:rPr>
              <w:t>на документ, съдържащ КИЕС, може да бъде понижено или документът може да бъде декласифициран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38 – параграф 1 – алинея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Самите оперативни подробности на плановете за евакуация и унищожаване в случай на спешност се класифицират </w:t>
            </w:r>
            <w:r>
              <w:rPr>
                <w:b/>
                <w:i/>
              </w:rPr>
              <w:t>като RESTREINT UE/EU RESTRICTED</w:t>
            </w:r>
            <w:r>
              <w:t>.</w:t>
            </w:r>
          </w:p>
        </w:tc>
        <w:tc>
          <w:tcPr>
            <w:tcW w:w="4876" w:type="dxa"/>
          </w:tcPr>
          <w:p>
            <w:pPr>
              <w:pStyle w:val="Normal6a"/>
            </w:pPr>
            <w:r>
              <w:t>Самите оперативни подробности на плановете за евакуация и унищожаване в случай на спешност се класифицират.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39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Решения дали и кога да се архивира КИЕС и относно съответните практически мерки</w:t>
            </w:r>
            <w:r>
              <w:t xml:space="preserve"> институциите и органите на Съюза </w:t>
            </w:r>
            <w:r>
              <w:rPr>
                <w:b/>
                <w:i/>
              </w:rPr>
              <w:t>вземат в съответствие със своята политика за управление на документите</w:t>
            </w:r>
            <w:r>
              <w:t>.</w:t>
            </w:r>
          </w:p>
        </w:tc>
        <w:tc>
          <w:tcPr>
            <w:tcW w:w="4876" w:type="dxa"/>
          </w:tcPr>
          <w:p>
            <w:pPr>
              <w:pStyle w:val="Normal6a"/>
            </w:pPr>
            <w:r>
              <w:t>1.</w:t>
            </w:r>
            <w:r>
              <w:tab/>
            </w:r>
            <w:r>
              <w:t xml:space="preserve">Институциите и органите на Съюза </w:t>
            </w:r>
            <w:r>
              <w:rPr>
                <w:b/>
                <w:i/>
              </w:rPr>
              <w:t>решават дали и кога да архивират КИЕС и съответните уеднаквени практически мерки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39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Документи с КИЕС не се прехвърлят в Историческите архиви на Европейския съюз.</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39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Член 39а</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Спорове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В случай на съмнение относно защитения характер на дадена информация или нейното подходящо ниво на класификация институциите и органите на Съюза се консултират помежду си незабавно и преди предаването на информацията.</w:t>
            </w:r>
            <w:r>
              <w:t xml:space="preserve"> </w:t>
            </w:r>
            <w:r>
              <w:rPr>
                <w:b/>
                <w:i/>
              </w:rPr>
              <w:t>В случай на разногласие въпросът се отнася до председателите на институциите или органите, за да бъде разрешен спорът.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Ако в края на процедурата, посочена в параграф 1, не бъде постигнато споразумение, отказът да се преразгледа защитеният характер на информацията или нейното подходящо ниво на класификация подлежи на контрол за законосъобразност в съответствие с член 263 от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40 – параграф 1 – буква в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ва)</w:t>
            </w:r>
            <w:r>
              <w:tab/>
            </w:r>
            <w:r>
              <w:rPr>
                <w:b/>
                <w:i/>
              </w:rPr>
              <w:t>наблюдаване на спазването от страна на институциите и органите на Съюза на съответните разпоредби на настоящия регламент, както и на документите с насоки, приети от координационната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41 – параграф 1 – буква 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б)</w:t>
            </w:r>
            <w:r>
              <w:tab/>
            </w:r>
            <w:r>
              <w:rPr>
                <w:b/>
                <w:i/>
              </w:rPr>
              <w:t>основните</w:t>
            </w:r>
            <w:r>
              <w:t xml:space="preserve"> принципи за сигурност за проектирането на КИС, които боравят с КИЕС и я съхраняват, се прилагат от началото на проекта като част от процеса за управление на риска за сигурността на информацията, като се вземат под внимание принципите за „необходимост да се знае“, минимална функционалност, защита в дълбочина, функциониране с най-малка привилегия, разделяне на функциите и „четирите очи“;</w:t>
            </w:r>
          </w:p>
        </w:tc>
        <w:tc>
          <w:tcPr>
            <w:tcW w:w="4876" w:type="dxa"/>
          </w:tcPr>
          <w:p>
            <w:pPr>
              <w:pStyle w:val="Normal6a"/>
            </w:pPr>
            <w:r>
              <w:t>б)</w:t>
            </w:r>
            <w:r>
              <w:tab/>
            </w:r>
            <w:r>
              <w:rPr>
                <w:b/>
                <w:i/>
              </w:rPr>
              <w:t>жизненоважните</w:t>
            </w:r>
            <w:r>
              <w:t xml:space="preserve"> принципи за сигурност за проектирането на КИС, които боравят с КИЕС и я съхраняват, се прилагат от началото на проекта като част от процеса за управление на риска за сигурността на информацията, като се вземат под внимание принципите за „необходимост да се знае“, минимална функционалност, защита в дълбочина, функциониране с най-малка привилегия, разделяне на функциите и „четирите очи“;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41 – параграф 1 – буква e a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еа)</w:t>
            </w:r>
            <w:r>
              <w:tab/>
            </w:r>
            <w:r>
              <w:rPr>
                <w:b/>
                <w:i/>
              </w:rPr>
              <w:t>собственикът на системата или оперативният орган за осигуреност на информацията гарантират наличието на процес за установяване и докладване на уязвимости;</w:t>
            </w:r>
            <w:r>
              <w:t xml:space="preserve"> </w:t>
            </w:r>
            <w:r>
              <w:rPr>
                <w:b/>
                <w:i/>
              </w:rPr>
              <w:t>този процес бива допълван от редовни одити и тестове за проникване, когато е целесъобразно.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42 – параграф 1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1а.</w:t>
            </w:r>
            <w:r>
              <w:tab/>
            </w:r>
            <w:r>
              <w:rPr>
                <w:b/>
                <w:i/>
              </w:rPr>
              <w:t>За цялата информация и материал, класифицирани като КИЕС, Съветът поддържа списък на одобрени криптографски продукти въз основа на информация от националните органи по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42 – параграф 4 а (нов)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4а.</w:t>
            </w:r>
            <w:r>
              <w:tab/>
            </w:r>
            <w:r>
              <w:rPr>
                <w:b/>
                <w:i/>
              </w:rPr>
              <w:t>За информация и материали, обозначени с ниво на класификация за сигурност с гриф RESTREINT UE/EU RESTRICTED, ENISA/EU-CERT изготвя(т) списък на допълнителните одобрени криптографски продукти в срок от 18 месеца след публикуването на регламента в Официален вестник на Европейския съюз.</w:t>
            </w:r>
            <w:r>
              <w:t xml:space="preserve"> </w:t>
            </w:r>
            <w:r>
              <w:rPr>
                <w:b/>
                <w:i/>
              </w:rPr>
              <w:t>Списъкът следва да се преразглежда с оглед на актуализирането му с оглед на технологичното и пазарното развитие всяка следваща година.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42 – параграф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Координационната група ежегодно информира Съвета за всички криптографски продукти, които препоръчва за оценяване от орган за криптографско одобрение на държава членка въз основа на проучване, извършено в институциите </w:t>
            </w:r>
            <w:r>
              <w:rPr>
                <w:b/>
                <w:i/>
              </w:rPr>
              <w:t>и</w:t>
            </w:r>
            <w:r>
              <w:t xml:space="preserve"> органите на Съюза.</w:t>
            </w:r>
          </w:p>
        </w:tc>
        <w:tc>
          <w:tcPr>
            <w:tcW w:w="4876" w:type="dxa"/>
          </w:tcPr>
          <w:p>
            <w:pPr>
              <w:pStyle w:val="Normal6a"/>
            </w:pPr>
            <w:r>
              <w:t>5.</w:t>
            </w:r>
            <w:r>
              <w:tab/>
            </w:r>
            <w:r>
              <w:t xml:space="preserve">Координационната група ежегодно информира Съвета за всички криптографски продукти, които препоръчва за оценяване от орган за криптографско одобрение на държава членка </w:t>
            </w:r>
            <w:r>
              <w:rPr>
                <w:b/>
                <w:i/>
              </w:rPr>
              <w:t>или ENISA/EU-CERT</w:t>
            </w:r>
            <w:r>
              <w:t xml:space="preserve"> въз основа на проучване, извършено в институциите </w:t>
            </w:r>
            <w:r>
              <w:rPr>
                <w:b/>
                <w:i/>
              </w:rPr>
              <w:t>или</w:t>
            </w:r>
            <w:r>
              <w:t xml:space="preserve"> органите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Всички институции и органи на Съюза </w:t>
            </w:r>
            <w:r>
              <w:rPr>
                <w:b/>
                <w:i/>
              </w:rPr>
              <w:t>може да</w:t>
            </w:r>
            <w:r>
              <w:t xml:space="preserve"> споделят КИЕС с други институции и органи на Съюза при условията, определени в член 54.</w:t>
            </w:r>
          </w:p>
        </w:tc>
        <w:tc>
          <w:tcPr>
            <w:tcW w:w="4876" w:type="dxa"/>
          </w:tcPr>
          <w:p>
            <w:pPr>
              <w:pStyle w:val="Normal6a"/>
            </w:pPr>
            <w:r>
              <w:t>1.</w:t>
            </w:r>
            <w:r>
              <w:tab/>
            </w:r>
            <w:r>
              <w:t>Всички институции и органи на Съюза споделят КИЕС с други институции и органи на Съюза при условията, определени в член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Подгрупата по споделянето на КИЕС и обмена на класифицирана информация се състои от представители на Комисията, Съвета и Европейската служба за външна дейност и работи с консенсус.</w:t>
            </w:r>
          </w:p>
        </w:tc>
        <w:tc>
          <w:tcPr>
            <w:tcW w:w="4876" w:type="dxa"/>
          </w:tcPr>
          <w:p>
            <w:pPr>
              <w:pStyle w:val="Normal6a"/>
            </w:pPr>
            <w:r>
              <w:t>2.</w:t>
            </w:r>
            <w:r>
              <w:tab/>
            </w:r>
            <w:r>
              <w:t xml:space="preserve">Подгрупата по споделянето на КИЕС и обмена на класифицирана информация се състои от представители на </w:t>
            </w:r>
            <w:r>
              <w:rPr>
                <w:b/>
                <w:i/>
              </w:rPr>
              <w:t>Европейския парламент,</w:t>
            </w:r>
            <w:r>
              <w:t xml:space="preserve"> Комисията, Съвета и Европейската служба за външна дейност и работи с консенсус. </w:t>
            </w:r>
            <w:r>
              <w:rPr>
                <w:b/>
                <w:i/>
              </w:rPr>
              <w:t>Тази подгрупа се стреми към справедлив баланс между необходимостта от защита на КИЕС и Регламент (ЕО) № 1049/2001 и гарантира, че класификацията сама по себе си не възпрепятства разкриването ѝ.</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Подгрупата по споделянето на КИЕС и обмена на класифицирана информация се състои от представители на Комисията, Съвета и Европейската служба за външна дейност и работи с консенсус.</w:t>
            </w:r>
          </w:p>
        </w:tc>
        <w:tc>
          <w:tcPr>
            <w:tcW w:w="4876" w:type="dxa"/>
          </w:tcPr>
          <w:p>
            <w:pPr>
              <w:pStyle w:val="Normal6a"/>
            </w:pPr>
            <w:r>
              <w:t>2.</w:t>
            </w:r>
            <w:r>
              <w:tab/>
            </w:r>
            <w:r>
              <w:t xml:space="preserve">Подгрупата по споделянето на КИЕС и обмена на класифицирана информация се състои от представители на </w:t>
            </w:r>
            <w:r>
              <w:rPr>
                <w:b/>
                <w:i/>
              </w:rPr>
              <w:t>Европейския парламент,</w:t>
            </w:r>
            <w:r>
              <w:t xml:space="preserve"> Комисията, Съвета и Европейската служба за външна дейност и работи с консенсус.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52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Подгрупата по споделянето на КИЕС и обмена на класифицирана информация се състои от представители на Комисията, Съвета и Европейската служба за външна дейност и работи с консенсус.</w:t>
            </w:r>
          </w:p>
        </w:tc>
        <w:tc>
          <w:tcPr>
            <w:tcW w:w="4876" w:type="dxa"/>
          </w:tcPr>
          <w:p>
            <w:pPr>
              <w:pStyle w:val="Normal6a"/>
            </w:pPr>
            <w:r>
              <w:t>2.</w:t>
            </w:r>
            <w:r>
              <w:tab/>
            </w:r>
            <w:r>
              <w:t xml:space="preserve">Подгрупата по споделянето на КИЕС и обмена на класифицирана информация се състои от представители на </w:t>
            </w:r>
            <w:r>
              <w:rPr>
                <w:b/>
                <w:i/>
              </w:rPr>
              <w:t>Европейския парламент,</w:t>
            </w:r>
            <w:r>
              <w:t xml:space="preserve"> Комисията, Съвета и Европейската служба за външна дейност и работи с консенсус.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Констандинос Арванитис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54 – параграф 1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 xml:space="preserve">съществува </w:t>
            </w:r>
            <w:r>
              <w:rPr>
                <w:b/>
                <w:i/>
              </w:rPr>
              <w:t>доказана необходимост от споделяне</w:t>
            </w:r>
            <w:r>
              <w:t>;</w:t>
            </w:r>
          </w:p>
        </w:tc>
        <w:tc>
          <w:tcPr>
            <w:tcW w:w="4876" w:type="dxa"/>
          </w:tcPr>
          <w:p>
            <w:pPr>
              <w:pStyle w:val="Normal6a"/>
            </w:pPr>
            <w:r>
              <w:rPr>
                <w:b/>
                <w:i/>
              </w:rPr>
              <w:t>a</w:t>
            </w:r>
            <w:r>
              <w:t>)</w:t>
            </w:r>
            <w:r>
              <w:tab/>
            </w:r>
            <w:r>
              <w:t>съществува</w:t>
            </w:r>
            <w:r>
              <w:rPr>
                <w:b/>
                <w:i/>
              </w:rPr>
              <w:t>правно задължение по линия на правото на Съюза или на споразумение, сключено между институциите на Съюза</w:t>
            </w:r>
            <w:r>
              <w:t>;</w:t>
            </w:r>
            <w:r>
              <w:rPr>
                <w:b/>
                <w:i/>
              </w:rPr>
              <w:t>или</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а) съществува доказана необходимост от споделяне;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54 – параграф 1 – буква a а (нова)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aа)</w:t>
            </w:r>
            <w:r>
              <w:tab/>
            </w:r>
            <w:r>
              <w:rPr>
                <w:b/>
                <w:i/>
              </w:rPr>
              <w:t>съществува правно задължение съгласно Договорите, вторичното право на Съюза или междуинституционално споразумение, сключено между институциите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54 – параграф 1 – буква 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в)</w:t>
            </w:r>
            <w:r>
              <w:tab/>
            </w:r>
            <w:r>
              <w:rPr>
                <w:b/>
                <w:i/>
              </w:rPr>
              <w:t>органът по сигурността на въпросната институция или орган на Съюза взема решение, че тя/той може да сподели информация, класифицирана до конкретно ниво, с други институции и органи на Съюза с такава удостоверена способност.</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56 – параграф 1 – буква а</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w:t>
            </w:r>
            <w:r>
              <w:t>)</w:t>
            </w:r>
            <w:r>
              <w:tab/>
            </w:r>
            <w:r>
              <w:t xml:space="preserve">необходимо е съответната институция или орган на Съюза дългосрочно да обменя информация, по правило класифицирана на не по-високо ниво от </w:t>
            </w:r>
            <w:r>
              <w:rPr>
                <w:b/>
                <w:i/>
              </w:rPr>
              <w:t>RESTREINT UE/EU RESTRICTED</w:t>
            </w:r>
            <w:r>
              <w:t>, с партньора си в трета държава или международна организация;</w:t>
            </w:r>
          </w:p>
        </w:tc>
        <w:tc>
          <w:tcPr>
            <w:tcW w:w="4876" w:type="dxa"/>
          </w:tcPr>
          <w:p>
            <w:pPr>
              <w:pStyle w:val="Normal6a"/>
            </w:pPr>
            <w:r>
              <w:rPr>
                <w:b/>
                <w:i/>
              </w:rPr>
              <w:t>a</w:t>
            </w:r>
            <w:r>
              <w:t>)</w:t>
            </w:r>
            <w:r>
              <w:tab/>
            </w:r>
            <w:r>
              <w:t xml:space="preserve">необходимо е съответната институция или орган на Съюза дългосрочно да обменя информация, по правило класифицирана на не по-високо ниво от </w:t>
            </w:r>
            <w:r>
              <w:rPr>
                <w:b/>
                <w:i/>
              </w:rPr>
              <w:t>CONFIDENTIEL UE/EU CONFIDENTIAL</w:t>
            </w:r>
            <w:r>
              <w:t>, с партньора си в трета държава или международна организация;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60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За всички институции и органи на Съюза, които според направена преди [дд/мм/гггг датата на приложимост] оценка на Комисията, на Съвета или ЕСВД са подходящи да боравят с КИЕС и да я съхраняват, се счита, че изпълняват условията, определени в член 19, параграф 1.</w:t>
            </w:r>
          </w:p>
        </w:tc>
        <w:tc>
          <w:tcPr>
            <w:tcW w:w="4876" w:type="dxa"/>
          </w:tcPr>
          <w:p>
            <w:pPr>
              <w:pStyle w:val="Normal6a"/>
            </w:pPr>
            <w:r>
              <w:t>2.</w:t>
            </w:r>
            <w:r>
              <w:tab/>
            </w:r>
            <w:r>
              <w:t xml:space="preserve">За всички институции и органи на Съюза, които според направена преди [дд/мм/гггг датата на приложимост] оценка на </w:t>
            </w:r>
            <w:r>
              <w:rPr>
                <w:b/>
                <w:i/>
              </w:rPr>
              <w:t>Европейския парламент,</w:t>
            </w:r>
            <w:r>
              <w:t xml:space="preserve"> Комисията, на Съвета или ЕСВД са подходящи да боравят с КИЕС и да я съхраняват, се счита, че изпълняват условията, определени в член 19,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Владимир Билчик</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60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За всички институции и органи на Съюза, които според направена преди [дд/мм/гггг датата на приложимост] оценка на Комисията, на Съвета или ЕСВД са подходящи да боравят с КИЕС и да я съхраняват, се счита, че изпълняват условията, определени в член 19, параграф 1.</w:t>
            </w:r>
          </w:p>
        </w:tc>
        <w:tc>
          <w:tcPr>
            <w:tcW w:w="4876" w:type="dxa"/>
          </w:tcPr>
          <w:p>
            <w:pPr>
              <w:pStyle w:val="Normal6a"/>
            </w:pPr>
            <w:r>
              <w:t>2.</w:t>
            </w:r>
            <w:r>
              <w:tab/>
            </w:r>
            <w:r>
              <w:t xml:space="preserve">За всички институции и органи на Съюза, които според направена преди [дд/мм/гггг датата на приложимост] оценка на </w:t>
            </w:r>
            <w:r>
              <w:rPr>
                <w:b/>
                <w:i/>
              </w:rPr>
              <w:t>Парламента,</w:t>
            </w:r>
            <w:r>
              <w:t xml:space="preserve"> Комисията, на Съвета или ЕСВД са подходящи да боравят с КИЕС и да я съхраняват, се счита, че изпълняват условията, определени в член 19, параграф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61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Най късно до [дд/мм/гггг </w:t>
            </w:r>
            <w:r>
              <w:rPr>
                <w:b/>
                <w:i/>
              </w:rPr>
              <w:t>три</w:t>
            </w:r>
            <w:r>
              <w:t xml:space="preserve"> години след началната дата на прилагане] Комисията следва да представи на Европейския парламент и на Съвета доклад за изпълнението на настоящия регламент.</w:t>
            </w:r>
          </w:p>
        </w:tc>
        <w:tc>
          <w:tcPr>
            <w:tcW w:w="4876" w:type="dxa"/>
          </w:tcPr>
          <w:p>
            <w:pPr>
              <w:pStyle w:val="Normal6a"/>
            </w:pPr>
            <w:r>
              <w:t>1.</w:t>
            </w:r>
            <w:r>
              <w:tab/>
            </w:r>
            <w:r>
              <w:t xml:space="preserve">Най късно до [дд/мм/гггг </w:t>
            </w:r>
            <w:r>
              <w:rPr>
                <w:b/>
                <w:i/>
              </w:rPr>
              <w:t>две</w:t>
            </w:r>
            <w:r>
              <w:t> години след началната дата на прилагане] Комисията следва да представи на Европейския парламент и на Съвета доклад за изпълнението на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Майте Пагасауртундуа Руис</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61 – параграф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Не по-рано от [</w:t>
            </w:r>
            <w:r>
              <w:rPr>
                <w:b/>
                <w:i/>
              </w:rPr>
              <w:t>пет</w:t>
            </w:r>
            <w:r>
              <w:t xml:space="preserve"> години след началната дата на прилагане] и на всеки пет години след това Комисията извършва оценка на настоящия регламент и представя на Европейския парламент и на Съвета доклад за основните констатации.</w:t>
            </w:r>
          </w:p>
        </w:tc>
        <w:tc>
          <w:tcPr>
            <w:tcW w:w="4876" w:type="dxa"/>
          </w:tcPr>
          <w:p>
            <w:pPr>
              <w:pStyle w:val="Normal6a"/>
            </w:pPr>
            <w:r>
              <w:t>2.</w:t>
            </w:r>
            <w:r>
              <w:tab/>
            </w:r>
            <w:r>
              <w:t>Не по-рано от [</w:t>
            </w:r>
            <w:r>
              <w:rPr>
                <w:b/>
                <w:i/>
              </w:rPr>
              <w:t>три</w:t>
            </w:r>
            <w:r>
              <w:t xml:space="preserve"> години след началната дата на прилагане] и на всеки пет години след това Комисията извършва оценка на настоящия регламент и представя на Европейския парламент и на Съвета доклад за основните констатации.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 – точка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Документите, съдържащи чувствителна некласифицирана информация, трябва да са обозначени с гриф за сигурност, а когато е уместно, и с едно или няколко обозначения за разпространение или указващи целевата аудитория, според случая. Стандартният гриф за сигурност е думата „</w:t>
            </w:r>
            <w:r>
              <w:rPr>
                <w:b/>
                <w:i/>
              </w:rPr>
              <w:t>SENSITIVE“ (чувствително</w:t>
            </w:r>
            <w:r>
              <w:t xml:space="preserve"> съдържание), написана с главни букви, с изключение на случаите, посочени в член 15, параграф 2.</w:t>
            </w:r>
          </w:p>
        </w:tc>
        <w:tc>
          <w:tcPr>
            <w:tcW w:w="4876" w:type="dxa"/>
          </w:tcPr>
          <w:p>
            <w:pPr>
              <w:pStyle w:val="Normal6a"/>
            </w:pPr>
            <w:r>
              <w:t>1.</w:t>
            </w:r>
            <w:r>
              <w:tab/>
            </w:r>
            <w:r>
              <w:t>Документите, съдържащи чувствителна некласифицирана информация, трябва да са обозначени с гриф за сигурност, а когато е уместно, и с едно или няколко обозначения за разпространение или указващи целевата аудитория, според случая. Стандартният гриф за сигурност е думата „</w:t>
            </w:r>
            <w:r>
              <w:rPr>
                <w:b/>
                <w:i/>
              </w:rPr>
              <w:t>PROTECTED“ (защитено</w:t>
            </w:r>
            <w:r>
              <w:t xml:space="preserve"> съдържание), написана с главни букви, с изключение на случаите, посочени в член 15, параграф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 – точка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Нивото на класификация на документи, обозначени като </w:t>
            </w:r>
            <w:r>
              <w:rPr>
                <w:b/>
                <w:i/>
              </w:rPr>
              <w:t>SENSITIVE</w:t>
            </w:r>
            <w:r>
              <w:t xml:space="preserve"> (чувствителна информация), се понижава до EU NORMAL (обикновена информация на ЕС) или PUBLIC USE (за обществено ползване), като се премахне или задраска грифът.</w:t>
            </w:r>
          </w:p>
        </w:tc>
        <w:tc>
          <w:tcPr>
            <w:tcW w:w="4876" w:type="dxa"/>
          </w:tcPr>
          <w:p>
            <w:pPr>
              <w:pStyle w:val="Normal6a"/>
            </w:pPr>
            <w:r>
              <w:t>4.</w:t>
            </w:r>
            <w:r>
              <w:tab/>
            </w:r>
            <w:r>
              <w:t xml:space="preserve">Нивото на класификация на документи, обозначени като </w:t>
            </w:r>
            <w:r>
              <w:rPr>
                <w:b/>
                <w:i/>
              </w:rPr>
              <w:t>PROTECTED</w:t>
            </w:r>
            <w:r>
              <w:t xml:space="preserve"> (чувствителна информация), се понижава до EU NORMAL (обикновена информация на ЕС) или PUBLIC USE (за обществено ползване), като се премахне или задраска грифът.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параграф 1 – точка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„разрешение за достъп на </w:t>
            </w:r>
            <w:r>
              <w:rPr>
                <w:b/>
                <w:i/>
              </w:rPr>
              <w:t>служител“ или „РДС“</w:t>
            </w:r>
            <w:r>
              <w:t xml:space="preserve"> означава изявление на </w:t>
            </w:r>
            <w:r>
              <w:rPr>
                <w:b/>
                <w:i/>
              </w:rPr>
              <w:t>съответен орган на държава членка</w:t>
            </w:r>
            <w:r>
              <w:t xml:space="preserve">, което се прави след приключване на проучване за надеждност, извършено от </w:t>
            </w:r>
            <w:r>
              <w:rPr>
                <w:b/>
                <w:i/>
              </w:rPr>
              <w:t>компетентния орган и</w:t>
            </w:r>
            <w:r>
              <w:t xml:space="preserve"> с което се удостоверява, че дадено лице може да получи достъп до КИЕС </w:t>
            </w:r>
            <w:r>
              <w:rPr>
                <w:b/>
                <w:i/>
              </w:rPr>
              <w:t>до</w:t>
            </w:r>
            <w:r>
              <w:t xml:space="preserve"> определено ниво (CONFIDENTIEL UE/EU CONFIDENTIAL или по-високо) за определен период от време</w:t>
            </w:r>
            <w:r>
              <w:rPr>
                <w:b/>
                <w:i/>
              </w:rPr>
              <w:t>;</w:t>
            </w:r>
          </w:p>
        </w:tc>
        <w:tc>
          <w:tcPr>
            <w:tcW w:w="4876" w:type="dxa"/>
          </w:tcPr>
          <w:p>
            <w:pPr>
              <w:pStyle w:val="Normal6a"/>
            </w:pPr>
            <w:r>
              <w:t>1)</w:t>
            </w:r>
            <w:r>
              <w:tab/>
            </w:r>
            <w:r>
              <w:rPr>
                <w:b/>
                <w:i/>
              </w:rPr>
              <w:t>1)</w:t>
            </w:r>
            <w:r>
              <w:t xml:space="preserve"> „разрешение за достъп на </w:t>
            </w:r>
            <w:r>
              <w:rPr>
                <w:b/>
                <w:i/>
              </w:rPr>
              <w:t>персонала“ (РДП)</w:t>
            </w:r>
            <w:r>
              <w:t xml:space="preserve"> означава изявление на </w:t>
            </w:r>
            <w:r>
              <w:rPr>
                <w:b/>
                <w:i/>
              </w:rPr>
              <w:t>Комисията</w:t>
            </w:r>
            <w:r>
              <w:t xml:space="preserve">, което се прави след приключване на проучване за надеждност, извършено от </w:t>
            </w:r>
            <w:r>
              <w:rPr>
                <w:b/>
                <w:i/>
              </w:rPr>
              <w:t>Комисията в сътрудничество с компетентните органи на съответната държава членка,</w:t>
            </w:r>
            <w:r>
              <w:t xml:space="preserve"> с което се удостоверява, че дадено лице може да получи достъп до КИЕС </w:t>
            </w:r>
            <w:r>
              <w:rPr>
                <w:b/>
                <w:i/>
              </w:rPr>
              <w:t>на</w:t>
            </w:r>
            <w:r>
              <w:t xml:space="preserve"> определено ниво (CONFIDENTIEL UE/EU CONFIDENTIAL или по-високо) </w:t>
            </w:r>
            <w:r>
              <w:rPr>
                <w:b/>
                <w:i/>
              </w:rPr>
              <w:t>или по-високо и</w:t>
            </w:r>
            <w:r>
              <w:t xml:space="preserve"> за определен период от време</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ІІ – параграф 1 – точка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„удостоверение за разрешение за достъп на служител“ означава удостоверение, издадено от </w:t>
            </w:r>
            <w:r>
              <w:rPr>
                <w:b/>
                <w:i/>
              </w:rPr>
              <w:t>компетентен орган</w:t>
            </w:r>
            <w:r>
              <w:t>, с което се удостоверява, че дадено лице притежава валидно разрешение за достъп до класифицирана информация или еквивалентно разрешение, или право на достъп, в което се посочват нивото на класификация на КИЕС, до което лицето може да има достъп (CONFIDENTIEL UE/EU CONFIDENTIAL или по-високо), датата, до която е валидно съответното разрешение или право, и датата, на която изтича валидността на самото удостоверение.</w:t>
            </w:r>
          </w:p>
        </w:tc>
        <w:tc>
          <w:tcPr>
            <w:tcW w:w="4876" w:type="dxa"/>
          </w:tcPr>
          <w:p>
            <w:pPr>
              <w:pStyle w:val="Normal6a"/>
            </w:pPr>
            <w:r>
              <w:t>2)</w:t>
            </w:r>
            <w:r>
              <w:tab/>
            </w:r>
            <w:r>
              <w:t xml:space="preserve">„удостоверение за разрешение за достъп на служител“ означава удостоверение, издадено от </w:t>
            </w:r>
            <w:r>
              <w:rPr>
                <w:b/>
                <w:i/>
              </w:rPr>
              <w:t>Комисията</w:t>
            </w:r>
            <w:r>
              <w:t>, с което се удостоверява, че дадено лице притежава валидно разрешение за достъп до класифицирана информация или еквивалентно разрешение, или право на достъп, в което се посочват нивото на класификация на КИЕС, до което лицето може да има достъп (CONFIDENTIEL UE/EU CONFIDENTIAL или по-високо), датата, до която е валидно съответното разрешение или право, и датата, на която изтича валидността на самото удостоверение.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Органът по сигурността на съответната институция или орган на Съюза трябва да поиска от лицето неговото съгласие за процедурата за проучване за надеждност, преди да изпрати попълнен въпросник за проучване за надеждност </w:t>
            </w:r>
            <w:r>
              <w:rPr>
                <w:b/>
                <w:i/>
              </w:rPr>
              <w:t>на националния орган по сигурността на държавата членка, чийто гражданин е заявителят</w:t>
            </w:r>
            <w:r>
              <w:t>.</w:t>
            </w:r>
          </w:p>
        </w:tc>
        <w:tc>
          <w:tcPr>
            <w:tcW w:w="4876" w:type="dxa"/>
          </w:tcPr>
          <w:p>
            <w:pPr>
              <w:pStyle w:val="Normal6a"/>
            </w:pPr>
            <w:r>
              <w:t>1.</w:t>
            </w:r>
            <w:r>
              <w:tab/>
            </w:r>
            <w:r>
              <w:t xml:space="preserve">Органът по сигурността на съответната институция или орган на Съюза трябва да поиска от лицето неговото съгласие за процедурата за проучване за надеждност, преди да изпрати </w:t>
            </w:r>
            <w:r>
              <w:rPr>
                <w:b/>
                <w:i/>
              </w:rPr>
              <w:t>на Комисията</w:t>
            </w:r>
            <w:r>
              <w:t xml:space="preserve"> попълнен въпросник за проучване за надеждност.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Когато на институция или орган на Съюза стане известна информация от значение за проучването за надеждност на лице, подало искане за разрешение за достъп до КИЕС, компетентният орган по сигурността уведомява за това </w:t>
            </w:r>
            <w:r>
              <w:rPr>
                <w:b/>
                <w:i/>
              </w:rPr>
              <w:t>съответния национален орган по сигурността</w:t>
            </w:r>
            <w:r>
              <w:t xml:space="preserve"> съгласно настоящия регламент.</w:t>
            </w:r>
          </w:p>
        </w:tc>
        <w:tc>
          <w:tcPr>
            <w:tcW w:w="4876" w:type="dxa"/>
          </w:tcPr>
          <w:p>
            <w:pPr>
              <w:pStyle w:val="Normal6a"/>
            </w:pPr>
            <w:r>
              <w:t>2.</w:t>
            </w:r>
            <w:r>
              <w:tab/>
            </w:r>
            <w:r>
              <w:t xml:space="preserve">Когато на институция или орган на Съюза стане известна информация от значение за проучването за надеждност на лице, подало искане за разрешение за достъп до КИЕС, компетентният орган по сигурността уведомява </w:t>
            </w:r>
            <w:r>
              <w:rPr>
                <w:b/>
                <w:i/>
              </w:rPr>
              <w:t>Комисията</w:t>
            </w:r>
            <w:r>
              <w:t xml:space="preserve"> за това съгласно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3 – уводна част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След като бъде уведомен </w:t>
            </w:r>
            <w:r>
              <w:rPr>
                <w:b/>
                <w:i/>
              </w:rPr>
              <w:t>от съответния национален орган по сигурността</w:t>
            </w:r>
            <w:r>
              <w:t xml:space="preserve"> за цялостната </w:t>
            </w:r>
            <w:r>
              <w:rPr>
                <w:b/>
                <w:i/>
              </w:rPr>
              <w:t>му</w:t>
            </w:r>
            <w:r>
              <w:t xml:space="preserve"> оценка на резултатите от проучването за надеждност, компетентният орган по сигурността:</w:t>
            </w:r>
          </w:p>
        </w:tc>
        <w:tc>
          <w:tcPr>
            <w:tcW w:w="4876" w:type="dxa"/>
          </w:tcPr>
          <w:p>
            <w:pPr>
              <w:pStyle w:val="Normal6a"/>
            </w:pPr>
            <w:r>
              <w:t>3.</w:t>
            </w:r>
            <w:r>
              <w:tab/>
            </w:r>
            <w:r>
              <w:t>След като бъде уведомен за цялостната оценка на резултатите от проучването за надеждност</w:t>
            </w:r>
            <w:r>
              <w:rPr>
                <w:b/>
                <w:i/>
              </w:rPr>
              <w:t>, извършена от Комисията</w:t>
            </w:r>
            <w:r>
              <w:t>, компетентният орган по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Ако лицето започне работа 12 или повече месеца след датата на съобщаването на резултата от проучването за надеждност или когато има прекъсване от 12 месеца в работата му, компетентният орган по сигурността трябва да поиска от </w:t>
            </w:r>
            <w:r>
              <w:rPr>
                <w:b/>
                <w:i/>
              </w:rPr>
              <w:t>съответния национален орган по сигурността</w:t>
            </w:r>
            <w:r>
              <w:t xml:space="preserve"> потвърждение за валидността на проучването за надеждност.</w:t>
            </w:r>
          </w:p>
        </w:tc>
        <w:tc>
          <w:tcPr>
            <w:tcW w:w="4876" w:type="dxa"/>
          </w:tcPr>
          <w:p>
            <w:pPr>
              <w:pStyle w:val="Normal6a"/>
            </w:pPr>
            <w:r>
              <w:t>4.</w:t>
            </w:r>
            <w:r>
              <w:tab/>
            </w:r>
            <w:r>
              <w:t xml:space="preserve">Ако лицето започне работа 12 или повече месеца след датата на съобщаването на резултата от проучването за надеждност или когато има прекъсване от 12 месеца в работата му, компетентният орган по сигурността трябва да поиска от </w:t>
            </w:r>
            <w:r>
              <w:rPr>
                <w:b/>
                <w:i/>
              </w:rPr>
              <w:t>Комисията</w:t>
            </w:r>
            <w:r>
              <w:t xml:space="preserve"> потвърждение за валидността на проучването за надеждност.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Когато на институцията или органа на Съюза стане известна информация, свързана с риск за сигурността, породен от лице, което има разрешение за достъп до КИЕС, органът по сигурността на тази институция или орган на Съюза трябва да уведоми за това </w:t>
            </w:r>
            <w:r>
              <w:rPr>
                <w:b/>
                <w:i/>
              </w:rPr>
              <w:t>съответния национален орган по сигурността</w:t>
            </w:r>
            <w:r>
              <w:t xml:space="preserve"> и може временно да преустанови достъпа на това лице до КИЕС или да оттегли разрешението за достъп до КИЕС.</w:t>
            </w:r>
          </w:p>
        </w:tc>
        <w:tc>
          <w:tcPr>
            <w:tcW w:w="4876" w:type="dxa"/>
          </w:tcPr>
          <w:p>
            <w:pPr>
              <w:pStyle w:val="Normal6a"/>
            </w:pPr>
            <w:r>
              <w:t>5.</w:t>
            </w:r>
            <w:r>
              <w:tab/>
            </w:r>
            <w:r>
              <w:t xml:space="preserve">Когато на институцията или органа на Съюза стане известна информация, свързана с риск за сигурността, породен от лице, което има разрешение за достъп до КИЕС, органът по сигурността на тази институция или орган на Съюза трябва да уведоми за това </w:t>
            </w:r>
            <w:r>
              <w:rPr>
                <w:b/>
                <w:i/>
              </w:rPr>
              <w:t>Комисията</w:t>
            </w:r>
            <w:r>
              <w:t xml:space="preserve"> и може временно да преустанови достъпа на това лице до КИЕС или да оттегли разрешението за достъп до КИЕС.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Когато </w:t>
            </w:r>
            <w:r>
              <w:rPr>
                <w:b/>
                <w:i/>
              </w:rPr>
              <w:t>национален орган по сигурността</w:t>
            </w:r>
            <w:r>
              <w:t xml:space="preserve"> уведоми съответната институция или орган на Съюза, че вече няма гаранция по отношение на лице, което има достъп до КИЕС, органът по сигурността на въпросната институция или орган на Съюза трябва да оттегли своето разрешение за достъп и да прекрати достъпа на лицето до КИЕС в съответствие с вътрешните си правила.</w:t>
            </w:r>
          </w:p>
        </w:tc>
        <w:tc>
          <w:tcPr>
            <w:tcW w:w="4876" w:type="dxa"/>
          </w:tcPr>
          <w:p>
            <w:pPr>
              <w:pStyle w:val="Normal6a"/>
            </w:pPr>
            <w:r>
              <w:t>6.</w:t>
            </w:r>
            <w:r>
              <w:tab/>
            </w:r>
            <w:r>
              <w:t xml:space="preserve">Когато </w:t>
            </w:r>
            <w:r>
              <w:rPr>
                <w:b/>
                <w:i/>
              </w:rPr>
              <w:t>Комисията</w:t>
            </w:r>
            <w:r>
              <w:t xml:space="preserve"> уведоми съответната институция или орган на Съюза, че вече няма гаранция по отношение на лице, което има достъп до КИЕС, органът по сигурността на въпросната институция или орган на Съюза трябва да оттегли своето разрешение за достъп и да прекрати достъпа на лицето до КИЕС в съответствие с вътрешните си правила.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8 – параграф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Органът по сигурността на въпросната институция или орган на Съюза може да удължи срока на валидност на разрешение за достъп до КИЕС с до 12 месеца, ако от </w:t>
            </w:r>
            <w:r>
              <w:rPr>
                <w:b/>
                <w:i/>
              </w:rPr>
              <w:t>съответния национален орган по сигурността или друг компетентен национален орган</w:t>
            </w:r>
            <w:r>
              <w:t xml:space="preserve"> не е получена неблагоприятна информация в рамките на два месеца, считано от датата на представяне на искането за подновяване и на съответния въпросник за проучване за надеждност.</w:t>
            </w:r>
          </w:p>
        </w:tc>
        <w:tc>
          <w:tcPr>
            <w:tcW w:w="4876" w:type="dxa"/>
          </w:tcPr>
          <w:p>
            <w:pPr>
              <w:pStyle w:val="Normal6a"/>
            </w:pPr>
            <w:r>
              <w:t xml:space="preserve">Органът по сигурността на въпросната институция или орган на Съюза може да удължи срока на валидност на разрешение за достъп до КИЕС с до 12 месеца, ако от </w:t>
            </w:r>
            <w:r>
              <w:rPr>
                <w:b/>
                <w:i/>
              </w:rPr>
              <w:t>Комисията</w:t>
            </w:r>
            <w:r>
              <w:t xml:space="preserve"> не е получена неблагоприятна информация в рамките на два месеца, считано от датата на представяне на искането за подновяване и на съответния въпросник за проучване за надеждност.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Органът по сигурността на съответната институция или орган на Съюза може по изключение да издаде временно разрешение за достъп до КИЕС, при условие че </w:t>
            </w:r>
            <w:r>
              <w:rPr>
                <w:b/>
                <w:i/>
              </w:rPr>
              <w:t>компетентният национален орган по сигурността е извършил</w:t>
            </w:r>
            <w:r>
              <w:t xml:space="preserve"> предварителна проверка въз основа на попълнения и предоставен въпросник за проучване на надеждността, за да потвърди, че не е известна съответна неблагоприятна информация.</w:t>
            </w:r>
          </w:p>
        </w:tc>
        <w:tc>
          <w:tcPr>
            <w:tcW w:w="4876" w:type="dxa"/>
          </w:tcPr>
          <w:p>
            <w:pPr>
              <w:pStyle w:val="Normal6a"/>
            </w:pPr>
            <w:r>
              <w:t>10.</w:t>
            </w:r>
            <w:r>
              <w:tab/>
            </w:r>
            <w:r>
              <w:t xml:space="preserve">Органът по сигурността на съответната институция или орган на Съюза може по изключение да издаде временно разрешение за достъп до КИЕС, при условие че </w:t>
            </w:r>
            <w:r>
              <w:rPr>
                <w:b/>
                <w:i/>
              </w:rPr>
              <w:t>Комисията е извършила</w:t>
            </w:r>
            <w:r>
              <w:t xml:space="preserve"> предварителна проверка въз основа на попълнения и предоставен въпросник за проучване на надеждността, за да потвърди, че не е известна съответна неблагоприятна информация.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 – точка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Всички институции и органи на Съюза трябва да се уверят, че националните експерти, командировани в тях на длъжност, изискваща проучване за надеждност, преди назначаването си са предоставили на компетентния орган по сигурността валидно разрешение за достъп на служител или удостоверение за разрешение за достъп на служител в съответствие с националните законови и подзаконови актове. При условие че са изпълнени изискванията, посочени в член 23, параграф 1, органът по сигурността може да издаде разрешение за достъп до КИЕС до нивото на класификация, посочено в националното разрешение за достъп, като валидността му не може да надвишава продължителността на командироването.</w:t>
            </w:r>
          </w:p>
        </w:tc>
        <w:tc>
          <w:tcPr>
            <w:tcW w:w="4876" w:type="dxa"/>
          </w:tcPr>
          <w:p>
            <w:pPr>
              <w:pStyle w:val="Normal6a"/>
            </w:pPr>
            <w:r>
              <w:t>13.</w:t>
            </w:r>
            <w:r>
              <w:tab/>
            </w:r>
            <w:r>
              <w:t xml:space="preserve">Всички институции и органи на Съюза трябва да се уверят, че националните експерти, командировани в тях на длъжност, изискваща проучване за надеждност, преди назначаването си са предоставили на компетентния орган по сигурността валидно </w:t>
            </w:r>
            <w:r>
              <w:rPr>
                <w:b/>
                <w:i/>
              </w:rPr>
              <w:t>национално</w:t>
            </w:r>
            <w:r>
              <w:t xml:space="preserve"> разрешение за достъп на служител или удостоверение за разрешение за достъп на служител в съответствие с националните законови и подзаконови актове. При условие че са изпълнени изискванията, посочени в член 23, параграф 1, органът по сигурността може да издаде разрешение за достъп до КИЕС до нивото на класификация, посочено в националното разрешение за достъп, като валидността му не може да надвишава продължителността на командироването.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III – точка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С КИЕС с ниво на класификация за сигурност RESTREINT UE/EU RESTRICTED трябва да се борави и тя да се съхранява в някоя от следните зони:</w:t>
            </w:r>
          </w:p>
        </w:tc>
        <w:tc>
          <w:tcPr>
            <w:tcW w:w="4876" w:type="dxa"/>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 в зона за сигурност;</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б) в административна зона, при условие че КИЕС е защитена срещу достъп от страна на неоправомощени лица;</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в) извън зона за сигурност или административна зона, при условие че притежателят се е ангажирал да спазва компенсаторните мерки, определени от органа по сигурността на всяка институция и орган на Съюза.</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III – точка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КИЕС с ниво на класификация за сигурност RESTREINT UE/EU RESTRICTED трябва да се съхранява в заключващи се офис мебели в административна зона или в зона за сигурност.</w:t>
            </w:r>
            <w:r>
              <w:t xml:space="preserve"> </w:t>
            </w:r>
            <w:r>
              <w:rPr>
                <w:b/>
                <w:i/>
              </w:rPr>
              <w:t>Такава информация може да се съхранява временно извън административна зона или зона за сигурност, при условие че притежателят се е ангажирал да съхранява съответните документи в подходящи заключващи се офис мебели, когато те не се четат или обсъждат.</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III – точка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Институциите и органите на Съюза може да боравят с информация с ниво на класификация за сигурност RESTREINT UE/EU RESTRICTED и да съхраняват такава информация извън своите обекти, при условие че съответната информация е защитена по подходящ начин.</w:t>
            </w:r>
            <w:r>
              <w:t xml:space="preserve"> </w:t>
            </w:r>
            <w:r>
              <w:rPr>
                <w:b/>
                <w:i/>
              </w:rPr>
              <w:t>За целта институциите и органите на Съюза трябва да съблюдават мерките, предвидени в точка 8, буква в).</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IV – точка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Информация с ниво на класификация </w:t>
            </w:r>
            <w:r>
              <w:rPr>
                <w:b/>
                <w:i/>
              </w:rPr>
              <w:t>RESTREINT UE/EU RESTRICTED трябва да се пренася най-малко в един слой непрозрачна опаковка като пликове, непрозрачни папки или чанта за документи.</w:t>
            </w:r>
            <w:r>
              <w:t xml:space="preserve"> </w:t>
            </w:r>
            <w:r>
              <w:rPr>
                <w:b/>
                <w:i/>
              </w:rPr>
              <w:t>Информация с ниво на класификация</w:t>
            </w:r>
            <w:r>
              <w:t xml:space="preserve"> CONFIDENTIEL UE/EU CONFIDENTIAL или по-високо трябва да се пренася в два слоя непрозрачна опаковка.</w:t>
            </w:r>
          </w:p>
        </w:tc>
        <w:tc>
          <w:tcPr>
            <w:tcW w:w="4876" w:type="dxa"/>
          </w:tcPr>
          <w:p>
            <w:pPr>
              <w:pStyle w:val="Normal6a"/>
            </w:pPr>
            <w:r>
              <w:t>8.</w:t>
            </w:r>
            <w:r>
              <w:tab/>
            </w:r>
            <w:r>
              <w:t>Информация с ниво на класификация CONFIDENTIEL UE/EU CONFIDENTIAL или по-високо трябва да се пренася в два слоя непрозрачна опаковка.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IV – точка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Платените куриери </w:t>
            </w:r>
            <w:r>
              <w:rPr>
                <w:b/>
                <w:i/>
              </w:rPr>
              <w:t>може</w:t>
            </w:r>
            <w:r>
              <w:t xml:space="preserve"> да предават информация с ниво на класификация </w:t>
            </w:r>
            <w:r>
              <w:rPr>
                <w:b/>
                <w:i/>
              </w:rPr>
              <w:t>RESTREINT UE/EU RESTRICTED и</w:t>
            </w:r>
            <w:r>
              <w:t xml:space="preserve"> CONFIDENTIEL UE/EU CONFIDENTIAL в рамките на една държава членка и от една държава членка на друга. Платените куриери </w:t>
            </w:r>
            <w:r>
              <w:rPr>
                <w:b/>
                <w:i/>
              </w:rPr>
              <w:t>може</w:t>
            </w:r>
            <w:r>
              <w:t xml:space="preserve"> да предават информация с ниво на класификация SECRET UE/EU SECRET само в рамките на една държава членка, при условие че са одобрени от съответния национален орган по сигурността. КИЕС с ниво на класификация TRES SECRET UE/EU TOP SECRET не може се поверява на платен куриер.</w:t>
            </w:r>
          </w:p>
        </w:tc>
        <w:tc>
          <w:tcPr>
            <w:tcW w:w="4876" w:type="dxa"/>
          </w:tcPr>
          <w:p>
            <w:pPr>
              <w:pStyle w:val="Normal6a"/>
            </w:pPr>
            <w:r>
              <w:t>10.</w:t>
            </w:r>
            <w:r>
              <w:tab/>
            </w:r>
            <w:r>
              <w:t xml:space="preserve">Платените куриери </w:t>
            </w:r>
            <w:r>
              <w:rPr>
                <w:b/>
                <w:i/>
              </w:rPr>
              <w:t>могат</w:t>
            </w:r>
            <w:r>
              <w:t xml:space="preserve"> да предават информация с ниво на класификация </w:t>
            </w:r>
            <w:r>
              <w:rPr>
                <w:b/>
                <w:i/>
              </w:rPr>
              <w:t>за сигурност</w:t>
            </w:r>
            <w:r>
              <w:t xml:space="preserve"> CONFIDENTIEL UE/EU CONFIDENTIAL в рамките на една държава членка и от една държава членка на друга. Платените куриери </w:t>
            </w:r>
            <w:r>
              <w:rPr>
                <w:b/>
                <w:i/>
              </w:rPr>
              <w:t>могат</w:t>
            </w:r>
            <w:r>
              <w:t xml:space="preserve"> да предават информация с ниво на класификация SECRET UE/EU SECRET само в рамките на една държава членка, при условие че са одобрени от съответния национален орган по сигурността. КИЕС с ниво на класификация TRES SECRET UE/EU TOP SECRET не може се поверява на платен куриер.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V – точка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Когато по силата на своите национални законови и подзаконови актове държави членки изискват УСС или разрешение за достъп на служител за класифицирани договори, споразумения за безвъзмездно финансиране или договори за подизпълнение с ниво на класификация за сигурност RESTREINT UE/EU RESTRICTED, институциите и органите на Съюза, като възложители или органи, отпускащи безвъзмездно финансиране, не трябва да използват тези национални изисквания, за да налагат допълнителни задължения на други държави членки, нито да изключват оференти, заявители, изпълнители, бенефициери или подизпълнители от държави членки, които нямат подобни изисквания за УСС или разрешение за достъп на служител за получаване на достъп до информация с ниво на класификация RESTREINT UE/EU RESTRICTED, от съответните договори, споразумения за безвъзмездно финансиране или договори за подизпълнение, нито от състезателната процедура за сключване на такива споразумения или договори.</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V – точка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Посещенията, свързани с достъп до информация с ниво на класификация за сигурност RESTREINT UE/EU RESTRICTED, трябва да се организират пряко между изпращащия и приемащия субект.</w:t>
            </w:r>
          </w:p>
        </w:tc>
        <w:tc>
          <w:tcPr>
            <w:tcW w:w="4876" w:type="dxa"/>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V – точка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Акредитацията за сигурност на КИС на изпълнители или бенефициери, които боравят с КИЕС с ниво на класификация за сигурност RESTREINT UE/EU RESTRICTED, както и на всяка връзка между такива системи, може да бъде делегирана на служителя по сигурността на изпълнител или бенефициер, ако националните законови и подзаконови актове позволяват това.</w:t>
            </w:r>
          </w:p>
        </w:tc>
        <w:tc>
          <w:tcPr>
            <w:tcW w:w="4876" w:type="dxa"/>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Когато задачата за акредитиране на сигурността се делегира, изпълнителят или бенефициерът носи отговорност за изпълнението на изискванията за сигурност, описани в приложението относно аспектите на сигурността, при работа с информация с ниво на класификация RESTREINT UE/EU RESTRICTED в неговите КИС.</w:t>
            </w:r>
            <w:r>
              <w:rPr>
                <w:b/>
                <w:i/>
              </w:rPr>
              <w:t xml:space="preserve"> </w:t>
            </w:r>
            <w:r>
              <w:rPr>
                <w:b/>
                <w:i/>
              </w:rPr>
              <w:t>Съответните национални органи по сигурността или определени органи по сигурността, както и ОАС продължават да отговарят за защитата на информацията, класифицирана като RESTREINT UE/EU RESTRICTED, с която изпълнителят или бенефициерът борави и която съхранява, и си запазват правото да подлагат на проверка мерките за сигурност, предприети от изпълнителя или бенефициера.</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Освен това изпълнителят или бенефициерът трябва да предостави на институцията или органа на Съюза, като възложител или орган, отпускащ безвъзмездно финансиране, а когато това се изисква от националните законови и подзаконови актове — на компетентния национален ОАС, декларация за съответствие, удостоверяваща, че КИС на изпълнителя или бенефициера и съответните връзки между тях са акредитирани за боравене с КИЕС и нейното съхранение с ниво на класификация RESTREINT UE/EU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Даниел Фройнд</w:t>
      </w:r>
      <w:r>
        <w:rPr>
          <w:rStyle w:val="HideTWBExt"/>
        </w:rPr>
        <w:t>&lt;/Members&gt;</w:t>
      </w:r>
    </w:p>
    <w:p>
      <w:pPr>
        <w:pStyle w:val="NormalBold"/>
      </w:pPr>
      <w:r>
        <w:rPr>
          <w:rStyle w:val="HideTWBExt"/>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Приложение V – точка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Текст, предложен от Комисията</w:t>
            </w:r>
          </w:p>
        </w:tc>
        <w:tc>
          <w:tcPr>
            <w:tcW w:w="4876" w:type="dxa"/>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Информация с ниво на класификация за сигурност RESTREINT UE/EU RESTRICTED може да бъде пренасяна на ръка от служители на изпълнителя или бенефициера в рамките на Европейския съюз, ако са изпълнени следните изисквания:</w:t>
            </w:r>
          </w:p>
        </w:tc>
        <w:tc>
          <w:tcPr>
            <w:tcW w:w="4876" w:type="dxa"/>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а) използваният плик или опаковка са непрозрачни и не носят обозначение за класификацията на своето съдържание;</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б) класифицираната информация е във владение на приносителя през цялото време;</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в) пликът или опаковката не се отваря, докато не достигне до крайното си местоназначение.</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AM\1285361BG.docx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AM\1285361BG.docx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AM\1285361BG.docx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14760</Words>
  <Characters>86432</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25893</vt:lpwstr>
  </property>
  <property fmtid="{D5CDD505-2E9C-101B-9397-08002B2CF9AE}" pid="7" name="dmxml.render.traceId">
    <vt:lpwstr>651400acb09bc4644c9dd24da46e2ef0</vt:lpwstr>
  </property>
  <property fmtid="{D5CDD505-2E9C-101B-9397-08002B2CF9AE}" pid="8" name="FooterPath">
    <vt:lpwstr>AM\1285361BG.docx</vt:lpwstr>
  </property>
  <property fmtid="{D5CDD505-2E9C-101B-9397-08002B2CF9AE}" pid="9" name="PE Number">
    <vt:lpwstr>752.883</vt:lpwstr>
  </property>
  <property fmtid="{D5CDD505-2E9C-101B-9397-08002B2CF9AE}" pid="10" name="UID">
    <vt:lpwstr>eu.europa.europarl-DIN1-2023-0000116548_01.00-bg-01.00_text-xml</vt:lpwstr>
  </property>
</Properties>
</file>