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Evropský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pro občanské svobody, spravedlnost a vnitřní věci</w:t>
      </w:r>
      <w:r>
        <w:rPr>
          <w:rStyle w:val="HideTWBExt"/>
        </w:rPr>
        <w:t>&lt;/Commission&gt;</w:t>
      </w:r>
    </w:p>
    <w:p>
      <w:pPr>
        <w:pStyle w:val="LineBottom"/>
      </w:pPr>
      <w:r>
        <w:t xml:space="preserve"> </w:t>
      </w:r>
    </w:p>
    <w:p>
      <w:pPr>
        <w:pStyle w:val="CoverReference"/>
      </w:pPr>
      <w:r>
        <w:rPr>
          <w:rStyle w:val="HideTWBExt"/>
        </w:rPr>
        <w:t>&lt;RefProc&gt;</w:t>
      </w:r>
      <w:r>
        <w:t>2022/0084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{07/09/2023}</w:t>
      </w:r>
      <w:r>
        <w:t>7. 9. 2023</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34</w:t>
      </w:r>
      <w:r>
        <w:t xml:space="preserve"> - </w:t>
      </w:r>
      <w:r>
        <w:t>181</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Vladimír Bilčík</w:t>
      </w:r>
      <w:r>
        <w:rPr>
          <w:rStyle w:val="HideTWBExt"/>
        </w:rPr>
        <w:t>&lt;/Rapporteur&gt;</w:t>
      </w:r>
    </w:p>
    <w:p>
      <w:pPr>
        <w:pStyle w:val="CoverNormal24a"/>
      </w:pPr>
      <w:r>
        <w:rPr>
          <w:rStyle w:val="HideTWBExt"/>
        </w:rPr>
        <w:t>&lt;DocRefPE&gt;</w:t>
      </w:r>
      <w:r>
        <w:t>(PE751.547v01-00)</w:t>
      </w:r>
      <w:r>
        <w:rPr>
          <w:rStyle w:val="HideTWBExt"/>
        </w:rPr>
        <w:t>&lt;/DocRefPE&gt;</w:t>
      </w:r>
    </w:p>
    <w:p>
      <w:pPr>
        <w:pStyle w:val="CoverNormal24a"/>
      </w:pPr>
      <w:r>
        <w:rPr>
          <w:rStyle w:val="HideTWBExt"/>
        </w:rPr>
        <w:t>&lt;Titre&gt;</w:t>
      </w:r>
      <w:r>
        <w:t>Bezpečnost informací v orgánech, institucích a jiných subjektech Unie</w:t>
      </w:r>
      <w:r>
        <w:rPr>
          <w:rStyle w:val="HideTWBExt"/>
        </w:rPr>
        <w:t>&lt;/Titre&gt;</w:t>
      </w:r>
    </w:p>
    <w:p>
      <w:pPr>
        <w:pStyle w:val="CoverNormal"/>
      </w:pPr>
      <w:r>
        <w:rPr>
          <w:rStyle w:val="HideTWBExt"/>
        </w:rPr>
        <w:t>&lt;DocAmend&gt;</w:t>
      </w:r>
      <w:r>
        <w:t>Návrh nařízení</w:t>
      </w:r>
      <w:r>
        <w:rPr>
          <w:rStyle w:val="HideTWBExt"/>
        </w:rPr>
        <w:t>&lt;/DocAmend&gt;</w:t>
      </w:r>
    </w:p>
    <w:p>
      <w:pPr>
        <w:pStyle w:val="CoverNormal24a"/>
      </w:pPr>
      <w:r>
        <w:rPr>
          <w:rStyle w:val="HideTWBExt"/>
        </w:rPr>
        <w:t>&lt;DocRef&gt;</w:t>
      </w:r>
      <w:r>
        <w:t>(COM(2022)0119 – C9-0121/2022 – 2022/0084(COD))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Právní východisko 1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 ohledem na to, že pro účinný výkon svého mandátu v souladu se Smlouvami mají poslanci Parlamentu přístup ke všem druhům informací na základě potřeby znát;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Právní východisko 1 b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 ohledem na specifičnost mandátu poslanců Parlamentu zvolených v členských státech EU a na oddělení pravomocí mezi výkonnou a zákonodárnou mocí, a tudíž na skutečnost, že poslanci jsou osvobozeni od postupu bezpečnostních prověrek ze strany vnitrostátních bezpečnostních orgánů;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Orgány a instituce Unie mají v současnosti svá vlastní pravidla pro bezpečnost informací, která vycházejí z jejich jednacího řádu nebo zřizovacího aktu, nebo taková pravidla nemají vůbec. V této souvislosti každý orgán a instituce Unie vynakládá značné úsilí na přijetí různých přístupů, což vede k situaci, kdy výměna informací není vždy spolehlivá. Neexistence společného přístupu brání zavádění společných nástrojů založených na dohodnutém souboru pravidel v závislosti na bezpečnostních potřebách informací, které mají být chráněny.</w:t>
            </w:r>
          </w:p>
        </w:tc>
        <w:tc>
          <w:tcPr>
            <w:tcW w:w="4876" w:type="dxa"/>
          </w:tcPr>
          <w:p>
            <w:pPr>
              <w:pStyle w:val="Normal6a"/>
            </w:pPr>
            <w:r>
              <w:t>(1)</w:t>
            </w:r>
            <w:r>
              <w:tab/>
            </w:r>
            <w:r>
              <w:t xml:space="preserve">Orgány a instituce Unie mají v současnosti svá vlastní pravidla pro bezpečnost informací, která vycházejí z jejich jednacího řádu nebo zřizovacího aktu, nebo taková pravidla nemají vůbec. V této souvislosti každý orgán a instituce Unie vynakládá značné úsilí na přijetí různých přístupů, což vede k situaci, kdy výměna informací není vždy spolehlivá </w:t>
            </w:r>
            <w:r>
              <w:rPr>
                <w:b/>
                <w:i/>
              </w:rPr>
              <w:t>nebo neproniknutelná</w:t>
            </w:r>
            <w:r>
              <w:t>. Neexistence společného přístupu brání zavádění společných nástrojů založených na dohodnutém souboru pravidel v závislosti na bezpečnostních potřebách informací, které mají být chráněny</w:t>
            </w:r>
            <w:r>
              <w:rPr>
                <w:b/>
                <w:i/>
              </w:rPr>
              <w:t>, a také na interoperabilitě těchto nástrojů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vzhledem k tomu, že orgány Unie jsou povinny uplatňovat čl. 15 odst. 3 SFEU v souladu s demokratickými zásadami, zejména se zásadami stanovenými v čl. 10 odst. 3 SEU a v článku 42 Listiny základních práv Evropské unie (dále jen „Listina“), měl by se systém utajovaných informací Evropské unie řídit zásadami minimalizace utajení údajů a časového omezení pro každý takový stupeň utajení.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Panují obavy ohledně skutečnosti, že Komise a Evropská služba pro vnější činnost (ESVČ) zavádějí dvě souběžné iniciativy, které zahrnují spolupráci se soukromými společnostmi v oblasti kybernetických bezpečnostních hrozeb.</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Ačkoli bylo na cestě k soudržnějším pravidlům pro ochranu utajovaných informací Evropské unie a neutajovaných informací dosaženo pokroku, interoperabilita příslušných systémů je nadále omezená, což brání bezproblémovému předávání informací mezi různými orgány a institucemi Unie. Je proto třeba vyvinout další úsilí s cílem umožnit interinstitucionální přístup ke sdílení utajovaných informací EU a citlivých neutajovaných informací, se společnými kategoriemi informací a společnými klíčovými zásadami nakládání s nimi. Měl by být rovněž stanoven základ pro zjednodušení postupů pro sdílení utajovaných informací EU a citlivých neutajovaných informací mezi orgány a institucemi Unie a s členskými státy.</w:t>
            </w:r>
          </w:p>
        </w:tc>
        <w:tc>
          <w:tcPr>
            <w:tcW w:w="4876" w:type="dxa"/>
          </w:tcPr>
          <w:p>
            <w:pPr>
              <w:pStyle w:val="Normal6a"/>
            </w:pPr>
            <w:r>
              <w:t>(2)</w:t>
            </w:r>
            <w:r>
              <w:tab/>
            </w:r>
            <w:r>
              <w:t xml:space="preserve">Ačkoli bylo na cestě k soudržnějším pravidlům pro ochranu utajovaných informací Evropské unie a neutajovaných informací dosaženo pokroku, interoperabilita příslušných systémů je nadále omezená, což brání bezproblémovému předávání informací mezi různými orgány a institucemi Unie. </w:t>
            </w:r>
            <w:r>
              <w:rPr>
                <w:b/>
                <w:i/>
              </w:rPr>
              <w:t>Interinstitucionální spolupráce a důvěra jsou naprosto zásadní pro účinnou a účelnou ochranu prostředí bezpečnosti informací Unie.</w:t>
            </w:r>
            <w:r>
              <w:t xml:space="preserve"> Je proto třeba vyvinout další úsilí s cílem umožnit interinstitucionální přístup </w:t>
            </w:r>
            <w:r>
              <w:rPr>
                <w:b/>
                <w:i/>
              </w:rPr>
              <w:t>založený na větších synergiích</w:t>
            </w:r>
            <w:r>
              <w:t xml:space="preserve"> ke sdílení utajovaných informací EU a citlivých neutajovaných informací, se společnými kategoriemi informací a společnými klíčovými zásadami nakládání s nimi. Měl by být rovněž stanoven základ pro zjednodušení postupů pro sdílení utajovaných informací EU a citlivých neutajovaných informací mezi orgány a institucemi Unie a s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Ačkoli bylo na cestě k soudržnějším pravidlům pro ochranu utajovaných informací Evropské unie a neutajovaných informací dosaženo pokroku, interoperabilita příslušných systémů je nadále omezená, což brání bezproblémovému předávání informací mezi různými orgány a institucemi Unie. </w:t>
            </w:r>
            <w:r>
              <w:rPr>
                <w:b/>
                <w:i/>
              </w:rPr>
              <w:t>Je</w:t>
            </w:r>
            <w:r>
              <w:t xml:space="preserve"> proto </w:t>
            </w:r>
            <w:r>
              <w:rPr>
                <w:b/>
                <w:i/>
              </w:rPr>
              <w:t>třeba vyvinout další úsilí s cílem umožnit</w:t>
            </w:r>
            <w:r>
              <w:t xml:space="preserve"> interinstitucionální přístup ke sdílení utajovaných informací EU a citlivých neutajovaných informací, se společnými kategoriemi informací a společnými klíčovými zásadami nakládání s nimi. </w:t>
            </w:r>
            <w:r>
              <w:rPr>
                <w:b/>
                <w:i/>
              </w:rPr>
              <w:t>Měl by být rovněž stanoven základ pro zjednodušení postupů</w:t>
            </w:r>
            <w:r>
              <w:t xml:space="preserve"> pro sdílení utajovaných informací EU a citlivých neutajovaných informací mezi orgány a institucemi Unie a s členskými státy.</w:t>
            </w:r>
          </w:p>
        </w:tc>
        <w:tc>
          <w:tcPr>
            <w:tcW w:w="4876" w:type="dxa"/>
          </w:tcPr>
          <w:p>
            <w:pPr>
              <w:pStyle w:val="Normal6a"/>
            </w:pPr>
            <w:r>
              <w:t>(2)</w:t>
            </w:r>
            <w:r>
              <w:tab/>
            </w:r>
            <w:r>
              <w:t xml:space="preserve">Ačkoli bylo na cestě k soudržnějším pravidlům pro ochranu utajovaných informací Evropské unie a neutajovaných informací dosaženo pokroku, interoperabilita příslušných systémů je nadále omezená, což brání bezproblémovému předávání informací mezi různými orgány a institucemi Unie. Proto </w:t>
            </w:r>
            <w:r>
              <w:rPr>
                <w:b/>
                <w:i/>
              </w:rPr>
              <w:t>by měl být zaveden</w:t>
            </w:r>
            <w:r>
              <w:t xml:space="preserve"> interinstitucionální přístup ke sdílení utajovaných informací EU a citlivých neutajovaných informací, se společnými kategoriemi informací a společnými klíčovými zásadami nakládání s nimi. </w:t>
            </w:r>
            <w:r>
              <w:rPr>
                <w:b/>
                <w:i/>
              </w:rPr>
              <w:t>Postupy</w:t>
            </w:r>
            <w:r>
              <w:t xml:space="preserve"> pro sdílení utajovaných informací EU a citlivých neutajovaných informací mezi orgány a institucemi Unie a s členskými státy </w:t>
            </w:r>
            <w:r>
              <w:rPr>
                <w:b/>
                <w:i/>
              </w:rPr>
              <w:t>by měly být zjednodušeny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Proto by měla být stanovena příslušná pravidla zajišťující společnou úroveň bezpečnosti informací ve všech orgánech a institucích Unie. Tato pravidla by měla tvořit komplexní a soudržný obecný rámec pro ochranu utajovaných informací EU a neutajovaných informací a měla by zajistit rovnocennost základních zásad a minimálních standardů.</w:t>
            </w:r>
          </w:p>
        </w:tc>
        <w:tc>
          <w:tcPr>
            <w:tcW w:w="4876" w:type="dxa"/>
          </w:tcPr>
          <w:p>
            <w:pPr>
              <w:pStyle w:val="Normal6a"/>
            </w:pPr>
            <w:r>
              <w:t>(3)</w:t>
            </w:r>
            <w:r>
              <w:tab/>
            </w:r>
            <w:r>
              <w:t>Proto by měla být stanovena příslušná pravidla zajišťující společnou úroveň bezpečnosti informací ve všech orgánech a institucích Unie</w:t>
            </w:r>
            <w:r>
              <w:rPr>
                <w:b/>
                <w:i/>
              </w:rPr>
              <w:t>, zejména proto, že kybernetické bezpečnostní hrozby se zvětšují a bylo napadeno mnoho vnitrostátních orgánů</w:t>
            </w:r>
            <w:r>
              <w:t>. Tato pravidla by měla tvořit komplexní a soudržný obecný rámec pro ochranu utajovaných informací EU a neutajovaných informací a měla by zajistit rovnocennost základních zásad a minimálních standardů.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Proto by měla být stanovena příslušná pravidla zajišťující společnou úroveň bezpečnosti informací ve všech orgánech a institucích Unie. Tato pravidla by měla tvořit komplexní a soudržný obecný rámec pro ochranu utajovaných informací EU a neutajovaných informací a měla by zajistit rovnocennost základních zásad a minimálních standardů.</w:t>
            </w:r>
          </w:p>
        </w:tc>
        <w:tc>
          <w:tcPr>
            <w:tcW w:w="4876" w:type="dxa"/>
          </w:tcPr>
          <w:p>
            <w:pPr>
              <w:pStyle w:val="Normal6a"/>
            </w:pPr>
            <w:r>
              <w:t>(3)</w:t>
            </w:r>
            <w:r>
              <w:tab/>
            </w:r>
            <w:r>
              <w:t xml:space="preserve">Proto by měla být stanovena příslušná pravidla zajišťující společnou úroveň bezpečnosti informací ve všech orgánech a institucích Unie. Tato pravidla by měla tvořit komplexní a soudržný obecný rámec pro ochranu utajovaných informací EU a neutajovaných informací a měla by zajistit rovnocennost základních zásad a </w:t>
            </w:r>
            <w:r>
              <w:rPr>
                <w:b/>
                <w:i/>
              </w:rPr>
              <w:t>společných</w:t>
            </w:r>
            <w:r>
              <w:t xml:space="preserve"> minimálních standardů.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Toto nařízení stanoví pravidla pro správu všech orgánů a institucí Unie, ale nezahrnuje komisaře, zástupce členských států jednající v Radě, poslance Evropského parlamentu, soudce soudů Unie ani členy Evropského účetního dvora, na něž se vztahují jejich vnitřní předpisy.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Článek 15 SFEU stanoví, že orgány, instituce a jiné subjekty Unie musí jednat co nejotevřeněji a že každý občan Unie má právo na přístup k dokumentům.</w:t>
            </w:r>
            <w:r>
              <w:t xml:space="preserve"> </w:t>
            </w:r>
            <w:r>
              <w:rPr>
                <w:b/>
                <w:i/>
              </w:rPr>
              <w:t>V souladu s tím se každý stupeň utajení dokumentů provádí s ohledem na tyto zastřešující zásady.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Vzhledem k tomu, že Smlouvy svěřují pravomoci různým orgánům Unie.</w:t>
            </w:r>
            <w:r>
              <w:t xml:space="preserve"> </w:t>
            </w:r>
            <w:r>
              <w:rPr>
                <w:b/>
                <w:i/>
              </w:rPr>
              <w:t>Aby mohly být tyto pravomoci účinně vykonávány, měli by mít poslanci na základě svého mandátu přístup ke všem nezbytným informacím na základě potřeby vědět.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Členové orgánů Unie by měli mít na základě svého mandátu přístup ke všem nezbytným informacím na základě zásady „vědět jen to nejnutnější“, aby mohli vykonávat pravomoci, které jim svěřují Smlouvy.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Připomíná, že vlády EU by si měly zachovat kontrolu nad citlivými informacemi.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(3b)</w:t>
            </w:r>
            <w:r>
              <w:tab/>
            </w:r>
            <w:r>
              <w:rPr>
                <w:b/>
                <w:i/>
              </w:rPr>
              <w:t>V zájmu zajištění účinnosti tohoto nařízení by bylo vhodné posoudit, zda jsou vnitřní předpisy vztahující se na komisaře, zástupce členských států jednající v Radě, poslance Evropského parlamentu, soudce soudů Unie nebo členy Evropského účetního dvora v souladu se společnou minimální úrovní ochrany stanovenou tímto nařízením a provést potřebné změny, pokud tomu tak není.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(3b)</w:t>
            </w:r>
            <w:r>
              <w:tab/>
            </w:r>
            <w:r>
              <w:rPr>
                <w:b/>
                <w:i/>
              </w:rPr>
              <w:t>V souvislosti se zabezpečením informací by orgány a instituce Unie měly zvýšit organizační interoperabilitu a přijmout společná opatření s cílem zajistit řádnou ochranu sítí, informačních systémů, dat a veškerého hmotného majetku používaného k zachycování, ukládání, zpracování a přenosu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c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(3c)</w:t>
            </w:r>
            <w:r>
              <w:tab/>
            </w:r>
            <w:r>
              <w:rPr>
                <w:b/>
                <w:i/>
              </w:rPr>
              <w:t>Přístup k informacím bezpečným způsobem a v kontextu vzájemné důvěry má zásadní význam pro to, aby evropští spoluzákonodárci mohli vykonávat své funkce, a aby nebyl omezen při výkonu svých demokratických funkcí;</w:t>
            </w:r>
            <w:r>
              <w:t xml:space="preserve"> </w:t>
            </w:r>
            <w:r>
              <w:rPr>
                <w:b/>
                <w:i/>
              </w:rPr>
              <w:t>poslanci Evropského parlamentu vykonávají tuto legislativní funkci a jejich přístup k informacím by se proto měl řídit pravidly srovnatelnými s požadavky společných minimálních norem stanovených tímto nařízením.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Nedávná pandemie </w:t>
            </w:r>
            <w:r>
              <w:rPr>
                <w:b/>
                <w:i/>
              </w:rPr>
              <w:t>způsobila</w:t>
            </w:r>
            <w:r>
              <w:t xml:space="preserve"> významnou </w:t>
            </w:r>
            <w:r>
              <w:rPr>
                <w:b/>
                <w:i/>
              </w:rPr>
              <w:t>změnu</w:t>
            </w:r>
            <w:r>
              <w:t xml:space="preserve"> způsobu práce, přičemž pravidlem se staly nástroje dálkové komunikace. Proto byla řada postupů, které byly i jen částečně v papírové podobě, rychle upravena tak, aby umožňovaly elektronické zpracování a výměnu informací. Tento vývoj vyžaduje změny v nakládání s informacemi a v jejich ochraně. Toto nařízení zohledňuje nové způsoby práce.</w:t>
            </w:r>
          </w:p>
        </w:tc>
        <w:tc>
          <w:tcPr>
            <w:tcW w:w="4876" w:type="dxa"/>
          </w:tcPr>
          <w:p>
            <w:pPr>
              <w:pStyle w:val="Normal6a"/>
            </w:pPr>
            <w:r>
              <w:t>(4)</w:t>
            </w:r>
            <w:r>
              <w:tab/>
            </w:r>
            <w:r>
              <w:t xml:space="preserve">Nedávná pandemie </w:t>
            </w:r>
            <w:r>
              <w:rPr>
                <w:b/>
                <w:i/>
              </w:rPr>
              <w:t>urychlila</w:t>
            </w:r>
            <w:r>
              <w:t xml:space="preserve"> významnou </w:t>
            </w:r>
            <w:r>
              <w:rPr>
                <w:b/>
                <w:i/>
              </w:rPr>
              <w:t>transformaci</w:t>
            </w:r>
            <w:r>
              <w:t xml:space="preserve"> způsobu práce, přičemž pravidlem se staly nástroje dálkové komunikace. Proto byla řada postupů, které byly i jen částečně v papírové podobě, rychle upravena tak, aby umožňovaly elektronické zpracování a výměnu informací. Tento vývoj vyžaduje změny v nakládání s informacemi a v jejich ochraně. Toto nařízení zohledňuje nové způsoby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Vytvořením minimální společné úrovně ochrany utajovaných informací EU a neutajovaných informací přispívá toto nařízení k zajištění toho, aby orgány a instituce Unie měly při plnění svých úkolů podporu účinné a nezávislé správy. Zároveň si každý orgán a instituce Unie zachovává svou autonomii při určování toho, jak provádět pravidla stanovená v tomto nařízení v souladu se svými vlastními bezpečnostními potřebami. Toto nařízení v žádném případě nebrání orgánům a institucím Unie v plnění jejich poslání, kterým je pověřily právní předpisy EU, ani nezasahuje do jejich institucionální autonomie.</w:t>
            </w:r>
          </w:p>
        </w:tc>
        <w:tc>
          <w:tcPr>
            <w:tcW w:w="4876" w:type="dxa"/>
          </w:tcPr>
          <w:p>
            <w:pPr>
              <w:pStyle w:val="Normal6a"/>
            </w:pPr>
            <w:r>
              <w:t>(5)</w:t>
            </w:r>
            <w:r>
              <w:tab/>
            </w:r>
            <w:r>
              <w:t xml:space="preserve">Vytvořením minimální společné úrovně ochrany utajovaných informací EU a neutajovaných informací přispívá toto nařízení k zajištění toho, aby orgány a instituce Unie měly při plnění svých úkolů podporu účinné a nezávislé správy. Zároveň si každý orgán a instituce Unie zachovává svou autonomii při určování toho, jak provádět pravidla stanovená v tomto nařízení v souladu se svými vlastními bezpečnostními potřebami. Toto nařízení v žádném případě nebrání orgánům a institucím Unie v plnění jejich poslání, kterým je pověřily právní předpisy EU, ani nezasahuje do jejich institucionální autonomie. </w:t>
            </w:r>
            <w:r>
              <w:rPr>
                <w:b/>
                <w:i/>
              </w:rPr>
              <w:t>Tato minimální společná úroveň ochrany utajovaných informací EU by měla zajistit pečlivou rovnováhu mezi transparentností a používáním utajení takovým způsobem, který by orgánům EU bránil v plnění jejich role.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Vytvořením minimální společné úrovně ochrany utajovaných informací EU a neutajovaných informací přispívá toto nařízení k zajištění toho, aby orgány a instituce Unie měly při plnění svých úkolů podporu účinné a nezávislé správy. Zároveň si každý orgán a instituce Unie zachovává svou autonomii při určování toho, jak provádět pravidla stanovená v tomto nařízení v souladu se svými vlastními bezpečnostními potřebami. Toto nařízení v žádném případě nebrání orgánům a institucím Unie v plnění jejich poslání, kterým je pověřily právní předpisy EU, ani nezasahuje do jejich institucionální autonomie.</w:t>
            </w:r>
          </w:p>
        </w:tc>
        <w:tc>
          <w:tcPr>
            <w:tcW w:w="4876" w:type="dxa"/>
          </w:tcPr>
          <w:p>
            <w:pPr>
              <w:pStyle w:val="Normal6a"/>
            </w:pPr>
            <w:r>
              <w:t>(5)</w:t>
            </w:r>
            <w:r>
              <w:tab/>
            </w:r>
            <w:r>
              <w:t xml:space="preserve">Vytvořením minimální společné úrovně ochrany utajovaných informací EU a neutajovaných informací přispívá toto nařízení k zajištění toho, aby orgány a instituce Unie měly při plnění svých úkolů podporu účinné a nezávislé správy. Zároveň si každý orgán a instituce Unie zachovává svou autonomii při určování toho, jak provádět pravidla stanovená v tomto nařízení v souladu se svými vlastními bezpečnostními potřebami. Toto nařízení v žádném případě nebrání orgánům a institucím Unie v plnění jejich poslání, kterým je pověřily právní předpisy EU, ani nezasahuje do jejich institucionální autonomie. </w:t>
            </w:r>
            <w:r>
              <w:rPr>
                <w:b/>
                <w:i/>
              </w:rPr>
              <w:t>Náležitou pozornost je rovněž třeba věnovat tomu, aby opatření neměla negativní dopad na účinnou výměnu informací a operace subjektů Unie s jinými subjekty Unie a příslušnými vnitrostátními orgány.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Transparentní a včasné sdílení utajovaných informací EU je zásadní pro řádné fungování orgánů a institucí Unie.</w:t>
            </w:r>
            <w:r>
              <w:t xml:space="preserve"> </w:t>
            </w:r>
            <w:r>
              <w:rPr>
                <w:b/>
                <w:i/>
              </w:rPr>
              <w:t>Při provádění tohoto nařízení by orgány a instituce Unie měly usilovat o zvýšení transparentnosti, minimalizovat a časově omezit používání důvěrných dokumentů, poskytnout záruky proti takovému používání utajovaných skutečností, které by subjektům Unie bránilo plnit jejich poslání, a zajistit odpovídající ochranu oznamovatelů a vysokou úroveň ochrany informací v souladu s právem Unie a osvědčenými postupy.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Toto nařízení by mělo zajistit, aby jakékoli omezení práva na ochranu osobních údajů a soukromí bylo nezbytné a přiměřené a respektovalo podstatu tohoto práva, v souladu s čl. 52 odst. 1 Listiny základních práv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(5b)</w:t>
            </w:r>
            <w:r>
              <w:tab/>
            </w:r>
            <w:r>
              <w:rPr>
                <w:b/>
                <w:i/>
              </w:rPr>
              <w:t>Všechna opatření pro zabezpečení informací zahrnující zpracování osobních údajů by měla být v souladu s příslušnými právními předpisy Unie o ochraně údajů a soukromí.</w:t>
            </w:r>
            <w:r>
              <w:t xml:space="preserve"> </w:t>
            </w:r>
            <w:r>
              <w:rPr>
                <w:b/>
                <w:i/>
              </w:rPr>
              <w:t>Orgány a instituce Unie by měly přijmout příslušné technické a organizační záruky, aby zajistily dodržování předpisů odpovědným, transparentním a odůvodněným způsobem.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Většina informací o kybernetických hrozbách se týká využitých zranitelných míst, jinými slovy slabostí, které hackeři využívají, aby získali nepovolený přístup.</w:t>
            </w:r>
            <w:r>
              <w:t xml:space="preserve"> </w:t>
            </w:r>
            <w:r>
              <w:rPr>
                <w:b/>
                <w:i/>
              </w:rPr>
              <w:t>Agentura Evropské unie pro kybernetickou bezpečnost (ENISA) možná nemá dostatečnou kapacitu na vyřešení objemu zpráv obdržených od výrobců produktů o těchto zranitelných místech.</w:t>
            </w:r>
            <w:r>
              <w:t xml:space="preserve"> </w:t>
            </w:r>
            <w:r>
              <w:rPr>
                <w:b/>
                <w:i/>
              </w:rPr>
              <w:t>Členské státy by preferovaly, aby tato oznámení byla zasílána vnitrostátním týmům pro reakci na počítačové bezpečnostní incidenty (CSIRT);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V zájmu zachování zvláštní povahy úkolů a činností Evropské centrální banky (ECB) v rámci Evropského systému centrálních bank (ESCB) a jednotného mechanismu dohledu (SSM), které jsou vykonávány ve spolupráci s národními centrálními bankami a vnitrostátními příslušnými orgány, by se toto nařízení nemělo vztahovat na informace ESCB a jednotného mechanismu dohledu.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S cílem vytvořit formální strukturu pro spolupráci mezi orgány a institucemi Unie v oblasti bezpečnosti informací je nezbytné zřídit interinstitucionální koordinační skupinu (dále jen „koordinační skupina“), v níž budou zastoupeny bezpečnostní orgány všech orgánů a institucí Unie. Aniž by měla rozhodovací pravomoci, měla by koordinační skupina posílit soudržnost politik v oblasti bezpečnosti informací a přispět k harmonizaci postupů a nástrojů v oblasti bezpečnosti informací napříč orgány a institucemi Unie.</w:t>
            </w:r>
          </w:p>
        </w:tc>
        <w:tc>
          <w:tcPr>
            <w:tcW w:w="4876" w:type="dxa"/>
          </w:tcPr>
          <w:p>
            <w:pPr>
              <w:pStyle w:val="Normal6a"/>
            </w:pPr>
            <w:r>
              <w:t>(8)</w:t>
            </w:r>
            <w:r>
              <w:tab/>
            </w:r>
            <w:r>
              <w:t xml:space="preserve">S cílem vytvořit formální </w:t>
            </w:r>
            <w:r>
              <w:rPr>
                <w:b/>
                <w:i/>
              </w:rPr>
              <w:t>společnou a jednotnou</w:t>
            </w:r>
            <w:r>
              <w:t xml:space="preserve"> strukturu pro spolupráci mezi orgány a institucemi Unie v oblasti bezpečnosti informací je nezbytné zřídit interinstitucionální koordinační skupinu (dále jen „koordinační skupina“), v níž budou zastoupeny bezpečnostní orgány všech orgánů a institucí Unie. Aniž by měla rozhodovací pravomoci, měla by koordinační skupina posílit soudržnost politik v oblasti bezpečnosti informací a přispět k harmonizaci postupů a nástrojů v oblasti bezpečnosti informací napříč orgány a institucemi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Činnost koordinační skupiny vyžaduje podporu odborníků v různých oblastech bezpečnosti informací: kategorizace a označování, komunikační a informační systémy, akreditace, fyzická bezpečnost a sdílení utajovaných informací EU a výměna utajovaných informací. Aby se zabránilo zdvojování úsilí v orgánech a institucích Unie, měly by být zřízeny tematické podskupiny. Kromě toho by koordinační skupina měla mít v případě potřeby možnost zřizovat další podskupiny se zvláštními úkoly.</w:t>
            </w:r>
          </w:p>
        </w:tc>
        <w:tc>
          <w:tcPr>
            <w:tcW w:w="4876" w:type="dxa"/>
          </w:tcPr>
          <w:p>
            <w:pPr>
              <w:pStyle w:val="Normal6a"/>
            </w:pPr>
            <w:r>
              <w:t>(9)</w:t>
            </w:r>
            <w:r>
              <w:tab/>
            </w:r>
            <w:r>
              <w:t xml:space="preserve">Činnost koordinační skupiny vyžaduje podporu odborníků v různých oblastech bezpečnosti informací: kategorizace a označování, komunikační a informační systémy, akreditace, fyzická bezpečnost a sdílení utajovaných informací EU a výměna utajovaných informací. Aby se </w:t>
            </w:r>
            <w:r>
              <w:rPr>
                <w:b/>
                <w:i/>
              </w:rPr>
              <w:t>snížila administrativní zátěž a</w:t>
            </w:r>
            <w:r>
              <w:t xml:space="preserve"> zabránilo zdvojování úsilí v orgánech a institucích Unie, měly by být zřízeny tematické podskupiny. Kromě toho by koordinační skupina měla mít v případě potřeby možnost zřizovat další podskupiny se zvláštními úkoly.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Koordinační skupina by měla úzce spolupracovat s vnitrostátními bezpečnostními orgány členských států s cílem zvýšit bezpečnost informací v Unii. Proto by měl být zřízen Výbor pro bezpečnost informací členských států, který by koordinační skupině poskytoval poradenství.</w:t>
            </w:r>
          </w:p>
        </w:tc>
        <w:tc>
          <w:tcPr>
            <w:tcW w:w="4876" w:type="dxa"/>
          </w:tcPr>
          <w:p>
            <w:pPr>
              <w:pStyle w:val="Normal6a"/>
            </w:pPr>
            <w:r>
              <w:t>(10)</w:t>
            </w:r>
            <w:r>
              <w:tab/>
            </w:r>
            <w:r>
              <w:t>Koordinační skupina by měla úzce spolupracovat s vnitrostátními bezpečnostními orgány členských států s cílem zvýšit bezpečnost informací v Unii. Proto by měl být zřízen Výbor pro bezpečnost informací členských států, který by koordinační skupině poskytoval poradenství</w:t>
            </w:r>
            <w:r>
              <w:rPr>
                <w:b/>
                <w:i/>
              </w:rPr>
              <w:t>, a přitom respektoval výsady členských států, pokud jde o důvěrná bezpečnostní data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Koordinační skupina by měla úzce spolupracovat s </w:t>
            </w:r>
            <w:r>
              <w:rPr>
                <w:b/>
                <w:i/>
              </w:rPr>
              <w:t>vnitrostátními bezpečnostními orgány</w:t>
            </w:r>
            <w:r>
              <w:t xml:space="preserve"> členských států s cílem zvýšit bezpečnost informací v Unii. Proto by měl být zřízen Výbor pro bezpečnost informací členských států, který by koordinační skupině poskytoval poradenství.</w:t>
            </w:r>
          </w:p>
        </w:tc>
        <w:tc>
          <w:tcPr>
            <w:tcW w:w="4876" w:type="dxa"/>
          </w:tcPr>
          <w:p>
            <w:pPr>
              <w:pStyle w:val="Normal6a"/>
            </w:pPr>
            <w:r>
              <w:t>(10)</w:t>
            </w:r>
            <w:r>
              <w:tab/>
            </w:r>
            <w:r>
              <w:t xml:space="preserve">Koordinační skupina by měla úzce spolupracovat s </w:t>
            </w:r>
            <w:r>
              <w:rPr>
                <w:b/>
                <w:i/>
              </w:rPr>
              <w:t>orgánem pro utajování</w:t>
            </w:r>
            <w:r>
              <w:t xml:space="preserve"> členských států s cílem zvýšit bezpečnost informací v Unii. Proto by měl být zřízen Výbor pro bezpečnost informací členských států, který by koordinační skupině poskytoval poradenství.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Změna se použije horizontálně.</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 xml:space="preserve">Zásada řízení rizik v oblasti bezpečnosti informací by měla být jádrem politiky, kterou v této oblasti vypracuje každý orgán a instituce Unie. Musí být splněny minimální požadavky stanovené v tomto nařízení, avšak každý orgán a instituce Unie by měl přijmout konkrétní bezpečnostní opatření na ochranu informací v souladu s výsledky interního posouzení rizik. Stejně tak by měly být </w:t>
            </w:r>
            <w:r>
              <w:rPr>
                <w:b/>
                <w:i/>
              </w:rPr>
              <w:t>konkrétní situaci</w:t>
            </w:r>
            <w:r>
              <w:t xml:space="preserve"> každého orgánu a instituce přizpůsobeny technické prostředky na ochranu informací.</w:t>
            </w:r>
          </w:p>
        </w:tc>
        <w:tc>
          <w:tcPr>
            <w:tcW w:w="4876" w:type="dxa"/>
          </w:tcPr>
          <w:p>
            <w:pPr>
              <w:pStyle w:val="Normal6a"/>
            </w:pPr>
            <w:r>
              <w:t>(12)</w:t>
            </w:r>
            <w:r>
              <w:tab/>
            </w:r>
            <w:r>
              <w:t xml:space="preserve">Zásada řízení rizik v oblasti bezpečnosti informací by měla být jádrem politiky, kterou v této oblasti vypracuje každý orgán a instituce Unie. Musí být splněny </w:t>
            </w:r>
            <w:r>
              <w:rPr>
                <w:b/>
                <w:i/>
              </w:rPr>
              <w:t>společné</w:t>
            </w:r>
            <w:r>
              <w:t xml:space="preserve"> minimální požadavky stanovené v tomto nařízení, avšak každý orgán a instituce Unie by měl přijmout konkrétní bezpečnostní opatření na ochranu informací v souladu s výsledky interního posouzení rizik. Stejně tak by měly být </w:t>
            </w:r>
            <w:r>
              <w:rPr>
                <w:b/>
                <w:i/>
              </w:rPr>
              <w:t>potřebám a specifikům</w:t>
            </w:r>
            <w:r>
              <w:t xml:space="preserve"> každého orgánu a instituce přizpůsobeny technické prostředky na ochranu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(13)</w:t>
            </w:r>
            <w:r>
              <w:tab/>
            </w:r>
            <w:r>
              <w:rPr>
                <w:b/>
                <w:i/>
              </w:rPr>
              <w:t>Vzhledem k rozmanitosti kategorií neutajovaných informací, které orgány a instituce Unie vytvořily na základě svých vlastních pravidel pro bezpečnost informací, a aby se zabránilo zpoždění při provádění tohoto nařízení, měly by mít orgány nebo instituce Unie možnost zachovat svůj vlastní systém označování pro vnitřní účely nebo při výměně informací se svými konkrétními protějšky z jiných orgánů a institucí nebo z členských států.</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Za účelem přizpůsobení se novým postupům práce z domova by </w:t>
            </w:r>
            <w:r>
              <w:rPr>
                <w:b/>
                <w:i/>
              </w:rPr>
              <w:t>sítě</w:t>
            </w:r>
            <w:r>
              <w:t xml:space="preserve"> používané pro připojení ke službám dálkového přístupu orgánu nebo instituce Unie měly být chráněny </w:t>
            </w:r>
            <w:r>
              <w:rPr>
                <w:b/>
                <w:i/>
              </w:rPr>
              <w:t>vhodnými</w:t>
            </w:r>
            <w:r>
              <w:t xml:space="preserve"> bezpečnostními opatřeními.</w:t>
            </w:r>
          </w:p>
        </w:tc>
        <w:tc>
          <w:tcPr>
            <w:tcW w:w="4876" w:type="dxa"/>
          </w:tcPr>
          <w:p>
            <w:pPr>
              <w:pStyle w:val="Normal6a"/>
            </w:pPr>
            <w:r>
              <w:t>(14)</w:t>
            </w:r>
            <w:r>
              <w:tab/>
            </w:r>
            <w:r>
              <w:t xml:space="preserve">Za účelem přizpůsobení se novým postupům práce z domova by </w:t>
            </w:r>
            <w:r>
              <w:rPr>
                <w:b/>
                <w:i/>
              </w:rPr>
              <w:t>síťové informační systémy, digitální infrastruktura a koncová zařízení</w:t>
            </w:r>
            <w:r>
              <w:t xml:space="preserve"> používané pro připojení ke službám dálkového přístupu orgánu nebo instituce Unie měly být chráněny </w:t>
            </w:r>
            <w:r>
              <w:rPr>
                <w:b/>
                <w:i/>
              </w:rPr>
              <w:t>nejmodernějšími</w:t>
            </w:r>
            <w:r>
              <w:t xml:space="preserve"> bezpečnostními opatřeními.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Za účelem přizpůsobení se novým postupům práce z domova by sítě používané pro připojení ke službám dálkového přístupu orgánu nebo instituce Unie měly být chráněny vhodnými bezpečnostními opatřeními.</w:t>
            </w:r>
          </w:p>
        </w:tc>
        <w:tc>
          <w:tcPr>
            <w:tcW w:w="4876" w:type="dxa"/>
          </w:tcPr>
          <w:p>
            <w:pPr>
              <w:pStyle w:val="Normal6a"/>
            </w:pPr>
            <w:r>
              <w:t>(14)</w:t>
            </w:r>
            <w:r>
              <w:tab/>
            </w:r>
            <w:r>
              <w:t>Za účelem přizpůsobení se novým postupům práce z domova by sítě používané pro připojení ke službám dálkového přístupu orgánu nebo instituce Unie měly být chráněny vhodnými bezpečnostními opatřeními</w:t>
            </w:r>
            <w:r>
              <w:rPr>
                <w:b/>
                <w:i/>
              </w:rPr>
              <w:t>, prostřednictvím investic do zabezpečení sítě mezi koncovými body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Vzhledem k tomu, že orgány a instituce Unie často využívají dodavatelů a externích služeb, je důležité stanovit společná ustanovení týkající se pracovníků dodavatelů, kteří provádějí úkoly související s bezpečností informací.</w:t>
            </w:r>
          </w:p>
        </w:tc>
        <w:tc>
          <w:tcPr>
            <w:tcW w:w="4876" w:type="dxa"/>
          </w:tcPr>
          <w:p>
            <w:pPr>
              <w:pStyle w:val="Normal6a"/>
            </w:pPr>
            <w:r>
              <w:t>(15)</w:t>
            </w:r>
            <w:r>
              <w:tab/>
            </w:r>
            <w:r>
              <w:t xml:space="preserve">Vzhledem k tomu, že orgány a instituce Unie často využívají dodavatelů a externích služeb, je důležité stanovit společná ustanovení týkající se pracovníků dodavatelů, kteří provádějí úkoly související s bezpečností informací. </w:t>
            </w:r>
            <w:r>
              <w:rPr>
                <w:b/>
                <w:i/>
              </w:rPr>
              <w:t>Tato ustanovení by měla mimo jiné zahrnovat požadavek, aby zadávací řízení prošla důkladným prověřením s přihlédnutím k celé škále dodavatelského řetězce a hospodářskému a politickému prostředí, v němž třetí strany působí.</w:t>
            </w:r>
            <w:r>
              <w:t xml:space="preserve"> </w:t>
            </w:r>
            <w:r>
              <w:rPr>
                <w:b/>
                <w:i/>
              </w:rPr>
              <w:t>Pokud vztahy se třetími stranami představují riziko pro integritu demokratických procesů v EU, měly by být bez zbytečného odkladu ukončeny.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Vzhledem k tomu, že orgány a instituce Unie často využívají dodavatelů a externích služeb, je důležité stanovit společná ustanovení týkající se pracovníků dodavatelů, kteří provádějí úkoly související s bezpečností informací.</w:t>
            </w:r>
          </w:p>
        </w:tc>
        <w:tc>
          <w:tcPr>
            <w:tcW w:w="4876" w:type="dxa"/>
          </w:tcPr>
          <w:p>
            <w:pPr>
              <w:pStyle w:val="Normal6a"/>
            </w:pPr>
            <w:r>
              <w:t>(15)</w:t>
            </w:r>
            <w:r>
              <w:tab/>
            </w:r>
            <w:r>
              <w:t>Vzhledem k tomu, že orgány a instituce Unie často využívají dodavatelů a externích služeb, je důležité stanovit společná ustanovení týkající se pracovníků dodavatelů, kteří provádějí úkoly související s bezpečností informací</w:t>
            </w:r>
            <w:r>
              <w:rPr>
                <w:b/>
                <w:i/>
              </w:rPr>
              <w:t>, a ověřit kvalitu a důvěrnst externích dodavatelů</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Základní pravidla týkající se přístupu k utajovaným informacím EU ve vnitřních předpisech různých orgánů a institucí Unie jsou v současné době sladěna, existují však značné rozdíly, pokud jde o názvy a požadované postupy. </w:t>
            </w:r>
            <w:r>
              <w:rPr>
                <w:b/>
                <w:i/>
              </w:rPr>
              <w:t>Vytváří se tak zátěž pro vnitrostátní bezpečnostní orgány členských států, které se musí přizpůsobovat různým požadavkům.</w:t>
            </w:r>
            <w:r>
              <w:t xml:space="preserve"> Je proto nezbytné stanovit společný glosář a společné postupy v oblasti personální bezpečnosti, čímž se </w:t>
            </w:r>
            <w:r>
              <w:rPr>
                <w:b/>
                <w:i/>
              </w:rPr>
              <w:t>zjednoduší spolupráce s vnitrostátními bezpečnostními orgány členských států a</w:t>
            </w:r>
            <w:r>
              <w:t xml:space="preserve"> omezí </w:t>
            </w:r>
            <w:r>
              <w:rPr>
                <w:b/>
                <w:i/>
              </w:rPr>
              <w:t>se</w:t>
            </w:r>
            <w:r>
              <w:t xml:space="preserve"> riziko ohrožení utajovaných informací EU</w:t>
            </w:r>
            <w:r>
              <w:rPr>
                <w:b/>
                <w:i/>
              </w:rPr>
              <w:t>.</w:t>
            </w:r>
          </w:p>
        </w:tc>
        <w:tc>
          <w:tcPr>
            <w:tcW w:w="4876" w:type="dxa"/>
          </w:tcPr>
          <w:p>
            <w:pPr>
              <w:pStyle w:val="Normal6a"/>
            </w:pPr>
            <w:r>
              <w:t>(16)</w:t>
            </w:r>
            <w:r>
              <w:tab/>
            </w:r>
            <w:r>
              <w:t>Základní pravidla týkající se přístupu k utajovaným informacím EU ve vnitřních předpisech různých orgánů a institucí Unie jsou v současné době sladěna, existují však značné rozdíly, pokud jde o názvy a požadované postupy. Je proto nezbytné stanovit společný glosář a společné postupy v oblasti personální bezpečnosti, čímž se omezí riziko ohrožení utajovaných informací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Ochrana utajovaných informací EU je rovněž zajištěna technickými a organizačními opatřeními, která se uplatňují na prostory, budovy, místnosti, kanceláře nebo zařízení orgánů a institucí Unie, kde se utajované informace EU projednávají, nakládá se s nimi nebo se uchovávají. Toto nařízení stanoví, jak provádět proces řízení bezpečnosti informací v oblasti fyzické bezpečnosti, který by orgánům a institucím Unie umožnil vybrat vhodná bezpečnostní opatření pro svá pracoviště.</w:t>
            </w:r>
          </w:p>
        </w:tc>
        <w:tc>
          <w:tcPr>
            <w:tcW w:w="4876" w:type="dxa"/>
          </w:tcPr>
          <w:p>
            <w:pPr>
              <w:pStyle w:val="Normal6a"/>
            </w:pPr>
            <w:r>
              <w:t>(18)</w:t>
            </w:r>
            <w:r>
              <w:tab/>
            </w:r>
            <w:r>
              <w:t xml:space="preserve">Ochrana utajovaných informací EU je rovněž zajištěna technickými a organizačními opatřeními, která se uplatňují na prostory, budovy, místnosti, kanceláře nebo zařízení orgánů a institucí Unie, kde se utajované informace EU projednávají, nakládá se s nimi nebo se uchovávají. Toto nařízení stanoví, jak provádět proces řízení bezpečnosti informací v oblasti fyzické bezpečnosti, který by orgánům a institucím Unie umožnil vybrat vhodná bezpečnostní opatření pro svá pracoviště. </w:t>
            </w:r>
            <w:r>
              <w:rPr>
                <w:b/>
                <w:i/>
              </w:rPr>
              <w:t>Mělo by být provedeno důkladné hodnocení bezpečnostní infrastruktury, včetně služeb, zahrnující všechny aspekty operačního řetězce a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(20)</w:t>
            </w:r>
            <w:r>
              <w:tab/>
            </w:r>
            <w:r>
              <w:rPr>
                <w:b/>
                <w:i/>
              </w:rPr>
              <w:t>Důležitou zásadou</w:t>
            </w:r>
            <w:r>
              <w:t xml:space="preserve"> při správě utajovaných informací EU je kontrola původce, a proto musí být </w:t>
            </w:r>
            <w:r>
              <w:rPr>
                <w:b/>
                <w:i/>
              </w:rPr>
              <w:t>jasně stanovena a rozpracována</w:t>
            </w:r>
            <w:r>
              <w:t>. V tomto ohledu přináší vytváření utajovaných informací EU pro původce odpovědnost</w:t>
            </w:r>
            <w:r>
              <w:rPr>
                <w:b/>
                <w:i/>
              </w:rPr>
              <w:t>, která by se měla vztahovat na celý životní cyklus</w:t>
            </w:r>
            <w:r>
              <w:t xml:space="preserve"> příslušného dokumentu o utajovaných informacích EU.</w:t>
            </w:r>
          </w:p>
        </w:tc>
        <w:tc>
          <w:tcPr>
            <w:tcW w:w="4876" w:type="dxa"/>
          </w:tcPr>
          <w:p>
            <w:pPr>
              <w:pStyle w:val="Normal6a"/>
            </w:pPr>
            <w:r>
              <w:t>(20)</w:t>
            </w:r>
            <w:r>
              <w:tab/>
            </w:r>
            <w:r>
              <w:rPr>
                <w:b/>
                <w:i/>
              </w:rPr>
              <w:t>Jednou ze zásad</w:t>
            </w:r>
            <w:r>
              <w:t xml:space="preserve"> při správě utajovaných informací EU je kontrola původce, a proto musí být </w:t>
            </w:r>
            <w:r>
              <w:rPr>
                <w:b/>
                <w:i/>
              </w:rPr>
              <w:t>zohledněna</w:t>
            </w:r>
            <w:r>
              <w:t xml:space="preserve">. V tomto ohledu přináší vytváření utajovaných informací EU pro původce odpovědnost </w:t>
            </w:r>
            <w:r>
              <w:rPr>
                <w:b/>
                <w:i/>
              </w:rPr>
              <w:t>na počátku životního cyklu</w:t>
            </w:r>
            <w:r>
              <w:t xml:space="preserve"> příslušného dokumentu o utajovaných informacích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Orgány a instituce Unie tradičně vyvíjejí</w:t>
            </w:r>
            <w:r>
              <w:rPr>
                <w:b/>
                <w:i/>
              </w:rPr>
              <w:t xml:space="preserve">  </w:t>
            </w:r>
            <w:r>
              <w:t xml:space="preserve">své komunikační a informační systémy samostatně a nevěnují dostatečnou pozornost jejich interoperabilitě mezi všemi orgány a institucemi Unie. Je proto nezbytné stanovit minimální bezpečnostní požadavky týkající se komunikačních a informačních systémů, které nakládají s utajovanými informacemi EU i neutajovanými informacemi </w:t>
            </w:r>
            <w:r>
              <w:rPr>
                <w:b/>
                <w:i/>
              </w:rPr>
              <w:t>a</w:t>
            </w:r>
            <w:r>
              <w:t xml:space="preserve"> uchovávají je, s cílem zaručit plynulou výměnu informací s příslušnými zúčastněnými stranami.</w:t>
            </w:r>
          </w:p>
        </w:tc>
        <w:tc>
          <w:tcPr>
            <w:tcW w:w="4876" w:type="dxa"/>
          </w:tcPr>
          <w:p>
            <w:pPr>
              <w:pStyle w:val="Normal6a"/>
            </w:pPr>
            <w:r>
              <w:t>(21)</w:t>
            </w:r>
            <w:r>
              <w:tab/>
            </w:r>
            <w:r>
              <w:t>Orgány a instituce Unie tradičně vyvíjejí své komunikační a informační systémy samostatně a nevěnují dostatečnou pozornost jejich interoperabilitě mezi všemi orgány a institucemi Unie. Je proto nezbytné stanovit minimální bezpečnostní požadavky týkající se komunikačních a informačních systémů, které nakládají s utajovanými informacemi EU i neutajovanými informacemi</w:t>
            </w:r>
            <w:r>
              <w:rPr>
                <w:b/>
                <w:i/>
              </w:rPr>
              <w:t>,</w:t>
            </w:r>
            <w:r>
              <w:t xml:space="preserve"> uchovávají je </w:t>
            </w:r>
            <w:r>
              <w:rPr>
                <w:b/>
                <w:i/>
              </w:rPr>
              <w:t>a předávají</w:t>
            </w:r>
            <w:r>
              <w:t>, s cílem zaručit plynulou výměnu informací s příslušnými zúčastněnými stranami.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(21a)</w:t>
            </w:r>
            <w:r>
              <w:tab/>
            </w:r>
            <w:r>
              <w:rPr>
                <w:b/>
                <w:i/>
              </w:rPr>
              <w:t>Informace v držení subjektů Unie jsou rovněž vyměňovány prostřednictvím prostředí IKT, na místě nebo pomocí virtuálních prostředků, produktů IKT, služeb IKT a procesů IKT, jakož i sítí a informačních systémů bez ohledu na to, zda jsou vlastněny a provozovány subjektem Unie nebo hostovány či provozovány třetí stranou, včetně mobilních zařízení, korporátních sítí a obchodních sítí, které nejsou připojeny k internetu, a jakýchkoli zařízení připojených k prostředí IKT.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Toto nařízení stanoví </w:t>
            </w:r>
            <w:r>
              <w:rPr>
                <w:b/>
                <w:i/>
              </w:rPr>
              <w:t>pravidla</w:t>
            </w:r>
            <w:r>
              <w:t xml:space="preserve"> pro bezpečnost informací pro všechny orgány a instituce Unie.</w:t>
            </w:r>
          </w:p>
        </w:tc>
        <w:tc>
          <w:tcPr>
            <w:tcW w:w="4876" w:type="dxa"/>
          </w:tcPr>
          <w:p>
            <w:pPr>
              <w:pStyle w:val="Normal6a"/>
            </w:pPr>
            <w:r>
              <w:t>1.</w:t>
            </w:r>
            <w:r>
              <w:tab/>
            </w:r>
            <w:r>
              <w:t xml:space="preserve">Toto nařízení stanoví </w:t>
            </w:r>
            <w:r>
              <w:rPr>
                <w:b/>
                <w:i/>
              </w:rPr>
              <w:t>minimální soubor společných a jednotných pravidel</w:t>
            </w:r>
            <w:r>
              <w:t xml:space="preserve"> pro bezpečnost informací pro všechny orgány a instituce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Toto nařízení stanoví pravidla pro bezpečnost informací pro všechny orgány a instituce Unie.</w:t>
            </w:r>
          </w:p>
        </w:tc>
        <w:tc>
          <w:tcPr>
            <w:tcW w:w="4876" w:type="dxa"/>
          </w:tcPr>
          <w:p>
            <w:pPr>
              <w:pStyle w:val="Normal6a"/>
            </w:pPr>
            <w:r>
              <w:t>1.</w:t>
            </w:r>
            <w:r>
              <w:tab/>
            </w:r>
            <w:r>
              <w:t xml:space="preserve">Toto nařízení stanoví </w:t>
            </w:r>
            <w:r>
              <w:rPr>
                <w:b/>
                <w:i/>
              </w:rPr>
              <w:t>společná minimální</w:t>
            </w:r>
            <w:r>
              <w:t xml:space="preserve"> pravidla pro bezpečnost informací pro všechny orgány a instituce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pododstavec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Tímto nařízením není dotčeno nařízení Evropského parlamentu a Rady (EU) č. 1049/2001.</w:t>
            </w:r>
            <w:r>
              <w:t xml:space="preserve"> </w:t>
            </w:r>
            <w:r>
              <w:rPr>
                <w:b/>
                <w:i/>
              </w:rPr>
              <w:t>Žádné ustanovení tohoto nařízení, zejména ustanovení o utajovaných informacích EU, nelze použít k omezení práva na přístup k dokumentům orgánů, institucí a jiných subjektů Unie nad rámec platných právních předpisů o tomto přístupu.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Toto nařízení se vztahuje na všechny informace, s nimiž nakládají a které uchovávají orgány a instituce Unie, včetně informací týkajících se činností Evropského společenství pro atomovou energii, s výjimkou utajovaných informací Euratomu.</w:t>
            </w:r>
          </w:p>
        </w:tc>
        <w:tc>
          <w:tcPr>
            <w:tcW w:w="4876" w:type="dxa"/>
          </w:tcPr>
          <w:p>
            <w:pPr>
              <w:pStyle w:val="Normal6a"/>
            </w:pPr>
            <w:r>
              <w:t>1.</w:t>
            </w:r>
            <w:r>
              <w:tab/>
            </w:r>
            <w:r>
              <w:t>Toto nařízení se vztahuje na všechny informace, s nimiž nakládají a které uchovávají orgány a instituce Unie, včetně informací týkajících se činností Evropského společenství pro atomovou energii, s výjimkou utajovaných informací Euratomu</w:t>
            </w:r>
            <w:r>
              <w:rPr>
                <w:b/>
                <w:i/>
              </w:rPr>
              <w:t>, a s výjimkou informací souvisejících s úkoly a činnostmi ECB v rámci ESCB a jednotného mechanismu dohledu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pododstavec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Tímto nařízením není dotčeno nařízení Rady (Euratom) č. 3/1958[1], nařízení č. 31 (EHS), č. 11 (ESAE), kterým se stanoví služební řád úředníků a pracovní řád ostatních zaměstnanců Evropského hospodářského společenství a Evropského společenství pro atomovou energii[2], nařízení Evropského parlamentu a Rady (ES) č. 1049/2001[3], nařízení Evropského parlamentu a Rady (EU) 2018/1725[4], nařízení Rady (EHS, Euratom) č. 354/83[5], nařízení Evropského parlamentu a Rady (EU, Euratom) 2018/1046[6], nařízení Evropského parlamentu a Rady (EU) 2021/697[7], nařízení Evropského parlamentu a Rady (EU) […][8], kterým se stanoví opatření k zajištění vysoké společné úrovně kybernetické bezpečnosti v orgánech, institucích a jiných subjektech Unie. [KL1] [1] Nařízení (Euratom) č. 3/1958, kterým se provádí článek 24 Smlouvy o založení Evropského společenství pro atomovou energii (Úř. věst. 17, 6.10.1958, s. </w:t>
            </w:r>
            <w:r>
              <w:t xml:space="preserve"> </w:t>
            </w:r>
            <w:r>
              <w:rPr>
                <w:b/>
                <w:i/>
              </w:rPr>
              <w:t>406). [2] Úř. věst. 45, 14.6.1962, s.</w:t>
            </w:r>
            <w:r>
              <w:t xml:space="preserve"> </w:t>
            </w:r>
            <w:r>
              <w:rPr>
                <w:b/>
                <w:i/>
              </w:rPr>
              <w:t>1385. [3] Nařízení Evropského parlamentu a Rady (ES) č. 1049/2001 ze dne 30. května 2001 o přístupu veřejnosti k dokumentům Evropského parlamentu, Rady a Komise (Úř. věst. L 145, 31.5.2001, s. </w:t>
            </w:r>
            <w:r>
              <w:t xml:space="preserve"> </w:t>
            </w:r>
            <w:r>
              <w:rPr>
                <w:b/>
                <w:i/>
              </w:rPr>
              <w:t>43). [4]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w:t>
            </w:r>
            <w:r>
              <w:t xml:space="preserve"> </w:t>
            </w:r>
            <w:r>
              <w:rPr>
                <w:b/>
                <w:i/>
              </w:rPr>
              <w:t>39). [5] Nařízení Rady (EHS, EURATOM) č. 354/83 ze dne 1. února 1983 o otevření historických archivů Evropského hospodářského společenství a Evropského společenství pro atomovou energii veřejnosti (Úř. věst. L 43, 15.2.1983, s. </w:t>
            </w:r>
            <w:r>
              <w:t xml:space="preserve"> </w:t>
            </w:r>
            <w:r>
              <w:rPr>
                <w:b/>
                <w:i/>
              </w:rPr>
              <w:t>1). [6]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a (EU) č. 283/2014 a rozhodnutí č. 541/2014/EU a zrušuje nařízení (EU, Euratom) č. 966/2012 (Úř. věst. L 193, 30.7.2018, s. </w:t>
            </w:r>
            <w:r>
              <w:t xml:space="preserve"> </w:t>
            </w:r>
            <w:r>
              <w:rPr>
                <w:b/>
                <w:i/>
              </w:rPr>
              <w:t>1). [7] Nařízení Evropského parlamentu a Rady (EU) 2021/697 ze dne 29. dubna 2021, kterým se zřizuje Evropský obranný fond a zrušuje nařízení (EU) 2018/1092 (Úř. věst. L 170, 12.5.2021, s. 149).. [8] Nařízení Evropského parlamentu a Rady […], kterým se stanoví opatření k zajištění vysoké společné úrovně kybernetické bezpečnosti v orgánech, institucích a jiných subjektech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pododstavec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Toto nařízení se nevztahuje na komisaře, zástupce členských států jednající v Radě, poslance Evropského parlamentu, soudce soudů Unie ani členy Evropského účetního dvora.</w:t>
            </w:r>
            <w:r>
              <w:t xml:space="preserve"> </w:t>
            </w:r>
            <w:r>
              <w:rPr>
                <w:b/>
                <w:i/>
              </w:rPr>
              <w:t>S cílem zajistit účinnost nařízení a nevytvářet žádné mezery v systému bezpečnosti informací ani žádné nesrovnalosti mezi lidmi v rámci téhož orgánu přijmou tyto orgány a instituce vnitřní pravidla, která jsou v souladu s tímto nařízením.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tři stupně neutajovaných informací: veřejné použití, běžné a </w:t>
            </w:r>
            <w:r>
              <w:rPr>
                <w:b/>
                <w:i/>
              </w:rPr>
              <w:t>citlivé</w:t>
            </w:r>
            <w:r>
              <w:t xml:space="preserve"> neutajované informace;</w:t>
            </w:r>
          </w:p>
        </w:tc>
        <w:tc>
          <w:tcPr>
            <w:tcW w:w="4876" w:type="dxa"/>
          </w:tcPr>
          <w:p>
            <w:pPr>
              <w:pStyle w:val="Normal6a"/>
            </w:pPr>
            <w:r>
              <w:t>a)</w:t>
            </w:r>
            <w:r>
              <w:tab/>
            </w:r>
            <w:r>
              <w:t xml:space="preserve">tři stupně neutajovaných informací: veřejné použití, běžné a </w:t>
            </w:r>
            <w:r>
              <w:rPr>
                <w:b/>
                <w:i/>
              </w:rPr>
              <w:t>chráněné</w:t>
            </w:r>
            <w:r>
              <w:t xml:space="preserve"> neutajované informace;</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se vztahuje na celý text. Jeho přijetí si vyžádá odpovídající změny v celém textu.)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Pouze CONFIDENTIEL UE/EU CONFIDENTIAL, SECRET UE/EU SECRET, TRES SECRET UE/EU TOP SECRET se v článku 9 nařízení č. 1049/2001 označují jako „citlivé“.</w:t>
      </w:r>
      <w:r>
        <w:t xml:space="preserve"> </w:t>
      </w:r>
      <w:r>
        <w:t>Aby se předešlo nejasnostem, je třeba používat odlišnou terminologii.</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rPr>
                <w:b/>
                <w:i/>
              </w:rPr>
              <w:t>čtyři</w:t>
            </w:r>
            <w:r>
              <w:t xml:space="preserve"> stupně utajovaných informací EU: </w:t>
            </w:r>
            <w:r>
              <w:rPr>
                <w:b/>
                <w:i/>
              </w:rPr>
              <w:t>RESTREINT UE / EU RESTRICTED,</w:t>
            </w:r>
            <w:r>
              <w:t xml:space="preserve"> CONFIDENTIEL UE / EU CONFIDENTIAL, SECRET UE / EU SECRET, TRES SECRET UE / EU TOP SECRET.</w:t>
            </w:r>
          </w:p>
        </w:tc>
        <w:tc>
          <w:tcPr>
            <w:tcW w:w="4876" w:type="dxa"/>
          </w:tcPr>
          <w:p>
            <w:pPr>
              <w:pStyle w:val="Normal6a"/>
            </w:pPr>
            <w:r>
              <w:t>b)</w:t>
            </w:r>
            <w:r>
              <w:tab/>
            </w:r>
            <w:r>
              <w:rPr>
                <w:b/>
                <w:i/>
              </w:rPr>
              <w:t>tři</w:t>
            </w:r>
            <w:r>
              <w:t xml:space="preserve"> stupně utajovaných informací EU: CONFIDENTIEL UE / EU CONFIDENTIAL, SECRET UE / EU SECRET, TRES SECRET UE / EU TOP SECRET.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se vztahuje na celý text. Jeho přijetí si vyžádá odpovídající změny v celém textu.)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Tyto stupně se určují na základě škody, kterou může neoprávněné vyzrazení způsobit legitimním </w:t>
            </w:r>
            <w:r>
              <w:rPr>
                <w:b/>
                <w:i/>
              </w:rPr>
              <w:t>soukromým a</w:t>
            </w:r>
            <w:r>
              <w:t xml:space="preserve"> veřejným zájmům, včetně zájmů Unie, orgánů a institucí Unie a členských států nebo jiných zúčastněných stran, a podle těchto stupňů se uplatňují vhodná ochranná opatření.</w:t>
            </w:r>
          </w:p>
        </w:tc>
        <w:tc>
          <w:tcPr>
            <w:tcW w:w="4876" w:type="dxa"/>
          </w:tcPr>
          <w:p>
            <w:pPr>
              <w:pStyle w:val="Normal6a"/>
            </w:pPr>
            <w:r>
              <w:t>3.</w:t>
            </w:r>
            <w:r>
              <w:tab/>
            </w:r>
            <w:r>
              <w:t>Tyto stupně se určují na základě škody, kterou může neoprávněné vyzrazení způsobit legitimním veřejným zájmům, včetně zájmů Unie, orgánů a institucí Unie a členských států nebo jiných zúčastněných stran, a podle těchto stupňů se uplatňují vhodná ochranná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pododstavec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Členové orgánů Unie mají přístup ke všem druhům informací na základě zásady „vědět jen to nejnutnější“, aby mohli účinně vykonávat svůj mandát v souladu se Smlouvami.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Nedodržení tohoto nařízení, zejména neoprávněné zveřejnění informací se stupni utajení uvedenými v čl. 2 odst. 2, s výjimkou informací pro veřejné použití, podléhá vyšetřování a může vést k osobní odpovědnosti v souladu se Smlouvami nebo příslušnými služebními předpisy.</w:t>
            </w:r>
          </w:p>
        </w:tc>
        <w:tc>
          <w:tcPr>
            <w:tcW w:w="4876" w:type="dxa"/>
          </w:tcPr>
          <w:p>
            <w:pPr>
              <w:pStyle w:val="Normal6a"/>
            </w:pPr>
            <w:r>
              <w:t>2.</w:t>
            </w:r>
            <w:r>
              <w:tab/>
            </w:r>
            <w:r>
              <w:t xml:space="preserve">Nedodržení tohoto nařízení, zejména neoprávněné zveřejnění informací se stupni utajení uvedenými v čl. 2 odst. 2, s výjimkou informací pro veřejné použití, podléhá vyšetřování a může vést k osobní odpovědnosti v souladu se Smlouvami nebo příslušnými služebními předpisy </w:t>
            </w:r>
            <w:r>
              <w:rPr>
                <w:b/>
                <w:i/>
              </w:rPr>
              <w:t>s náležitým ohledem na ustanovení o zveřejňování skutečností, na jejichž základě lze předpokládat existenci možné protiprávní činnosti poškozující zájmy Unie, včetně podvodu nebo korupce, nebo jednání souvisejícího s plněním pracovních povinností, které může představovat závažné porušení profesních povinností, jakož i ochrany osob, které oznámí porušení práva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Orgány a instituce Unie </w:t>
            </w:r>
            <w:r>
              <w:rPr>
                <w:b/>
                <w:i/>
              </w:rPr>
              <w:t>posoudí</w:t>
            </w:r>
            <w:r>
              <w:t xml:space="preserve"> veškeré informace, s nimiž nakládají a které uchovávají, s cílem zařadit je do kategorií v souladu se stupni důvěrnosti uvedenými v čl. 2 odst. 2.</w:t>
            </w:r>
          </w:p>
        </w:tc>
        <w:tc>
          <w:tcPr>
            <w:tcW w:w="4876" w:type="dxa"/>
          </w:tcPr>
          <w:p>
            <w:pPr>
              <w:pStyle w:val="Normal6a"/>
            </w:pPr>
            <w:r>
              <w:t>3.</w:t>
            </w:r>
            <w:r>
              <w:tab/>
            </w:r>
            <w:r>
              <w:rPr>
                <w:b/>
                <w:i/>
              </w:rPr>
              <w:t>Aniž je tím dotčen článek 15 SFEU, posoudí</w:t>
            </w:r>
            <w:r>
              <w:t xml:space="preserve"> orgány a instituce Unie veškeré informace, s nimiž nakládají a které uchovávají, s cílem zařadit je do kategorií v souladu se stupni důvěrnosti uvedenými v čl. 2 odst.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4 – písm.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integrita: skutečnost, že informace jsou úplné a úplnost informací je nezměněna;</w:t>
            </w:r>
          </w:p>
        </w:tc>
        <w:tc>
          <w:tcPr>
            <w:tcW w:w="4876" w:type="dxa"/>
          </w:tcPr>
          <w:p>
            <w:pPr>
              <w:pStyle w:val="Normal6a"/>
            </w:pPr>
            <w:r>
              <w:t>d)</w:t>
            </w:r>
            <w:r>
              <w:tab/>
            </w:r>
            <w:r>
              <w:t>integrita: skutečnost, že informace jsou úplné a úplnost informací je nezměněna</w:t>
            </w:r>
            <w:r>
              <w:rPr>
                <w:b/>
                <w:i/>
              </w:rPr>
              <w:t>, a skutečnost, že technická infrastruktura používaná ke sdílení informací je chráněna před jakýmkoli zahraničním vměšováním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6 – pododstavec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Orgány a instituce Unie, které nakládají s utajovanými informacemi EU a uchovávají je, organizují nejméně jednou za pět let povinné školení pro všechny osoby oprávněné k přístupu k utajovaným informacím EU. Dotčené orgány a instituce Unie organizují zvláštní školení pro konkrétní funkce pověřené úkoly v oblasti bezpečnosti informací.</w:t>
            </w:r>
          </w:p>
        </w:tc>
        <w:tc>
          <w:tcPr>
            <w:tcW w:w="4876" w:type="dxa"/>
          </w:tcPr>
          <w:p>
            <w:pPr>
              <w:pStyle w:val="Normal6a"/>
            </w:pPr>
            <w:r>
              <w:t xml:space="preserve">Orgány a instituce Unie, které nakládají s utajovanými informacemi EU a uchovávají je, organizují nejméně jednou za pět let povinné školení pro všechny osoby oprávněné k přístupu k utajovaným informacím EU. Dotčené orgány a instituce Unie organizují zvláštní školení pro konkrétní funkce pověřené úkoly v oblasti bezpečnosti informací. </w:t>
            </w:r>
            <w:r>
              <w:rPr>
                <w:b/>
                <w:i/>
              </w:rPr>
              <w:t>Nejpozději šest měsíců po vstupu tohoto nařízení v platnost subjekty Unie vytvoří a zavedou účinné a vhodné školicí kurzy pro všechny osoby, které mají povolen přístup k utajovaným informacím EU, přiměřené rizikům identifikovaným podle článku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 – písm. a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rizika z hlediska práv a svobod fyzických osob;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 – písm.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kontinuitu činností a obnovu po havárii;</w:t>
            </w:r>
          </w:p>
        </w:tc>
        <w:tc>
          <w:tcPr>
            <w:tcW w:w="4876" w:type="dxa"/>
          </w:tcPr>
          <w:p>
            <w:pPr>
              <w:pStyle w:val="Normal6a"/>
            </w:pPr>
            <w:r>
              <w:t>f)</w:t>
            </w:r>
            <w:r>
              <w:tab/>
            </w:r>
            <w:r>
              <w:t>kontinuitu činností</w:t>
            </w:r>
            <w:r>
              <w:rPr>
                <w:b/>
                <w:i/>
              </w:rPr>
              <w:t>, krizové řízení</w:t>
            </w:r>
            <w:r>
              <w:t xml:space="preserve"> a obnovu po havárii;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1 – pododstavec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Při jmenování členů koordinační skupiny se musí přihlížet k přiměřené genderové a zeměpisné vyváženosti.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2 – písm. a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přijímá rozhodnutí o zřízení tematických podskupin, jejich mandátu a pravidelnosti jejich schůzí;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2 – písm. e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sleduje, jak orgány a instituce Unie dodržují toto nařízení, jakož i pokyny vypracované podle písmene c), a to prostřednictvím přijetí výroční hodnotící zprávy, která shromažďuje informace od příslušných podskupin.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2 – písm. e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sleduje, jak orgány a instituce Unie dodržují toto nařízení, jakož i pokyny vypracované podle písmene c), a to prostřednictvím přijetí výroční hodnotící zprávy;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V koordinační skupině </w:t>
            </w:r>
            <w:r>
              <w:rPr>
                <w:b/>
                <w:i/>
              </w:rPr>
              <w:t>a případně v tematických podskupinách je náležitě zastoupen každý orgán nebo instituce Unie</w:t>
            </w:r>
            <w:r>
              <w:t>.</w:t>
            </w:r>
          </w:p>
        </w:tc>
        <w:tc>
          <w:tcPr>
            <w:tcW w:w="4876" w:type="dxa"/>
          </w:tcPr>
          <w:p>
            <w:pPr>
              <w:pStyle w:val="Normal6a"/>
            </w:pPr>
            <w:r>
              <w:t>6.</w:t>
            </w:r>
            <w:r>
              <w:tab/>
            </w:r>
            <w:r>
              <w:rPr>
                <w:b/>
                <w:i/>
              </w:rPr>
              <w:t>Každý orgán nebo subjekt Unie je</w:t>
            </w:r>
            <w:r>
              <w:t xml:space="preserve"> v koordinační skupině </w:t>
            </w:r>
            <w:r>
              <w:rPr>
                <w:b/>
                <w:i/>
              </w:rPr>
              <w:t>odpovídajícím způsobem zastoupen.</w:t>
            </w:r>
            <w:r>
              <w:t xml:space="preserve"> </w:t>
            </w:r>
            <w:r>
              <w:rPr>
                <w:b/>
                <w:i/>
              </w:rPr>
              <w:t>Parlament, Komise a Rada jsou zastoupeny ve všech tematických podskupinách.</w:t>
            </w:r>
            <w:r>
              <w:t xml:space="preserve"> </w:t>
            </w:r>
            <w:r>
              <w:rPr>
                <w:b/>
                <w:i/>
              </w:rPr>
              <w:t>Případně další orgány a instituce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Orgány a instituce Unie upozorní koordinační skupinu na jakýkoli významný vývoj politik v oblasti bezpečnosti informací v rámci své organizace.</w:t>
            </w:r>
          </w:p>
        </w:tc>
        <w:tc>
          <w:tcPr>
            <w:tcW w:w="4876" w:type="dxa"/>
          </w:tcPr>
          <w:p>
            <w:pPr>
              <w:pStyle w:val="Normal6a"/>
            </w:pPr>
            <w:r>
              <w:t>7.</w:t>
            </w:r>
            <w:r>
              <w:tab/>
            </w:r>
            <w:r>
              <w:t xml:space="preserve">Orgány a instituce Unie upozorní koordinační skupinu </w:t>
            </w:r>
            <w:r>
              <w:rPr>
                <w:b/>
                <w:i/>
              </w:rPr>
              <w:t>bez zbytečného prodlení</w:t>
            </w:r>
            <w:r>
              <w:t xml:space="preserve"> na jakýkoli významný vývoj politik v oblasti bezpečnosti informací v rámci své organizace.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Koordinační skupině je při plnění úkolů uvedených v odst. 2 písm. e) nápomocen Výbor pro bezpečnost informací. Tento výbor se skládá z jednoho zástupce z každého vnitrostátního bezpečnostního orgánu a předsedá mu zástupce sekretariátu koordinační skupiny uvedené v odstavci 5. Výbor pro bezpečnost informací má poradní úlohu.</w:t>
            </w:r>
          </w:p>
        </w:tc>
        <w:tc>
          <w:tcPr>
            <w:tcW w:w="4876" w:type="dxa"/>
          </w:tcPr>
          <w:p>
            <w:pPr>
              <w:pStyle w:val="Normal6a"/>
            </w:pPr>
            <w:r>
              <w:t>8.</w:t>
            </w:r>
            <w:r>
              <w:tab/>
            </w:r>
            <w:r>
              <w:t xml:space="preserve">Koordinační skupině je při plnění úkolů uvedených v odst. 2 písm. e) nápomocen Výbor pro bezpečnost informací. Tento výbor se skládá z jednoho zástupce z každého vnitrostátního bezpečnostního orgánu a předsedá mu zástupce sekretariátu koordinační skupiny uvedené v odstavci 5. </w:t>
            </w:r>
            <w:r>
              <w:rPr>
                <w:b/>
                <w:i/>
              </w:rPr>
              <w:t>Jeden zástupce Parlamentu se zúčastní jako pozorovatel.</w:t>
            </w:r>
            <w:r>
              <w:t xml:space="preserve"> Výbor pro bezpečnost informací má poradní úlohu.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1 – písm. e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podskupinu pro správní ujednání se třetími zeměmi a s mezinárodními organizacemi.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Každý orgán a instituce Unie určí bezpečnostní orgán, který převezme povinnosti stanovené tímto nařízením a </w:t>
            </w:r>
            <w:r>
              <w:rPr>
                <w:b/>
                <w:i/>
              </w:rPr>
              <w:t>případně jeho vnitřními bezpečnostními pravidly</w:t>
            </w:r>
            <w:r>
              <w:t>. Při plnění svých úkolů má každý bezpečnostní orgán podporu útvaru nebo úředníka pověřeného úkoly v oblasti bezpečnosti informací.</w:t>
            </w:r>
          </w:p>
        </w:tc>
        <w:tc>
          <w:tcPr>
            <w:tcW w:w="4876" w:type="dxa"/>
          </w:tcPr>
          <w:p>
            <w:pPr>
              <w:pStyle w:val="Normal6a"/>
            </w:pPr>
            <w:r>
              <w:t>1.</w:t>
            </w:r>
            <w:r>
              <w:tab/>
            </w:r>
            <w:r>
              <w:t xml:space="preserve">Každý orgán a instituce Unie určí bezpečnostní orgán, který převezme povinnosti stanovené tímto nařízením a </w:t>
            </w:r>
            <w:r>
              <w:rPr>
                <w:b/>
                <w:i/>
              </w:rPr>
              <w:t>bude sledovat a zajišťovat dodržování pokynů přijatých koordinační skupinou každým dotčeným orgánem nebo institucí Unie</w:t>
            </w:r>
            <w:r>
              <w:t>. Při plnění svých úkolů má každý bezpečnostní orgán podporu útvaru nebo úředníka pověřeného úkoly v oblasti bezpečnosti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4 – písm.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šifrování informací </w:t>
            </w:r>
            <w:r>
              <w:rPr>
                <w:b/>
                <w:i/>
              </w:rPr>
              <w:t>v klidu a při přenosu</w:t>
            </w:r>
            <w:r>
              <w:t>;</w:t>
            </w:r>
          </w:p>
        </w:tc>
        <w:tc>
          <w:tcPr>
            <w:tcW w:w="4876" w:type="dxa"/>
          </w:tcPr>
          <w:p>
            <w:pPr>
              <w:pStyle w:val="Normal6a"/>
            </w:pPr>
            <w:r>
              <w:t>d)</w:t>
            </w:r>
            <w:r>
              <w:tab/>
            </w:r>
            <w:r>
              <w:t xml:space="preserve">šifrování informací </w:t>
            </w:r>
            <w:r>
              <w:rPr>
                <w:b/>
                <w:i/>
              </w:rPr>
              <w:t>mezi koncovými body ve všech fázích příslušných procesů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Orgány a instituce Unie mohou informace uvedené v odstavci 1 opatřit označením „PUBLIC USE“.</w:t>
            </w:r>
          </w:p>
        </w:tc>
        <w:tc>
          <w:tcPr>
            <w:tcW w:w="4876" w:type="dxa"/>
          </w:tcPr>
          <w:p>
            <w:pPr>
              <w:pStyle w:val="Normal6a"/>
            </w:pPr>
            <w:r>
              <w:t>2.</w:t>
            </w:r>
            <w:r>
              <w:tab/>
            </w:r>
            <w:r>
              <w:t xml:space="preserve">Orgány a instituce Unie mohou informace uvedené v odstavci 1 opatřit označením „PUBLIC USE“. </w:t>
            </w:r>
            <w:r>
              <w:rPr>
                <w:b/>
                <w:i/>
              </w:rPr>
              <w:t>Neexistence takového označení nezakládá domněnku, že informace by mohly být utajované.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Orgány a instituce Unie </w:t>
            </w:r>
            <w:r>
              <w:rPr>
                <w:b/>
                <w:i/>
              </w:rPr>
              <w:t>mohou</w:t>
            </w:r>
            <w:r>
              <w:t xml:space="preserve"> informace uvedené v odstavci 1 </w:t>
            </w:r>
            <w:r>
              <w:rPr>
                <w:b/>
                <w:i/>
              </w:rPr>
              <w:t>opatřit</w:t>
            </w:r>
            <w:r>
              <w:t xml:space="preserve"> označením „PUBLIC USE“.</w:t>
            </w:r>
          </w:p>
        </w:tc>
        <w:tc>
          <w:tcPr>
            <w:tcW w:w="4876" w:type="dxa"/>
          </w:tcPr>
          <w:p>
            <w:pPr>
              <w:pStyle w:val="Normal6a"/>
            </w:pPr>
            <w:r>
              <w:t>2.</w:t>
            </w:r>
            <w:r>
              <w:tab/>
            </w:r>
            <w:r>
              <w:t xml:space="preserve">Orgány a instituce Unie </w:t>
            </w:r>
            <w:r>
              <w:rPr>
                <w:b/>
                <w:i/>
              </w:rPr>
              <w:t>opatří</w:t>
            </w:r>
            <w:r>
              <w:t xml:space="preserve"> informace uvedené v odstavci 1 označením „PUBLIC 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Všechny orgány a instituce Unie zajistí integritu a dostupnost informací k veřejnému použití vhodnými opatřeními, která vycházející z jejich bezpečnostních potřeb.</w:t>
            </w:r>
          </w:p>
        </w:tc>
        <w:tc>
          <w:tcPr>
            <w:tcW w:w="4876" w:type="dxa"/>
          </w:tcPr>
          <w:p>
            <w:pPr>
              <w:pStyle w:val="Normal6a"/>
            </w:pPr>
            <w:r>
              <w:t>3.</w:t>
            </w:r>
            <w:r>
              <w:tab/>
            </w:r>
            <w:r>
              <w:t xml:space="preserve">Všechny orgány a instituce Unie zajistí integritu a dostupnost informací k veřejnému použití vhodnými opatřeními, která vycházející z jejich bezpečnostních potřeb </w:t>
            </w:r>
            <w:r>
              <w:rPr>
                <w:b/>
                <w:i/>
              </w:rPr>
              <w:t>a zohledňují právo na informace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Běžné informace mohou být označeny vizuálně nebo v metadatech, je-li to nezbytné k zajištění jejich ochrany, zejména pokud jsou sdíleny mimo orgány a instituce Unie. V tom případě se použije označení „EU NORMAL“ nebo „název nebo zkratka orgánu nebo instituce Unie NORMAL“ (upraví se případ od případu).</w:t>
            </w:r>
          </w:p>
        </w:tc>
        <w:tc>
          <w:tcPr>
            <w:tcW w:w="4876" w:type="dxa"/>
          </w:tcPr>
          <w:p>
            <w:pPr>
              <w:pStyle w:val="Normal6a"/>
            </w:pPr>
            <w:r>
              <w:t>2.</w:t>
            </w:r>
            <w:r>
              <w:tab/>
            </w:r>
            <w:r>
              <w:t xml:space="preserve">Běžné informace mohou být označeny vizuálně nebo v metadatech, je-li to nezbytné k zajištění jejich ochrany, zejména pokud jsou sdíleny mimo orgány a instituce Unie. V tom případě se použije označení „EU NORMAL“ nebo „název nebo zkratka orgánu nebo instituce Unie NORMAL“ (upraví se případ od případu). </w:t>
            </w:r>
            <w:r>
              <w:rPr>
                <w:b/>
                <w:i/>
              </w:rPr>
              <w:t>Neexistence takového označení nezakládá domněnku, že informace by mohly být utajované.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Běžné informace se vyměňují mimo orgány a instituce Unie pouze s fyzickými nebo právnickými osobami na základě potřeby tyto informace znát.</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Běžné informace se vyměňují mimo orgány a instituce Unie pouze s fyzickými nebo právnickými osobami na základě potřeby tyto informace znát.</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Orgány a instituce Unie kategorizují jako citlivé neutajované informace, a budou s nimi i takto nakládat a uchovávat je, veškeré informace, které nejsou utajované, ale které musí chránit z důvodu právních povinností nebo z důvodu újmy, která může být způsobena oprávněným </w:t>
            </w:r>
            <w:r>
              <w:rPr>
                <w:b/>
                <w:i/>
              </w:rPr>
              <w:t>soukromým nebo</w:t>
            </w:r>
            <w:r>
              <w:t xml:space="preserve"> veřejným zájmům, včetně zájmů orgánů nebo institucí Unie</w:t>
            </w:r>
            <w:r>
              <w:rPr>
                <w:b/>
                <w:i/>
              </w:rPr>
              <w:t>,</w:t>
            </w:r>
            <w:r>
              <w:t xml:space="preserve"> členských států </w:t>
            </w:r>
            <w:r>
              <w:rPr>
                <w:b/>
                <w:i/>
              </w:rPr>
              <w:t>nebo osob</w:t>
            </w:r>
            <w:r>
              <w:t xml:space="preserve"> tím, že budou neoprávněně zveřejněny.</w:t>
            </w:r>
          </w:p>
        </w:tc>
        <w:tc>
          <w:tcPr>
            <w:tcW w:w="4876" w:type="dxa"/>
          </w:tcPr>
          <w:p>
            <w:pPr>
              <w:pStyle w:val="Normal6a"/>
            </w:pPr>
            <w:r>
              <w:t>1.</w:t>
            </w:r>
            <w:r>
              <w:tab/>
            </w:r>
            <w:r>
              <w:t xml:space="preserve">Orgány a instituce Unie kategorizují jako citlivé neutajované informace, a budou s nimi i takto nakládat a uchovávat je, veškeré informace, které nejsou utajované, ale které musí chránit z důvodu právních povinností nebo z důvodu újmy, která může být způsobena oprávněným veřejným zájmům, včetně zájmů orgánů nebo institucí Unie </w:t>
            </w:r>
            <w:r>
              <w:rPr>
                <w:b/>
                <w:i/>
              </w:rPr>
              <w:t>či</w:t>
            </w:r>
            <w:r>
              <w:t xml:space="preserve"> členských států tím, že budou neoprávněně zveřejněny.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Citlivé neutajované informace se mimo orgány a instituce Unie vyměňují pouze s fyzickými a právnickými osobami, které potřebují tyto informace znát, přičemž dodrží pokyny pro nakládání s informacemi k nim připojené. Všechny zúčastněné strany musí být informovány o příslušných pokynech, jak s informacemi nakládat.</w:t>
            </w:r>
          </w:p>
        </w:tc>
        <w:tc>
          <w:tcPr>
            <w:tcW w:w="4876" w:type="dxa"/>
          </w:tcPr>
          <w:p>
            <w:pPr>
              <w:pStyle w:val="Normal6a"/>
            </w:pPr>
            <w:r>
              <w:t>4.</w:t>
            </w:r>
            <w:r>
              <w:tab/>
            </w:r>
            <w:r>
              <w:t xml:space="preserve">Citlivé neutajované informace se mimo orgány a instituce Unie vyměňují pouze s fyzickými a právnickými osobami, které potřebují tyto informace znát, přičemž dodrží pokyny pro nakládání s informacemi k nim připojené </w:t>
            </w:r>
            <w:r>
              <w:rPr>
                <w:b/>
                <w:i/>
              </w:rPr>
              <w:t>a požadavky vyplývající z právní ochrany, které by mohly platit podle odstavce 1</w:t>
            </w:r>
            <w:r>
              <w:t>. Všechny zúčastněné strany musí být informovány o příslušných pokynech, jak s informacemi nakládat.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Orgány a instituce Unie stanoví postupy pro hlášení a řízení každého incidentu nebo podezření na incident, který by mohl vést k ohrožení bezpečnosti neutajovaných informací.</w:t>
            </w:r>
          </w:p>
        </w:tc>
        <w:tc>
          <w:tcPr>
            <w:tcW w:w="4876" w:type="dxa"/>
          </w:tcPr>
          <w:p>
            <w:pPr>
              <w:pStyle w:val="Normal6a"/>
            </w:pPr>
            <w:r>
              <w:t>1.</w:t>
            </w:r>
            <w:r>
              <w:tab/>
            </w:r>
            <w:r>
              <w:t xml:space="preserve">Orgány a instituce Unie stanoví </w:t>
            </w:r>
            <w:r>
              <w:rPr>
                <w:b/>
                <w:i/>
              </w:rPr>
              <w:t>jednotné</w:t>
            </w:r>
            <w:r>
              <w:t xml:space="preserve"> postupy pro hlášení a řízení každého incidentu nebo podezření na incident, který by mohl vést k ohrožení bezpečnosti neutajovaných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 případě potřeby používají orgány a instituce Unie označení stanovená v článcích 12, 13 a 14. </w:t>
            </w:r>
            <w:r>
              <w:rPr>
                <w:b/>
                <w:i/>
              </w:rPr>
              <w:t>Výjimečně lze použít interně a ve vztahu ke konkrétním protějškům jiná rovnocenná označení od jiných orgánů a institucí Unie nebo členských států, pokud se na tom všechny strany dohodnou.</w:t>
            </w:r>
            <w:r>
              <w:t xml:space="preserve"> </w:t>
            </w:r>
            <w:r>
              <w:rPr>
                <w:b/>
                <w:i/>
              </w:rPr>
              <w:t>Tato výjimka se oznámí podskupině pro neutajované informace uvedené v čl. 7 odst. 1 písm. b).</w:t>
            </w:r>
          </w:p>
        </w:tc>
        <w:tc>
          <w:tcPr>
            <w:tcW w:w="4876" w:type="dxa"/>
          </w:tcPr>
          <w:p>
            <w:pPr>
              <w:pStyle w:val="Normal6a"/>
            </w:pPr>
            <w:r>
              <w:t>2.</w:t>
            </w:r>
            <w:r>
              <w:tab/>
            </w:r>
            <w:r>
              <w:t>V případě potřeby používají orgány a instituce Unie označení stanovená v článcích 12, 13 a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1 – písm. e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sledování, zda orgány a instituce Unie dodržují příslušná ustanovení tohoto nařízení, jakož i pokyny přijaté koordinační skupinou.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1 – písm.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RESTREINT UE / EU RESTRICTED:</w:t>
            </w:r>
            <w:r>
              <w:t xml:space="preserve"> </w:t>
            </w:r>
            <w:r>
              <w:rPr>
                <w:b/>
                <w:i/>
              </w:rPr>
              <w:t>informace a materiály, jejichž neoprávněné vyzrazení by mohlo být nevýhodné pro zájmy Unie nebo jednoho či více členských států.</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Koordinační skupina přijme pokyny týkající se vytváření a klasifikace utajovaných informací EU.</w:t>
            </w:r>
          </w:p>
        </w:tc>
        <w:tc>
          <w:tcPr>
            <w:tcW w:w="4876" w:type="dxa"/>
          </w:tcPr>
          <w:p>
            <w:pPr>
              <w:pStyle w:val="Normal6a"/>
            </w:pPr>
            <w:r>
              <w:t>2.</w:t>
            </w:r>
            <w:r>
              <w:tab/>
            </w:r>
            <w:r>
              <w:t xml:space="preserve">Koordinační skupina přijme pokyny týkající se vytváření a klasifikace utajovaných informací EU. </w:t>
            </w:r>
            <w:r>
              <w:rPr>
                <w:b/>
                <w:i/>
              </w:rPr>
              <w:t>Tyto dokumenty zohlední jak zásadu minimalizace používání utajovaných informací, tak riziko nadměrného utajení některých dokumentů a obsahují pravidla pro posuzování a odůvodnění utajení informací a materiálů, jejichž cílem je zvýšit transparentnost a zabránit neodůvodněnému uzamčení.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pododstavec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V případě jakýchkoli pochybností o důvěrné povaze určité informace nebo o jejím stupni utajení nebo v případě neshody mezi evropskými orgány se tyto orgány neprodleně a před předáním této informace vzájemně konzultují.</w:t>
            </w:r>
            <w:r>
              <w:t xml:space="preserve"> </w:t>
            </w:r>
            <w:r>
              <w:rPr>
                <w:b/>
                <w:i/>
              </w:rPr>
              <w:t>Při těchto konzultacích zastupuje orgány předseda dotyčného subjektu nebo orgán odpovědný za bezpečnostní otázky.</w:t>
            </w:r>
            <w:r>
              <w:t xml:space="preserve"> </w:t>
            </w:r>
            <w:r>
              <w:rPr>
                <w:b/>
                <w:i/>
              </w:rPr>
              <w:t>V případě sporu je záležitost postoupena předsedovi Komise a předsedovi Evropského parlamentu k vyřešení.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pododstavec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Tímto článkem není dotčeno nařízení (ES) č.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22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Jednání nebo opomenutí určitého orgánu nebo instituce Unie nebo určité osoby, jež je v rozporu s tímto nařízením, se považuje za narušení bezpečnosti.</w:t>
            </w:r>
          </w:p>
        </w:tc>
        <w:tc>
          <w:tcPr>
            <w:tcW w:w="4876" w:type="dxa"/>
          </w:tcPr>
          <w:p>
            <w:pPr>
              <w:pStyle w:val="Normal6a"/>
            </w:pPr>
            <w:r>
              <w:t>1.</w:t>
            </w:r>
            <w:r>
              <w:tab/>
            </w:r>
            <w:r>
              <w:rPr>
                <w:b/>
                <w:i/>
              </w:rPr>
              <w:t>Jakékoliv</w:t>
            </w:r>
            <w:r>
              <w:t xml:space="preserve"> jednání nebo opomenutí určitého orgánu nebo instituce Unie nebo určité osoby, jež je v rozporu s tímto nařízením, se považuje za narušení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22 – odst. 3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informuje původce;</w:t>
            </w:r>
          </w:p>
        </w:tc>
        <w:tc>
          <w:tcPr>
            <w:tcW w:w="4876" w:type="dxa"/>
          </w:tcPr>
          <w:p>
            <w:pPr>
              <w:pStyle w:val="Normal6a"/>
            </w:pPr>
            <w:r>
              <w:t>a)</w:t>
            </w:r>
            <w:r>
              <w:tab/>
            </w:r>
            <w:r>
              <w:t xml:space="preserve">informuje původce </w:t>
            </w:r>
            <w:r>
              <w:rPr>
                <w:b/>
                <w:i/>
              </w:rPr>
              <w:t>bez zbytečného odkladu a v každém případě nejpozději tři dny poté, co byl bezpečnostní orgán o narušení informován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22 – odst. 3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zajistí, aby za účelem zjištění faktů byla událost vyšetřena pracovníky, kteří nejsou za dané narušení bezpečnosti bezprostředně odpovědní;</w:t>
            </w:r>
          </w:p>
        </w:tc>
        <w:tc>
          <w:tcPr>
            <w:tcW w:w="4876" w:type="dxa"/>
          </w:tcPr>
          <w:p>
            <w:pPr>
              <w:pStyle w:val="Normal6a"/>
            </w:pPr>
            <w:r>
              <w:t>b)</w:t>
            </w:r>
            <w:r>
              <w:tab/>
            </w:r>
            <w:r>
              <w:t xml:space="preserve">zajistí, aby za účelem zjištění faktů byla událost </w:t>
            </w:r>
            <w:r>
              <w:rPr>
                <w:b/>
                <w:i/>
              </w:rPr>
              <w:t>důkladně</w:t>
            </w:r>
            <w:r>
              <w:t xml:space="preserve"> vyšetřena pracovníky, kteří nejsou za dané narušení bezpečnosti bezprostředně odpovědní;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22 – odst. 3 – písm.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e)</w:t>
            </w:r>
            <w:r>
              <w:tab/>
            </w:r>
            <w:r>
              <w:t>oznámí příslušným orgánům důsledky skutečného nebo možného ohrožení a přijatá opatření.</w:t>
            </w:r>
          </w:p>
        </w:tc>
        <w:tc>
          <w:tcPr>
            <w:tcW w:w="4876" w:type="dxa"/>
          </w:tcPr>
          <w:p>
            <w:pPr>
              <w:pStyle w:val="Normal6a"/>
            </w:pPr>
            <w:r>
              <w:t>e)</w:t>
            </w:r>
            <w:r>
              <w:tab/>
            </w:r>
            <w:r>
              <w:t>oznámí příslušným orgánům důsledky skutečného nebo možného ohrožení a přijatá opatření</w:t>
            </w:r>
            <w:r>
              <w:rPr>
                <w:b/>
                <w:i/>
              </w:rPr>
              <w:t>, a to bez zbytečného odkladu a v každém případě nejpozději tři dny poté, co byl bezpečnostní orgán o narušení informován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23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Orgány a instituce Unie přihlížejí k loajalitě, důvěryhodnosti a spolehlivosti určité osoby zjištěné na základě bezpečnostního šetření, jež </w:t>
            </w:r>
            <w:r>
              <w:rPr>
                <w:b/>
                <w:i/>
              </w:rPr>
              <w:t>provádějí příslušné</w:t>
            </w:r>
            <w:r>
              <w:t xml:space="preserve"> orgány </w:t>
            </w:r>
            <w:r>
              <w:rPr>
                <w:b/>
                <w:i/>
              </w:rPr>
              <w:t>členského státu, jehož je žadatel občanem nebo státním příslušníkem</w:t>
            </w:r>
            <w:r>
              <w:t>.</w:t>
            </w:r>
          </w:p>
        </w:tc>
        <w:tc>
          <w:tcPr>
            <w:tcW w:w="4876" w:type="dxa"/>
          </w:tcPr>
          <w:p>
            <w:pPr>
              <w:pStyle w:val="Normal6a"/>
            </w:pPr>
            <w:r>
              <w:t>2.</w:t>
            </w:r>
            <w:r>
              <w:tab/>
            </w:r>
            <w:r>
              <w:t xml:space="preserve">Orgány a instituce Unie přihlížejí k loajalitě, důvěryhodnosti a spolehlivosti určité osoby zjištěné na základě bezpečnostního šetření, jež </w:t>
            </w:r>
            <w:r>
              <w:rPr>
                <w:b/>
                <w:i/>
              </w:rPr>
              <w:t>provádí Komise ve spolupráci s příslušnými</w:t>
            </w:r>
            <w:r>
              <w:t xml:space="preserve"> orgány </w:t>
            </w:r>
            <w:r>
              <w:rPr>
                <w:b/>
                <w:i/>
              </w:rPr>
              <w:t>relevantních členských států. Komise může rovněž spolupracovat se třetími zeměmi a mezinárodními organizacemi, s nimiž má Unie dohodu o bezpečnosti informací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23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Orgány a instituce Unie mohou akceptovat bezpečnostní prověrky od třetích zemí a mezinárodních organizací, s nimiž Unie uzavřela dohodu o bezpečnosti informací.</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23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Orgány a instituce Unie mohou akceptovat bezpečnostní prověrky od třetích zemí a mezinárodních organizací, s nimiž Unie uzavřela dohodu o bezpečnosti informací.</w:t>
            </w:r>
          </w:p>
        </w:tc>
        <w:tc>
          <w:tcPr>
            <w:tcW w:w="4876" w:type="dxa"/>
          </w:tcPr>
          <w:p>
            <w:pPr>
              <w:pStyle w:val="Normal6a"/>
            </w:pPr>
            <w:r>
              <w:t>3.</w:t>
            </w:r>
            <w:r>
              <w:tab/>
            </w:r>
            <w:r>
              <w:t xml:space="preserve">Orgány a instituce Unie mohou akceptovat bezpečnostní prověrky od třetích zemí a mezinárodních organizací, s nimiž Unie uzavřela dohodu o bezpečnosti informací. </w:t>
            </w:r>
            <w:r>
              <w:rPr>
                <w:b/>
                <w:i/>
              </w:rPr>
              <w:t>V každém případě zajistí dodržování zásad uvedených v odstavcích 1 a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23 – odst. 4 – pododstavec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Je-li uzavřena dohoda o úrovni služeb, bezpečnostní orgán Komise je v souvislosti s otázkami bezpečnostní prověrky kontaktním místem mezi bezpečnostními kancelářemi dotčeného orgánu a instituce Unie a příslušnými vnitrostátními orgány členských států.</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Za výjimečných okolností, je-li to řádně odůvodněno služebním zájmem, a až do dokončení bezpečnostního šetření v plném rozsahu může bezpečnostní orgán určitého orgánu nebo instituce Unie </w:t>
            </w:r>
            <w:r>
              <w:rPr>
                <w:b/>
                <w:i/>
              </w:rPr>
              <w:t>po ověření příslušným vnitrostátním bezpečnostním orgánem</w:t>
            </w:r>
            <w:r>
              <w:t xml:space="preserve"> vydat osobám dočasné oprávnění pro přístup k utajovaným informacím EU pro konkrétní pozici, aniž by tím byla dotčena ustanovení o obnově oprávnění pro přístup k utajovaným informacím EU.</w:t>
            </w:r>
          </w:p>
        </w:tc>
        <w:tc>
          <w:tcPr>
            <w:tcW w:w="4876" w:type="dxa"/>
          </w:tcPr>
          <w:p>
            <w:pPr>
              <w:pStyle w:val="Normal6a"/>
            </w:pPr>
            <w:r>
              <w:t>4.</w:t>
            </w:r>
            <w:r>
              <w:tab/>
            </w:r>
            <w:r>
              <w:t>Za výjimečných okolností, je-li to řádně odůvodněno služebním zájmem, a až do dokončení bezpečnostního šetření v plném rozsahu může bezpečnostní orgán určitého orgánu nebo instituce Unie vydat osobám dočasné oprávnění pro přístup k utajovaným informacím EU pro konkrétní pozici, aniž by tím byla dotčena ustanovení o obnově oprávnění pro přístup k utajovaným informacím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25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Pokud držitel oprávnění pro přístup k utajovaným informacím EU nastoupí do zaměstnání v jiném orgánu nebo instituci Unie, oznámí tento orgán nebo instituce Unie příslušnému vnitrostátnímu bezpečnostnímu orgánu změnu zaměstnavatele prostřednictvím příslušného bezpečnostního orgánu.</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25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Pokud držitel oprávnění pro přístup k utajovaným informacím EU nastoupí do zaměstnání v jiném orgánu nebo instituci Unie, oznámí tento orgán nebo instituce Unie příslušnému vnitrostátnímu bezpečnostnímu orgánu změnu zaměstnavatele prostřednictvím příslušného bezpečnostního orgánu.</w:t>
            </w:r>
          </w:p>
        </w:tc>
        <w:tc>
          <w:tcPr>
            <w:tcW w:w="4876" w:type="dxa"/>
          </w:tcPr>
          <w:p>
            <w:pPr>
              <w:pStyle w:val="Normal6a"/>
            </w:pPr>
            <w:r>
              <w:t>3.</w:t>
            </w:r>
            <w:r>
              <w:tab/>
            </w:r>
            <w:r>
              <w:t xml:space="preserve">Pokud držitel oprávnění pro přístup k utajovaným informacím EU nastoupí do zaměstnání v jiném orgánu nebo instituci Unie, oznámí tento orgán nebo instituce Unie </w:t>
            </w:r>
            <w:r>
              <w:rPr>
                <w:b/>
                <w:i/>
              </w:rPr>
              <w:t>bez zbytečného prodlení</w:t>
            </w:r>
            <w:r>
              <w:t xml:space="preserve"> příslušnému vnitrostátnímu bezpečnostnímu orgánu změnu zaměstnavatele prostřednictvím příslušného bezpečnostního orgánu.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odst. 1 – písm. d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sledování, zda orgány a instituce Unie dodržují příslušná ustanovení tohoto nařízení, jakož i pokyny přijaté koordinační skupinou.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23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Každý orgán a instituce Unie, které jsou původcem utajovaných informací EU, stanoví stupeň utajení těchto informací při jejich vytvoření a v souladu s čl. 18 odst. 1.</w:t>
            </w:r>
          </w:p>
        </w:tc>
        <w:tc>
          <w:tcPr>
            <w:tcW w:w="4876" w:type="dxa"/>
          </w:tcPr>
          <w:p>
            <w:pPr>
              <w:pStyle w:val="Normal6a"/>
            </w:pPr>
            <w:r>
              <w:t>2.</w:t>
            </w:r>
            <w:r>
              <w:tab/>
            </w:r>
            <w:r>
              <w:t xml:space="preserve">Každý orgán a instituce Unie, které jsou původcem utajovaných informací EU, stanoví </w:t>
            </w:r>
            <w:r>
              <w:rPr>
                <w:b/>
                <w:i/>
              </w:rPr>
              <w:t>počáteční</w:t>
            </w:r>
            <w:r>
              <w:t xml:space="preserve"> stupeň utajení těchto informací při jejich vytvoření a v souladu s čl. 18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31 – odst. 1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na každé straně se jasně vyznačí příslušný stupeň utajení;</w:t>
            </w:r>
          </w:p>
        </w:tc>
        <w:tc>
          <w:tcPr>
            <w:tcW w:w="4876" w:type="dxa"/>
          </w:tcPr>
          <w:p>
            <w:pPr>
              <w:pStyle w:val="Normal6a"/>
            </w:pPr>
            <w:r>
              <w:t>a)</w:t>
            </w:r>
            <w:r>
              <w:tab/>
            </w:r>
            <w:r>
              <w:t xml:space="preserve">na každé straně se jasně vyznačí příslušný stupeň utajení </w:t>
            </w:r>
            <w:r>
              <w:rPr>
                <w:b/>
                <w:i/>
              </w:rPr>
              <w:t>a doba trvání utajení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32 – nadpis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Kontrola původcem</w:t>
            </w:r>
          </w:p>
        </w:tc>
        <w:tc>
          <w:tcPr>
            <w:tcW w:w="4876" w:type="dxa"/>
          </w:tcPr>
          <w:p>
            <w:pPr>
              <w:pStyle w:val="Normal6a"/>
            </w:pPr>
            <w:r>
              <w:rPr>
                <w:b/>
                <w:i/>
              </w:rPr>
              <w:t>Souhlas původce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32 – odst. 1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Orgán nebo instituce Unie, s jejichž pověřením je dokument s utajovanými informacemi EU vytvořen, vykonává nad tímto dokumentem kontrolu původcem. Původce určí pro dokument stupeň utajení a odpovídá za jeho počáteční distribuci. Aniž je dotčeno nařízení č. 1049/2001, musí být předchozí písemný souhlas původce získán před tím, než jsou informace:</w:t>
            </w:r>
          </w:p>
        </w:tc>
        <w:tc>
          <w:tcPr>
            <w:tcW w:w="4876" w:type="dxa"/>
          </w:tcPr>
          <w:p>
            <w:pPr>
              <w:pStyle w:val="Normal6a"/>
            </w:pPr>
            <w:r>
              <w:t>1.</w:t>
            </w:r>
            <w:r>
              <w:tab/>
            </w:r>
            <w:r>
              <w:t xml:space="preserve">Orgán nebo instituce Unie, s jejichž pověřením je dokument s utajovanými informacemi EU vytvořen, vykonává nad tímto dokumentem kontrolu původcem. Původce určí pro dokument stupeň utajení a odpovídá za jeho počáteční distribuci. </w:t>
            </w:r>
            <w:r>
              <w:rPr>
                <w:b/>
                <w:i/>
              </w:rPr>
              <w:t>Původce může konzultovat se zamýšlenými příjemci ohledně stupně utajení dokumentu s utajovanými informacemi EU, zejména v případě jakýchkoli pochybností o důvěrné povaze určité informace a vhodném stupni jejího utajení a s cílem zabránit přidělení příliš vysokého stupně utajení takovým dokumentům.</w:t>
            </w:r>
            <w:r>
              <w:t xml:space="preserve"> </w:t>
            </w:r>
            <w:r>
              <w:rPr>
                <w:b/>
                <w:i/>
              </w:rPr>
              <w:t>Pro účely počáteční distribuce dokumentu s utajovanými informacemi EU zohlední původce práva a povinnosti příjemců informací vyplývající ze Smluv.</w:t>
            </w:r>
            <w:r>
              <w:t xml:space="preserve"> Aniž je dotčeno nařízení č. 1049/2001, musí být předchozí písemný souhlas původce získán před tím, než jsou informace: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32 – odst. 1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Orgán nebo instituce Unie, s jejichž pověřením je dokument s utajovanými informacemi EU </w:t>
            </w:r>
            <w:r>
              <w:rPr>
                <w:b/>
                <w:i/>
              </w:rPr>
              <w:t>vytvořen, vykonává nad tímto dokumentem kontrolu původcem</w:t>
            </w:r>
            <w:r>
              <w:t xml:space="preserve">. Původce určí pro dokument stupeň utajení a odpovídá za jeho počáteční distribuci. </w:t>
            </w:r>
            <w:r>
              <w:rPr>
                <w:b/>
                <w:i/>
              </w:rPr>
              <w:t>Aniž je dotčeno nařízení č. 1049/2001, musí být předchozí písemný souhlas původce získán</w:t>
            </w:r>
            <w:r>
              <w:t xml:space="preserve"> před tím, než jsou informace:</w:t>
            </w:r>
          </w:p>
        </w:tc>
        <w:tc>
          <w:tcPr>
            <w:tcW w:w="4876" w:type="dxa"/>
          </w:tcPr>
          <w:p>
            <w:pPr>
              <w:pStyle w:val="Normal6a"/>
            </w:pPr>
            <w:r>
              <w:t>1.</w:t>
            </w:r>
            <w:r>
              <w:tab/>
            </w:r>
            <w:r>
              <w:t xml:space="preserve">Orgán nebo instituce Unie, s jejichž pověřením je </w:t>
            </w:r>
            <w:r>
              <w:rPr>
                <w:b/>
                <w:i/>
              </w:rPr>
              <w:t>vytvořen</w:t>
            </w:r>
            <w:r>
              <w:t xml:space="preserve"> dokument s utajovanými informacemi EU </w:t>
            </w:r>
            <w:r>
              <w:rPr>
                <w:b/>
                <w:i/>
              </w:rPr>
              <w:t>se stupněm utajení CONFIDENTIEL UE/EU-CONFIDENTIAL nebo vyšším, má právo původce k tomuto dokumentu udělit souhlas</w:t>
            </w:r>
            <w:r>
              <w:t xml:space="preserve">. Původce určí pro dokument </w:t>
            </w:r>
            <w:r>
              <w:rPr>
                <w:b/>
                <w:i/>
              </w:rPr>
              <w:t>počáteční</w:t>
            </w:r>
            <w:r>
              <w:t xml:space="preserve"> stupeň utajení a odpovídá za jeho počáteční distribuci. </w:t>
            </w:r>
            <w:r>
              <w:rPr>
                <w:b/>
                <w:i/>
              </w:rPr>
              <w:t>Předchozí písemný souhlas původce musí být získán, je-li to nezbytné pro ochranu základních zájmů Evropské unie nebo jednoho či více jejích členských států v oblasti veřejné bezpečnosti, obrany a vojenských záležitostí, mezinárodních vztahů či finanční, měnové nebo hospodářské politiky,</w:t>
            </w:r>
            <w:r>
              <w:t xml:space="preserve"> před tím, než jsou informace: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32 – odst. 1 – písm.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zkopírovány a přeloženy v případě stupně utajení TRES SECRET UE / EU TOP SECRET.</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32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Pokud nelze původce dokumentu s utajovanými informacemi EU určit, vykonává </w:t>
            </w:r>
            <w:r>
              <w:rPr>
                <w:b/>
                <w:i/>
              </w:rPr>
              <w:t>kontrolu původcem</w:t>
            </w:r>
            <w:r>
              <w:t xml:space="preserve"> orgán nebo instituce Unie, které mají tyto utajované informace v držení.</w:t>
            </w:r>
          </w:p>
        </w:tc>
        <w:tc>
          <w:tcPr>
            <w:tcW w:w="4876" w:type="dxa"/>
          </w:tcPr>
          <w:p>
            <w:pPr>
              <w:pStyle w:val="Normal6a"/>
            </w:pPr>
            <w:r>
              <w:t>2.</w:t>
            </w:r>
            <w:r>
              <w:tab/>
            </w:r>
            <w:r>
              <w:t xml:space="preserve">Pokud nelze původce dokumentu s utajovanými informacemi EU určit, vykonává </w:t>
            </w:r>
            <w:r>
              <w:rPr>
                <w:b/>
                <w:i/>
              </w:rPr>
              <w:t>souhlas původce</w:t>
            </w:r>
            <w:r>
              <w:t xml:space="preserve"> orgán nebo instituce Unie, které mají tyto utajované informace v držení.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Informace se utajují pouze po dobu, po kterou vyžadují ochranu. Pokud utajované informace EU již nepotřebují původní stupeň utajení, tento stupeň utajení se sníží na stupeň nižší. Pokud utajované informace EU již nemusí být považovány za utajované, stupeň utajení se zruší.</w:t>
            </w:r>
          </w:p>
        </w:tc>
        <w:tc>
          <w:tcPr>
            <w:tcW w:w="4876" w:type="dxa"/>
          </w:tcPr>
          <w:p>
            <w:pPr>
              <w:pStyle w:val="Normal6a"/>
            </w:pPr>
            <w:r>
              <w:t>1.</w:t>
            </w:r>
            <w:r>
              <w:tab/>
            </w:r>
            <w:r>
              <w:t xml:space="preserve">Informace se utajují pouze po dobu, po kterou vyžadují ochranu. Pokud utajované informace EU již nepotřebují původní stupeň utajení, tento stupeň utajení se sníží na stupeň nižší. Pokud utajované informace EU již nemusí být považovány za utajované, stupeň utajení se zruší. </w:t>
            </w:r>
            <w:r>
              <w:rPr>
                <w:b/>
                <w:i/>
              </w:rPr>
              <w:t>Každé utajení se přezkoumá nejpozději jeden rok po vytvoření daného dokumentu a poté každoročně.</w:t>
            </w:r>
            <w:r>
              <w:t xml:space="preserve"> </w:t>
            </w:r>
            <w:r>
              <w:rPr>
                <w:b/>
                <w:i/>
              </w:rPr>
              <w:t>V případě dokumentů, které se týkají probíhajícího legislativního procesu, se tento přezkum provede nejpozději dva měsíce po vytvoření dokumentu a poté každé dva měsíce.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35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 době vytvoření utajovaných informací EU uvede původce, </w:t>
            </w:r>
            <w:r>
              <w:rPr>
                <w:b/>
                <w:i/>
              </w:rPr>
              <w:t>je-li to možné, zejména v případě informací se stupněm utajení RESTREINT UE / EU RESTRICTED,</w:t>
            </w:r>
            <w:r>
              <w:t xml:space="preserve"> zda je k určitému datu nebo po určité události možné jejich stupeň utajení snížit nebo zrušit.</w:t>
            </w:r>
          </w:p>
        </w:tc>
        <w:tc>
          <w:tcPr>
            <w:tcW w:w="4876" w:type="dxa"/>
          </w:tcPr>
          <w:p>
            <w:pPr>
              <w:pStyle w:val="Normal6a"/>
            </w:pPr>
            <w:r>
              <w:t>2.</w:t>
            </w:r>
            <w:r>
              <w:tab/>
            </w:r>
            <w:r>
              <w:t>V době vytvoření utajovaných informací EU uvede původce, zda je k určitému datu nebo po určité události možné jejich stupeň utajení snížit nebo zrušit.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35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 době vytvoření utajovaných informací EU uvede původce, je-li to možné, </w:t>
            </w:r>
            <w:r>
              <w:rPr>
                <w:b/>
                <w:i/>
              </w:rPr>
              <w:t>zejména v případě informací se stupněm utajení RESTREINT UE / EU RESTRICTED,</w:t>
            </w:r>
            <w:r>
              <w:t xml:space="preserve"> zda je k určitému datu nebo po určité události možné jejich stupeň utajení snížit nebo zrušit.</w:t>
            </w:r>
          </w:p>
        </w:tc>
        <w:tc>
          <w:tcPr>
            <w:tcW w:w="4876" w:type="dxa"/>
          </w:tcPr>
          <w:p>
            <w:pPr>
              <w:pStyle w:val="Normal6a"/>
            </w:pPr>
            <w:r>
              <w:t>2.</w:t>
            </w:r>
            <w:r>
              <w:tab/>
            </w:r>
            <w:r>
              <w:t>V době vytvoření utajovaných informací EU uvede původce, je-li to možné, zda je k určitému datu nebo po určité události možné jejich stupeň utajení snížit nebo zrušit.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35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Za rozhodnutí, zda lze u dokumentu s utajovanými informacemi EU snížit nebo zrušit jeho stupeň utajení, odpovídají </w:t>
            </w:r>
            <w:r>
              <w:rPr>
                <w:b/>
                <w:i/>
              </w:rPr>
              <w:t>orgán</w:t>
            </w:r>
            <w:r>
              <w:t xml:space="preserve"> nebo instituce Unie</w:t>
            </w:r>
            <w:r>
              <w:rPr>
                <w:b/>
                <w:i/>
              </w:rPr>
              <w:t>, které jsou jeho původcem.</w:t>
            </w:r>
            <w:r>
              <w:t xml:space="preserve"> </w:t>
            </w:r>
            <w:r>
              <w:rPr>
                <w:b/>
                <w:i/>
              </w:rPr>
              <w:t>Tento orgán nebo instituce pravidelně přezkoumává informace a posuzuje rizika a alespoň každých pět let s cílem stanovit, zda je původní stupeň utajení stále odpovídající</w:t>
            </w:r>
            <w:r>
              <w:t>.</w:t>
            </w:r>
          </w:p>
        </w:tc>
        <w:tc>
          <w:tcPr>
            <w:tcW w:w="4876" w:type="dxa"/>
          </w:tcPr>
          <w:p>
            <w:pPr>
              <w:pStyle w:val="Normal6a"/>
            </w:pPr>
            <w:r>
              <w:t>3.</w:t>
            </w:r>
            <w:r>
              <w:tab/>
            </w:r>
            <w:r>
              <w:t xml:space="preserve">Za rozhodnutí, zda lze u dokumentu s utajovanými informacemi EU snížit nebo zrušit jeho stupeň utajení, odpovídají </w:t>
            </w:r>
            <w:r>
              <w:rPr>
                <w:b/>
                <w:i/>
              </w:rPr>
              <w:t>všechny orgány</w:t>
            </w:r>
            <w:r>
              <w:t xml:space="preserve"> nebo instituce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1 – pododstavec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Provozní podrobnosti týkající se plánů na vyklizení a zničení v mimořádných situacích se rovněž označí stupněm utajení </w:t>
            </w:r>
            <w:r>
              <w:rPr>
                <w:b/>
                <w:i/>
              </w:rPr>
              <w:t>RESTREINT UE / EU RESTRICTED</w:t>
            </w:r>
            <w:r>
              <w:t>.</w:t>
            </w:r>
          </w:p>
        </w:tc>
        <w:tc>
          <w:tcPr>
            <w:tcW w:w="4876" w:type="dxa"/>
          </w:tcPr>
          <w:p>
            <w:pPr>
              <w:pStyle w:val="Normal6a"/>
            </w:pPr>
            <w:r>
              <w:t>Provozní podrobnosti týkající se plánů na vyklizení a zničení v mimořádných situacích se rovněž označí stupněm utajení.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39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Orgány a instituce Unie rozhodnou, zda a kdy archivovat utajené informace EU a o odpovídajících praktických opatřeních </w:t>
            </w:r>
            <w:r>
              <w:rPr>
                <w:b/>
                <w:i/>
              </w:rPr>
              <w:t>v souladu se svou politikou správy dokumentů</w:t>
            </w:r>
            <w:r>
              <w:t>.</w:t>
            </w:r>
          </w:p>
        </w:tc>
        <w:tc>
          <w:tcPr>
            <w:tcW w:w="4876" w:type="dxa"/>
          </w:tcPr>
          <w:p>
            <w:pPr>
              <w:pStyle w:val="Normal6a"/>
            </w:pPr>
            <w:r>
              <w:t>1.</w:t>
            </w:r>
            <w:r>
              <w:tab/>
            </w:r>
            <w:r>
              <w:t xml:space="preserve">Orgány a instituce Unie rozhodnou, zda a kdy archivovat utajené informace EU a o odpovídajících </w:t>
            </w:r>
            <w:r>
              <w:rPr>
                <w:b/>
                <w:i/>
              </w:rPr>
              <w:t>jednotných</w:t>
            </w:r>
            <w:r>
              <w:t xml:space="preserve"> praktických opatřeních.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39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Do historických archivů Evropské unie se nepřenášejí žádné dokumenty s utajovanými informacemi EU.</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39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39a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Spory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V případě jakýchkoli pochybností o chráněné povaze informace nebo jejím vhodném stupni utajení se orgány a instituce Unie neprodleně a před předáním informace vzájemně konzultují.</w:t>
            </w:r>
            <w:r>
              <w:t xml:space="preserve"> </w:t>
            </w:r>
            <w:r>
              <w:rPr>
                <w:b/>
                <w:i/>
              </w:rPr>
              <w:t>V případě sporu je záležitost postoupena předsedům orgánů a institucí k vyřešení.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Není-li na konci postupu uvedeného v odstavci 1 dosaženo dohody, podléhá odmítnutí přehodnotit chráněnou povahu informací nebo jejich odpovídající stupeň utajení přezkumu legality v souladu s článkem 263 Smlouvy o fungování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40 – odst. 1 – písm. c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w:t>
            </w:r>
            <w:r>
              <w:tab/>
            </w:r>
            <w:r>
              <w:rPr>
                <w:b/>
                <w:i/>
              </w:rPr>
              <w:t>sledování, zda orgány a instituce Unie dodržují příslušná ustanovení tohoto nařízení, jakož i pokyny přijaté koordinační skupinou.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41 – odst. 1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rPr>
                <w:b/>
                <w:i/>
              </w:rPr>
              <w:t>klíčové</w:t>
            </w:r>
            <w:r>
              <w:t xml:space="preserve"> bezpečnostní zásady pro navrhování komunikačních a informačních systémů, které nakládají s utajovanými informacemi EU a uchovávají je, se použijí při zahájení projektu jako součást procesu řízení rizik v oblasti bezpečnosti informací a při zohlednění potřeby znát, minimální funkčnosti, hloubkové ochrany, co nejomezenějších práv, oddělení funkcí a zásady čtyř očí;</w:t>
            </w:r>
          </w:p>
        </w:tc>
        <w:tc>
          <w:tcPr>
            <w:tcW w:w="4876" w:type="dxa"/>
          </w:tcPr>
          <w:p>
            <w:pPr>
              <w:pStyle w:val="Normal6a"/>
            </w:pPr>
            <w:r>
              <w:t>b)</w:t>
            </w:r>
            <w:r>
              <w:tab/>
            </w:r>
            <w:r>
              <w:rPr>
                <w:b/>
                <w:i/>
              </w:rPr>
              <w:t>zásadně důležité</w:t>
            </w:r>
            <w:r>
              <w:t xml:space="preserve"> bezpečnostní zásady pro navrhování komunikačních a informačních systémů, které nakládají s utajovanými informacemi EU a uchovávají je, se použijí při zahájení projektu jako součást procesu řízení rizik v oblasti bezpečnosti informací a při zohlednění potřeby znát, minimální funkčnosti, hloubkové ochrany, co nejomezenějších práv, oddělení funkcí a zásady čtyř očí;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41 – odst. 1 – písm. f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vlastník systému nebo provozní orgán pro zabezpečení informací zajistí, aby byl zaveden proces identifikace a oznamování zranitelných míst;</w:t>
            </w:r>
            <w:r>
              <w:t xml:space="preserve"> </w:t>
            </w:r>
            <w:r>
              <w:rPr>
                <w:b/>
                <w:i/>
              </w:rPr>
              <w:t>tento proces je doplněn pravidelnými audity a případně penetračním testováním.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42 – pododstavec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Pro veškeré informace a materiál označené jako utajované informace EU vede Rada na základě informací od vnitrostátních bezpečnostních orgánů seznam schválených kryptografických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42 – pododstavec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Pokud jde o informace a materiály se stupněm utajení RESTREINT UE/EU RESTRICTED, agentura ENISA/EU-CERT sestaví do 18 měsíců od vyhlášení tohoto nařízení v Úředním věstníku Evropské unie seznam dalších schválených kryptografických prostředků.</w:t>
            </w:r>
            <w:r>
              <w:t xml:space="preserve"> </w:t>
            </w:r>
            <w:r>
              <w:rPr>
                <w:b/>
                <w:i/>
              </w:rPr>
              <w:t>Tento seznam by měl být přezkoumán, aby byl každý následující rok aktualizován s ohledem na technologický vývoj a vývoj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22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Koordinační skupina každoročně informuje Radu o všech kryptografických prostředcích, které doporučuje k hodnocení schvalovacím orgánem členského státu pro kryptografickou ochranu na základě průzkumu provedeného v orgánech a institucích Unie.</w:t>
            </w:r>
          </w:p>
        </w:tc>
        <w:tc>
          <w:tcPr>
            <w:tcW w:w="4876" w:type="dxa"/>
          </w:tcPr>
          <w:p>
            <w:pPr>
              <w:pStyle w:val="Normal6a"/>
            </w:pPr>
            <w:r>
              <w:t>5.</w:t>
            </w:r>
            <w:r>
              <w:tab/>
            </w:r>
            <w:r>
              <w:t xml:space="preserve">Koordinační skupina každoročně informuje Radu o všech kryptografických prostředcích, které doporučuje k hodnocení schvalovacím orgánem členského státu </w:t>
            </w:r>
            <w:r>
              <w:rPr>
                <w:b/>
                <w:i/>
              </w:rPr>
              <w:t>nebo agenturou ENISA/EU-CERT</w:t>
            </w:r>
            <w:r>
              <w:t xml:space="preserve"> pro kryptografickou ochranu na základě průzkumu provedeného v orgánech a institucích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51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Všechny orgány a instituce Unie </w:t>
            </w:r>
            <w:r>
              <w:rPr>
                <w:b/>
                <w:i/>
              </w:rPr>
              <w:t>mohou sdílet</w:t>
            </w:r>
            <w:r>
              <w:t xml:space="preserve"> utajované informace EU s jinými orgány nebo institucemi Unie za podmínek stanovených v článku 54.</w:t>
            </w:r>
          </w:p>
        </w:tc>
        <w:tc>
          <w:tcPr>
            <w:tcW w:w="4876" w:type="dxa"/>
          </w:tcPr>
          <w:p>
            <w:pPr>
              <w:pStyle w:val="Normal6a"/>
            </w:pPr>
            <w:r>
              <w:t>1.</w:t>
            </w:r>
            <w:r>
              <w:tab/>
            </w:r>
            <w:r>
              <w:t xml:space="preserve">Všechny orgány a instituce Unie </w:t>
            </w:r>
            <w:r>
              <w:rPr>
                <w:b/>
                <w:i/>
              </w:rPr>
              <w:t>sdílí</w:t>
            </w:r>
            <w:r>
              <w:t xml:space="preserve"> utajované informace EU s jinými orgány nebo institucemi Unie za podmínek stanovených v článku 54.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32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Podskupina pro sdílení utajovaných informací EU a výměnu utajovaných informací je složena ze zástupců Komise, Rady a Evropské služby pro vnější činnost a pracuje na základě konsensu.</w:t>
            </w:r>
          </w:p>
        </w:tc>
        <w:tc>
          <w:tcPr>
            <w:tcW w:w="4876" w:type="dxa"/>
          </w:tcPr>
          <w:p>
            <w:pPr>
              <w:pStyle w:val="Normal6a"/>
            </w:pPr>
            <w:r>
              <w:t>2.</w:t>
            </w:r>
            <w:r>
              <w:tab/>
            </w:r>
            <w:r>
              <w:t xml:space="preserve">Podskupina pro sdílení utajovaných informací EU a výměnu utajovaných informací je složena ze zástupců </w:t>
            </w:r>
            <w:r>
              <w:rPr>
                <w:b/>
                <w:i/>
              </w:rPr>
              <w:t>Evropského parlamentu,</w:t>
            </w:r>
            <w:r>
              <w:t xml:space="preserve"> Komise, Rady a Evropské služby pro vnější činnost a pracuje na základě konsensu. </w:t>
            </w:r>
            <w:r>
              <w:rPr>
                <w:b/>
                <w:i/>
              </w:rPr>
              <w:t>Podskupina usiluje o spravedlivou rovnováhu mezi potřebou chránit utajované informace EU a nařízením (ES) č. 1049/2001 a zajistí, aby utajení samo o sobě nebránilo zveřejňování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32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Podskupina pro sdílení utajovaných informací EU a výměnu utajovaných informací je složena ze zástupců Komise, Rady a Evropské služby pro vnější činnost a pracuje na základě konsensu.</w:t>
            </w:r>
          </w:p>
        </w:tc>
        <w:tc>
          <w:tcPr>
            <w:tcW w:w="4876" w:type="dxa"/>
          </w:tcPr>
          <w:p>
            <w:pPr>
              <w:pStyle w:val="Normal6a"/>
            </w:pPr>
            <w:r>
              <w:t>2.</w:t>
            </w:r>
            <w:r>
              <w:tab/>
            </w:r>
            <w:r>
              <w:t xml:space="preserve">Podskupina pro sdílení utajovaných informací EU a výměnu utajovaných informací je složena ze zástupců </w:t>
            </w:r>
            <w:r>
              <w:rPr>
                <w:b/>
                <w:i/>
              </w:rPr>
              <w:t>Evropského parlamentu,</w:t>
            </w:r>
            <w:r>
              <w:t xml:space="preserve"> Komise, Rady a Evropské služby pro vnější činnost a pracuje na základě konsensu.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32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Podskupina pro sdílení utajovaných informací EU a výměnu utajovaných informací je složena ze zástupců Komise, Rady a Evropské služby pro vnější činnost a pracuje na základě konsensu.</w:t>
            </w:r>
          </w:p>
        </w:tc>
        <w:tc>
          <w:tcPr>
            <w:tcW w:w="4876" w:type="dxa"/>
          </w:tcPr>
          <w:p>
            <w:pPr>
              <w:pStyle w:val="Normal6a"/>
            </w:pPr>
            <w:r>
              <w:t>2.</w:t>
            </w:r>
            <w:r>
              <w:tab/>
            </w:r>
            <w:r>
              <w:t xml:space="preserve">Podskupina pro sdílení utajovaných informací EU a výměnu utajovaných informací je složena ze zástupců </w:t>
            </w:r>
            <w:r>
              <w:rPr>
                <w:b/>
                <w:i/>
              </w:rPr>
              <w:t>Evropského parlamentu,</w:t>
            </w:r>
            <w:r>
              <w:t xml:space="preserve"> Komise, Rady a Evropské služby pro vnější činnost a pracuje na základě konsensu.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54 – odst. 1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existuje </w:t>
            </w:r>
            <w:r>
              <w:rPr>
                <w:b/>
                <w:i/>
              </w:rPr>
              <w:t>prokázaná potřeba výměny</w:t>
            </w:r>
            <w:r>
              <w:t>;</w:t>
            </w:r>
          </w:p>
        </w:tc>
        <w:tc>
          <w:tcPr>
            <w:tcW w:w="4876" w:type="dxa"/>
          </w:tcPr>
          <w:p>
            <w:pPr>
              <w:pStyle w:val="Normal6a"/>
            </w:pPr>
            <w:r>
              <w:t>a)</w:t>
            </w:r>
            <w:r>
              <w:tab/>
            </w:r>
            <w:r>
              <w:t>existuje</w:t>
            </w:r>
            <w:r>
              <w:rPr>
                <w:b/>
                <w:i/>
              </w:rPr>
              <w:t>právní povinnost podle práva Unie nebo podle dohody uzavřené mezi orgány Unie</w:t>
            </w:r>
            <w:r>
              <w:t>;</w:t>
            </w:r>
            <w:r>
              <w:rPr>
                <w:b/>
                <w:i/>
              </w:rPr>
              <w:t>nebo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existuje prokázaná potřeba výměny;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54 – odst. 1 – písm. a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existuje právní povinnost podle Smluv, sekundárního práva nebo interinstitucionální dohody uzavřené mezi orgány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54 – odst. 1 – písm.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bezpečnostní orgán dotčeného orgánu nebo instituce Unie rozhodne, že může sdílet utajované informace až do určitého stupně s jinými takto certifikovanými orgány a institucemi Unie.</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56 – odst. 1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platí obecné pravidlo, že dotčený orgán nebo instituce Unie si s protějškem třetí země nebo mezinárodní organizace musí dlouhodobě vyměňovat informace se stupněm utajení nejvýše </w:t>
            </w:r>
            <w:r>
              <w:rPr>
                <w:b/>
                <w:i/>
              </w:rPr>
              <w:t>RESTREINT UE / EU RESTRICTED</w:t>
            </w:r>
            <w:r>
              <w:t>;</w:t>
            </w:r>
          </w:p>
        </w:tc>
        <w:tc>
          <w:tcPr>
            <w:tcW w:w="4876" w:type="dxa"/>
          </w:tcPr>
          <w:p>
            <w:pPr>
              <w:pStyle w:val="Normal6a"/>
            </w:pPr>
            <w:r>
              <w:t>a)</w:t>
            </w:r>
            <w:r>
              <w:tab/>
            </w:r>
            <w:r>
              <w:t xml:space="preserve">platí obecné pravidlo, že dotčený orgán nebo instituce Unie si s protějškem třetí země nebo mezinárodní organizace musí dlouhodobě vyměňovat informace se stupněm utajení nejvýše </w:t>
            </w:r>
            <w:r>
              <w:rPr>
                <w:b/>
                <w:i/>
              </w:rPr>
              <w:t>CONFIDENTIEL UE / EU CONFIDENTIAL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23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Všechny orgány a instituce Unie, které Komise, Rada nebo ESVČ před [dd/mm/rrrr datum použitelnosti] posoudily jako vhodné pro nakládání s utajovanými informacemi EU a pro jejich uchovávání, se považují za orgány a instituce splňující podmínky uvedené v čl. 19 odst. 1.</w:t>
            </w:r>
          </w:p>
        </w:tc>
        <w:tc>
          <w:tcPr>
            <w:tcW w:w="4876" w:type="dxa"/>
          </w:tcPr>
          <w:p>
            <w:pPr>
              <w:pStyle w:val="Normal6a"/>
            </w:pPr>
            <w:r>
              <w:t>2.</w:t>
            </w:r>
            <w:r>
              <w:tab/>
            </w:r>
            <w:r>
              <w:t xml:space="preserve">Všechny orgány a instituce Unie, které Komise, </w:t>
            </w:r>
            <w:r>
              <w:rPr>
                <w:b/>
                <w:i/>
              </w:rPr>
              <w:t>Evropský parlament,</w:t>
            </w:r>
            <w:r>
              <w:t xml:space="preserve"> Rada nebo ESVČ před [dd/mm/rrrr datum použitelnosti] posoudily jako vhodné pro nakládání s utajovanými informacemi EU a pro jejich uchovávání, se považují za orgány a instituce splňující podmínky uvedené v čl. 19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23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Všechny orgány a instituce Unie, které Komise, Rada nebo ESVČ před [dd/mm/rrrr datum použitelnosti] posoudily jako vhodné pro nakládání s utajovanými informacemi EU a pro jejich uchovávání, se považují za orgány a instituce splňující podmínky uvedené v čl. 19 odst. 1.</w:t>
            </w:r>
          </w:p>
        </w:tc>
        <w:tc>
          <w:tcPr>
            <w:tcW w:w="4876" w:type="dxa"/>
          </w:tcPr>
          <w:p>
            <w:pPr>
              <w:pStyle w:val="Normal6a"/>
            </w:pPr>
            <w:r>
              <w:t>2.</w:t>
            </w:r>
            <w:r>
              <w:tab/>
            </w:r>
            <w:r>
              <w:t xml:space="preserve">Všechny orgány a instituce Unie, které </w:t>
            </w:r>
            <w:r>
              <w:rPr>
                <w:b/>
                <w:i/>
              </w:rPr>
              <w:t>Parlament,</w:t>
            </w:r>
            <w:r>
              <w:t xml:space="preserve"> Komise, Rada nebo ESVČ před [dd/mm/rrrr datum použitelnosti] posoudily jako vhodné pro nakládání s utajovanými informacemi EU a pro jejich uchovávání, se považují za orgány a instituce splňující podmínky uvedené v čl. 19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61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Nejpozději do [dd/mm/rrrr </w:t>
            </w:r>
            <w:r>
              <w:rPr>
                <w:b/>
                <w:i/>
              </w:rPr>
              <w:t>tři</w:t>
            </w:r>
            <w:r>
              <w:t xml:space="preserve"> roky ode dne použitelnosti] předloží Komise Evropskému parlamentu a Radě zprávu o provádění tohoto nařízení.</w:t>
            </w:r>
          </w:p>
        </w:tc>
        <w:tc>
          <w:tcPr>
            <w:tcW w:w="4876" w:type="dxa"/>
          </w:tcPr>
          <w:p>
            <w:pPr>
              <w:pStyle w:val="Normal6a"/>
            </w:pPr>
            <w:r>
              <w:t>1.</w:t>
            </w:r>
            <w:r>
              <w:tab/>
            </w:r>
            <w:r>
              <w:t xml:space="preserve">Nejpozději do [dd/mm/rrrr </w:t>
            </w:r>
            <w:r>
              <w:rPr>
                <w:b/>
                <w:i/>
              </w:rPr>
              <w:t>dva</w:t>
            </w:r>
            <w:r>
              <w:t xml:space="preserve"> roky ode dne použitelnosti] předloží Komise Evropskému parlamentu a Radě zprávu o provádění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61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Nejdříve [</w:t>
            </w:r>
            <w:r>
              <w:rPr>
                <w:b/>
                <w:i/>
              </w:rPr>
              <w:t>pět let</w:t>
            </w:r>
            <w:r>
              <w:t xml:space="preserve"> ode dne použitelnosti] a poté každých pět let provede Komise hodnocení tohoto nařízení a předloží zprávu o hlavních zjištěních Evropskému parlamentu a Radě.</w:t>
            </w:r>
          </w:p>
        </w:tc>
        <w:tc>
          <w:tcPr>
            <w:tcW w:w="4876" w:type="dxa"/>
          </w:tcPr>
          <w:p>
            <w:pPr>
              <w:pStyle w:val="Normal6a"/>
            </w:pPr>
            <w:r>
              <w:t>2.</w:t>
            </w:r>
            <w:r>
              <w:tab/>
            </w:r>
            <w:r>
              <w:t>Nejdříve [</w:t>
            </w:r>
            <w:r>
              <w:rPr>
                <w:b/>
                <w:i/>
              </w:rPr>
              <w:t>tři roky</w:t>
            </w:r>
            <w:r>
              <w:t xml:space="preserve"> ode dne použitelnosti] a poté každých pět let provede Komise hodnocení tohoto nařízení a předloží zprávu o hlavních zjištěních Evropskému parlamentu a Radě.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 – bod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Dokumenty obsahující citlivé neutajované informace musí být označeny bezpečnostním označením a případně jedním nebo více distribučními označeními, která případně určují cílovou skupinu. Standardním bezpečnostním označením je slovo „</w:t>
            </w:r>
            <w:r>
              <w:rPr>
                <w:b/>
                <w:i/>
              </w:rPr>
              <w:t>SENSITIVE</w:t>
            </w:r>
            <w:r>
              <w:t>“ napsané velkými písmeny, s výjimkou případů uvedených v čl. 15 odst. 2.</w:t>
            </w:r>
          </w:p>
        </w:tc>
        <w:tc>
          <w:tcPr>
            <w:tcW w:w="4876" w:type="dxa"/>
          </w:tcPr>
          <w:p>
            <w:pPr>
              <w:pStyle w:val="Normal6a"/>
            </w:pPr>
            <w:r>
              <w:t>1.</w:t>
            </w:r>
            <w:r>
              <w:tab/>
            </w:r>
            <w:r>
              <w:t>Dokumenty obsahující citlivé neutajované informace musí být označeny bezpečnostním označením a případně jedním nebo více distribučními označeními, která případně určují cílovou skupinu. Standardním bezpečnostním označením je slovo „</w:t>
            </w:r>
            <w:r>
              <w:rPr>
                <w:b/>
                <w:i/>
              </w:rPr>
              <w:t>PROTECTED</w:t>
            </w:r>
            <w:r>
              <w:t>“ napsané velkými písmeny, s výjimkou případů uvedených v čl. 15 odst.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 – bod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Stupeň utajení u dokumentů s označením </w:t>
            </w:r>
            <w:r>
              <w:rPr>
                <w:b/>
                <w:i/>
              </w:rPr>
              <w:t>SENSITIVE</w:t>
            </w:r>
            <w:r>
              <w:t xml:space="preserve"> se snižuje na EU NORMAL nebo PUBLIC USE odstraněním nebo přeškrtnutím daných označení.</w:t>
            </w:r>
          </w:p>
        </w:tc>
        <w:tc>
          <w:tcPr>
            <w:tcW w:w="4876" w:type="dxa"/>
          </w:tcPr>
          <w:p>
            <w:pPr>
              <w:pStyle w:val="Normal6a"/>
            </w:pPr>
            <w:r>
              <w:t>4.</w:t>
            </w:r>
            <w:r>
              <w:tab/>
            </w:r>
            <w:r>
              <w:t xml:space="preserve">Stupeň utajení u dokumentů s označením </w:t>
            </w:r>
            <w:r>
              <w:rPr>
                <w:b/>
                <w:i/>
              </w:rPr>
              <w:t>PROTECTED</w:t>
            </w:r>
            <w:r>
              <w:t xml:space="preserve"> se snižuje na EU NORMAL nebo PUBLIC USE odstraněním nebo přeškrtnutím daných označení.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II – odst. 1 – bod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„bezpečnostní prověrkou personálu“ prohlášení </w:t>
            </w:r>
            <w:r>
              <w:rPr>
                <w:b/>
                <w:i/>
              </w:rPr>
              <w:t>příslušného orgánu členského státu</w:t>
            </w:r>
            <w:r>
              <w:t xml:space="preserve">, které je vydáno po skončení bezpečnostního řízení vedeného </w:t>
            </w:r>
            <w:r>
              <w:rPr>
                <w:b/>
                <w:i/>
              </w:rPr>
              <w:t>příslušným orgánem</w:t>
            </w:r>
            <w:r>
              <w:t xml:space="preserve"> a kterým se osvědčuje, že určité osobě může umožněn přístup k utajovaným informacím EU až do konkrétního stupně utajení (CONFIDENTIEL UE / EU CONFIDENTIAL nebo vyššího) a po určenou dobu;</w:t>
            </w:r>
          </w:p>
        </w:tc>
        <w:tc>
          <w:tcPr>
            <w:tcW w:w="4876" w:type="dxa"/>
          </w:tcPr>
          <w:p>
            <w:pPr>
              <w:pStyle w:val="Normal6a"/>
            </w:pPr>
            <w:r>
              <w:t>1)</w:t>
            </w:r>
            <w:r>
              <w:tab/>
            </w:r>
            <w:r>
              <w:t xml:space="preserve">„bezpečnostní prověrkou personálu“ prohlášení </w:t>
            </w:r>
            <w:r>
              <w:rPr>
                <w:b/>
                <w:i/>
              </w:rPr>
              <w:t>Komise</w:t>
            </w:r>
            <w:r>
              <w:t xml:space="preserve">, které je vydáno po skončení bezpečnostního řízení vedeného </w:t>
            </w:r>
            <w:r>
              <w:rPr>
                <w:b/>
                <w:i/>
              </w:rPr>
              <w:t>Komisí ve spolupráci s příslušnými orgány relevantních členských států</w:t>
            </w:r>
            <w:r>
              <w:t xml:space="preserve"> a kterým se osvědčuje, že určité osobě může umožněn přístup k utajovaným informacím EU až do konkrétního stupně utajení (CONFIDENTIEL UE / EU CONFIDENTIAL nebo vyššího) a po určenou dobu;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II – odst. 1 – bod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„potvrzením o bezpečnostní prověrce personálu“ potvrzení vydané </w:t>
            </w:r>
            <w:r>
              <w:rPr>
                <w:b/>
                <w:i/>
              </w:rPr>
              <w:t>příslušným orgánem</w:t>
            </w:r>
            <w:r>
              <w:t>, kterým se osvědčuje, že určitá osoba je držitelem platné bezpečnostní prověrky nebo jejího ekvivalentu nebo bezpečnostního oprávnění, které udává, k jakému stupni utajovaných informací EU může být dané osobě umožněn přístup (CONFIDENTIEL UE / EU CONFIDENTIAL nebo vyššímu), uvádí dobu platnosti příslušné bezpečnostní prověrky či bezpečnostního oprávnění a datum skončení platnosti vlastního potvrzení.</w:t>
            </w:r>
          </w:p>
        </w:tc>
        <w:tc>
          <w:tcPr>
            <w:tcW w:w="4876" w:type="dxa"/>
          </w:tcPr>
          <w:p>
            <w:pPr>
              <w:pStyle w:val="Normal6a"/>
            </w:pPr>
            <w:r>
              <w:t>2)</w:t>
            </w:r>
            <w:r>
              <w:tab/>
            </w:r>
            <w:r>
              <w:t xml:space="preserve">„potvrzením o bezpečnostní prověrce personálu“ potvrzení vydané </w:t>
            </w:r>
            <w:r>
              <w:rPr>
                <w:b/>
                <w:i/>
              </w:rPr>
              <w:t>Komisí</w:t>
            </w:r>
            <w:r>
              <w:t>, kterým se osvědčuje, že určitá osoba je držitelem platné bezpečnostní prověrky nebo jejího ekvivalentu nebo bezpečnostního oprávnění, které udává, k jakému stupni utajovaných informací EU může být dané osobě umožněn přístup (CONFIDENTIEL UE / EU CONFIDENTIAL nebo vyššímu), uvádí dobu platnosti příslušné bezpečnostní prověrky či bezpečnostního oprávnění a datum skončení platnosti vlastního potvrzení.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II – bod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Bezpečnostní orgán dotčeného orgánu a instituce Unie si musí před zasláním vyplněného dotazníku pro bezpečnostní prověrku </w:t>
            </w:r>
            <w:r>
              <w:rPr>
                <w:b/>
                <w:i/>
              </w:rPr>
              <w:t>vnitrostátnímu bezpečnostnímu orgánu členského státu, jehož je žadatel státním příslušníkem,</w:t>
            </w:r>
            <w:r>
              <w:t xml:space="preserve"> vyžádat písemný souhlas dané osoby s postupem bezpečnostní prověrky.</w:t>
            </w:r>
          </w:p>
        </w:tc>
        <w:tc>
          <w:tcPr>
            <w:tcW w:w="4876" w:type="dxa"/>
          </w:tcPr>
          <w:p>
            <w:pPr>
              <w:pStyle w:val="Normal6a"/>
            </w:pPr>
            <w:r>
              <w:t>1.</w:t>
            </w:r>
            <w:r>
              <w:tab/>
            </w:r>
            <w:r>
              <w:t xml:space="preserve">Bezpečnostní orgán dotčeného orgánu a instituce Unie si musí před zasláním vyplněného dotazníku pro bezpečnostní prověrku </w:t>
            </w:r>
            <w:r>
              <w:rPr>
                <w:b/>
                <w:i/>
              </w:rPr>
              <w:t>Komisi</w:t>
            </w:r>
            <w:r>
              <w:t xml:space="preserve"> vyžádat písemný souhlas dané osoby s postupem bezpečnostní prověrky.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II – bod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Pokud orgán nebo instituce Unie zjistí v souvislosti s osobou, která požádala o bezpečnostní prověrku pro účely přístupu k utajovaným informacím EU, informace významné pro zahájení bezpečnostního šetření, musí o tom příslušný bezpečnostní orgán jednající v souladu s tímto nařízením uvědomit </w:t>
            </w:r>
            <w:r>
              <w:rPr>
                <w:b/>
                <w:i/>
              </w:rPr>
              <w:t>příslušný vnitrostátní bezpečnostní orgán</w:t>
            </w:r>
            <w:r>
              <w:t>.</w:t>
            </w:r>
          </w:p>
        </w:tc>
        <w:tc>
          <w:tcPr>
            <w:tcW w:w="4876" w:type="dxa"/>
          </w:tcPr>
          <w:p>
            <w:pPr>
              <w:pStyle w:val="Normal6a"/>
            </w:pPr>
            <w:r>
              <w:t>2.</w:t>
            </w:r>
            <w:r>
              <w:tab/>
            </w:r>
            <w:r>
              <w:t xml:space="preserve">Pokud orgán nebo instituce Unie zjistí v souvislosti s osobou, která požádala o bezpečnostní prověrku pro účely přístupu k utajovaným informacím EU, informace významné pro zahájení bezpečnostního šetření, musí o tom příslušný bezpečnostní orgán jednající v souladu s tímto nařízením uvědomit </w:t>
            </w:r>
            <w:r>
              <w:rPr>
                <w:b/>
                <w:i/>
              </w:rPr>
              <w:t>Komisi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II – bod 3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Poté, co příslušný bezpečnostní orgán oznámí celkové posouzení závěrů bezpečnostního šetření </w:t>
            </w:r>
            <w:r>
              <w:rPr>
                <w:b/>
                <w:i/>
              </w:rPr>
              <w:t>příslušným vnitrostátním bezpečnostním orgánem</w:t>
            </w:r>
            <w:r>
              <w:t>:</w:t>
            </w:r>
          </w:p>
        </w:tc>
        <w:tc>
          <w:tcPr>
            <w:tcW w:w="4876" w:type="dxa"/>
          </w:tcPr>
          <w:p>
            <w:pPr>
              <w:pStyle w:val="Normal6a"/>
            </w:pPr>
            <w:r>
              <w:t>3.</w:t>
            </w:r>
            <w:r>
              <w:tab/>
            </w:r>
            <w:r>
              <w:t xml:space="preserve">Poté, co příslušný bezpečnostní orgán oznámí celkové posouzení závěrů bezpečnostního šetření </w:t>
            </w:r>
            <w:r>
              <w:rPr>
                <w:b/>
                <w:i/>
              </w:rPr>
              <w:t>Komisí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II – bod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Pokud daná osoba zahájí službu 12 měsíců nebo více po dni oznámení výsledku bezpečnostního řízení nebo pokud dojde ke dvanáctiměsíční přestávce ve službě osoby, musí příslušný bezpečnostní orgán požádat </w:t>
            </w:r>
            <w:r>
              <w:rPr>
                <w:b/>
                <w:i/>
              </w:rPr>
              <w:t>příslušný vnitrostátní bezpečnostní orgán</w:t>
            </w:r>
            <w:r>
              <w:t xml:space="preserve"> o potvrzení platnosti bezpečnostní prověrky.</w:t>
            </w:r>
          </w:p>
        </w:tc>
        <w:tc>
          <w:tcPr>
            <w:tcW w:w="4876" w:type="dxa"/>
          </w:tcPr>
          <w:p>
            <w:pPr>
              <w:pStyle w:val="Normal6a"/>
            </w:pPr>
            <w:r>
              <w:t>4.</w:t>
            </w:r>
            <w:r>
              <w:tab/>
            </w:r>
            <w:r>
              <w:t xml:space="preserve">Pokud daná osoba zahájí službu 12 měsíců nebo více po dni oznámení výsledku bezpečnostního řízení nebo pokud dojde ke dvanáctiměsíční přestávce ve službě osoby, musí příslušný bezpečnostní orgán požádat </w:t>
            </w:r>
            <w:r>
              <w:rPr>
                <w:b/>
                <w:i/>
              </w:rPr>
              <w:t>Komisi</w:t>
            </w:r>
            <w:r>
              <w:t xml:space="preserve"> o potvrzení platnosti bezpečnostní prověrky.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II – bod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Pokud orgán nebo instituce Unie zjistí informace týkající se bezpečnostního rizika, jež představuje osoba, která je držitelem oprávnění k přístupu k utajovaným informacím EU, musí o tom bezpečnostní orgán daného orgánu nebo instituce Unie uvědomit </w:t>
            </w:r>
            <w:r>
              <w:rPr>
                <w:b/>
                <w:i/>
              </w:rPr>
              <w:t>příslušný vnitrostátní bezpečnostní orgán</w:t>
            </w:r>
            <w:r>
              <w:t>, přičemž může této osobě pozastavit přístup k utajovaným informacím EU nebo oprávnění k přístupu k utajovaným informacím EU zrušit.</w:t>
            </w:r>
          </w:p>
        </w:tc>
        <w:tc>
          <w:tcPr>
            <w:tcW w:w="4876" w:type="dxa"/>
          </w:tcPr>
          <w:p>
            <w:pPr>
              <w:pStyle w:val="Normal6a"/>
            </w:pPr>
            <w:r>
              <w:t>5.</w:t>
            </w:r>
            <w:r>
              <w:tab/>
            </w:r>
            <w:r>
              <w:t xml:space="preserve">Pokud orgán nebo instituce Unie zjistí informace týkající se bezpečnostního rizika, jež představuje osoba, která je držitelem oprávnění k přístupu k utajovaným informacím EU, musí o tom bezpečnostní orgán daného orgánu nebo instituce Unie uvědomit </w:t>
            </w:r>
            <w:r>
              <w:rPr>
                <w:b/>
                <w:i/>
              </w:rPr>
              <w:t>Komisi</w:t>
            </w:r>
            <w:r>
              <w:t>, přičemž může této osobě pozastavit přístup k utajovaným informacím EU nebo oprávnění k přístupu k utajovaným informacím EU zrušit.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II – bod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Pokud </w:t>
            </w:r>
            <w:r>
              <w:rPr>
                <w:b/>
                <w:i/>
              </w:rPr>
              <w:t>vnitrostátní bezpečnostní orgán</w:t>
            </w:r>
            <w:r>
              <w:t xml:space="preserve"> oznámí příslušnému orgánu nebo instituci Unie, že již neexistuje záruka pro osobu, která má přístup k utajovaným informacím EU, musí bezpečnostní orgán orgánu nebo instituce Unie odejmout své bezpečnostní oprávnění a vyloučit tuto osobu z přístupu k utajovaným informacím EU v souladu se svými příslušnými vnitřními předpisy.</w:t>
            </w:r>
          </w:p>
        </w:tc>
        <w:tc>
          <w:tcPr>
            <w:tcW w:w="4876" w:type="dxa"/>
          </w:tcPr>
          <w:p>
            <w:pPr>
              <w:pStyle w:val="Normal6a"/>
            </w:pPr>
            <w:r>
              <w:t>6.</w:t>
            </w:r>
            <w:r>
              <w:tab/>
            </w:r>
            <w:r>
              <w:t xml:space="preserve">Pokud </w:t>
            </w:r>
            <w:r>
              <w:rPr>
                <w:b/>
                <w:i/>
              </w:rPr>
              <w:t>Komise</w:t>
            </w:r>
            <w:r>
              <w:t xml:space="preserve"> oznámí příslušnému orgánu nebo instituci Unie, že již neexistuje záruka pro osobu, která má přístup k utajovaným informacím EU, musí bezpečnostní orgán orgánu nebo instituce Unie odejmout své bezpečnostní oprávnění a vyloučit tuto osobu z přístupu k utajovaným informacím EU v souladu se svými příslušnými vnitřními předpisy.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II – bod 8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Pokud </w:t>
            </w:r>
            <w:r>
              <w:rPr>
                <w:b/>
                <w:i/>
              </w:rPr>
              <w:t>příslušný vnitrostátní bezpečnostní orgán nebo jiný příslušný vnitrostátní orgán</w:t>
            </w:r>
            <w:r>
              <w:t xml:space="preserve"> ve lhůtě dvou měsíců ode dne, kdy </w:t>
            </w:r>
            <w:r>
              <w:rPr>
                <w:b/>
                <w:i/>
              </w:rPr>
              <w:t>mu</w:t>
            </w:r>
            <w:r>
              <w:t xml:space="preserve"> byla předána žádost o obnovení platnosti a odpovídající dotazník bezpečnostní prověrky, neposkytne žádné nepříznivé informace, může bezpečnostní orgán orgánu nebo instituce Unie prodloužit platnost bezpečnostního oprávnění na dobu až 12 měsíců.</w:t>
            </w:r>
          </w:p>
        </w:tc>
        <w:tc>
          <w:tcPr>
            <w:tcW w:w="4876" w:type="dxa"/>
          </w:tcPr>
          <w:p>
            <w:pPr>
              <w:pStyle w:val="Normal6a"/>
            </w:pPr>
            <w:r>
              <w:t xml:space="preserve">Pokud </w:t>
            </w:r>
            <w:r>
              <w:rPr>
                <w:b/>
                <w:i/>
              </w:rPr>
              <w:t>Komise</w:t>
            </w:r>
            <w:r>
              <w:t xml:space="preserve"> ve lhůtě dvou měsíců ode dne, kdy </w:t>
            </w:r>
            <w:r>
              <w:rPr>
                <w:b/>
                <w:i/>
              </w:rPr>
              <w:t>jí</w:t>
            </w:r>
            <w:r>
              <w:t xml:space="preserve"> byla předána žádost o obnovení platnosti a odpovídající dotazník bezpečnostní prověrky, neposkytne žádné nepříznivé informace, může bezpečnostní orgán orgánu nebo instituce Unie prodloužit platnost bezpečnostního oprávnění na dobu až 12 měsíců.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II – bod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Bezpečnostní orgán dotčeného orgánu nebo instituce Unie může ve výjimečných případech udělit dočasné oprávnění pro přístup k utajovaným informacím EU za předpokladu, že </w:t>
            </w:r>
            <w:r>
              <w:rPr>
                <w:b/>
                <w:i/>
              </w:rPr>
              <w:t>příslušný vnitrostátní bezpečnostní orgán provedl</w:t>
            </w:r>
            <w:r>
              <w:t xml:space="preserve"> předběžnou kontrolu na základě vyplněného a předaného bezpečnostního dotazníku, aby </w:t>
            </w:r>
            <w:r>
              <w:rPr>
                <w:b/>
                <w:i/>
              </w:rPr>
              <w:t>ověřil</w:t>
            </w:r>
            <w:r>
              <w:t>, že nejsou známy žádné relevantní nepříznivé informace.</w:t>
            </w:r>
          </w:p>
        </w:tc>
        <w:tc>
          <w:tcPr>
            <w:tcW w:w="4876" w:type="dxa"/>
          </w:tcPr>
          <w:p>
            <w:pPr>
              <w:pStyle w:val="Normal6a"/>
            </w:pPr>
            <w:r>
              <w:t>10.</w:t>
            </w:r>
            <w:r>
              <w:tab/>
            </w:r>
            <w:r>
              <w:t xml:space="preserve">Bezpečnostní orgán dotčeného orgánu nebo instituce Unie může ve výjimečných případech udělit dočasné oprávnění pro přístup k utajovaným informacím EU za předpokladu, že </w:t>
            </w:r>
            <w:r>
              <w:rPr>
                <w:b/>
                <w:i/>
              </w:rPr>
              <w:t>Komise provedla</w:t>
            </w:r>
            <w:r>
              <w:t xml:space="preserve"> předběžnou kontrolu na základě vyplněného a předaného bezpečnostního dotazníku, aby </w:t>
            </w:r>
            <w:r>
              <w:rPr>
                <w:b/>
                <w:i/>
              </w:rPr>
              <w:t>ověřila</w:t>
            </w:r>
            <w:r>
              <w:t>, že nejsou známy žádné relevantní nepříznivé informace.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II – bod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 xml:space="preserve">Všechny orgány a instituce Unie musí zajistit, aby národní odborníci, kteří jsou k nim vysláni na pracovní místo vyžadující bezpečnostní prověrku, před nástupem do funkce předložili příslušnému bezpečnostnímu orgánu platnou </w:t>
            </w:r>
            <w:r>
              <w:rPr>
                <w:b/>
                <w:i/>
              </w:rPr>
              <w:t>bezpečnostní prověrku personálu nebo potvrzení o</w:t>
            </w:r>
            <w:r>
              <w:t xml:space="preserve"> bezpečnostní </w:t>
            </w:r>
            <w:r>
              <w:rPr>
                <w:b/>
                <w:i/>
              </w:rPr>
              <w:t>prověrce personálu</w:t>
            </w:r>
            <w:r>
              <w:t xml:space="preserve"> v souladu s vnitrostátními právními předpisy. Za předpokladu, že jsou splněny požadavky uvedené v čl. 23 odst. 1, může bezpečnostní orgán udělit oprávnění pro přístup k utajovaným informacím EU až do stupně utajení rovnocenného stupni uvedenému ve vnitrostátní bezpečnostní prověrce, přičemž maximální doba platnosti nepřekročí dobu trvání jejich přidělení.</w:t>
            </w:r>
          </w:p>
        </w:tc>
        <w:tc>
          <w:tcPr>
            <w:tcW w:w="4876" w:type="dxa"/>
          </w:tcPr>
          <w:p>
            <w:pPr>
              <w:pStyle w:val="Normal6a"/>
            </w:pPr>
            <w:r>
              <w:t>13.</w:t>
            </w:r>
            <w:r>
              <w:tab/>
            </w:r>
            <w:r>
              <w:t xml:space="preserve">Všechny orgány a instituce Unie musí zajistit, aby národní odborníci, kteří jsou k nim vysláni na pracovní místo vyžadující bezpečnostní prověrku, před nástupem do funkce předložili příslušnému bezpečnostnímu orgánu platnou </w:t>
            </w:r>
            <w:r>
              <w:rPr>
                <w:b/>
                <w:i/>
              </w:rPr>
              <w:t>vnitrostátní</w:t>
            </w:r>
            <w:r>
              <w:t xml:space="preserve"> bezpečnostní </w:t>
            </w:r>
            <w:r>
              <w:rPr>
                <w:b/>
                <w:i/>
              </w:rPr>
              <w:t>prověrku</w:t>
            </w:r>
            <w:r>
              <w:t xml:space="preserve"> v souladu s vnitrostátními právními předpisy. Za předpokladu, že jsou splněny požadavky uvedené v čl. 23 odst. 1, může bezpečnostní orgán udělit oprávnění pro přístup k utajovaným informacím EU až do stupně utajení rovnocenného stupni uvedenému ve vnitrostátní bezpečnostní prověrce, přičemž maximální doba platnosti nepřekročí dobu trvání jejich přidělení.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III – bod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8.</w:t>
            </w:r>
            <w:r>
              <w:tab/>
            </w:r>
            <w:r>
              <w:rPr>
                <w:b/>
                <w:i/>
              </w:rPr>
              <w:t>S utajovanými informacemi EU se stupněm utajení RESTREINT UE/EU RESTRICTED se musí nakládat a tyto informace se musí být uchovávat v následujících oblastech:</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v zabezpečené oblasti;</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v administrativní oblasti za předpokladu, že utajované informace EU jsou chráněny před přístupem neoprávněných osob;</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mimo zabezpečenou oblast či mimo administrativní oblast za předpokladu, že se držitel zavázal k dodržování náhradních opatření, o nichž rozhodl bezpečnostní orgán každého orgánu a instituce Unie.</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III – bod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rPr>
                <w:b/>
                <w:i/>
              </w:rPr>
              <w:t>Utajované informace EU se stupněm RESTREINT UE/EU RESTRICTED musí být uchovávány v uzamčeném kancelářském nábytku v administrativní oblasti nebo v zabezpečené oblasti.</w:t>
            </w:r>
            <w:r>
              <w:t xml:space="preserve"> </w:t>
            </w:r>
            <w:r>
              <w:rPr>
                <w:b/>
                <w:i/>
              </w:rPr>
              <w:t>Dočasně mohou být uchovávány mimo zabezpečenou oblast či mimo administrativní oblast za předpokladu, že se držitel informací zavázal, že dotyčné dokumenty uloží do příslušného uzamčeného kancelářského nábytku, pokud nejsou právě čteny nebo projednávány.</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III – bod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10.</w:t>
            </w:r>
            <w:r>
              <w:tab/>
            </w:r>
            <w:r>
              <w:rPr>
                <w:b/>
                <w:i/>
              </w:rPr>
              <w:t>Orgány a instituce Unie mohou nakládat s informacemi se stupněm utajení RESTREINT UE/EU RESTRICTED a uchovávat tyto informace mimo své pracoviště za předpokladu, že příslušné informace jsou náležitě chráněny.</w:t>
            </w:r>
            <w:r>
              <w:t xml:space="preserve"> </w:t>
            </w:r>
            <w:r>
              <w:rPr>
                <w:b/>
                <w:i/>
              </w:rPr>
              <w:t>Za tímto účelem musí orgány a instituce Unie dodržovat opatření stanovená v bodě 8 písm. c).</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IV – bod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rPr>
                <w:b/>
                <w:i/>
              </w:rPr>
              <w:t>Informace se stupněm utajení RESTREINT UE / EU RESTRICTED musí být uloženy alespoň v jedné vrstvě neprůhledného obalu, jako jsou například obálky, neprůhledné složky nebo kufřík.</w:t>
            </w:r>
            <w:r>
              <w:t xml:space="preserve"> Utajené informace se stupněm utajení CONFIDENTIEL UE / EU CONFIDENTIAL nebo vyšším musí být přenášeny ve dvou vrstvách neprůhledného obalu.</w:t>
            </w:r>
          </w:p>
        </w:tc>
        <w:tc>
          <w:tcPr>
            <w:tcW w:w="4876" w:type="dxa"/>
          </w:tcPr>
          <w:p>
            <w:pPr>
              <w:pStyle w:val="Normal6a"/>
            </w:pPr>
            <w:r>
              <w:t>8.</w:t>
            </w:r>
            <w:r>
              <w:tab/>
            </w:r>
            <w:r>
              <w:t>Utajené informace se stupněm utajení CONFIDENTIEL UE / EU CONFIDENTIAL nebo vyšším musí být přenášeny ve dvou vrstvách neprůhledného obalu.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IV – bod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Komerční kurýři mohou přenášet utajované informace se stupněm utajení </w:t>
            </w:r>
            <w:r>
              <w:rPr>
                <w:b/>
                <w:i/>
              </w:rPr>
              <w:t>RESTREINT UE / EU RESTRICTED a</w:t>
            </w:r>
            <w:r>
              <w:t xml:space="preserve"> CONFIDENTIEL UE / EU CONFIDENTIAL v rámci členského státu nebo z jednoho členského státu do druhého. Komerční kurýři mohou doručovat informace se stupněm utajení SECRET UE/EU SECRET pouze v rámci členského státu a za předpokladu, že jsou schváleni příslušným vnitrostátním bezpečnostním orgánem. Komerčnímu kurýrovi nelze svěřit žádné utajované informace EU se stupněm utajení TRES SECRET UE /EU TOP SECRET.</w:t>
            </w:r>
          </w:p>
        </w:tc>
        <w:tc>
          <w:tcPr>
            <w:tcW w:w="4876" w:type="dxa"/>
          </w:tcPr>
          <w:p>
            <w:pPr>
              <w:pStyle w:val="Normal6a"/>
            </w:pPr>
            <w:r>
              <w:t>10.</w:t>
            </w:r>
            <w:r>
              <w:tab/>
            </w:r>
            <w:r>
              <w:t>Komerční kurýři mohou přenášet utajované informace se stupněm utajení CONFIDENTIEL UE / EU CONFIDENTIAL v rámci členského státu nebo z jednoho členského státu do druhého. Komerční kurýři mohou doručovat informace se stupněm utajení SECRET UE/EU SECRET pouze v rámci členského státu a za předpokladu, že jsou schváleni příslušným vnitrostátním bezpečnostním orgánem. Komerčnímu kurýrovi nelze svěřit žádné utajované informace EU se stupněm utajení TRES SECRET UE / EU TOP SECRET.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V – bod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18.</w:t>
            </w:r>
            <w:r>
              <w:tab/>
            </w:r>
            <w:r>
              <w:rPr>
                <w:b/>
                <w:i/>
              </w:rPr>
              <w:t>Pokud členské státy požadují osvědčení o bezpečnostní prověrce zařízení či bezpečnostní prověrku personálu pro smlouvy, grantové dohody nebo subdodavatelské smlouvy se stupněm utajení RESTREINT UE / EU RESTRICTED v rámci svých vnitrostátních právních předpisů, nesmějí orgány a instituce Unie jako veřejný zadavatel nebo poskytovatel grantu tyto vnitrostátní požadavky použít k uložení dodatečných povinností jiným členským státům nebo k vyloučení uchazečů, žadatelů, dodavatelů, příjemců nebo subdodavatelů z členských států, které nemají žádné takové požadavky na osvědčení o bezpečnostní prověrce zařízení nebo bezpečnostní prověrku personálu za účelem přístupu k informacím se stupněm utajení RESTREINT UE / EU RESTRICTED, ze souvisejících smluv, grantových dohod nebo subdodavatelských smluv nebo z nabídkových řízení, které se jich týkají.</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V – bod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22.</w:t>
            </w:r>
            <w:r>
              <w:tab/>
            </w:r>
            <w:r>
              <w:rPr>
                <w:b/>
                <w:i/>
              </w:rPr>
              <w:t>Návštěvy zahrnující přístup k informacím se stupněm utajení RESTREINT UE / EU RESTRICTED musí být sjednány přímo mezi vysílajícím a přijímajícím subjektem.</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V – bod 24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24.</w:t>
            </w:r>
            <w:r>
              <w:tab/>
            </w:r>
            <w:r>
              <w:rPr>
                <w:b/>
                <w:i/>
              </w:rPr>
              <w:t>Bezpečnostní akreditací komunikačních a informačních systémů dodavatelů nebo příjemců, které nakládají s utajovanými informacemi EU se stupněm utajení RESTREINT UE / EU RESTRICTED, a jakýmkoli jejich propojením může být pověřen bezpečnostní úředník dodavatele nebo příjemce, pokud to dovolují vnitrostátní právní předpisy.</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Pokud je tímto úkolem někdo pověřen, musí dodavatel nebo příjemce odpovídat za provádění minimálních bezpečnostních požadavků uvedených v seznamu bezpečnostních požadavků při nakládání s informacemi se stupněm utajení RESTREINT UE / EU RESTRICTED ve svém komunikačním a informačním systému.</w:t>
            </w:r>
            <w:r>
              <w:rPr>
                <w:b/>
                <w:i/>
              </w:rPr>
              <w:t xml:space="preserve"> </w:t>
            </w:r>
            <w:r>
              <w:rPr>
                <w:b/>
                <w:i/>
              </w:rPr>
              <w:t>Příslušné vnitrostátní bezpečnostní orgány či určené bezpečnostní orgány a orgány pro bezpečnostní akreditaci nesou odpovědnost za ochranu utajovaných informací se stupněm utajení RESTREINT UE / EU RESTRICTED, s nimiž nakládá a které uchovává dodavatel nebo příjemce, a za právo kontrolovat bezpečnostní opatření přijatá dodavatelem nebo příjemcem.</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Dodavatel nebo příjemce musí navíc poskytnout orgánu nebo instituci Unie jako veřejnému zadavateli nebo poskytovateli grantu a – vyžadují-li to vnitrostátní právní předpisy – příslušnému vnitrostátnímu orgánu pro bezpečnostní akreditaci prohlášení o shodě, které osvědčí, že komunikační a informační systém dodavatele nebo příjemce a související propojení byly akreditovány k nakládání s utajovanými informacemi EU a jejich uchovávání se stupněm utajení RESTREINT UE / EU RESTRICTED.</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V – bod 26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26.</w:t>
            </w:r>
            <w:r>
              <w:tab/>
            </w:r>
            <w:r>
              <w:rPr>
                <w:b/>
                <w:i/>
              </w:rPr>
              <w:t>Informace se stupněm utajení RESTREINT UE / EU RESTRICTED mohou být osobně přenášeny personálem dodavatele nebo příjemce v rámci Evropské unie, jsou-li splněny tyto požadavky:</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použitá obálka nebo obal jsou neprůhledné a není na nich označena klasifikace jejich obsahu;</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nositel má utajované informace neustále pod osobním dohledem;</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obálka nebo obal se neotevře, dokud nedorazí do svého konečného místa určení.</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752.883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68</w:t>
    </w:r>
    <w:r>
      <w:fldChar w:fldCharType="end"/>
    </w:r>
    <w:r>
      <w:t>/</w:t>
    </w:r>
    <w:r>
      <w:fldChar w:fldCharType="begin"/>
    </w:r>
    <w:r>
      <w:instrText xml:space="preserve"> NUMPAGES </w:instrText>
    </w:r>
    <w:r>
      <w:fldChar w:fldCharType="separate"/>
    </w:r>
    <w:r>
      <w:t>69</w:t>
    </w:r>
    <w:r>
      <w:fldChar w:fldCharType="end"/>
    </w:r>
    <w:r>
      <w:tab/>
    </w:r>
    <w:r>
      <w:rPr>
        <w:rStyle w:val="HideTWBExt"/>
      </w:rPr>
      <w:t>&lt;PathFdR&gt;</w:t>
    </w:r>
    <w:r>
      <w:t>AM\1285361CS.docx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AM\1285361CS.docx</w:t>
    </w:r>
    <w:r>
      <w:rPr>
        <w:rStyle w:val="HideTWBExt"/>
      </w:rPr>
      <w:t>&lt;/PathFdR&gt;</w:t>
    </w:r>
    <w:r>
      <w:tab/>
    </w:r>
    <w:r>
      <w:fldChar w:fldCharType="begin"/>
    </w:r>
    <w:r>
      <w:instrText xml:space="preserve"> PAGE </w:instrText>
    </w:r>
    <w:r>
      <w:fldChar w:fldCharType="separate"/>
    </w:r>
    <w:r>
      <w:t>69</w:t>
    </w:r>
    <w:r>
      <w:fldChar w:fldCharType="end"/>
    </w:r>
    <w:r>
      <w:t>/</w:t>
    </w:r>
    <w:r>
      <w:fldChar w:fldCharType="begin"/>
    </w:r>
    <w:r>
      <w:instrText xml:space="preserve"> NUMPAGES </w:instrText>
    </w:r>
    <w:r>
      <w:fldChar w:fldCharType="separate"/>
    </w:r>
    <w:r>
      <w:t>69</w:t>
    </w:r>
    <w:r>
      <w:fldChar w:fldCharType="end"/>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AM\1285361CS.docx</w:t>
    </w:r>
    <w:r>
      <w:rPr>
        <w:rStyle w:val="HideTWBExt"/>
      </w:rPr>
      <w:t>&lt;/PathFdR&gt;</w:t>
    </w:r>
    <w:r>
      <w:tab/>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00"/>
    </w:pPr>
  </w:style>
  <w:style w:type="paragraph" w:customStyle="1" w:styleId="CoverNormal">
    <w:name w:val="CoverNormal"/>
    <w:basedOn w:val="Normal"/>
    <w:pPr>
      <w:widowControl w:val="0"/>
      <w:ind w:left="1400"/>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00"/>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00"/>
    </w:pPr>
    <w:rPr>
      <w:rFonts w:ascii="Arial" w:eastAsia="Arial" w:hAnsi="Arial" w:cs="Arial"/>
      <w:b/>
      <w:sz w:val="48"/>
    </w:rPr>
  </w:style>
  <w:style w:type="paragraph" w:customStyle="1" w:styleId="CoverBold">
    <w:name w:val="CoverBold"/>
    <w:basedOn w:val="Normal"/>
    <w:pPr>
      <w:widowControl w:val="0"/>
      <w:ind w:left="1400"/>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20"/>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widowControl w:val="0"/>
      <w:tabs>
        <w:tab w:val="center" w:pos="4520"/>
        <w:tab w:val="right" w:pos="906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69</Pages>
  <Words>13234</Words>
  <Characters>79455</Characters>
  <Application>Microsoft Office Word</Application>
  <DocSecurity>0</DocSecurity>
  <Lines>1</Lines>
  <Paragraphs>1326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25977</vt:lpwstr>
  </property>
  <property fmtid="{D5CDD505-2E9C-101B-9397-08002B2CF9AE}" pid="7" name="dmxml.render.traceId">
    <vt:lpwstr>6514205b0d71e73e9a0f99e4a7e1912d</vt:lpwstr>
  </property>
  <property fmtid="{D5CDD505-2E9C-101B-9397-08002B2CF9AE}" pid="8" name="FooterPath">
    <vt:lpwstr>AM\1285361CS.docx</vt:lpwstr>
  </property>
  <property fmtid="{D5CDD505-2E9C-101B-9397-08002B2CF9AE}" pid="9" name="PE Number">
    <vt:lpwstr>752.883</vt:lpwstr>
  </property>
  <property fmtid="{D5CDD505-2E9C-101B-9397-08002B2CF9AE}" pid="10" name="UID">
    <vt:lpwstr>eu.europa.europarl-DIN1-2023-0000116548_01.00-cs-01.00_text-xml</vt:lpwstr>
  </property>
</Properties>
</file>