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Europäisches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Ausschuss für bürgerliche Freiheiten, Justiz und Inneres</w:t>
      </w:r>
      <w:r>
        <w:rPr>
          <w:rStyle w:val="HideTWBExt"/>
        </w:rPr>
        <w:t>&lt;/Commission&gt;</w:t>
      </w:r>
    </w:p>
    <w:p>
      <w:pPr>
        <w:pStyle w:val="LineBottom"/>
      </w:pPr>
      <w:r>
        <w:t xml:space="preserve"> </w:t>
      </w:r>
    </w:p>
    <w:p>
      <w:pPr>
        <w:pStyle w:val="CoverReference"/>
      </w:pPr>
      <w:r>
        <w:rPr>
          <w:rStyle w:val="HideTWBExt"/>
        </w:rPr>
        <w:t>&lt;RefProc&gt;</w:t>
      </w:r>
      <w:r>
        <w:t>2022/0084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{07/09/2023}</w:t>
      </w:r>
      <w:r>
        <w:t>7.9.2023</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34</w:t>
      </w:r>
      <w:r>
        <w:t xml:space="preserve"> - </w:t>
      </w:r>
      <w:r>
        <w:t>181</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Vladimír Bilčík</w:t>
      </w:r>
      <w:r>
        <w:rPr>
          <w:rStyle w:val="HideTWBExt"/>
        </w:rPr>
        <w:t>&lt;/Rapporteur&gt;</w:t>
      </w:r>
    </w:p>
    <w:p>
      <w:pPr>
        <w:pStyle w:val="CoverNormal24a"/>
      </w:pPr>
      <w:r>
        <w:rPr>
          <w:rStyle w:val="HideTWBExt"/>
        </w:rPr>
        <w:t>&lt;DocRefPE&gt;</w:t>
      </w:r>
      <w:r>
        <w:t>(PE751.547v01-00)</w:t>
      </w:r>
      <w:r>
        <w:rPr>
          <w:rStyle w:val="HideTWBExt"/>
        </w:rPr>
        <w:t>&lt;/DocRefPE&gt;</w:t>
      </w:r>
    </w:p>
    <w:p>
      <w:pPr>
        <w:pStyle w:val="CoverNormal24a"/>
      </w:pPr>
      <w:r>
        <w:rPr>
          <w:rStyle w:val="HideTWBExt"/>
        </w:rPr>
        <w:t>&lt;Titre&gt;</w:t>
      </w:r>
      <w:r>
        <w:t>Informationssicherheit in den Organen, Einrichtungen und sonstigen Stellen der Union</w:t>
      </w:r>
      <w:r>
        <w:rPr>
          <w:rStyle w:val="HideTWBExt"/>
        </w:rPr>
        <w:t>&lt;/Titre&gt;</w:t>
      </w:r>
    </w:p>
    <w:p>
      <w:pPr>
        <w:pStyle w:val="CoverNormal"/>
      </w:pPr>
      <w:r>
        <w:rPr>
          <w:rStyle w:val="HideTWBExt"/>
        </w:rPr>
        <w:t>&lt;DocAmend&gt;</w:t>
      </w:r>
      <w:r>
        <w:t>Vorschlag für eine Verordnung</w:t>
      </w:r>
      <w:r>
        <w:rPr>
          <w:rStyle w:val="HideTWBExt"/>
        </w:rPr>
        <w:t>&lt;/DocAmend&gt;</w:t>
      </w:r>
    </w:p>
    <w:p>
      <w:pPr>
        <w:pStyle w:val="CoverNormal24a"/>
      </w:pPr>
      <w:r>
        <w:rPr>
          <w:rStyle w:val="HideTWBExt"/>
        </w:rPr>
        <w:t>&lt;DocRef&gt;</w:t>
      </w:r>
      <w:r>
        <w:t>(COM(2022)0119 – C9-0121/2022 – 2022/0084(COD))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Bezugsvermerk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unter Hinweis darauf, dass die Mitglieder des Parlaments für die wirksame Ausübung ihres Mandats im Einklang mit den Verträgen Zugang zu allen Arten von Informationen haben müssen, wobei der Grundsatz „Kenntnis nur, wenn nötig“ gilt;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Bezugsvermerk 1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unter Hinweis auf die Besonderheit des Mandats der in den EU-Mitgliedstaaten gewählten Mitglieder des Parlaments und die Gewaltenteilung zwischen der Exekutive und der Legislative, woraus folgt, dass die Mitglieder von einem Sicherheitsüberprüfungsverfahren durch die nationalen Sicherheitsbehörden befreit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Gegenwärtig haben die Organe und Einrichtungen der Union entweder ihre eigenen Vorschriften für die Informationssicherheit, die auf ihrer Geschäftsordnung oder ihrem Gründungsakt beruhen, oder sie haben überhaupt keine derartigen Vorschriften. In diesem Zusammenhang verwenden die einzelnen Organe und Einrichtungen der Union erhebliche Anstrengungen auf die Annahme unterschiedlicher Konzepte, was dazu führt, dass der Informationsaustausch nicht immer zuverlässig ist. Das Fehlen eines gemeinsamen Konzepts behindert den Einsatz gemeinsamer Instrumente, die auf einem vereinbarten Regelwerk je nach den Sicherheitsanforderungen der zu schützenden Informationen aufbauen.</w:t>
            </w:r>
          </w:p>
        </w:tc>
        <w:tc>
          <w:tcPr>
            <w:tcW w:w="4876" w:type="dxa"/>
          </w:tcPr>
          <w:p>
            <w:pPr>
              <w:pStyle w:val="Normal6a"/>
            </w:pPr>
            <w:r>
              <w:t>(1)</w:t>
            </w:r>
            <w:r>
              <w:tab/>
            </w:r>
            <w:r>
              <w:t xml:space="preserve">Gegenwärtig haben die Organe und Einrichtungen der Union entweder ihre eigenen Vorschriften für die Informationssicherheit, die auf ihrer Geschäftsordnung oder ihrem Gründungsakt beruhen, oder sie haben überhaupt keine derartigen Vorschriften. In diesem Zusammenhang verwenden die einzelnen Organe und Einrichtungen der Union erhebliche Anstrengungen auf die Annahme unterschiedlicher Konzepte, was dazu führt, dass der Informationsaustausch nicht immer zuverlässig </w:t>
            </w:r>
            <w:r>
              <w:rPr>
                <w:b/>
                <w:i/>
              </w:rPr>
              <w:t>oder unangreifbar</w:t>
            </w:r>
            <w:r>
              <w:t xml:space="preserve"> ist. Das Fehlen eines gemeinsamen Konzepts behindert den Einsatz gemeinsamer Instrumente, die auf einem vereinbarten Regelwerk je nach den Sicherheitsanforderungen der zu schützenden Informationen aufbauen</w:t>
            </w:r>
            <w:r>
              <w:rPr>
                <w:b/>
                <w:i/>
              </w:rPr>
              <w:t>, und die Interoperabilität dieser Instrumente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Da die Organe der Union verpflichtet sind, Artikel 15 Absatz 3 AEUV im Einklang mit den demokratischen Grundsätzen anzuwenden, insbesondere denjenigen, die in Artikel 10 Absatz 3 EUV und Artikel 42 der Charta der Grundrechte der Europäischen Union (im Folgenden „Charta“) niedergelegt sind, sollte das System für EU-Verschlusssachen (im Folgenden „EU-VS“) den Grundsätzen der Minimierung der Einstufung von Daten als Verschlusssachen und der zeitlichen Begrenzung einer solchen Einstufung entsprechen.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Es ist besorgniserregend, dass die Kommission und der Europäische Auswärtige Dienst (EAD) zwei konkurrierende Initiativen für die Zusammenarbeit mit privaten Unternehmen in Bezug auf Cyberbedrohungen auf den Weg bringen.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Zwar wurden Fortschritte auf dem Weg zu kohärenteren Vorschriften für den Schutz von EU-Verschlusssachen („EU-VS“) und nicht als Verschlusssache eingestuften Informationen erzielt, doch ist die Interoperabilität der einschlägigen Systeme nach wie vor begrenzt, was eine nahtlose Übermittlung von Informationen zwischen den verschiedenen Organen und Einrichtungen der Union verhindert. Somit sollten weitere Anstrengungen unternommen werden, um einen interinstitutionellen Ansatz für die Weitergabe von EU-VS und nicht als Verschlusssache eingestuften vertraulichen Informationen zu ermöglichen, der gemeinsame Kategorien von Informationen und gemeinsame Grundregeln für den Umgang mit diesen Informationen vorsieht. Des Weiteren sollte eine gemeinsame Grundlage für die Vereinfachung der Verfahren für den Austausch von EU-VS und nicht als Verschlusssache eingestuften vertraulichen Informationen zwischen den Organen und Einrichtungen der Union und mit den Mitgliedstaaten angestrebt werden.</w:t>
            </w:r>
          </w:p>
        </w:tc>
        <w:tc>
          <w:tcPr>
            <w:tcW w:w="4876" w:type="dxa"/>
          </w:tcPr>
          <w:p>
            <w:pPr>
              <w:pStyle w:val="Normal6a"/>
            </w:pPr>
            <w:r>
              <w:t>(2)</w:t>
            </w:r>
            <w:r>
              <w:tab/>
            </w:r>
            <w:r>
              <w:t xml:space="preserve">Zwar wurden Fortschritte auf dem Weg zu kohärenteren Vorschriften für den Schutz von EU-Verschlusssachen („EU-VS“) und nicht als Verschlusssache eingestuften Informationen erzielt, doch ist die Interoperabilität der einschlägigen Systeme nach wie vor begrenzt, was eine nahtlose Übermittlung von Informationen zwischen den verschiedenen Organen und Einrichtungen der Union verhindert. </w:t>
            </w:r>
            <w:r>
              <w:rPr>
                <w:b/>
                <w:i/>
              </w:rPr>
              <w:t>Die interinstitutionelle Zusammenarbeit und das interinstitutionelle Vertrauen sind eine Grundvoraussetzung für den effizienten und wirksamen Schutz der Informationssicherheitsumgebung der Union.</w:t>
            </w:r>
            <w:r>
              <w:t xml:space="preserve"> Somit sollten weitere Anstrengungen unternommen werden, um einen interinstitutionellen Ansatz für die Weitergabe von EU-VS und nicht als Verschlusssache eingestuften vertraulichen Informationen zu ermöglichen, der </w:t>
            </w:r>
            <w:r>
              <w:rPr>
                <w:b/>
                <w:i/>
              </w:rPr>
              <w:t>auf verstärkten Synergieeffekten beruht und</w:t>
            </w:r>
            <w:r>
              <w:t xml:space="preserve"> gemeinsame Kategorien von Informationen und gemeinsame Grundregeln für den Umgang mit diesen Informationen vorsieht. Des Weiteren sollte eine gemeinsame Grundlage für die Vereinfachung der Verfahren für den Austausch von EU-VS und nicht als Verschlusssache eingestuften vertraulichen Informationen zwischen den Organen und Einrichtungen der Union und mit den Mitgliedstaaten angestrebt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Zwar wurden Fortschritte auf dem Weg zu kohärenteren Vorschriften für den Schutz von EU-Verschlusssachen („EU-VS“) und nicht als Verschlusssache eingestuften Informationen erzielt, doch ist die Interoperabilität der einschlägigen Systeme nach wie vor begrenzt, was eine nahtlose Übermittlung von Informationen zwischen den verschiedenen Organen und Einrichtungen der Union verhindert. </w:t>
            </w:r>
            <w:r>
              <w:rPr>
                <w:b/>
                <w:i/>
              </w:rPr>
              <w:t>Somit sollten weitere Anstrengungen unternommen werden, um einen interinstitutionellen</w:t>
            </w:r>
            <w:r>
              <w:t xml:space="preserve"> Ansatz für die Weitergabe von EU-VS und nicht als Verschlusssache eingestuften vertraulichen Informationen </w:t>
            </w:r>
            <w:r>
              <w:rPr>
                <w:b/>
                <w:i/>
              </w:rPr>
              <w:t>zu ermöglichen</w:t>
            </w:r>
            <w:r>
              <w:t xml:space="preserve">, der gemeinsame Kategorien von Informationen und gemeinsame Grundregeln für den Umgang mit diesen Informationen vorsieht. </w:t>
            </w:r>
            <w:r>
              <w:rPr>
                <w:b/>
                <w:i/>
              </w:rPr>
              <w:t>Des Weiteren sollte eine gemeinsame Grundlage für die Vereinfachung der</w:t>
            </w:r>
            <w:r>
              <w:t xml:space="preserve"> Verfahren für den Austausch von EU-VS und nicht als Verschlusssache eingestuften vertraulichen Informationen zwischen den Organen und Einrichtungen der Union und mit den Mitgliedstaaten </w:t>
            </w:r>
            <w:r>
              <w:rPr>
                <w:b/>
                <w:i/>
              </w:rPr>
              <w:t>angestrebt</w:t>
            </w:r>
            <w:r>
              <w:t xml:space="preserve"> werden.</w:t>
            </w:r>
          </w:p>
        </w:tc>
        <w:tc>
          <w:tcPr>
            <w:tcW w:w="4876" w:type="dxa"/>
          </w:tcPr>
          <w:p>
            <w:pPr>
              <w:pStyle w:val="Normal6a"/>
            </w:pPr>
            <w:r>
              <w:t>(2)</w:t>
            </w:r>
            <w:r>
              <w:tab/>
            </w:r>
            <w:r>
              <w:t xml:space="preserve">Zwar wurden Fortschritte auf dem Weg zu kohärenteren Vorschriften für den Schutz von EU-Verschlusssachen („EU-VS“) und nicht als Verschlusssache eingestuften Informationen erzielt, doch ist die Interoperabilität der einschlägigen Systeme nach wie vor begrenzt, was eine nahtlose Übermittlung von Informationen zwischen den verschiedenen Organen und Einrichtungen der Union verhindert. </w:t>
            </w:r>
            <w:r>
              <w:rPr>
                <w:b/>
                <w:i/>
              </w:rPr>
              <w:t>Es sollte ein interinstitutioneller</w:t>
            </w:r>
            <w:r>
              <w:t xml:space="preserve"> Ansatz für die Weitergabe von EU-VS und nicht als Verschlusssache eingestuften vertraulichen Informationen </w:t>
            </w:r>
            <w:r>
              <w:rPr>
                <w:b/>
                <w:i/>
              </w:rPr>
              <w:t>eingeführt werden</w:t>
            </w:r>
            <w:r>
              <w:t xml:space="preserve">, der gemeinsame Kategorien von Informationen und gemeinsame Grundregeln für den Umgang mit diesen Informationen vorsieht. Verfahren für den Austausch von EU-VS und nicht als Verschlusssache eingestuften vertraulichen Informationen zwischen den Organen und Einrichtungen der Union und mit den Mitgliedstaaten </w:t>
            </w:r>
            <w:r>
              <w:rPr>
                <w:b/>
                <w:i/>
              </w:rPr>
              <w:t>sollten vereinfacht</w:t>
            </w:r>
            <w:r>
              <w:t xml:space="preserve">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Daher sollten einschlägige Vorschriften zur </w:t>
            </w:r>
            <w:r>
              <w:rPr>
                <w:b/>
                <w:i/>
              </w:rPr>
              <w:t>Gewährleistung</w:t>
            </w:r>
            <w:r>
              <w:t xml:space="preserve"> eines einheitlichen Niveaus der Informationssicherheit in allen Organen und Einrichtungen der Union festgelegt werden. Diese sollten einen umfassenden und kohärenten allgemeinen Rahmen für den Schutz von EU-VS und nicht als Verschlusssache eingestuften Informationen bilden </w:t>
            </w:r>
            <w:r>
              <w:rPr>
                <w:b/>
                <w:i/>
              </w:rPr>
              <w:t>und</w:t>
            </w:r>
            <w:r>
              <w:t xml:space="preserve"> die Gleichwertigkeit der Grundprinzipien und Mindeststandards </w:t>
            </w:r>
            <w:r>
              <w:rPr>
                <w:b/>
                <w:i/>
              </w:rPr>
              <w:t>gewährleisten</w:t>
            </w:r>
            <w:r>
              <w:t>.</w:t>
            </w:r>
          </w:p>
        </w:tc>
        <w:tc>
          <w:tcPr>
            <w:tcW w:w="4876" w:type="dxa"/>
          </w:tcPr>
          <w:p>
            <w:pPr>
              <w:pStyle w:val="Normal6a"/>
            </w:pPr>
            <w:r>
              <w:t>(3)</w:t>
            </w:r>
            <w:r>
              <w:tab/>
            </w:r>
            <w:r>
              <w:t xml:space="preserve">Daher sollten einschlägige Vorschriften zur </w:t>
            </w:r>
            <w:r>
              <w:rPr>
                <w:b/>
                <w:i/>
              </w:rPr>
              <w:t>Aufrechterhaltung</w:t>
            </w:r>
            <w:r>
              <w:t xml:space="preserve"> eines einheitlichen Niveaus der Informationssicherheit in allen Organen und Einrichtungen der Union festgelegt werden</w:t>
            </w:r>
            <w:r>
              <w:rPr>
                <w:b/>
                <w:i/>
              </w:rPr>
              <w:t>, zumal die Bedrohungen im Zusammenhang mit der Cybersicherheit zunehmen und viele nationale Einrichtungen Gegenstand von Angriffen waren</w:t>
            </w:r>
            <w:r>
              <w:t xml:space="preserve">. Diese </w:t>
            </w:r>
            <w:r>
              <w:rPr>
                <w:b/>
                <w:i/>
              </w:rPr>
              <w:t>Vorschriften</w:t>
            </w:r>
            <w:r>
              <w:t xml:space="preserve"> sollten einen umfassenden und kohärenten allgemeinen Rahmen für den Schutz von EU-VS und nicht als Verschlusssache eingestuften Informationen bilden</w:t>
            </w:r>
            <w:r>
              <w:rPr>
                <w:b/>
                <w:i/>
              </w:rPr>
              <w:t>, und mit ihnen sollte</w:t>
            </w:r>
            <w:r>
              <w:t xml:space="preserve"> die Gleichwertigkeit der Grundprinzipien und Mindeststandards </w:t>
            </w:r>
            <w:r>
              <w:rPr>
                <w:b/>
                <w:i/>
              </w:rPr>
              <w:t>sichergestellt werden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Daher sollten einschlägige Vorschriften zur Gewährleistung eines einheitlichen Niveaus der Informationssicherheit in allen Organen und Einrichtungen der Union festgelegt werden. Diese sollten einen umfassenden und kohärenten allgemeinen Rahmen für den Schutz von EU-VS und nicht als Verschlusssache eingestuften Informationen bilden und die Gleichwertigkeit der Grundprinzipien und Mindeststandards gewährleisten.</w:t>
            </w:r>
          </w:p>
        </w:tc>
        <w:tc>
          <w:tcPr>
            <w:tcW w:w="4876" w:type="dxa"/>
          </w:tcPr>
          <w:p>
            <w:pPr>
              <w:pStyle w:val="Normal6a"/>
            </w:pPr>
            <w:r>
              <w:t>(3)</w:t>
            </w:r>
            <w:r>
              <w:tab/>
            </w:r>
            <w:r>
              <w:t xml:space="preserve">Daher sollten einschlägige Vorschriften zur Gewährleistung eines einheitlichen Niveaus der Informationssicherheit in allen Organen und Einrichtungen der Union festgelegt werden. Diese sollten einen umfassenden und kohärenten allgemeinen Rahmen für den Schutz von EU-VS und nicht als Verschlusssache eingestuften Informationen bilden und die Gleichwertigkeit der Grundprinzipien und </w:t>
            </w:r>
            <w:r>
              <w:rPr>
                <w:b/>
                <w:i/>
              </w:rPr>
              <w:t>gemeinsamen</w:t>
            </w:r>
            <w:r>
              <w:t xml:space="preserve"> Mindeststandards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Diese Verordnung enthält Vorschriften für die Verwaltung aller Organe und Einrichtungen der Union, nicht jedoch für die Kommissionsmitglieder, die im Rat handelnden Vertreter der Mitgliedstaaten, die Mitglieder des Europäischen Parlaments, die Richter der Gerichte der Union oder die Mitglieder des Europäischen Rechnungshofs, die jeweils ihren eigenen internen Vorschriften unterliegen.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Artikel 15 AEUV sieht vor, dass die Organe, Einrichtungen und sonstigen Stellen der Union unter weitestgehender Beachtung des Grundsatzes der Offenheit handeln müssen und jeder Unionsbürger das Recht auf Zugang zu Dokumenten hat.</w:t>
            </w:r>
            <w:r>
              <w:t xml:space="preserve"> </w:t>
            </w:r>
            <w:r>
              <w:rPr>
                <w:b/>
                <w:i/>
              </w:rPr>
              <w:t>Dementsprechend ist bei jeder Einstufung von Dokumenten als Verschlusssachen diesen übergeordneten Grundsätzen Rechnung zu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In der Erwägung, dass in den Verträgen den verschiedenen Organen der Union Befugnisse übertragen werden;</w:t>
            </w:r>
            <w:r>
              <w:t xml:space="preserve"> </w:t>
            </w:r>
            <w:r>
              <w:rPr>
                <w:b/>
                <w:i/>
              </w:rPr>
              <w:t>damit diese Befugnisse wirksam ausgeübt werden können, sollten die Mitglieder aufgrund ihres Mandats nach dem Grundsatz „Kenntnis nur, wenn nötig“ Zugang zu allen erforderlichen Informationen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Die Mitglieder der Organe der Union sollten aufgrund ihres Mandats nach dem Grundsatz „Kenntnis nur, wenn nötig“ Zugang zu allen erforderlichen Informationen haben, damit sie die ihnen mit den Verträgen übertragenen Befugnisse ausüben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Die Regierungen der Mitgliedstaaten der Union müssen die Kontrolle über sensible Informationen behalten.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Um die Wirksamkeit dieser Verordnung zu gewährleisten, sollte geprüft werden, ob die internen Vorschriften für die Kommissionsmitglieder, die im Rat handelnden Vertreter der Mitgliedstaaten, die Mitglieder des Europäischen Parlaments, die Richter der Gerichte der Union oder die Mitglieder des Europäischen Rechnungshofs dem durch diese Verordnung festgelegten gemeinsamen Mindestschutzniveau entsprechen, und es sollten die erforderlichen Änderungen vorgenommen werden, falls dies nicht der Fall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Die Organe und Einrichtungen der Union sollten die organisatorische Interoperabilität im Zusammenhang mit der Informationssicherheit steigern und gemeinsame Maßnahmen ergreifen, damit Netze, Informationssysteme, Daten und alle für die Erfassung, Speicherung, Verarbeitung und Übermittlung der Informationen eingesetzten Sachgüter ordnungsgemäß geschützt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 c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(3c)</w:t>
            </w:r>
            <w:r>
              <w:tab/>
            </w:r>
            <w:r>
              <w:rPr>
                <w:b/>
                <w:i/>
              </w:rPr>
              <w:t>Der sichere Zugang zu Informationen in einem Kontext gegenseitigen Vertrauens ist von zentraler Bedeutung, damit die gesetzgebenden Organe der Union ihre Aufgaben wahrnehmen können und bei der Ausübung ihrer demokratischen Funktionen nicht eingeschränkt werden.</w:t>
            </w:r>
            <w:r>
              <w:t xml:space="preserve"> </w:t>
            </w:r>
            <w:r>
              <w:rPr>
                <w:b/>
                <w:i/>
              </w:rPr>
              <w:t>Die Mitglieder des Europäischen Parlaments üben diese Legislativbefugnisse aus, und ihr Zugang zu Informationen sollte daher durch Vorschriften geregelt werden, deren Anforderungen mit den in dieser Verordnung festgelegten gemeinsamen Mindeststandards vergleichbar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Die jüngste Pandemie hat </w:t>
            </w:r>
            <w:r>
              <w:rPr>
                <w:b/>
                <w:i/>
              </w:rPr>
              <w:t>zu einer</w:t>
            </w:r>
            <w:r>
              <w:t xml:space="preserve"> erheblichen </w:t>
            </w:r>
            <w:r>
              <w:rPr>
                <w:b/>
                <w:i/>
              </w:rPr>
              <w:t>Veränderung</w:t>
            </w:r>
            <w:r>
              <w:t xml:space="preserve"> der Arbeitsweisen </w:t>
            </w:r>
            <w:r>
              <w:rPr>
                <w:b/>
                <w:i/>
              </w:rPr>
              <w:t>geführt, bei der</w:t>
            </w:r>
            <w:r>
              <w:t xml:space="preserve"> Fernkommunikationsmittel zur Regel geworden sind. So wurden viele Verfahren, die zumindest teilweise noch papiergestützt waren, rasch angepasst, um die elektronische Verarbeitung und den elektronischen Austausch von Informationen zu ermöglichen. Diese Entwicklungen erfordern Änderungen im Umgang mit und im Schutz von Informationen. Die vorliegende Verordnung trägt den neuen Arbeitsweisen Rechnung.</w:t>
            </w:r>
          </w:p>
        </w:tc>
        <w:tc>
          <w:tcPr>
            <w:tcW w:w="4876" w:type="dxa"/>
          </w:tcPr>
          <w:p>
            <w:pPr>
              <w:pStyle w:val="Normal6a"/>
            </w:pPr>
            <w:r>
              <w:t>(4)</w:t>
            </w:r>
            <w:r>
              <w:tab/>
            </w:r>
            <w:r>
              <w:t xml:space="preserve">Die jüngste Pandemie hat </w:t>
            </w:r>
            <w:r>
              <w:rPr>
                <w:b/>
                <w:i/>
              </w:rPr>
              <w:t>den zugrunde liegenden</w:t>
            </w:r>
            <w:r>
              <w:t xml:space="preserve"> erheblichen </w:t>
            </w:r>
            <w:r>
              <w:rPr>
                <w:b/>
                <w:i/>
              </w:rPr>
              <w:t>Wandel</w:t>
            </w:r>
            <w:r>
              <w:t xml:space="preserve"> der Arbeitsweisen </w:t>
            </w:r>
            <w:r>
              <w:rPr>
                <w:b/>
                <w:i/>
              </w:rPr>
              <w:t>beschleunigt, bei denen</w:t>
            </w:r>
            <w:r>
              <w:t xml:space="preserve"> Fernkommunikationsmittel zur Regel geworden sind. So wurden viele Verfahren, die zumindest teilweise noch papiergestützt waren, rasch angepasst, um die elektronische Verarbeitung und den elektronischen Austausch von Informationen zu ermöglichen. Diese Entwicklungen erfordern Änderungen im Umgang mit und im Schutz von Informationen. Die vorliegende Verordnung trägt den neuen Arbeitsweisen Rechnung.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Durch die Schaffung eines gemeinsamen Mindestschutzniveaus für EU-VS und nicht als Verschlusssache eingestufte Informationen trägt diese Verordnung dazu bei, dass die Organe und Einrichtungen der Union bei der Ausübung ihrer Aufgaben von einer effizienten und unabhängigen Verwaltung unterstützt werden. Gleichzeitig bleibt es jedem Organ und jeder Einrichtung der Union überlassen zu entscheiden, wie sie die in dieser Verordnung festgelegten Regeln entsprechend ihren eigenen Sicherheitsbedürfnissen umsetzen. Diese Verordnung </w:t>
            </w:r>
            <w:r>
              <w:rPr>
                <w:b/>
                <w:i/>
              </w:rPr>
              <w:t>darf</w:t>
            </w:r>
            <w:r>
              <w:t xml:space="preserve"> die Organe und Einrichtungen keinesfalls bei der Ausführung der ihnen durch die Rechtsvorschriften der Union übertragenen Aufgaben </w:t>
            </w:r>
            <w:r>
              <w:rPr>
                <w:b/>
                <w:i/>
              </w:rPr>
              <w:t>behindern und</w:t>
            </w:r>
            <w:r>
              <w:t xml:space="preserve"> ihre institutionelle Autonomie nicht </w:t>
            </w:r>
            <w:r>
              <w:rPr>
                <w:b/>
                <w:i/>
              </w:rPr>
              <w:t>einschränken</w:t>
            </w:r>
            <w:r>
              <w:t>.</w:t>
            </w:r>
          </w:p>
        </w:tc>
        <w:tc>
          <w:tcPr>
            <w:tcW w:w="4876" w:type="dxa"/>
          </w:tcPr>
          <w:p>
            <w:pPr>
              <w:pStyle w:val="Normal6a"/>
            </w:pPr>
            <w:r>
              <w:t>(5)</w:t>
            </w:r>
            <w:r>
              <w:tab/>
            </w:r>
            <w:r>
              <w:t>Durch die Schaffung eines gemeinsamen Mindestschutzniveaus für EU-VS und nicht als Verschlusssache eingestufte Informationen trägt diese Verordnung dazu bei, dass die Organe und Einrichtungen der Union bei der Ausübung ihrer Aufgaben von einer effizienten und unabhängigen Verwaltung unterstützt werden. Gleichzeitig bleibt es jedem Organ und jeder Einrichtung der Union überlassen</w:t>
            </w:r>
            <w:r>
              <w:rPr>
                <w:b/>
                <w:i/>
              </w:rPr>
              <w:t>, selbst</w:t>
            </w:r>
            <w:r>
              <w:t xml:space="preserve"> zu entscheiden, wie sie die in dieser Verordnung festgelegten Regeln entsprechend ihren eigenen Sicherheitsbedürfnissen umsetzen. </w:t>
            </w:r>
            <w:r>
              <w:rPr>
                <w:b/>
                <w:i/>
              </w:rPr>
              <w:t>Durch</w:t>
            </w:r>
            <w:r>
              <w:t xml:space="preserve"> diese Verordnung </w:t>
            </w:r>
            <w:r>
              <w:rPr>
                <w:b/>
                <w:i/>
              </w:rPr>
              <w:t>dürfen</w:t>
            </w:r>
            <w:r>
              <w:t xml:space="preserve"> die Organe und Einrichtungen keinesfalls bei der Ausführung der ihnen durch die Rechtsvorschriften der Union übertragenen Aufgaben </w:t>
            </w:r>
            <w:r>
              <w:rPr>
                <w:b/>
                <w:i/>
              </w:rPr>
              <w:t>behindert und darf</w:t>
            </w:r>
            <w:r>
              <w:t xml:space="preserve"> ihre institutionelle Autonomie nicht </w:t>
            </w:r>
            <w:r>
              <w:rPr>
                <w:b/>
                <w:i/>
              </w:rPr>
              <w:t>eingeschränkt werden.</w:t>
            </w:r>
            <w:r>
              <w:t xml:space="preserve"> </w:t>
            </w:r>
            <w:r>
              <w:rPr>
                <w:b/>
                <w:i/>
              </w:rPr>
              <w:t>Bei diesem gemeinsamen Mindestschutzniveau für EU-VS muss ein ausgewogenes Verhältnis zwischen Transparenz und der Einstufung als Verschlusssache in einer Weise hergestellt werden, durch die die Einrichtungen der Union nicht daran gehindert werden, ihren Auftrag zu erfüllen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Durch die Schaffung eines gemeinsamen Mindestschutzniveaus für EU-VS und nicht als Verschlusssache eingestufte Informationen trägt diese Verordnung dazu bei, dass die Organe und Einrichtungen der Union bei der Ausübung ihrer Aufgaben von einer effizienten und unabhängigen Verwaltung unterstützt werden. Gleichzeitig bleibt es jedem Organ und jeder Einrichtung der Union überlassen zu entscheiden, wie sie die in dieser Verordnung festgelegten Regeln entsprechend ihren eigenen Sicherheitsbedürfnissen umsetzen. Diese Verordnung darf die Organe und Einrichtungen keinesfalls bei der Ausführung der ihnen durch die Rechtsvorschriften der Union übertragenen Aufgaben behindern und ihre institutionelle Autonomie nicht einschränken.</w:t>
            </w:r>
          </w:p>
        </w:tc>
        <w:tc>
          <w:tcPr>
            <w:tcW w:w="4876" w:type="dxa"/>
          </w:tcPr>
          <w:p>
            <w:pPr>
              <w:pStyle w:val="Normal6a"/>
            </w:pPr>
            <w:r>
              <w:t>(5)</w:t>
            </w:r>
            <w:r>
              <w:tab/>
            </w:r>
            <w:r>
              <w:t xml:space="preserve">Durch die Schaffung eines gemeinsamen Mindestschutzniveaus für EU-VS und nicht als Verschlusssache eingestufte Informationen trägt diese Verordnung dazu bei, dass die Organe und Einrichtungen der Union bei der Ausübung ihrer Aufgaben von einer effizienten und unabhängigen Verwaltung unterstützt werden. Gleichzeitig bleibt es jedem Organ und jeder Einrichtung der Union überlassen zu entscheiden, wie sie die in dieser Verordnung festgelegten Regeln entsprechend ihren eigenen Sicherheitsbedürfnissen umsetzen. Diese Verordnung darf die Organe und Einrichtungen keinesfalls bei der Ausführung der ihnen durch die Rechtsvorschriften der Union übertragenen Aufgaben behindern und ihre institutionelle Autonomie nicht einschränken. </w:t>
            </w:r>
            <w:r>
              <w:rPr>
                <w:b/>
                <w:i/>
              </w:rPr>
              <w:t>Ferner sollte gebührend darauf geachtet werden, dass sich die Maßnahmen nicht negativ auf den effizienten Informationsaustausch und Betrieb der Einrichtungen der Union mit anderen Einrichtungen der Union und zuständigen nationalen Behörden auswirken.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Die transparente und zeitnahe Weitergabe von EU-VS ist von entscheidender Bedeutung für das ordnungsgemäße Funktionieren der Organe und Einrichtungen der Union.</w:t>
            </w:r>
            <w:r>
              <w:t xml:space="preserve"> </w:t>
            </w:r>
            <w:r>
              <w:rPr>
                <w:b/>
                <w:i/>
              </w:rPr>
              <w:t>Bei der Durchführung dieser Verordnung sollten die Organe und Einrichtungen der Union bestrebt sein, die Transparenz zu verbessern, den Rückgriff auf vertrauliche Dokumente zu minimieren und zeitlich zu begrenzen sowie Schutzvorkehrungen gegen die Verwendung von Geheimhaltungsgraden zu treffen, die die Stellen der Union daran hindern würde, ihren Auftrag zu erfüllen, und sie sollten dafür sorgen, dass Hinweisgeber angemessen geschützt werden und dass im Einklang mit dem Unionsrecht und bewährten Verfahren ein hohes Schutzniveau für Informationen besteht.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Durch die vorliegende Verordnung sollte sichergestellt werden, dass jede Einschränkung des Rechts auf Schutz personenbezogener Daten und der Privatsphäre im Einklang mit Artikel 52 Absatz 1 der Charta der Grundrechte der Europäischen Union erforderlich und verhältnismäßig ist und der Wesensgehalt dieses Rechts dabei gewahrt bleibt.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(5b)</w:t>
            </w:r>
            <w:r>
              <w:tab/>
            </w:r>
            <w:r>
              <w:rPr>
                <w:b/>
                <w:i/>
              </w:rPr>
              <w:t>Alle Maßnahmen zur Informationssicherheit, die die Verarbeitung personenbezogener Daten betreffen, sollten mit den einschlägigen Rechtsvorschriften der Union über den Datenschutz und den Schutz der Privatsphäre in Einklang stehen.</w:t>
            </w:r>
            <w:r>
              <w:t xml:space="preserve"> </w:t>
            </w:r>
            <w:r>
              <w:rPr>
                <w:b/>
                <w:i/>
              </w:rPr>
              <w:t>Die Organe und Einrichtungen der Union sollten einschlägige technische und organisatorische Schutzvorkehrungen treffen, um die Einhaltung der Vorschriften auf verantwortungsvolle, transparente und gerechtfertigte Weise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Ein wesentlicher Teil der Erkenntnisse über Cyberbedrohungen betrifft ausgenutzte Schwachstellen, d. h. Schwachstellen, über die sich Hacker unbefugten Zugriff verschaffen.</w:t>
            </w:r>
            <w:r>
              <w:t xml:space="preserve"> </w:t>
            </w:r>
            <w:r>
              <w:rPr>
                <w:b/>
                <w:i/>
              </w:rPr>
              <w:t>Es erscheint fraglich, ob die Agentur der Europäischen Union für Cybersicherheit (ENISA) tatsächlich in der Lage ist, die Anzahl der Meldungen der Produkthersteller über diese Schwachstellen ordnungsgemäß zu verarbeiten.</w:t>
            </w:r>
            <w:r>
              <w:t xml:space="preserve"> </w:t>
            </w:r>
            <w:r>
              <w:rPr>
                <w:b/>
                <w:i/>
              </w:rPr>
              <w:t>Zudem ist festzustellen, dass die Mitgliedstaaten der Union sich eher dafür aussprechen, derlei Meldungen dem jeweiligen Reaktionsteam für Computersicherheitsverletzungen (CSIRT) zu übermitteln.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Um den besonderen Charakter der Aufgaben und Tätigkeiten der Europäischen Zentralbank (EZB) als Teil des Europäischen Systems der Zentralbanken (ESZB) und des einheitlichen Aufsichtsmechanismus (SSM) zu wahren, die in Zusammenarbeit mit den nationalen Zentralbanken und den zuständigen nationalen Behörden wahrgenommen werden, sollte diese Verordnung nicht für Informationen des ESZB und des SSM gelten.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Im Hinblick auf die Schaffung einer formellen Struktur für die Zusammenarbeit zwischen den Organen und Einrichtungen der Union im Bereich der Informationssicherheit ist es erforderlich, eine interinstitutionelle Koordinierungsgruppe (im Folgenden „Koordinierungsgruppe“) einzusetzen, in der die Sicherheitsbehörden aller Organe und Einrichtungen der Union vertreten sind. Ohne über Entscheidungsbefugnisse zu verfügen, sollte die Koordinierungsgruppe die Kohärenz der Maßnahmen im Bereich der Informationssicherheit verbessern und zur Harmonisierung der Verfahren und Instrumente der Informationssicherheit in den Organen und Einrichtungen der Union beitragen.</w:t>
            </w:r>
          </w:p>
        </w:tc>
        <w:tc>
          <w:tcPr>
            <w:tcW w:w="4876" w:type="dxa"/>
          </w:tcPr>
          <w:p>
            <w:pPr>
              <w:pStyle w:val="Normal6a"/>
            </w:pPr>
            <w:r>
              <w:t>(8)</w:t>
            </w:r>
            <w:r>
              <w:tab/>
            </w:r>
            <w:r>
              <w:t xml:space="preserve">Im Hinblick auf die Schaffung einer formellen </w:t>
            </w:r>
            <w:r>
              <w:rPr>
                <w:b/>
                <w:i/>
              </w:rPr>
              <w:t>gemeinsamen und einheitlichen</w:t>
            </w:r>
            <w:r>
              <w:t xml:space="preserve"> Struktur für die Zusammenarbeit zwischen den Organen und Einrichtungen der Union im Bereich der Informationssicherheit ist es erforderlich, eine interinstitutionelle Koordinierungsgruppe (im Folgenden „Koordinierungsgruppe“) einzusetzen, in der die Sicherheitsbehörden aller Organe und Einrichtungen der Union vertreten sind. Ohne über Entscheidungsbefugnisse zu verfügen, sollte die Koordinierungsgruppe die Kohärenz der Maßnahmen im Bereich der Informationssicherheit verbessern und zur Harmonisierung der Verfahren und Instrumente der Informationssicherheit in den Organen und Einrichtungen der Union beitragen.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Die Arbeit der Koordinierungsgruppe benötigt die Unterstützung von Experten aus verschiedenen Bereichen der Informationssicherheit: Kategorisierung und Kennzeichnung, Kommunikations- und Informationssysteme, Akkreditierung, materieller Geheimschutz, Weitergabe von EU-VS und Austausch von Verschlusssachen. Um Doppelarbeit in den Organen und Einrichtungen der Union zu vermeiden, sollten thematische Untergruppen eingerichtet werden. Außerdem sollte die Koordinierungsgruppe bei Bedarf weitere Untergruppen mit spezifischen Aufgaben einsetzen können.</w:t>
            </w:r>
          </w:p>
        </w:tc>
        <w:tc>
          <w:tcPr>
            <w:tcW w:w="4876" w:type="dxa"/>
          </w:tcPr>
          <w:p>
            <w:pPr>
              <w:pStyle w:val="Normal6a"/>
            </w:pPr>
            <w:r>
              <w:t>(9)</w:t>
            </w:r>
            <w:r>
              <w:tab/>
            </w:r>
            <w:r>
              <w:t xml:space="preserve">Die Arbeit der Koordinierungsgruppe benötigt die Unterstützung von Experten aus verschiedenen Bereichen der Informationssicherheit: Kategorisierung und Kennzeichnung, Kommunikations- und Informationssysteme, Akkreditierung, materieller Geheimschutz, Weitergabe von EU-VS und Austausch von Verschlusssachen. Um </w:t>
            </w:r>
            <w:r>
              <w:rPr>
                <w:b/>
                <w:i/>
              </w:rPr>
              <w:t>den Verwaltungsaufwand zu reduzieren und</w:t>
            </w:r>
            <w:r>
              <w:t xml:space="preserve"> Doppelarbeit in den Organen und Einrichtungen der Union zu vermeiden, sollten thematische Untergruppen eingerichtet werden. Außerdem sollte die Koordinierungsgruppe bei Bedarf weitere Untergruppen mit spezifischen Aufgaben einsetzen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Mit dem Ziel, die Informationssicherheit in der Union zu verbessern, sollte die Koordinierungsgruppe eng mit den nationalen Sicherheitsbehörden der Mitgliedstaaten zusammenarbeiten. Zu diesem Zweck sollte ein Ausschuss für Informationssicherheit der Mitgliedstaaten eingesetzt werden, der die Koordinierungsgruppe berät.</w:t>
            </w:r>
          </w:p>
        </w:tc>
        <w:tc>
          <w:tcPr>
            <w:tcW w:w="4876" w:type="dxa"/>
          </w:tcPr>
          <w:p>
            <w:pPr>
              <w:pStyle w:val="Normal6a"/>
            </w:pPr>
            <w:r>
              <w:t>(10)</w:t>
            </w:r>
            <w:r>
              <w:tab/>
            </w:r>
            <w:r>
              <w:t xml:space="preserve">Mit dem Ziel, die Informationssicherheit in der Union zu verbessern, sollte die Koordinierungsgruppe eng mit den nationalen Sicherheitsbehörden der Mitgliedstaaten zusammenarbeiten. Zu diesem Zweck sollte ein Ausschuss für Informationssicherheit der Mitgliedstaaten eingesetzt werden, der die Koordinierungsgruppe </w:t>
            </w:r>
            <w:r>
              <w:rPr>
                <w:b/>
                <w:i/>
              </w:rPr>
              <w:t>unter Wahrung der Vorrechte der Mitgliedstaaten in Bezug auf vertrauliche Sicherheitsdaten</w:t>
            </w:r>
            <w:r>
              <w:t xml:space="preserve"> berät.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Mit dem Ziel, die Informationssicherheit in der Union zu verbessern, sollte die Koordinierungsgruppe eng mit </w:t>
            </w:r>
            <w:r>
              <w:rPr>
                <w:b/>
                <w:i/>
              </w:rPr>
              <w:t>den nationalen Sicherheitsbehörden</w:t>
            </w:r>
            <w:r>
              <w:t xml:space="preserve"> der Mitgliedstaaten zusammenarbeiten. Zu diesem Zweck sollte ein Ausschuss für Informationssicherheit der Mitgliedstaaten eingesetzt werden, der die Koordinierungsgruppe berät.</w:t>
            </w:r>
          </w:p>
        </w:tc>
        <w:tc>
          <w:tcPr>
            <w:tcW w:w="4876" w:type="dxa"/>
          </w:tcPr>
          <w:p>
            <w:pPr>
              <w:pStyle w:val="Normal6a"/>
            </w:pPr>
            <w:r>
              <w:t>(10)</w:t>
            </w:r>
            <w:r>
              <w:tab/>
            </w:r>
            <w:r>
              <w:t xml:space="preserve">Mit dem Ziel, die Informationssicherheit in der Union zu verbessern, sollte die Koordinierungsgruppe eng mit </w:t>
            </w:r>
            <w:r>
              <w:rPr>
                <w:b/>
                <w:i/>
              </w:rPr>
              <w:t>der Klassifizierungsbehörde</w:t>
            </w:r>
            <w:r>
              <w:t xml:space="preserve"> der Mitgliedstaaten zusammenarbeiten. Zu diesem Zweck sollte ein Ausschuss für Informationssicherheit der Mitgliedstaaten eingesetzt werden, der die Koordinierungsgruppe berät.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Horizontale Änderung.</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Der Grundsatz des Informationssicherheits-Risikomanagements sollte im Mittelpunkt der von jedem Organ und jeder Einrichtung der Union in diesem Bereich zu entwickelnden Politik stehen. Zwar müssen die in dieser Verordnung festgelegten Mindestanforderungen erfüllt werden, doch sollte jedes Organ und jede Einrichtung der Union entsprechend den Ergebnissen einer internen Risikobewertung spezifische Sicherheitsmaßnahmen zum Schutz der Informationen ergreifen. Ebenso sollten die technischen Mittel zum Schutz der Informationen an </w:t>
            </w:r>
            <w:r>
              <w:rPr>
                <w:b/>
                <w:i/>
              </w:rPr>
              <w:t>die spezifische Situation</w:t>
            </w:r>
            <w:r>
              <w:t xml:space="preserve"> der einzelnen Organe und Einrichtungen angepasst werden.</w:t>
            </w:r>
          </w:p>
        </w:tc>
        <w:tc>
          <w:tcPr>
            <w:tcW w:w="4876" w:type="dxa"/>
          </w:tcPr>
          <w:p>
            <w:pPr>
              <w:pStyle w:val="Normal6a"/>
            </w:pPr>
            <w:r>
              <w:t>(12)</w:t>
            </w:r>
            <w:r>
              <w:tab/>
            </w:r>
            <w:r>
              <w:t xml:space="preserve">Der Grundsatz des Informationssicherheits-Risikomanagements sollte im Mittelpunkt der von jedem Organ und jeder Einrichtung der Union in diesem Bereich zu entwickelnden Politik stehen. Zwar müssen die in dieser Verordnung festgelegten </w:t>
            </w:r>
            <w:r>
              <w:rPr>
                <w:b/>
                <w:i/>
              </w:rPr>
              <w:t>gemeinsamen</w:t>
            </w:r>
            <w:r>
              <w:t xml:space="preserve"> Mindestanforderungen erfüllt werden, doch sollte jedes Organ und jede Einrichtung der Union entsprechend den Ergebnissen einer internen Risikobewertung spezifische Sicherheitsmaßnahmen zum Schutz der Informationen ergreifen. Ebenso sollten die technischen Mittel zum Schutz der Informationen an </w:t>
            </w:r>
            <w:r>
              <w:rPr>
                <w:b/>
                <w:i/>
              </w:rPr>
              <w:t>den Bedarf und die Besonderheiten</w:t>
            </w:r>
            <w:r>
              <w:t xml:space="preserve"> der einzelnen Organe und Einrichtungen angepasst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(13)</w:t>
            </w:r>
            <w:r>
              <w:tab/>
            </w:r>
            <w:r>
              <w:rPr>
                <w:b/>
                <w:i/>
              </w:rPr>
              <w:t>Angesichts der Vielfalt der Kategorien von nicht als Verschlusssache eingestuften Informationen, die die Organe und Einrichtungen der Union auf der Grundlage ihrer eigenen Sicherheitsinformationsvorschriften entwickelt haben, und um Verzögerungen bei der Durchführung dieser Verordnung zu vermeiden, sollten die Organe und Einrichtungen der Union in der Lage sein, ihr eigenes Kennzeichnungssystem für interne Zwecke oder für den Austausch von Informationen mit ihren jeweiligen Ansprechpartnern in anderen Organen und Einrichtungen oder in den Mitgliedstaaten beizubehalten.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Im Zuge der Anpassung an die modernen Telearbeitsverfahren sollten die </w:t>
            </w:r>
            <w:r>
              <w:rPr>
                <w:b/>
                <w:i/>
              </w:rPr>
              <w:t>Netze</w:t>
            </w:r>
            <w:r>
              <w:t xml:space="preserve">, die für die Verbindung zu den Fernzugangsdiensten des Organs oder der Einrichtung der Union genutzt werden, durch </w:t>
            </w:r>
            <w:r>
              <w:rPr>
                <w:b/>
                <w:i/>
              </w:rPr>
              <w:t>angemessene</w:t>
            </w:r>
            <w:r>
              <w:t xml:space="preserve"> Sicherheitsmaßnahmen geschützt sein.</w:t>
            </w:r>
          </w:p>
        </w:tc>
        <w:tc>
          <w:tcPr>
            <w:tcW w:w="4876" w:type="dxa"/>
          </w:tcPr>
          <w:p>
            <w:pPr>
              <w:pStyle w:val="Normal6a"/>
            </w:pPr>
            <w:r>
              <w:t>(14)</w:t>
            </w:r>
            <w:r>
              <w:tab/>
            </w:r>
            <w:r>
              <w:t xml:space="preserve">Im Zuge der Anpassung an die modernen Telearbeitsverfahren sollten die </w:t>
            </w:r>
            <w:r>
              <w:rPr>
                <w:b/>
                <w:i/>
              </w:rPr>
              <w:t>Netzinformationssysteme, die digitale Infrastruktur und die Endgeräte</w:t>
            </w:r>
            <w:r>
              <w:t xml:space="preserve">, die für die Verbindung zu den Fernzugangsdiensten des Organs oder der Einrichtung der Union genutzt werden, durch </w:t>
            </w:r>
            <w:r>
              <w:rPr>
                <w:b/>
                <w:i/>
              </w:rPr>
              <w:t>modernste</w:t>
            </w:r>
            <w:r>
              <w:t xml:space="preserve"> Sicherheitsmaßnahmen geschützt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Im Zuge der Anpassung an die modernen Telearbeitsverfahren sollten die Netze, die für die Verbindung zu den Fernzugangsdiensten des Organs oder der Einrichtung der Union genutzt werden, durch angemessene Sicherheitsmaßnahmen geschützt </w:t>
            </w:r>
            <w:r>
              <w:rPr>
                <w:b/>
                <w:i/>
              </w:rPr>
              <w:t>sein</w:t>
            </w:r>
            <w:r>
              <w:t>.</w:t>
            </w:r>
          </w:p>
        </w:tc>
        <w:tc>
          <w:tcPr>
            <w:tcW w:w="4876" w:type="dxa"/>
          </w:tcPr>
          <w:p>
            <w:pPr>
              <w:pStyle w:val="Normal6a"/>
            </w:pPr>
            <w:r>
              <w:t>(14)</w:t>
            </w:r>
            <w:r>
              <w:tab/>
            </w:r>
            <w:r>
              <w:t xml:space="preserve">Im Zuge der Anpassung an die modernen Telearbeitsverfahren sollten die Netze, die für die Verbindung zu den Fernzugangsdiensten des Organs oder der Einrichtung der Union genutzt werden, durch angemessene Sicherheitsmaßnahmen geschützt </w:t>
            </w:r>
            <w:r>
              <w:rPr>
                <w:b/>
                <w:i/>
              </w:rPr>
              <w:t>werden, indem in von Ende zu Ende gesicherte Netze investiert wird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Da die Organe und Einrichtungen der Union häufig auf Auftragnehmer und Outsourcing zurückgreifen, ist es wichtig, gemeinsame Bestimmungen für die Mitarbeiter von Auftragnehmern festzulegen, die Aufgaben im Bereich der Informationssicherheit wahrnehmen.</w:t>
            </w:r>
          </w:p>
        </w:tc>
        <w:tc>
          <w:tcPr>
            <w:tcW w:w="4876" w:type="dxa"/>
          </w:tcPr>
          <w:p>
            <w:pPr>
              <w:pStyle w:val="Normal6a"/>
            </w:pPr>
            <w:r>
              <w:t>(15)</w:t>
            </w:r>
            <w:r>
              <w:tab/>
            </w:r>
            <w:r>
              <w:t xml:space="preserve">Da die Organe und Einrichtungen der Union häufig auf Auftragnehmer und Outsourcing zurückgreifen, ist es wichtig, gemeinsame Bestimmungen für die Mitarbeiter von Auftragnehmern festzulegen, die Aufgaben im Bereich der Informationssicherheit wahrnehmen. </w:t>
            </w:r>
            <w:r>
              <w:rPr>
                <w:b/>
                <w:i/>
              </w:rPr>
              <w:t>Solche Bestimmungen sollten unter anderem verbindlich vorsehen, dass in den Ausschreibungsverfahren eine sorgfältige Überprüfung vorgeschrieben wird, wobei die gesamte Bandbreite der Lieferkette sowie das wirtschaftliche und politische Umfeld, in dem Dritte tätig sind, zu berücksichtigen sind.</w:t>
            </w:r>
            <w:r>
              <w:t xml:space="preserve"> </w:t>
            </w:r>
            <w:r>
              <w:rPr>
                <w:b/>
                <w:i/>
              </w:rPr>
              <w:t>Stellen die Beziehungen zu Dritten ein Risiko für die Integrität demokratischer Prozesse in der Union dar, sollten sie unverzüglich beendet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 xml:space="preserve">Da die Organe und Einrichtungen der Union häufig auf Auftragnehmer und </w:t>
            </w:r>
            <w:r>
              <w:rPr>
                <w:b/>
                <w:i/>
              </w:rPr>
              <w:t>Outsourcing</w:t>
            </w:r>
            <w:r>
              <w:t xml:space="preserve"> zurückgreifen, ist es wichtig, gemeinsame Bestimmungen für </w:t>
            </w:r>
            <w:r>
              <w:rPr>
                <w:b/>
                <w:i/>
              </w:rPr>
              <w:t>die Mitarbeiter</w:t>
            </w:r>
            <w:r>
              <w:t xml:space="preserve"> von Auftragnehmern festzulegen, </w:t>
            </w:r>
            <w:r>
              <w:rPr>
                <w:b/>
                <w:i/>
              </w:rPr>
              <w:t>die</w:t>
            </w:r>
            <w:r>
              <w:t xml:space="preserve"> Aufgaben im Bereich der Informationssicherheit </w:t>
            </w:r>
            <w:r>
              <w:rPr>
                <w:b/>
                <w:i/>
              </w:rPr>
              <w:t>wahrnehmen</w:t>
            </w:r>
            <w:r>
              <w:t>.</w:t>
            </w:r>
          </w:p>
        </w:tc>
        <w:tc>
          <w:tcPr>
            <w:tcW w:w="4876" w:type="dxa"/>
          </w:tcPr>
          <w:p>
            <w:pPr>
              <w:pStyle w:val="Normal6a"/>
            </w:pPr>
            <w:r>
              <w:t>(15)</w:t>
            </w:r>
            <w:r>
              <w:tab/>
            </w:r>
            <w:r>
              <w:t xml:space="preserve">Da die Organe und Einrichtungen der Union häufig auf Auftragnehmer und </w:t>
            </w:r>
            <w:r>
              <w:rPr>
                <w:b/>
                <w:i/>
              </w:rPr>
              <w:t>die Auslagerung von Aufträgen</w:t>
            </w:r>
            <w:r>
              <w:t xml:space="preserve"> zurückgreifen, ist es wichtig, gemeinsame Bestimmungen für </w:t>
            </w:r>
            <w:r>
              <w:rPr>
                <w:b/>
                <w:i/>
              </w:rPr>
              <w:t>das Personal</w:t>
            </w:r>
            <w:r>
              <w:t xml:space="preserve"> von Auftragnehmern festzulegen, </w:t>
            </w:r>
            <w:r>
              <w:rPr>
                <w:b/>
                <w:i/>
              </w:rPr>
              <w:t>das</w:t>
            </w:r>
            <w:r>
              <w:t xml:space="preserve"> Aufgaben im Bereich der Informationssicherheit </w:t>
            </w:r>
            <w:r>
              <w:rPr>
                <w:b/>
                <w:i/>
              </w:rPr>
              <w:t>wahrnimmt, und die Qualität und Vertrauenswürdigkeit der externen Auftragnehmer zu überprüfen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Die materiellrechtlichen Vorschriften für den Zugang zu EU-VS in den internen Vorschriften der verschiedenen Organe und Einrichtungen der Union sind derzeit angeglichen, es bestehen jedoch erhebliche Unterschiede in Bezug auf die Bezeichnungen und die erforderlichen Verfahren. </w:t>
            </w:r>
            <w:r>
              <w:rPr>
                <w:b/>
                <w:i/>
              </w:rPr>
              <w:t>Dies stellt eine Belastung für die nationalen Sicherheitsbehörden der Mitgliedstaaten dar, die sich auf unterschiedliche Anforderungen einstellen müssen.</w:t>
            </w:r>
            <w:r>
              <w:t xml:space="preserve"> Daher ist es notwendig, ein gemeinsames Glossar und gemeinsame Verfahren im Bereich der Personalsicherheit zu entwickeln, um </w:t>
            </w:r>
            <w:r>
              <w:rPr>
                <w:b/>
                <w:i/>
              </w:rPr>
              <w:t>so die Zusammenarbeit mit den nationalen Sicherheitsbehörden der Mitgliedstaaten zu vereinfachen und</w:t>
            </w:r>
            <w:r>
              <w:t xml:space="preserve"> das Risiko einer Gefährdung von EU-VS zu begrenzen.</w:t>
            </w:r>
          </w:p>
        </w:tc>
        <w:tc>
          <w:tcPr>
            <w:tcW w:w="4876" w:type="dxa"/>
          </w:tcPr>
          <w:p>
            <w:pPr>
              <w:pStyle w:val="Normal6a"/>
            </w:pPr>
            <w:r>
              <w:t>(16)</w:t>
            </w:r>
            <w:r>
              <w:tab/>
            </w:r>
            <w:r>
              <w:t>Die materiellrechtlichen Vorschriften für den Zugang zu EU-VS in den internen Vorschriften der verschiedenen Organe und Einrichtungen der Union sind derzeit angeglichen, es bestehen jedoch erhebliche Unterschiede in Bezug auf die Bezeichnungen und die erforderlichen Verfahren. Daher ist es notwendig, ein gemeinsames Glossar und gemeinsame Verfahren im Bereich der Personalsicherheit zu entwickeln, um das Risiko einer Gefährdung von EU-VS zu begrenzen.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Der Schutz von EU-VS wird auch durch technische und organisatorische Maßnahmen gewährleistet, die für die Räumlichkeiten, Gebäude, Räume, Büros oder Einrichtungen der Organe und Einrichtungen der Union gelten, in denen EU-VS erörtert, bearbeitet oder verwahrt werden. In dieser Verordnung ist die Einführung eines Informationssicherheitsmanagements im Bereich des materiellen Geheimschutzes vorgesehen, der es den Organen und Einrichtungen der Union ermöglicht, die für ihre Standorte geeigneten Sicherheitsmaßnahmen auszuwählen.</w:t>
            </w:r>
          </w:p>
        </w:tc>
        <w:tc>
          <w:tcPr>
            <w:tcW w:w="4876" w:type="dxa"/>
          </w:tcPr>
          <w:p>
            <w:pPr>
              <w:pStyle w:val="Normal6a"/>
            </w:pPr>
            <w:r>
              <w:t>(18)</w:t>
            </w:r>
            <w:r>
              <w:tab/>
            </w:r>
            <w:r>
              <w:t xml:space="preserve">Der Schutz von EU-VS wird auch durch technische und organisatorische Maßnahmen gewährleistet, die für die Räumlichkeiten, Gebäude, Räume, Büros oder Einrichtungen der Organe und Einrichtungen der Union gelten, in denen EU-VS erörtert, bearbeitet oder verwahrt werden. In dieser Verordnung ist die Einführung eines Informationssicherheitsmanagements im Bereich des materiellen Geheimschutzes vorgesehen, der es den Organen und Einrichtungen der Union ermöglicht, die für ihre Standorte geeigneten Sicherheitsmaßnahmen auszuwählen. </w:t>
            </w:r>
            <w:r>
              <w:rPr>
                <w:b/>
                <w:i/>
              </w:rPr>
              <w:t>Die Sicherheitsinfrastruktur, einschließlich der Dienste, sollte einer gründlichen Bewertung unterzogen werden, die alle Aspekte der operativen Kette und des betrieblichen Umfelds abdeckt.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(20)</w:t>
            </w:r>
            <w:r>
              <w:tab/>
            </w:r>
            <w:r>
              <w:t xml:space="preserve">Die Herausgeberkontrolle ist ein </w:t>
            </w:r>
            <w:r>
              <w:rPr>
                <w:b/>
                <w:i/>
              </w:rPr>
              <w:t>wichtiger</w:t>
            </w:r>
            <w:r>
              <w:t xml:space="preserve"> Grundsatz bei der Behandlung von EU-VS</w:t>
            </w:r>
            <w:r>
              <w:rPr>
                <w:b/>
                <w:i/>
              </w:rPr>
              <w:t>,</w:t>
            </w:r>
            <w:r>
              <w:t xml:space="preserve"> diese muss daher </w:t>
            </w:r>
            <w:r>
              <w:rPr>
                <w:b/>
                <w:i/>
              </w:rPr>
              <w:t>klar festgelegt und entwickelt</w:t>
            </w:r>
            <w:r>
              <w:t xml:space="preserve"> werden. In dieser Hinsicht überträgt die Erstellung von EU-VS dem Herausgeber </w:t>
            </w:r>
            <w:r>
              <w:rPr>
                <w:b/>
                <w:i/>
              </w:rPr>
              <w:t>eine Verantwortung, die den gesamten</w:t>
            </w:r>
            <w:r>
              <w:t xml:space="preserve"> Lebenszyklus des betreffenden EU-VS-Dokuments </w:t>
            </w:r>
            <w:r>
              <w:rPr>
                <w:b/>
                <w:i/>
              </w:rPr>
              <w:t>umfassen sollte</w:t>
            </w:r>
            <w:r>
              <w:t>.</w:t>
            </w:r>
          </w:p>
        </w:tc>
        <w:tc>
          <w:tcPr>
            <w:tcW w:w="4876" w:type="dxa"/>
          </w:tcPr>
          <w:p>
            <w:pPr>
              <w:pStyle w:val="Normal6a"/>
            </w:pPr>
            <w:r>
              <w:t>(20)</w:t>
            </w:r>
            <w:r>
              <w:tab/>
            </w:r>
            <w:r>
              <w:t>Die Herausgeberkontrolle ist ein Grundsatz bei der Behandlung von EU-VS</w:t>
            </w:r>
            <w:r>
              <w:rPr>
                <w:b/>
                <w:i/>
              </w:rPr>
              <w:t>;</w:t>
            </w:r>
            <w:r>
              <w:t xml:space="preserve"> diese muss daher </w:t>
            </w:r>
            <w:r>
              <w:rPr>
                <w:b/>
                <w:i/>
              </w:rPr>
              <w:t>berücksichtigt</w:t>
            </w:r>
            <w:r>
              <w:t xml:space="preserve"> werden. In dieser Hinsicht überträgt die Erstellung von EU-VS dem Herausgeber </w:t>
            </w:r>
            <w:r>
              <w:rPr>
                <w:b/>
                <w:i/>
              </w:rPr>
              <w:t>zu Beginn des</w:t>
            </w:r>
            <w:r>
              <w:t xml:space="preserve"> Lebenszyklus des betreffenden EU-VS-Dokuments </w:t>
            </w:r>
            <w:r>
              <w:rPr>
                <w:b/>
                <w:i/>
              </w:rPr>
              <w:t>eine Verantwortung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 xml:space="preserve">Die Organe und Einrichtungen der Union haben ihre Kommunikations- und Informationssysteme traditionell eigenständig entwickelt und dabei nicht ausreichend auf die Interoperabilität zwischen allen Organen und Einrichtungen der Union geachtet. Daher müssen Mindestsicherheitsanforderungen für die Kommunikations- und Informationssysteme (CIS) festgelegt werden, in denen sowohl EU-VS als auch nicht als Verschlusssache eingestufte Informationen verarbeitet </w:t>
            </w:r>
            <w:r>
              <w:rPr>
                <w:b/>
                <w:i/>
              </w:rPr>
              <w:t>und gespeichert</w:t>
            </w:r>
            <w:r>
              <w:t xml:space="preserve"> werden, um so einen nahtlosen Informationsaustausch mit den betroffenen Akteuren zu gewährleisten.</w:t>
            </w:r>
          </w:p>
        </w:tc>
        <w:tc>
          <w:tcPr>
            <w:tcW w:w="4876" w:type="dxa"/>
          </w:tcPr>
          <w:p>
            <w:pPr>
              <w:pStyle w:val="Normal6a"/>
            </w:pPr>
            <w:r>
              <w:t>(21)</w:t>
            </w:r>
            <w:r>
              <w:tab/>
            </w:r>
            <w:r>
              <w:t>Die Organe und Einrichtungen der Union haben ihre Kommunikations- und Informationssysteme traditionell eigenständig entwickelt und dabei nicht ausreichend auf die Interoperabilität zwischen allen Organen und Einrichtungen der Union geachtet. Daher müssen Mindestsicherheitsanforderungen für die Kommunikations- und Informationssysteme (CIS) festgelegt werden, in denen sowohl EU-VS als auch nicht als Verschlusssache eingestufte Informationen verarbeitet</w:t>
            </w:r>
            <w:r>
              <w:rPr>
                <w:b/>
                <w:i/>
              </w:rPr>
              <w:t>, gespeichert und übermittelt</w:t>
            </w:r>
            <w:r>
              <w:t xml:space="preserve"> werden, um so einen nahtlosen Informationsaustausch mit den betroffenen Akteuren zu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(21a)</w:t>
            </w:r>
            <w:r>
              <w:tab/>
            </w:r>
            <w:r>
              <w:rPr>
                <w:b/>
                <w:i/>
              </w:rPr>
              <w:t>Informationen, die sich im Besitz der Stellen der Union befinden, werden auch über die IKT-Umgebung, hausinterne oder virtuelle Komponenten, IKT-Produkte, IKT-Dienste und IKT-Prozesse sowie über Netze und Informationssysteme, unabhängig davon, ob sie Eigentum einer Stelle der Union sind und von dieser betrieben werden oder von einem Dritten gehostet oder betrieben werden, einschließlich mobiler Geräte, betrieblicher Netze und nicht mit dem Internet verbundener interner Netze, sowie über Geräte, die mit der IKT-Umgebung verbunden sind, ausgetauscht.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Mit dieser Verordnung werden </w:t>
            </w:r>
            <w:r>
              <w:rPr>
                <w:b/>
                <w:i/>
              </w:rPr>
              <w:t>Vorschriften</w:t>
            </w:r>
            <w:r>
              <w:t xml:space="preserve"> für die Informationssicherheit in allen Organen und Einrichtungen der Union festgelegt.</w:t>
            </w:r>
          </w:p>
        </w:tc>
        <w:tc>
          <w:tcPr>
            <w:tcW w:w="4876" w:type="dxa"/>
          </w:tcPr>
          <w:p>
            <w:pPr>
              <w:pStyle w:val="Normal6a"/>
            </w:pPr>
            <w:r>
              <w:t>(1)</w:t>
            </w:r>
            <w:r>
              <w:tab/>
            </w:r>
            <w:r>
              <w:t xml:space="preserve">Mit dieser Verordnung werden </w:t>
            </w:r>
            <w:r>
              <w:rPr>
                <w:b/>
                <w:i/>
              </w:rPr>
              <w:t>gemeinsame und einheitliche Mindestvorschriften</w:t>
            </w:r>
            <w:r>
              <w:t xml:space="preserve"> für die Informationssicherheit in allen Organen und Einrichtungen der Union festgelegt.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Mit dieser Verordnung werden </w:t>
            </w:r>
            <w:r>
              <w:rPr>
                <w:b/>
                <w:i/>
              </w:rPr>
              <w:t>Vorschriften</w:t>
            </w:r>
            <w:r>
              <w:t xml:space="preserve"> für die Informationssicherheit in allen Organen und Einrichtungen der Union festgelegt.</w:t>
            </w:r>
          </w:p>
        </w:tc>
        <w:tc>
          <w:tcPr>
            <w:tcW w:w="4876" w:type="dxa"/>
          </w:tcPr>
          <w:p>
            <w:pPr>
              <w:pStyle w:val="Normal6a"/>
            </w:pPr>
            <w:r>
              <w:t>(1)</w:t>
            </w:r>
            <w:r>
              <w:tab/>
            </w:r>
            <w:r>
              <w:t xml:space="preserve">Mit dieser Verordnung werden </w:t>
            </w:r>
            <w:r>
              <w:rPr>
                <w:b/>
                <w:i/>
              </w:rPr>
              <w:t>gemeinsame Mindestvorschriften</w:t>
            </w:r>
            <w:r>
              <w:t xml:space="preserve"> für die Informationssicherheit in allen Organen und Einrichtungen der Union festgelegt.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Die vorliegende Verordnung gilt unbeschadet der Verordnung (EG) 1049/2001 des Europäischen Parlaments und des Rates.</w:t>
            </w:r>
            <w:r>
              <w:t xml:space="preserve"> </w:t>
            </w:r>
            <w:r>
              <w:rPr>
                <w:b/>
                <w:i/>
              </w:rPr>
              <w:t>Keine Bestimmung dieser Verordnung, insbesondere keine der Bestimmungen zu EU-VS, darf zur Einschränkung des Rechts auf Zugang zu Dokumenten der Organe, Einrichtungen und sonstigen Stellen der Union in einer Art und Weise genutzt werden, die über die geltenden Rechtsvorschriften über diesen Zugang hinausgeht.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Diese Verordnung gilt für alle Informationen, die von den Organen und Einrichtungen der Union bearbeitet und verwahrt werden, einschließlich Informationen im Zusammenhang mit Tätigkeiten der Europäischen Atomgemeinschaft, mit Ausnahme von Euratom-Verschlusssachen.</w:t>
            </w:r>
          </w:p>
        </w:tc>
        <w:tc>
          <w:tcPr>
            <w:tcW w:w="4876" w:type="dxa"/>
          </w:tcPr>
          <w:p>
            <w:pPr>
              <w:pStyle w:val="Normal6a"/>
            </w:pPr>
            <w:r>
              <w:t>(1)</w:t>
            </w:r>
            <w:r>
              <w:tab/>
            </w:r>
            <w:r>
              <w:t xml:space="preserve">Diese Verordnung gilt für alle Informationen, die von den Organen und Einrichtungen der Union bearbeitet und verwahrt werden, einschließlich Informationen im Zusammenhang mit Tätigkeiten der Europäischen Atomgemeinschaft, mit Ausnahme von Euratom-Verschlusssachen </w:t>
            </w:r>
            <w:r>
              <w:rPr>
                <w:b/>
                <w:i/>
              </w:rPr>
              <w:t>sowie von Informationen zu den Aufgaben und Tätigkeiten der EZB im Rahmen des ESZB und des SSM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Diese Verordnung lässt die folgenden Verordnungen unberührt: Verordnung (Euratom) Nr. 3/1958[1], Verordnung Nr. 31 (EWG), Nr. 11 (EAG) über das Statut der Beamten und über die Beschäftigungsbedingungen für die sonstigen Bediensteten der Europäischen Wirtschaftsgemeinschaft und der Europäischen Atomgemeinschaft[2], Verordnung (EG) Nr. 1049/2001 des Europäischen Parlaments und des Rates[3], Verordnung (EU) 2018/1725 des Europäischen Parlaments und des Rates[4], Verordnung (EWG, Euratom) Nr. 354/83 des Rates[5], Verordnung (EU, Euratom) 2018/1046 des Europäischen Parlaments und des Rates[6], Verordnung (EU) 2021/697 des Europäischen Parlaments und des Rates[7], Verordnung (EU) [...] des Europäischen Parlaments und des Rates[8] über Maßnahmen für ein hohes gemeinsames Cybersicherheitsniveau in den Organen, Einrichtungen und sonstigen Stellen der Union. [KL1] [1] Verordnung (Euratom) Nr. 3 vom 31. Juli 1958 zur Anwendung des Artikels 24 des Vertrags zur Gründung der Europäischen Atomgemeinschaft (ABl. 17 vom 6.10.1958, S.</w:t>
            </w:r>
            <w:r>
              <w:t xml:space="preserve"> </w:t>
            </w:r>
            <w:r>
              <w:rPr>
                <w:b/>
                <w:i/>
              </w:rPr>
              <w:t>406). [2] ABl. 45 vom 14.6.1962, S.</w:t>
            </w:r>
            <w:r>
              <w:t xml:space="preserve"> </w:t>
            </w:r>
            <w:r>
              <w:rPr>
                <w:b/>
                <w:i/>
              </w:rPr>
              <w:t>1385. [3] Verordnung (EG) Nr. 1049/2001 des Europäischen Parlaments und des Rates vom 30. Mai 2001 über den Zugang der Öffentlichkeit zu Dokumenten des Europäischen Parlaments, des Rates und der Kommission (ABl. L 145 vom 31.5.2001, S.</w:t>
            </w:r>
            <w:r>
              <w:t xml:space="preserve"> </w:t>
            </w:r>
            <w:r>
              <w:rPr>
                <w:b/>
                <w:i/>
              </w:rPr>
              <w:t>43). [4]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w:t>
            </w:r>
            <w:r>
              <w:t xml:space="preserve"> </w:t>
            </w:r>
            <w:r>
              <w:rPr>
                <w:b/>
                <w:i/>
              </w:rPr>
              <w:t>39). [5] Verordnung (EWG, Euratom) Nr. 354/83 des Rates vom 1. Februar 1983 über die Freigabe der historischen Archive der Europäischen Wirtschaftsgemeinschaft und der Europäischen Atomgemeinschaft (ABl. L 43 vom 15.2.1983, S.</w:t>
            </w:r>
            <w:r>
              <w:t xml:space="preserve"> </w:t>
            </w:r>
            <w:r>
              <w:rPr>
                <w:b/>
                <w:i/>
              </w:rPr>
              <w:t>1). [6]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 (ABl. L 193 vom 30.7.2018, S.</w:t>
            </w:r>
            <w:r>
              <w:t xml:space="preserve"> </w:t>
            </w:r>
            <w:r>
              <w:rPr>
                <w:b/>
                <w:i/>
              </w:rPr>
              <w:t>1). [7] Verordnung (EU) 2021/697 des Europäischen Parlaments und des Rates vom 29. April 2021 zur Einrichtung des Europäischen Verteidigungsfonds und zur Aufhebung der Verordnung (EU) 2018/1092 (ABl. L 170 vom 12.5.2021, S. 149). [8] Verordnung […] des Europäischen Parlaments und des Rates zur Festlegung von Maßnahmen für ein hohes gemeinsames Cybersicherheitsniveau in den Organen, Einrichtungen und sonstigen Stellen der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Diese Verordnung gilt nicht für die Kommissionsmitglieder, die im Rat handelnden Vertreter der Mitgliedstaaten, die Mitglieder des Europäischen Parlaments, die Richter der Gerichte der Union oder die Mitglieder des Europäischen Rechnungshofs.</w:t>
            </w:r>
            <w:r>
              <w:t xml:space="preserve"> </w:t>
            </w:r>
            <w:r>
              <w:rPr>
                <w:b/>
                <w:i/>
              </w:rPr>
              <w:t>Um die Wirksamkeit der Verordnung sicherzustellen und die Entstehung von Lücken im Informationssicherheitssystem oder von Abweichungen zwischen Personen zu verhindern, die für dasselbe Organ tätig sind, nehmen diese Organe und Einrichtungen interne Vorschriften in Übereinstimmung mit dieser Verordnung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2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nicht als Verschlusssache eingestufte Informationen der drei Stufen: für die Öffentlichkeit bestimmte Information, normale Information, nicht als Verschlusssache eingestufte </w:t>
            </w:r>
            <w:r>
              <w:rPr>
                <w:b/>
                <w:i/>
              </w:rPr>
              <w:t>vertrauliche</w:t>
            </w:r>
            <w:r>
              <w:t xml:space="preserve"> Information;</w:t>
            </w:r>
          </w:p>
        </w:tc>
        <w:tc>
          <w:tcPr>
            <w:tcW w:w="4876" w:type="dxa"/>
          </w:tcPr>
          <w:p>
            <w:pPr>
              <w:pStyle w:val="Normal6a"/>
            </w:pPr>
            <w:r>
              <w:t>a)</w:t>
            </w:r>
            <w:r>
              <w:tab/>
            </w:r>
            <w:r>
              <w:t xml:space="preserve">nicht als Verschlusssache eingestufte Informationen der drei Stufen: für die Öffentlichkeit bestimmte Information, normale Information, nicht als Verschlusssache eingestufte </w:t>
            </w:r>
            <w:r>
              <w:rPr>
                <w:b/>
                <w:i/>
              </w:rPr>
              <w:t>geschützte</w:t>
            </w:r>
            <w:r>
              <w:t xml:space="preserve"> Information;</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(Dieser Änderungsantrag betrifft den gesamten Text. Seine Annahme würde entsprechende Abänderungen im gesamten Text erforderlich machen.)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Nur CONFIDENTIEL UE/EU CONFIDENTIAL, SECRET UE/EU SECRET, TRES SECRET UE/EU TOP SECRET werden in Artikel 9 der Verordnung 1049/2001 als „vertraulich“ bezeichnet.</w:t>
      </w:r>
      <w:r>
        <w:t xml:space="preserve"> </w:t>
      </w:r>
      <w:r>
        <w:t>Um Verwirrung zu vermeiden, sollte eine andere Terminologie verwendet werden.</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2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EU-Verschlusssachen der </w:t>
            </w:r>
            <w:r>
              <w:rPr>
                <w:b/>
                <w:i/>
              </w:rPr>
              <w:t>vier</w:t>
            </w:r>
            <w:r>
              <w:t xml:space="preserve"> Geheimhaltungsstufen</w:t>
            </w:r>
            <w:r>
              <w:rPr>
                <w:b/>
                <w:i/>
              </w:rPr>
              <w:t>:</w:t>
            </w:r>
            <w:r>
              <w:t xml:space="preserve"> </w:t>
            </w:r>
            <w:r>
              <w:rPr>
                <w:b/>
                <w:i/>
              </w:rPr>
              <w:t>RESTREINT UE/EU RESTRICTED,</w:t>
            </w:r>
            <w:r>
              <w:t xml:space="preserve"> CONFIDENTIEL UE/EU CONFIDENTIAL, SECRET UE/EU SECRET, TRES SECRET UE/EU TOP SECRET.</w:t>
            </w:r>
          </w:p>
        </w:tc>
        <w:tc>
          <w:tcPr>
            <w:tcW w:w="4876" w:type="dxa"/>
          </w:tcPr>
          <w:p>
            <w:pPr>
              <w:pStyle w:val="Normal6a"/>
            </w:pPr>
            <w:r>
              <w:t>b)</w:t>
            </w:r>
            <w:r>
              <w:tab/>
            </w:r>
            <w:r>
              <w:t xml:space="preserve">EU-Verschlusssachen der </w:t>
            </w:r>
            <w:r>
              <w:rPr>
                <w:b/>
                <w:i/>
              </w:rPr>
              <w:t>drei</w:t>
            </w:r>
            <w:r>
              <w:t xml:space="preserve"> Geheimhaltungsstufen CONFIDENTIEL UE/EU CONFIDENTIAL, SECRET UE/EU SECRET, TRES SECRET UE/EU TOP SECRET.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(Dieser Änderungsantrag betrifft den gesamten Text. Seine Annahme würde entsprechende Abänderungen im gesamten Text erforderlich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Einstufungen spiegeln den Schaden wider, der für die legitimen </w:t>
            </w:r>
            <w:r>
              <w:rPr>
                <w:b/>
                <w:i/>
              </w:rPr>
              <w:t>privaten und</w:t>
            </w:r>
            <w:r>
              <w:t xml:space="preserve"> öffentlichen Interessen, einschließlich der Interessen der Union, der Organe und Einrichtungen der Union, der Mitgliedstaaten oder anderer Interessenträger, durch eine unbefugte Offenlegung entstehen kann, und sollen sicherstellen, dass geeignete Schutzmaßnahmen ergriffen werden können.</w:t>
            </w:r>
          </w:p>
        </w:tc>
        <w:tc>
          <w:tcPr>
            <w:tcW w:w="4876" w:type="dxa"/>
          </w:tcPr>
          <w:p>
            <w:pPr>
              <w:pStyle w:val="Normal6a"/>
            </w:pPr>
            <w:r>
              <w:t>(3)</w:t>
            </w:r>
            <w:r>
              <w:tab/>
            </w:r>
            <w:r>
              <w:t>Die Einstufungen spiegeln den Schaden wider, der für die legitimen öffentlichen Interessen, einschließlich der Interessen der Union, der Organe und Einrichtungen der Union, der Mitgliedstaaten oder anderer Interessenträger, durch eine unbefugte Offenlegung entstehen kann, und sollen sicherstellen, dass geeignete Schutzmaßnahmen ergriffen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Die Mitglieder der Organe der Union haben nach dem Grundsatz „Kenntnis nur, wenn nötig“ Zugang zu allen Arten von Informationen, damit sie ihr Mandat im Einklang mit den Verträgen wirksam ausüben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Jede Nichteinhaltung dieser Verordnung, insbesondere die unbefugte Offenlegung von Informationen der in Artikel 2 Absatz 2 genannten Vertraulichkeitsstufen mit Ausnahme von für die Öffentlichkeit bestimmten Informationen, wird untersucht und kann dazu führen, dass Mitarbeiter im Einklang mit den Verträgen oder den einschlägigen Personalvorschriften zur Verantwortung gezogen werden.</w:t>
            </w:r>
          </w:p>
        </w:tc>
        <w:tc>
          <w:tcPr>
            <w:tcW w:w="4876" w:type="dxa"/>
          </w:tcPr>
          <w:p>
            <w:pPr>
              <w:pStyle w:val="Normal6a"/>
            </w:pPr>
            <w:r>
              <w:t>(2)</w:t>
            </w:r>
            <w:r>
              <w:tab/>
            </w:r>
            <w:r>
              <w:t>Jede Nichteinhaltung dieser Verordnung, insbesondere die unbefugte Offenlegung von Informationen der in Artikel 2 Absatz 2 genannten Vertraulichkeitsstufen mit Ausnahme von für die Öffentlichkeit bestimmten Informationen, wird untersucht und kann dazu führen, dass Mitarbeiter im Einklang mit den Verträgen oder den einschlägigen Personalvorschriften zur Verantwortung gezogen werden</w:t>
            </w:r>
            <w:r>
              <w:rPr>
                <w:b/>
                <w:i/>
              </w:rPr>
              <w:t>, unter gebührender Berücksichtigung der Bestimmungen zur Weitergabe von Tatsachen, die die Möglichkeit rechtswidriger Handlungen, einschließlich Betrug oder Korruption, zum Nachteil der Interessen der Union vermuten lassen, oder Verhaltensweisen im Zusammenhang mit der Ausübung dienstlicher Pflichten, die eine schwerwiegende Verletzung der dienstlichen Pflichten darstellen könnten, sowie der Bestimmungen zum Schutz von Personen, die Verstöße gegen das Unionsrecht melden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Organe und Einrichtungen der Union </w:t>
            </w:r>
            <w:r>
              <w:rPr>
                <w:b/>
                <w:i/>
              </w:rPr>
              <w:t>bewerten</w:t>
            </w:r>
            <w:r>
              <w:t xml:space="preserve"> alle von ihnen bearbeiteten und verwahrten Informationen, um sie entsprechend den Vertraulichkeitsstufen gemäß Artikel 2 Absatz 2 einzustufen.</w:t>
            </w:r>
          </w:p>
        </w:tc>
        <w:tc>
          <w:tcPr>
            <w:tcW w:w="4876" w:type="dxa"/>
          </w:tcPr>
          <w:p>
            <w:pPr>
              <w:pStyle w:val="Normal6a"/>
            </w:pPr>
            <w:r>
              <w:t>(3)</w:t>
            </w:r>
            <w:r>
              <w:tab/>
            </w:r>
            <w:r>
              <w:rPr>
                <w:b/>
                <w:i/>
              </w:rPr>
              <w:t>Unbeschadet des Artikels 15 AEUV bewerten</w:t>
            </w:r>
            <w:r>
              <w:t xml:space="preserve"> die Organe und Einrichtungen der Union alle von ihnen bearbeiteten und verwahrten Informationen, um sie entsprechend den Vertraulichkeitsstufen gemäß Artikel 2 Absatz 2 einzustufen.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 Buchstabe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Integrität: die Informationen sind vollständig und ihre Vollständigkeit bleibt gewährleistet;</w:t>
            </w:r>
          </w:p>
        </w:tc>
        <w:tc>
          <w:tcPr>
            <w:tcW w:w="4876" w:type="dxa"/>
          </w:tcPr>
          <w:p>
            <w:pPr>
              <w:pStyle w:val="Normal6a"/>
            </w:pPr>
            <w:r>
              <w:t>d)</w:t>
            </w:r>
            <w:r>
              <w:tab/>
            </w:r>
            <w:r>
              <w:t>Integrität: die Informationen sind vollständig</w:t>
            </w:r>
            <w:r>
              <w:rPr>
                <w:b/>
                <w:i/>
              </w:rPr>
              <w:t>,</w:t>
            </w:r>
            <w:r>
              <w:t xml:space="preserve"> und ihre Vollständigkeit bleibt gewährleistet</w:t>
            </w:r>
            <w:r>
              <w:rPr>
                <w:b/>
                <w:i/>
              </w:rPr>
              <w:t>, und die Tatsache, dass die für den Informationsaustausch genutzte technische Infrastruktur vor jeglicher Einflussnahme aus dem Ausland geschützt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6 – Unterabsatz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EU-VS bearbeitende und verwahrende Organe und Einrichtungen der Union organisieren mindestens alle fünf Jahre obligatorische Schulungen für alle Personen, die über eine Ermächtigung zum Zugang zu EU-VS verfügen. Für die mit Aufgaben im Bereich der Informationssicherheit betrauten Funktionen sehen die betreffenden Organe und Einrichtungen spezielle Schulungen vor.</w:t>
            </w:r>
          </w:p>
        </w:tc>
        <w:tc>
          <w:tcPr>
            <w:tcW w:w="4876" w:type="dxa"/>
          </w:tcPr>
          <w:p>
            <w:pPr>
              <w:pStyle w:val="Normal6a"/>
            </w:pPr>
            <w:r>
              <w:t xml:space="preserve">EU-VS bearbeitende und verwahrende Organe und Einrichtungen der Union organisieren mindestens alle fünf Jahre obligatorische Schulungen für alle Personen, die über eine Ermächtigung zum Zugang zu EU-VS verfügen. Für die mit Aufgaben im Bereich der Informationssicherheit betrauten Funktionen sehen die betreffenden Organe und Einrichtungen spezielle Schulungen vor. </w:t>
            </w:r>
            <w:r>
              <w:rPr>
                <w:b/>
                <w:i/>
              </w:rPr>
              <w:t>Bis zum [sechs Monate nach dem Datum des Inkrafttretens dieser Verordnung] konzipieren Stellen der Union wirksame und geeignete Schulungen, die auf die gemäß Artikel 5 ermittelten Risiken abgestimmt sind, und führen diese Schulungen bei allen Personen, die über eine Ermächtigung zum Zugang zu EU-VS verfügen, durch.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 – Buchstabe a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die Risiken für die Rechte und Freiheiten natürlicher Personen;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 – Buchstabe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die Betriebskontinuität und die Wiederherstellung nach einem Notfall;</w:t>
            </w:r>
          </w:p>
        </w:tc>
        <w:tc>
          <w:tcPr>
            <w:tcW w:w="4876" w:type="dxa"/>
          </w:tcPr>
          <w:p>
            <w:pPr>
              <w:pStyle w:val="Normal6a"/>
            </w:pPr>
            <w:r>
              <w:t>f)</w:t>
            </w:r>
            <w:r>
              <w:tab/>
            </w:r>
            <w:r>
              <w:t>die Betriebskontinuität</w:t>
            </w:r>
            <w:r>
              <w:rPr>
                <w:b/>
                <w:i/>
              </w:rPr>
              <w:t>, das Krisenmanagement</w:t>
            </w:r>
            <w:r>
              <w:t xml:space="preserve"> und die Wiederherstellung nach einem Notfall;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 Unterabsatz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ernannten Mitglieder der Koordinierungsgruppe sind in Bezug auf Geschlecht und geografische Herkunft angemessen ausgewogen.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2 – Buchstabe a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Beschlüsse über die Einsetzung thematischer Untergruppen erlassen, deren Mandate sowie in welchen Zeitabständen ihre Sitzungen stattfinden;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2 – Buchstabe e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überwachen, ob die Organe und Einrichtungen der Union diese Verordnung und die in Buchstabe c festgelegten Leitlinien einhalten und hierfür einen jährlichen Bewertungsbericht annehmen, in dem die Beiträge der einschlägigen Untergruppen zusammengetragen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2 – Buchstabe e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überwachen, ob die Organe und Einrichtungen der Union diese Verordnung und die gemäß Buchstabe c erstellten Leitlinien einhalten, und hierfür einen jährlichen Bewertungsbericht annehmen;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Jedes Organ und jede Einrichtung der Union ist in der Koordinierungsgruppe </w:t>
            </w:r>
            <w:r>
              <w:rPr>
                <w:b/>
                <w:i/>
              </w:rPr>
              <w:t>und gegebenenfalls in den</w:t>
            </w:r>
            <w:r>
              <w:t xml:space="preserve"> thematischen Untergruppen </w:t>
            </w:r>
            <w:r>
              <w:rPr>
                <w:b/>
                <w:i/>
              </w:rPr>
              <w:t>angemessen vertreten</w:t>
            </w:r>
            <w:r>
              <w:t>.</w:t>
            </w:r>
          </w:p>
        </w:tc>
        <w:tc>
          <w:tcPr>
            <w:tcW w:w="4876" w:type="dxa"/>
          </w:tcPr>
          <w:p>
            <w:pPr>
              <w:pStyle w:val="Normal6a"/>
            </w:pPr>
            <w:r>
              <w:t>(6)</w:t>
            </w:r>
            <w:r>
              <w:tab/>
            </w:r>
            <w:r>
              <w:t xml:space="preserve">Jedes Organ und jede Einrichtung der Union ist in der Koordinierungsgruppe </w:t>
            </w:r>
            <w:r>
              <w:rPr>
                <w:b/>
                <w:i/>
              </w:rPr>
              <w:t>angemessen vertreten.</w:t>
            </w:r>
            <w:r>
              <w:t xml:space="preserve"> </w:t>
            </w:r>
            <w:r>
              <w:rPr>
                <w:b/>
                <w:i/>
              </w:rPr>
              <w:t>Das Europäische Parlament, die Kommission und der Rat sind in allen</w:t>
            </w:r>
            <w:r>
              <w:t xml:space="preserve"> thematischen Untergruppen </w:t>
            </w:r>
            <w:r>
              <w:rPr>
                <w:b/>
                <w:i/>
              </w:rPr>
              <w:t>vertreten.</w:t>
            </w:r>
            <w:r>
              <w:t xml:space="preserve"> </w:t>
            </w:r>
            <w:r>
              <w:rPr>
                <w:b/>
                <w:i/>
              </w:rPr>
              <w:t>Gegebenenfalls auch andere Organe und Einrichtungen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Die Organe und Einrichtungen der Union unterrichten die Koordinierungsgruppe über jede wichtige Entwicklung der in ihrer Organisation angewandten Informationssicherheitsstrategie.</w:t>
            </w:r>
          </w:p>
        </w:tc>
        <w:tc>
          <w:tcPr>
            <w:tcW w:w="4876" w:type="dxa"/>
          </w:tcPr>
          <w:p>
            <w:pPr>
              <w:pStyle w:val="Normal6a"/>
            </w:pPr>
            <w:r>
              <w:t>(7)</w:t>
            </w:r>
            <w:r>
              <w:tab/>
            </w:r>
            <w:r>
              <w:t xml:space="preserve">Die Organe und Einrichtungen der Union unterrichten die Koordinierungsgruppe </w:t>
            </w:r>
            <w:r>
              <w:rPr>
                <w:b/>
                <w:i/>
              </w:rPr>
              <w:t>unverzüglich</w:t>
            </w:r>
            <w:r>
              <w:t xml:space="preserve"> über jede wichtige Entwicklung der in ihrer Organisation angewandten Informationssicherheitsstrategie.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Bei der Wahrnehmung der in Absatz 2 Buchstabe e genannten Aufgaben wird die Koordinierungsgruppe von einem Ausschuss für Informationssicherheit unterstützt. Diesem Ausschuss gehört je ein Vertreter jeder nationalen Sicherheitsbehörde an, wobei das in Absatz 5 genannte Sekretariat der Koordinierungsgruppe den Vorsitz führt. Der Ausschuss für Informationssicherheit hat beratende Funktion.</w:t>
            </w:r>
          </w:p>
        </w:tc>
        <w:tc>
          <w:tcPr>
            <w:tcW w:w="4876" w:type="dxa"/>
          </w:tcPr>
          <w:p>
            <w:pPr>
              <w:pStyle w:val="Normal6a"/>
            </w:pPr>
            <w:r>
              <w:t>(8)</w:t>
            </w:r>
            <w:r>
              <w:tab/>
            </w:r>
            <w:r>
              <w:t xml:space="preserve">Bei der Wahrnehmung der in Absatz 2 Buchstabe e genannten Aufgaben wird die Koordinierungsgruppe von einem Ausschuss für Informationssicherheit unterstützt. Diesem Ausschuss gehört je ein Vertreter jeder nationalen Sicherheitsbehörde an, wobei das in Absatz 5 genannte Sekretariat der Koordinierungsgruppe den Vorsitz führt. </w:t>
            </w:r>
            <w:r>
              <w:rPr>
                <w:b/>
                <w:i/>
              </w:rPr>
              <w:t>Das Europäische Parlament nimmt als Beobachter teil.</w:t>
            </w:r>
            <w:r>
              <w:t xml:space="preserve"> Der Ausschuss für Informationssicherheit hat beratende Funktion.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1 – Buchstabe e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eine Untergruppe für Verwaltungsvereinbarungen mit Drittstaaten und internationalen Organisationen.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Jedes Organ und jede Einrichtung der Union benennt eine Sicherheitsbehörde, die die in dieser Verordnung </w:t>
            </w:r>
            <w:r>
              <w:rPr>
                <w:b/>
                <w:i/>
              </w:rPr>
              <w:t>sowie gegebenenfalls in internen Sicherheitsvorschriften festgelegten Zuständigkeiten wahrnimmt</w:t>
            </w:r>
            <w:r>
              <w:t>. Bei der Wahrnehmung ihrer Aufgaben wird jede Sicherheitsbehörde von der für Informationssicherheit zuständigen Dienststelle oder Person unterstützt.</w:t>
            </w:r>
          </w:p>
        </w:tc>
        <w:tc>
          <w:tcPr>
            <w:tcW w:w="4876" w:type="dxa"/>
          </w:tcPr>
          <w:p>
            <w:pPr>
              <w:pStyle w:val="Normal6a"/>
            </w:pPr>
            <w:r>
              <w:t>(1)</w:t>
            </w:r>
            <w:r>
              <w:tab/>
            </w:r>
            <w:r>
              <w:t xml:space="preserve">Jedes Organ und jede Einrichtung der Union benennt eine Sicherheitsbehörde, die die in dieser Verordnung </w:t>
            </w:r>
            <w:r>
              <w:rPr>
                <w:b/>
                <w:i/>
              </w:rPr>
              <w:t>festgelegten Zuständigkeiten wahrnimmt und die Einhaltung der von der Koordinierungsgruppe angenommenen Leitlinien durch die einzelnen Organe oder Einrichtungen der Union überwacht und sicherstellt</w:t>
            </w:r>
            <w:r>
              <w:t>. Bei der Wahrnehmung ihrer Aufgaben wird jede Sicherheitsbehörde von der für Informationssicherheit zuständigen Dienststelle oder Person unterstützt.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4 – Buchstabe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rPr>
                <w:b/>
                <w:i/>
              </w:rPr>
              <w:t>die Verschlüsselung von ruhenden</w:t>
            </w:r>
            <w:r>
              <w:t xml:space="preserve"> Informationen </w:t>
            </w:r>
            <w:r>
              <w:rPr>
                <w:b/>
                <w:i/>
              </w:rPr>
              <w:t>sowie von Informationen während der Übertragung</w:t>
            </w:r>
            <w:r>
              <w:t>;</w:t>
            </w:r>
          </w:p>
        </w:tc>
        <w:tc>
          <w:tcPr>
            <w:tcW w:w="4876" w:type="dxa"/>
          </w:tcPr>
          <w:p>
            <w:pPr>
              <w:pStyle w:val="Normal6a"/>
            </w:pPr>
            <w:r>
              <w:t>d)</w:t>
            </w:r>
            <w:r>
              <w:tab/>
            </w:r>
            <w:r>
              <w:rPr>
                <w:b/>
                <w:i/>
              </w:rPr>
              <w:t>Ende-zu-Ende-Verschlüsselung von</w:t>
            </w:r>
            <w:r>
              <w:t xml:space="preserve"> Informationen </w:t>
            </w:r>
            <w:r>
              <w:rPr>
                <w:b/>
                <w:i/>
              </w:rPr>
              <w:t>in allen Phasen der relevanten Prozesse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Die Organe und Einrichtungen der Union können Informationen nach Absatz 1 mit der Kennzeichnung „PUBLIC USE“ versehen.</w:t>
            </w:r>
          </w:p>
        </w:tc>
        <w:tc>
          <w:tcPr>
            <w:tcW w:w="4876" w:type="dxa"/>
          </w:tcPr>
          <w:p>
            <w:pPr>
              <w:pStyle w:val="Normal6a"/>
            </w:pPr>
            <w:r>
              <w:t>(2)</w:t>
            </w:r>
            <w:r>
              <w:tab/>
            </w:r>
            <w:r>
              <w:t xml:space="preserve">Die Organe und Einrichtungen der Union können Informationen nach Absatz 1 mit der Kennzeichnung „PUBLIC USE“ versehen. </w:t>
            </w:r>
            <w:r>
              <w:rPr>
                <w:b/>
                <w:i/>
              </w:rPr>
              <w:t>Fehlt eine derartige Kennzeichnung, so ist dies kein Hinweis darauf, dass die Informationen als Verschlusssache eingestuft sein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 Organe und Einrichtungen der Union </w:t>
            </w:r>
            <w:r>
              <w:rPr>
                <w:b/>
                <w:i/>
              </w:rPr>
              <w:t>können</w:t>
            </w:r>
            <w:r>
              <w:t xml:space="preserve"> Informationen nach Absatz 1 mit der Kennzeichnung „PUBLIC USE“ </w:t>
            </w:r>
            <w:r>
              <w:rPr>
                <w:b/>
                <w:i/>
              </w:rPr>
              <w:t>versehen</w:t>
            </w:r>
            <w:r>
              <w:t>.</w:t>
            </w:r>
          </w:p>
        </w:tc>
        <w:tc>
          <w:tcPr>
            <w:tcW w:w="4876" w:type="dxa"/>
          </w:tcPr>
          <w:p>
            <w:pPr>
              <w:pStyle w:val="Normal6a"/>
            </w:pPr>
            <w:r>
              <w:t>(2)</w:t>
            </w:r>
            <w:r>
              <w:tab/>
            </w:r>
            <w:r>
              <w:t xml:space="preserve">Die Organe und Einrichtungen der Union </w:t>
            </w:r>
            <w:r>
              <w:rPr>
                <w:b/>
                <w:i/>
              </w:rPr>
              <w:t>versehen</w:t>
            </w:r>
            <w:r>
              <w:t xml:space="preserve"> Informationen nach Absatz 1 mit der Kennzeichnung „PUBLIC 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Alle Organe und Einrichtungen der Union gewährleisten die Integrität und Verfügbarkeit von für die Öffentlichkeit bestimmten Informationen durch geeignete</w:t>
            </w:r>
            <w:r>
              <w:rPr>
                <w:b/>
                <w:i/>
              </w:rPr>
              <w:t>, den</w:t>
            </w:r>
            <w:r>
              <w:t xml:space="preserve"> Sicherheitsanforderungen </w:t>
            </w:r>
            <w:r>
              <w:rPr>
                <w:b/>
                <w:i/>
              </w:rPr>
              <w:t>entsprechende Maßnahmen</w:t>
            </w:r>
            <w:r>
              <w:t>.</w:t>
            </w:r>
          </w:p>
        </w:tc>
        <w:tc>
          <w:tcPr>
            <w:tcW w:w="4876" w:type="dxa"/>
          </w:tcPr>
          <w:p>
            <w:pPr>
              <w:pStyle w:val="Normal6a"/>
            </w:pPr>
            <w:r>
              <w:t>(3)</w:t>
            </w:r>
            <w:r>
              <w:tab/>
            </w:r>
            <w:r>
              <w:t xml:space="preserve">Alle Organe und Einrichtungen der Union gewährleisten die Integrität und Verfügbarkeit von für die Öffentlichkeit bestimmten Informationen durch geeignete </w:t>
            </w:r>
            <w:r>
              <w:rPr>
                <w:b/>
                <w:i/>
              </w:rPr>
              <w:t>Maßnahmen, die ihren</w:t>
            </w:r>
            <w:r>
              <w:t xml:space="preserve"> Sicherheitsanforderungen </w:t>
            </w:r>
            <w:r>
              <w:rPr>
                <w:b/>
                <w:i/>
              </w:rPr>
              <w:t>entsprechen, und unter Berücksichtigung des Rechts auf Information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Normale Informationen können visuell oder über Metadaten gekennzeichnet werden, wenn dies zur Gewährleistung ihres Schutzes erforderlich ist, insbesondere wenn sie außerhalb der Organe und Einrichtungen der Union weitergegeben werden. In diesem Fall ist die Kennzeichnung „EU NORMAL“ oder „[Name oder Akronym des Organs oder der Einrichtung der Union] NORMAL“ zu verwenden.</w:t>
            </w:r>
          </w:p>
        </w:tc>
        <w:tc>
          <w:tcPr>
            <w:tcW w:w="4876" w:type="dxa"/>
          </w:tcPr>
          <w:p>
            <w:pPr>
              <w:pStyle w:val="Normal6a"/>
            </w:pPr>
            <w:r>
              <w:t>(2)</w:t>
            </w:r>
            <w:r>
              <w:tab/>
            </w:r>
            <w:r>
              <w:t xml:space="preserve">Normale Informationen können visuell oder über Metadaten gekennzeichnet werden, wenn dies zur Gewährleistung ihres Schutzes erforderlich ist, insbesondere wenn sie außerhalb der Organe und Einrichtungen der Union weitergegeben werden. In diesem Fall ist die Kennzeichnung „EU NORMAL“ oder „[Name oder Akronym des Organs oder der Einrichtung der Union] NORMAL“ zu verwenden. </w:t>
            </w:r>
            <w:r>
              <w:rPr>
                <w:b/>
                <w:i/>
              </w:rPr>
              <w:t>Fehlt eine derartige Kennzeichnung, so ist dies kein Hinweis darauf, dass die Informationen als Verschlusssache eingestuft sein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Normale Informationen werden außerhalb der Organe und Einrichtungen der Union nur mit natürlichen oder juristischen Personen ausgetauscht, die Kenntnis davon haben müssen.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Normale Informationen werden außerhalb der Organe und Einrichtungen der Union nur mit natürlichen oder juristischen Personen ausgetauscht, die Kenntnis davon haben müssen.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Organe und Einrichtungen der Union stufen alle Informationen, die nicht als Verschlusssache eingestuft sind, jedoch aufgrund rechtlicher Verpflichtungen oder aufgrund des Schadens, der den berechtigten </w:t>
            </w:r>
            <w:r>
              <w:rPr>
                <w:b/>
                <w:i/>
              </w:rPr>
              <w:t>privaten oder</w:t>
            </w:r>
            <w:r>
              <w:t xml:space="preserve"> öffentlichen Interessen (einschließlich der Interessen der Organe und Einrichtungen der Union</w:t>
            </w:r>
            <w:r>
              <w:rPr>
                <w:b/>
                <w:i/>
              </w:rPr>
              <w:t>,</w:t>
            </w:r>
            <w:r>
              <w:t xml:space="preserve"> der Mitgliedstaaten </w:t>
            </w:r>
            <w:r>
              <w:rPr>
                <w:b/>
                <w:i/>
              </w:rPr>
              <w:t>oder Einzelpersonen</w:t>
            </w:r>
            <w:r>
              <w:t>) durch ihre unbefugte Offenlegung entstehen kann, zu schützen sind, als nicht als Verschlusssache eingestufte vertrauliche Information ein und bearbeiten und verwahren sie als solche.</w:t>
            </w:r>
          </w:p>
        </w:tc>
        <w:tc>
          <w:tcPr>
            <w:tcW w:w="4876" w:type="dxa"/>
          </w:tcPr>
          <w:p>
            <w:pPr>
              <w:pStyle w:val="Normal6a"/>
            </w:pPr>
            <w:r>
              <w:t>(1)</w:t>
            </w:r>
            <w:r>
              <w:tab/>
            </w:r>
            <w:r>
              <w:t xml:space="preserve">Die Organe und Einrichtungen der Union stufen alle Informationen, die nicht als Verschlusssache eingestuft sind, jedoch aufgrund rechtlicher Verpflichtungen oder aufgrund des Schadens, der den berechtigten öffentlichen Interessen (einschließlich der Interessen der Organe und Einrichtungen der Union </w:t>
            </w:r>
            <w:r>
              <w:rPr>
                <w:b/>
                <w:i/>
              </w:rPr>
              <w:t>oder</w:t>
            </w:r>
            <w:r>
              <w:t xml:space="preserve"> der Mitgliedstaaten) durch ihre unbefugte Offenlegung entstehen kann, zu schützen sind, als nicht als Verschlusssache eingestufte vertrauliche Information ein und bearbeiten und verwahren sie als solche.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Nicht als Verschlusssache eingestufte vertrauliche Informationen werden außerhalb der Organe und Einrichtungen der Union unter Berücksichtigung der mit diesen Informationen verbundenen Bearbeitungsanweisungen nur mit natürlichen oder juristischen Personen ausgetauscht, die Kenntnis davon haben müssen. Alle Beteiligten sind über die entsprechenden Bearbeitungsanweisungen zu informieren.</w:t>
            </w:r>
          </w:p>
        </w:tc>
        <w:tc>
          <w:tcPr>
            <w:tcW w:w="4876" w:type="dxa"/>
          </w:tcPr>
          <w:p>
            <w:pPr>
              <w:pStyle w:val="Normal6a"/>
            </w:pPr>
            <w:r>
              <w:t>(4)</w:t>
            </w:r>
            <w:r>
              <w:tab/>
            </w:r>
            <w:r>
              <w:t xml:space="preserve">Nicht als Verschlusssache eingestufte vertrauliche Informationen werden außerhalb der Organe und Einrichtungen der Union unter Berücksichtigung der mit diesen Informationen verbundenen Bearbeitungsanweisungen </w:t>
            </w:r>
            <w:r>
              <w:rPr>
                <w:b/>
                <w:i/>
              </w:rPr>
              <w:t>und der Anforderungen aufgrund des Rechtsschutzes, die möglicherweise gemäß Absatz 1 gelten,</w:t>
            </w:r>
            <w:r>
              <w:t xml:space="preserve"> nur mit natürlichen oder juristischen Personen ausgetauscht, die Kenntnis davon haben müssen. Alle Beteiligten sind über die entsprechenden Bearbeitungsanweisungen zu informieren.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Organe und Einrichtungen der Union legen Verfahren für die Meldung und die Bewältigung von Vorfällen oder mutmaßlichen Vorfällen fest, die zu einer Gefährdung der Sicherheit von nicht als Verschlusssache eingestuften Informationen führen könnten.</w:t>
            </w:r>
          </w:p>
        </w:tc>
        <w:tc>
          <w:tcPr>
            <w:tcW w:w="4876" w:type="dxa"/>
          </w:tcPr>
          <w:p>
            <w:pPr>
              <w:pStyle w:val="Normal6a"/>
            </w:pPr>
            <w:r>
              <w:t>(1)</w:t>
            </w:r>
            <w:r>
              <w:tab/>
            </w:r>
            <w:r>
              <w:t xml:space="preserve">Die Organe und Einrichtungen der Union legen </w:t>
            </w:r>
            <w:r>
              <w:rPr>
                <w:b/>
                <w:i/>
              </w:rPr>
              <w:t>einheitliche</w:t>
            </w:r>
            <w:r>
              <w:t xml:space="preserve"> Verfahren für die Meldung und die Bewältigung von Vorfällen oder mutmaßlichen Vorfällen fest, die zu einer Gefährdung der Sicherheit von nicht als Verschlusssache eingestuften Informationen führen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Erforderlichenfalls verwenden die Organe und Einrichtungen der Union die in den Artikeln 12, 13 und 14 vorgesehenen Kennzeichnungen. </w:t>
            </w:r>
            <w:r>
              <w:rPr>
                <w:b/>
                <w:i/>
              </w:rPr>
              <w:t>In Ausnahmefällen können intern und in Bezug auf ihre jeweiligen Partner in anderen Organen und Einrichtungen der Union oder in den Mitgliedstaaten andere gleichwertige Kennzeichnungen verwendet werden, sofern alle Parteien dem zustimmen.</w:t>
            </w:r>
            <w:r>
              <w:t xml:space="preserve"> </w:t>
            </w:r>
            <w:r>
              <w:rPr>
                <w:b/>
                <w:i/>
              </w:rPr>
              <w:t>Jede solche Ausnahme wird der Untergruppe für nicht als Verschlusssache eingestufte Informationen gemäß Artikel 7 Absatz 1 Buchstabe b mitgeteilt.</w:t>
            </w:r>
          </w:p>
        </w:tc>
        <w:tc>
          <w:tcPr>
            <w:tcW w:w="4876" w:type="dxa"/>
          </w:tcPr>
          <w:p>
            <w:pPr>
              <w:pStyle w:val="Normal6a"/>
            </w:pPr>
            <w:r>
              <w:t>(2)</w:t>
            </w:r>
            <w:r>
              <w:tab/>
            </w:r>
            <w:r>
              <w:t>Erforderlichenfalls verwenden die Organe und Einrichtungen der Union die in den Artikeln 12, 13 und 14 vorgesehenen Kennzeichnungen.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16 – Absatz 1 – Buchstabe e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Überwachung der Einhaltung der einschlägigen Bestimmungen dieser Verordnung sowie der von der Koordinierungsgruppe angenommenen Leitlinien durch die Organe und Einrichtungen der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 – Absatz 1 – Buchstabe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RESTREINT UE/EU RESTRICTED:</w:t>
            </w:r>
            <w:r>
              <w:t xml:space="preserve"> </w:t>
            </w:r>
            <w:r>
              <w:rPr>
                <w:b/>
                <w:i/>
              </w:rPr>
              <w:t>Informationen und Materialien, deren unbefugte Offenlegung für die Interessen der Union oder eines oder mehrerer Mitgliedstaaten nachteilig sein könnte.</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Die Koordinierungsgruppe nimmt Leitlinien für die Erstellung und Einstufung von EU-VS an.</w:t>
            </w:r>
          </w:p>
        </w:tc>
        <w:tc>
          <w:tcPr>
            <w:tcW w:w="4876" w:type="dxa"/>
          </w:tcPr>
          <w:p>
            <w:pPr>
              <w:pStyle w:val="Normal6a"/>
            </w:pPr>
            <w:r>
              <w:t>(2)</w:t>
            </w:r>
            <w:r>
              <w:tab/>
            </w:r>
            <w:r>
              <w:t xml:space="preserve">Die Koordinierungsgruppe nimmt Leitlinien für die Erstellung und Einstufung von EU-VS an. </w:t>
            </w:r>
            <w:r>
              <w:rPr>
                <w:b/>
                <w:i/>
              </w:rPr>
              <w:t>Diese Dokumente tragen dem Grundsatz der Minimierung des Rückgriffs auf die Einstufung als Verschlusssachen und dem Risiko einer zu restriktiven Einstufung bestimmter Dokumente Rechnung und umfassen Vorschriften zur Bewertung und Begründung der Einstufung von Informationen und Materialien, die auf mehr Transparenz und die Vermeidung ungerechtfertigter Lock-in-Effekte ausgerichtet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 – 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Bei Zweifeln bezüglich des vertraulichen Charakters einer Information oder des Geheimhaltungsgrads oder im Falle einer Meinungsverschiedenheit zwischen den Unionsorganen konsultieren diese einander unverzüglich und vor der Übermittlung dieser Information.</w:t>
            </w:r>
            <w:r>
              <w:t xml:space="preserve"> </w:t>
            </w:r>
            <w:r>
              <w:rPr>
                <w:b/>
                <w:i/>
              </w:rPr>
              <w:t>Bei diesen Konsultationen werden die Organe durch den Vorsitzenden des Organs oder den für Sicherheitsfragen Verantwortlichen vertreten.</w:t>
            </w:r>
            <w:r>
              <w:t xml:space="preserve"> </w:t>
            </w:r>
            <w:r>
              <w:rPr>
                <w:b/>
                <w:i/>
              </w:rPr>
              <w:t>Bei Nichteinigung werden die Präsidenten der Organe befasst, um eine Lösung zu erzielen.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Dieser Artikel lässt die Verordnung (EG) Nr. 1049/2001 unberührt.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22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Jede Handlung oder Unterlassung eines Organs oder einer Einrichtung der Union oder einer Person, die einen Verstoß gegen diese Verordnung darstellt, gilt als Verletzung der Sicherheit.</w:t>
            </w:r>
          </w:p>
        </w:tc>
        <w:tc>
          <w:tcPr>
            <w:tcW w:w="4876" w:type="dxa"/>
          </w:tcPr>
          <w:p>
            <w:pPr>
              <w:pStyle w:val="Normal6a"/>
            </w:pPr>
            <w: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22 – Absatz 3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den Herausgeber verständigt;</w:t>
            </w:r>
          </w:p>
        </w:tc>
        <w:tc>
          <w:tcPr>
            <w:tcW w:w="4876" w:type="dxa"/>
          </w:tcPr>
          <w:p>
            <w:pPr>
              <w:pStyle w:val="Normal6a"/>
            </w:pPr>
            <w:r>
              <w:t>a)</w:t>
            </w:r>
            <w:r>
              <w:tab/>
            </w:r>
            <w:r>
              <w:t xml:space="preserve">den Herausgeber </w:t>
            </w:r>
            <w:r>
              <w:rPr>
                <w:b/>
                <w:i/>
              </w:rPr>
              <w:t>ohne ungebührliche Verzögerung und auf jeden Fall spätestens drei Tage, nachdem die Sicherheitsbehörde über die Verletzung in Kenntnis gesetzt wurde,</w:t>
            </w:r>
            <w:r>
              <w:t xml:space="preserve"> verständigt;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22 – Absatz 3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sicherstellt, dass der Fall zur Aufklärung des Sachverhalts von Personal untersucht wird, das von der Sicherheitsverletzung nicht unmittelbar betroffen ist;</w:t>
            </w:r>
          </w:p>
        </w:tc>
        <w:tc>
          <w:tcPr>
            <w:tcW w:w="4876" w:type="dxa"/>
          </w:tcPr>
          <w:p>
            <w:pPr>
              <w:pStyle w:val="Normal6a"/>
            </w:pPr>
            <w:r>
              <w:t>b)</w:t>
            </w:r>
            <w:r>
              <w:tab/>
            </w:r>
            <w:r>
              <w:t xml:space="preserve">sicherstellt, dass der Fall zur Aufklärung des Sachverhalts von Personal </w:t>
            </w:r>
            <w:r>
              <w:rPr>
                <w:b/>
                <w:i/>
              </w:rPr>
              <w:t>gründlich</w:t>
            </w:r>
            <w:r>
              <w:t xml:space="preserve"> untersucht wird, das von der Sicherheitsverletzung nicht unmittelbar betroffen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22 – Absatz 3 – Buchstabe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die zuständigen Behörden über die tatsächliche oder potenzielle Kenntnisnahme durch Unbefugte und die getroffenen Maßnahmen unterrichtet.</w:t>
            </w:r>
          </w:p>
        </w:tc>
        <w:tc>
          <w:tcPr>
            <w:tcW w:w="4876" w:type="dxa"/>
          </w:tcPr>
          <w:p>
            <w:pPr>
              <w:pStyle w:val="Normal6a"/>
            </w:pPr>
            <w:r>
              <w:t>e)</w:t>
            </w:r>
            <w:r>
              <w:tab/>
            </w:r>
            <w:r>
              <w:t xml:space="preserve">die zuständigen Behörden </w:t>
            </w:r>
            <w:r>
              <w:rPr>
                <w:b/>
                <w:i/>
              </w:rPr>
              <w:t>unverzüglich und in jedem Fall spätestens drei Tage, nachdem die Sicherheitsbehörde von der Verletzung in Kenntnis gesetzt wurde,</w:t>
            </w:r>
            <w:r>
              <w:t xml:space="preserve"> über die tatsächliche oder potenzielle Kenntnisnahme durch Unbefugte und die getroffenen Maßnahmen unterrichtet.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23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 Organe und Einrichtungen der Union berücksichtigen die Loyalität, Vertrauenswürdigkeit und Zuverlässigkeit einer Person, die durch eine von </w:t>
            </w:r>
            <w:r>
              <w:rPr>
                <w:b/>
                <w:i/>
              </w:rPr>
              <w:t>den zuständigen Behörden des Mitgliedstaats, dessen Staatsangehörigkeit der Antragsteller besitzt,</w:t>
            </w:r>
            <w:r>
              <w:t xml:space="preserve"> durchgeführte Sicherheitsüberprüfung festgestellt wurde.</w:t>
            </w:r>
          </w:p>
        </w:tc>
        <w:tc>
          <w:tcPr>
            <w:tcW w:w="4876" w:type="dxa"/>
          </w:tcPr>
          <w:p>
            <w:pPr>
              <w:pStyle w:val="Normal6a"/>
            </w:pPr>
            <w:r>
              <w:t>(2)</w:t>
            </w:r>
            <w:r>
              <w:tab/>
            </w:r>
            <w:r>
              <w:t xml:space="preserve">Die Organe und Einrichtungen der Union berücksichtigen die Loyalität, Vertrauenswürdigkeit und Zuverlässigkeit einer Person, die durch eine von </w:t>
            </w:r>
            <w:r>
              <w:rPr>
                <w:b/>
                <w:i/>
              </w:rPr>
              <w:t>der Kommission in Zusammenarbeit mit den zuständigen Behörden der zuständigen Mitgliedstaaten</w:t>
            </w:r>
            <w:r>
              <w:t xml:space="preserve"> durchgeführte Sicherheitsüberprüfung festgestellt wurde. </w:t>
            </w:r>
            <w:r>
              <w:rPr>
                <w:b/>
                <w:i/>
              </w:rPr>
              <w:t>Die Kommission kann auch mit Drittstaaten und internationalen Organisationen zusammenarbeiten, mit denen die Union ein Geheimschutzabkommen geschlossen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23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Die Organe und Einrichtungen der Union können Sicherheitsermächtigungen von Drittstaaten und internationalen Organisationen, mit denen die Union ein Geheimschutzabkommen geschlossen hat, anerkennen.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23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Die Organe und Einrichtungen der Union können Sicherheitsermächtigungen von Drittstaaten und internationalen Organisationen, mit denen die Union ein Geheimschutzabkommen geschlossen hat, anerkennen.</w:t>
            </w:r>
          </w:p>
        </w:tc>
        <w:tc>
          <w:tcPr>
            <w:tcW w:w="4876" w:type="dxa"/>
          </w:tcPr>
          <w:p>
            <w:pPr>
              <w:pStyle w:val="Normal6a"/>
            </w:pPr>
            <w:r>
              <w:t>(3)</w:t>
            </w:r>
            <w:r>
              <w:tab/>
            </w:r>
            <w:r>
              <w:t xml:space="preserve">Die Organe und Einrichtungen der Union können Sicherheitsermächtigungen von Drittstaaten und internationalen Organisationen, mit denen die Union ein Geheimschutzabkommen geschlossen hat, anerkennen. </w:t>
            </w:r>
            <w:r>
              <w:rPr>
                <w:b/>
                <w:i/>
              </w:rPr>
              <w:t>Sie tragen in jedem Fall dafür Sorge, dass die in den Absätzen 1 und 2 genannten Grundsätze eingehalten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23 – Absatz 4 – Unterabsatz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Wird eine Leistungsvereinbarung geschlossen, ist die Sicherheitsbehörde der Kommission die Kontaktstelle zwischen den Sicherheitsbüros der betreffenden Organe und Einrichtungen der Union und den zuständigen nationalen Behörden der Mitgliedstaaten im Zusammenhang mit Fragen der Sicherheitsermächtigung.</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24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Unter außergewöhnlichen Umständen - wenn dies im dienstlichen Interesse hinreichend begründet ist und bis zum Abschluss einer umfassenden Sicherheitsüberprüfung - kann die Sicherheitsbehörde eines Organs oder einer Einrichtung der Union Personen unbeschadet der Bestimmungen über die Verlängerung der Ermächtigung zum Zugang zu EU-VS </w:t>
            </w:r>
            <w:r>
              <w:rPr>
                <w:b/>
                <w:i/>
              </w:rPr>
              <w:t>und nach Überprüfung durch die zuständige nationale Sicherheitsbehörde</w:t>
            </w:r>
            <w:r>
              <w:t xml:space="preserve"> eine befristete Ermächtigung zum Zugang zu EU-VS für einen bestimmten Dienstposten erteilen.</w:t>
            </w:r>
          </w:p>
        </w:tc>
        <w:tc>
          <w:tcPr>
            <w:tcW w:w="4876" w:type="dxa"/>
          </w:tcPr>
          <w:p>
            <w:pPr>
              <w:pStyle w:val="Normal6a"/>
            </w:pPr>
            <w:r>
              <w:t>(4)</w:t>
            </w:r>
            <w:r>
              <w:tab/>
            </w:r>
            <w:r>
              <w:t>Unter außergewöhnlichen Umständen - wenn dies im dienstlichen Interesse hinreichend begründet ist und bis zum Abschluss einer umfassenden Sicherheitsüberprüfung - kann die Sicherheitsbehörde eines Organs oder einer Einrichtung der Union Personen unbeschadet der Bestimmungen über die Verlängerung der Ermächtigung zum Zugang zu EU-VS eine befristete Ermächtigung zum Zugang zu EU-VS für einen bestimmten Dienstposten erteilen.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Nimmt der Inhaber einer Ermächtigung zum Zugang zu EU-VS eine Beschäftigung bei einem anderen Organ oder einer anderen Einrichtung der Union auf, so teilt dieses Organ bzw. diese Einrichtung der Union der betreffenden nationalen Sicherheitsbehörde über die zuständige Sicherheitsbehörde den Wechsel des Arbeitgebers mit.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Nimmt der Inhaber einer Ermächtigung zum Zugang zu EU-VS eine Beschäftigung bei einem anderen Organ oder einer anderen Einrichtung der Union auf, so teilt dieses Organ bzw. diese Einrichtung der Union der betreffenden nationalen Sicherheitsbehörde über die zuständige Sicherheitsbehörde den Wechsel des Arbeitgebers mit.</w:t>
            </w:r>
          </w:p>
        </w:tc>
        <w:tc>
          <w:tcPr>
            <w:tcW w:w="4876" w:type="dxa"/>
          </w:tcPr>
          <w:p>
            <w:pPr>
              <w:pStyle w:val="Normal6a"/>
            </w:pPr>
            <w:r>
              <w:t>(3)</w:t>
            </w:r>
            <w:r>
              <w:tab/>
            </w:r>
            <w:r>
              <w:t xml:space="preserve">Nimmt der Inhaber einer Ermächtigung zum Zugang zu EU-VS eine Beschäftigung bei einem anderen Organ oder einer anderen Einrichtung der Union auf, so teilt dieses Organ bzw. diese Einrichtung der Union der betreffenden nationalen Sicherheitsbehörde über die zuständige Sicherheitsbehörde </w:t>
            </w:r>
            <w:r>
              <w:rPr>
                <w:b/>
                <w:i/>
              </w:rPr>
              <w:t>unverzüglich</w:t>
            </w:r>
            <w:r>
              <w:t xml:space="preserve"> den Wechsel des Arbeitgebers 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d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Überwachung der Einhaltung der einschlägigen Bestimmungen dieser Verordnung sowie der von der Koordinierungsgruppe angenommenen Leitlinien durch die Organe und Einrichtungen der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Organe und Einrichtungen der Union, die EU-VS herausgeben, legen bei deren Erstellung im Einklang mit Artikel 18 Absatz 1 den Geheimhaltungsgrad dieser Informationen fest.</w:t>
            </w:r>
          </w:p>
        </w:tc>
        <w:tc>
          <w:tcPr>
            <w:tcW w:w="4876" w:type="dxa"/>
          </w:tcPr>
          <w:p>
            <w:pPr>
              <w:pStyle w:val="Normal6a"/>
            </w:pPr>
            <w:r>
              <w:t>(2)</w:t>
            </w:r>
            <w:r>
              <w:tab/>
            </w:r>
            <w:r>
              <w:t xml:space="preserve">Organe und Einrichtungen der Union, die EU-VS herausgeben, legen bei deren Erstellung im Einklang mit Artikel 18 Absatz 1 den </w:t>
            </w:r>
            <w:r>
              <w:rPr>
                <w:b/>
                <w:i/>
              </w:rPr>
              <w:t>anfänglichen</w:t>
            </w:r>
            <w:r>
              <w:t xml:space="preserve"> Geheimhaltungsgrad dieser Informationen fest.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1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auf jeder Seite </w:t>
            </w:r>
            <w:r>
              <w:rPr>
                <w:b/>
                <w:i/>
              </w:rPr>
              <w:t>wird</w:t>
            </w:r>
            <w:r>
              <w:t xml:space="preserve"> der Geheimhaltungsgrad eindeutig vermerkt;</w:t>
            </w:r>
          </w:p>
        </w:tc>
        <w:tc>
          <w:tcPr>
            <w:tcW w:w="4876" w:type="dxa"/>
          </w:tcPr>
          <w:p>
            <w:pPr>
              <w:pStyle w:val="Normal6a"/>
            </w:pPr>
            <w:r>
              <w:t>a)</w:t>
            </w:r>
            <w:r>
              <w:tab/>
            </w:r>
            <w:r>
              <w:t xml:space="preserve">auf jeder Seite </w:t>
            </w:r>
            <w:r>
              <w:rPr>
                <w:b/>
                <w:i/>
              </w:rPr>
              <w:t>werden</w:t>
            </w:r>
            <w:r>
              <w:t xml:space="preserve"> der Geheimhaltungsgrad </w:t>
            </w:r>
            <w:r>
              <w:rPr>
                <w:b/>
                <w:i/>
              </w:rPr>
              <w:t>und die Dauer der Geheimhaltung</w:t>
            </w:r>
            <w:r>
              <w:t xml:space="preserve"> eindeutig vermerkt;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32 – Überschrift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Herausgeberkontrolle</w:t>
            </w:r>
          </w:p>
        </w:tc>
        <w:tc>
          <w:tcPr>
            <w:tcW w:w="4876" w:type="dxa"/>
          </w:tcPr>
          <w:p>
            <w:pPr>
              <w:pStyle w:val="Normal6a"/>
            </w:pPr>
            <w:r>
              <w:rPr>
                <w:b/>
                <w:i/>
              </w:rPr>
              <w:t>Zustimmung des Herausgebers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32 – 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Das Organ oder die Einrichtung der Union, unter dessen/deren Aufsicht </w:t>
            </w:r>
            <w:r>
              <w:rPr>
                <w:b/>
                <w:i/>
              </w:rPr>
              <w:t>ein</w:t>
            </w:r>
            <w:r>
              <w:t xml:space="preserve"> EU-VS erstellt wird, hat die Kontrolle über dieses Dokument. Der Herausgeber bestimmt den Geheimhaltungsgrad des Dokuments und ist für die Festlegung des ursprünglichen Empfängerkreises verantwortlich. Ungeachtet der Verordnung Nr. 1049/2001 ist die schriftliche Zustimmung des Herausgebers einzuholen, bevor</w:t>
            </w:r>
          </w:p>
        </w:tc>
        <w:tc>
          <w:tcPr>
            <w:tcW w:w="4876" w:type="dxa"/>
          </w:tcPr>
          <w:p>
            <w:pPr>
              <w:pStyle w:val="Normal6a"/>
            </w:pPr>
            <w:r>
              <w:t>(1)</w:t>
            </w:r>
            <w:r>
              <w:tab/>
            </w:r>
            <w:r>
              <w:t xml:space="preserve">Das Organ oder die Einrichtung der Union, unter dessen/deren Aufsicht </w:t>
            </w:r>
            <w:r>
              <w:rPr>
                <w:b/>
                <w:i/>
              </w:rPr>
              <w:t>eine</w:t>
            </w:r>
            <w:r>
              <w:t xml:space="preserve"> EU-VS erstellt wird, hat die Kontrolle über dieses Dokument. Der Herausgeber bestimmt den Geheimhaltungsgrad des Dokuments und ist für die Festlegung des ursprünglichen Empfängerkreises verantwortlich</w:t>
            </w:r>
            <w:r>
              <w:rPr>
                <w:b/>
                <w:i/>
              </w:rPr>
              <w:t>.</w:t>
            </w:r>
            <w:r>
              <w:t xml:space="preserve"> </w:t>
            </w:r>
            <w:r>
              <w:rPr>
                <w:b/>
                <w:i/>
              </w:rPr>
              <w:t>Der Herausgeber kann die vorgesehenen Empfänger zum Geheimhaltungsgrad eines EU-VS-Dokuments konsultieren, und zwar insbesondere dann, wenn Zweifel hinsichtlich der Vertraulichkeit einer Information und ihres angemessenen Geheimhaltungsgrads bestehen, und damit ein solches Dokument nicht zu restriktiv eingestuft wird.</w:t>
            </w:r>
            <w:r>
              <w:t xml:space="preserve"> </w:t>
            </w:r>
            <w:r>
              <w:rPr>
                <w:b/>
                <w:i/>
              </w:rPr>
              <w:t>Bei der Festlegung des ursprünglichen Empfängerkreises eines EU-VS-Dokuments trägt der Herausgeber den aus den Verträgen erwachsenden Rechten und Pflichten der Empfänger der Informationen Rechnung</w:t>
            </w:r>
            <w:r>
              <w:t>. Ungeachtet der Verordnung Nr. 1049/2001 ist die schriftliche Zustimmung des Herausgebers einzuholen, bevor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32 – 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Das Organ oder die Einrichtung der Union, unter dessen/deren Aufsicht </w:t>
            </w:r>
            <w:r>
              <w:rPr>
                <w:b/>
                <w:i/>
              </w:rPr>
              <w:t>ein EU-VS</w:t>
            </w:r>
            <w:r>
              <w:t xml:space="preserve"> erstellt wird, </w:t>
            </w:r>
            <w:r>
              <w:rPr>
                <w:b/>
                <w:i/>
              </w:rPr>
              <w:t>hat die Kontrolle über</w:t>
            </w:r>
            <w:r>
              <w:t xml:space="preserve"> dieses Dokument. Der Herausgeber bestimmt den Geheimhaltungsgrad des Dokuments und ist für die Festlegung des ursprünglichen Empfängerkreises verantwortlich. </w:t>
            </w:r>
            <w:r>
              <w:rPr>
                <w:b/>
                <w:i/>
              </w:rPr>
              <w:t>Ungeachtet der Verordnung Nr. 1049/2001 ist die schriftliche Zustimmung des Herausgebers einzuholen</w:t>
            </w:r>
            <w:r>
              <w:t>, bevor</w:t>
            </w:r>
          </w:p>
        </w:tc>
        <w:tc>
          <w:tcPr>
            <w:tcW w:w="4876" w:type="dxa"/>
          </w:tcPr>
          <w:p>
            <w:pPr>
              <w:pStyle w:val="Normal6a"/>
            </w:pPr>
            <w:r>
              <w:t>(1)</w:t>
            </w:r>
            <w:r>
              <w:tab/>
            </w:r>
            <w:r>
              <w:t xml:space="preserve">Das Organ oder die Einrichtung der Union, unter dessen/deren Aufsicht </w:t>
            </w:r>
            <w:r>
              <w:rPr>
                <w:b/>
                <w:i/>
              </w:rPr>
              <w:t>eine EU-VS des Geheimhaltungsgrades „CONFIDENTIEL UE/EU CONFIDENTIAL“ oder höher</w:t>
            </w:r>
            <w:r>
              <w:t xml:space="preserve"> erstellt wird, </w:t>
            </w:r>
            <w:r>
              <w:rPr>
                <w:b/>
                <w:i/>
              </w:rPr>
              <w:t>gilt als Herausgeber</w:t>
            </w:r>
            <w:r>
              <w:t xml:space="preserve"> dieses Dokument</w:t>
            </w:r>
            <w:r>
              <w:rPr>
                <w:b/>
                <w:i/>
              </w:rPr>
              <w:t>, dessen Zustimmung für eine Freigabe einzuholen ist</w:t>
            </w:r>
            <w:r>
              <w:t xml:space="preserve">. Der Herausgeber bestimmt den </w:t>
            </w:r>
            <w:r>
              <w:rPr>
                <w:b/>
                <w:i/>
              </w:rPr>
              <w:t>anfänglichen</w:t>
            </w:r>
            <w:r>
              <w:t xml:space="preserve"> Geheimhaltungsgrad des Dokuments und ist für die Festlegung des ursprünglichen Empfängerkreises verantwortlich. </w:t>
            </w:r>
            <w:r>
              <w:rPr>
                <w:b/>
                <w:i/>
              </w:rPr>
              <w:t>Die schriftliche Zustimmung des Herausgebers ist gegebenenfalls einzuholen, um die wesentlichen Interessen der Europäischen Union oder eines oder mehrerer Mitgliedstaaten im Bereich der öffentlichen Sicherheit, der Verteidigung und der militärischen Angelegenheiten, der internationalen Beziehungen und der Finanz-, Währungs- oder Wirtschaftspolitik zu schützen</w:t>
            </w:r>
            <w:r>
              <w:t>, bevor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32 – Absatz 1 – Buchstabe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Verschlusssachen des Geheimhaltungsgrads „TRES SECRET UE/EU TOP SECRET“ kopiert oder übersetzt werden.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32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Kann der Herausgeber einer EU-VS nicht ermittelt werden, </w:t>
            </w:r>
            <w:r>
              <w:rPr>
                <w:b/>
                <w:i/>
              </w:rPr>
              <w:t>übt</w:t>
            </w:r>
            <w:r>
              <w:t xml:space="preserve"> das sie verwahrende Organ oder die sie verwahrende Einrichtung der Union die </w:t>
            </w:r>
            <w:r>
              <w:rPr>
                <w:b/>
                <w:i/>
              </w:rPr>
              <w:t>Herausgeberkontrolle aus</w:t>
            </w:r>
            <w:r>
              <w:t>.</w:t>
            </w:r>
          </w:p>
        </w:tc>
        <w:tc>
          <w:tcPr>
            <w:tcW w:w="4876" w:type="dxa"/>
          </w:tcPr>
          <w:p>
            <w:pPr>
              <w:pStyle w:val="Normal6a"/>
            </w:pPr>
            <w:r>
              <w:t>(2)</w:t>
            </w:r>
            <w:r>
              <w:tab/>
            </w:r>
            <w:r>
              <w:t xml:space="preserve">Kann der Herausgeber einer EU-VS nicht ermittelt werden, </w:t>
            </w:r>
            <w:r>
              <w:rPr>
                <w:b/>
                <w:i/>
              </w:rPr>
              <w:t>muss</w:t>
            </w:r>
            <w:r>
              <w:t xml:space="preserve"> das sie verwahrende Organ oder die sie verwahrende Einrichtung der Union die </w:t>
            </w:r>
            <w:r>
              <w:rPr>
                <w:b/>
                <w:i/>
              </w:rPr>
              <w:t>Zustimmung als Herausgeber geben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Informationen bleiben nur so lange als Verschlusssache eingestuft, wie sie Schutz benötigen. EU-VS, bei denen der ursprüngliche Geheimhaltungsgrad nicht mehr notwendig ist, werden auf einen niedrigeren Geheimhaltungsgrad herabgestuft. EU-VS, die nicht mehr als Verschlusssache zu betrachten sind, werden freigegeben.</w:t>
            </w:r>
          </w:p>
        </w:tc>
        <w:tc>
          <w:tcPr>
            <w:tcW w:w="4876" w:type="dxa"/>
          </w:tcPr>
          <w:p>
            <w:pPr>
              <w:pStyle w:val="Normal6a"/>
            </w:pPr>
            <w:r>
              <w:t>(1)</w:t>
            </w:r>
            <w:r>
              <w:tab/>
            </w:r>
            <w:r>
              <w:t xml:space="preserve">Informationen bleiben nur so lange als Verschlusssache eingestuft, wie sie Schutz benötigen. EU-VS, bei denen der ursprüngliche Geheimhaltungsgrad nicht mehr notwendig ist, werden auf einen niedrigeren Geheimhaltungsgrad herabgestuft. EU-VS, die nicht mehr als Verschlusssache zu betrachten sind, werden freigegeben. </w:t>
            </w:r>
            <w:r>
              <w:rPr>
                <w:b/>
                <w:i/>
              </w:rPr>
              <w:t>Der Geheimhaltungsgrad wird spätestens ein Jahr nach der Erstellung des Dokuments und anschließend einmal jährlich überprüft.</w:t>
            </w:r>
            <w:r>
              <w:t xml:space="preserve"> </w:t>
            </w:r>
            <w:r>
              <w:rPr>
                <w:b/>
                <w:i/>
              </w:rPr>
              <w:t>Betreffen Dokumente laufende Gesetzgebungsverfahren, so ist diese Überprüfung spätestens zwei Monate nach der Erstellung des Dokuments und anschließend alle zwei Monate durchzuführen.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35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Der Herausgeber teilt</w:t>
            </w:r>
            <w:r>
              <w:rPr>
                <w:b/>
                <w:i/>
              </w:rPr>
              <w:t>, sofern möglich und insbesondere bei Verschlusssachen mit dem Geheimhaltungsgrad „RESTREINT UE/EU RESTRICTED“,</w:t>
            </w:r>
            <w:r>
              <w:t xml:space="preserve"> zum Zeitpunkt der Erstellung einer EU-VS mit, ob deren Geheimhaltungsgrad zu einem bestimmten Zeitpunkt oder im Anschluss an ein bestimmtes Ereignis herabgestuft oder aufgehoben werden kann.</w:t>
            </w:r>
          </w:p>
        </w:tc>
        <w:tc>
          <w:tcPr>
            <w:tcW w:w="4876" w:type="dxa"/>
          </w:tcPr>
          <w:p>
            <w:pPr>
              <w:pStyle w:val="Normal6a"/>
            </w:pPr>
            <w:r>
              <w:t>(2)</w:t>
            </w:r>
            <w:r>
              <w:tab/>
            </w:r>
            <w:r>
              <w:t>Der Herausgeber teilt zum Zeitpunkt der Erstellung einer EU-VS mit, ob deren Geheimhaltungsgrad zu einem bestimmten Zeitpunkt oder im Anschluss an ein bestimmtes Ereignis herabgestuft oder aufgehoben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35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Der Herausgeber teilt, sofern möglich </w:t>
            </w:r>
            <w:r>
              <w:rPr>
                <w:b/>
                <w:i/>
              </w:rPr>
              <w:t>und insbesondere bei Verschlusssachen mit dem Geheimhaltungsgrad „RESTREINT UE/EU RESTRICTED“</w:t>
            </w:r>
            <w:r>
              <w:t>, zum Zeitpunkt der Erstellung einer EU-VS mit, ob deren Geheimhaltungsgrad zu einem bestimmten Zeitpunkt oder im Anschluss an ein bestimmtes Ereignis herabgestuft oder aufgehoben werden kann.</w:t>
            </w:r>
          </w:p>
        </w:tc>
        <w:tc>
          <w:tcPr>
            <w:tcW w:w="4876" w:type="dxa"/>
          </w:tcPr>
          <w:p>
            <w:pPr>
              <w:pStyle w:val="Normal6a"/>
            </w:pPr>
            <w:r>
              <w:t>(2)</w:t>
            </w:r>
            <w:r>
              <w:tab/>
            </w:r>
            <w:r>
              <w:t>Der Herausgeber teilt, sofern möglich, zum Zeitpunkt der Erstellung einer EU-VS mit, ob deren Geheimhaltungsgrad zu einem bestimmten Zeitpunkt oder im Anschluss an ein bestimmtes Ereignis herabgestuft oder aufgehoben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Das </w:t>
            </w:r>
            <w:r>
              <w:rPr>
                <w:b/>
                <w:i/>
              </w:rPr>
              <w:t>eine EU-VS herausgebende</w:t>
            </w:r>
            <w:r>
              <w:t xml:space="preserve"> Organ oder die </w:t>
            </w:r>
            <w:r>
              <w:rPr>
                <w:b/>
                <w:i/>
              </w:rPr>
              <w:t>eine EU-VS herausgebende</w:t>
            </w:r>
            <w:r>
              <w:t xml:space="preserve"> Einrichtung der Union entscheidet darüber, ob die EU-VS herabgestuft oder freigegeben werden kann. </w:t>
            </w:r>
            <w:r>
              <w:rPr>
                <w:b/>
                <w:i/>
              </w:rPr>
              <w:t>Sie überprüfen die Informationen und die Risiken regelmäßig, mindestens aber alle fünf Jahre, daraufhin, ob der ursprüngliche Geheimhaltungsgrad noch angemessen ist.</w:t>
            </w:r>
          </w:p>
        </w:tc>
        <w:tc>
          <w:tcPr>
            <w:tcW w:w="4876" w:type="dxa"/>
          </w:tcPr>
          <w:p>
            <w:pPr>
              <w:pStyle w:val="Normal6a"/>
            </w:pPr>
            <w:r>
              <w:t>(3)</w:t>
            </w:r>
            <w:r>
              <w:tab/>
            </w:r>
            <w:r>
              <w:t xml:space="preserve">Das </w:t>
            </w:r>
            <w:r>
              <w:rPr>
                <w:b/>
                <w:i/>
              </w:rPr>
              <w:t>jeweilige</w:t>
            </w:r>
            <w:r>
              <w:t xml:space="preserve"> Organ oder die </w:t>
            </w:r>
            <w:r>
              <w:rPr>
                <w:b/>
                <w:i/>
              </w:rPr>
              <w:t>jeweilige</w:t>
            </w:r>
            <w:r>
              <w:t xml:space="preserve"> Einrichtung der Union entscheidet darüber, ob die EU-VS herabgestuft oder freigegeben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38 – Absatz 1 – Unterabsatz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Die praktischen Einzelheiten der Notfallevakuierungs- und Vernichtungspläne werden als </w:t>
            </w:r>
            <w:r>
              <w:rPr>
                <w:b/>
                <w:i/>
              </w:rPr>
              <w:t>„RESTREINT UE/EU RESTRICTED“</w:t>
            </w:r>
            <w:r>
              <w:t xml:space="preserve"> eingestuft.</w:t>
            </w:r>
          </w:p>
        </w:tc>
        <w:tc>
          <w:tcPr>
            <w:tcW w:w="4876" w:type="dxa"/>
          </w:tcPr>
          <w:p>
            <w:pPr>
              <w:pStyle w:val="Normal6a"/>
            </w:pPr>
            <w:r>
              <w:t xml:space="preserve">Die praktischen Einzelheiten der Notfallevakuierungs- und Vernichtungspläne werden als </w:t>
            </w:r>
            <w:r>
              <w:rPr>
                <w:b/>
                <w:i/>
              </w:rPr>
              <w:t>Verschlusssache</w:t>
            </w:r>
            <w:r>
              <w:t xml:space="preserve"> eingestuft.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39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Organe und Einrichtungen der Union entscheiden </w:t>
            </w:r>
            <w:r>
              <w:rPr>
                <w:b/>
                <w:i/>
              </w:rPr>
              <w:t>im Einklang mit ihren Grundsätzen für die Dokumentenverwaltung</w:t>
            </w:r>
            <w:r>
              <w:t>, ob und wann EU-VS zu archivieren sind, und legen die entsprechenden praktischen Maßnahmen dafür fest.</w:t>
            </w:r>
          </w:p>
        </w:tc>
        <w:tc>
          <w:tcPr>
            <w:tcW w:w="4876" w:type="dxa"/>
          </w:tcPr>
          <w:p>
            <w:pPr>
              <w:pStyle w:val="Normal6a"/>
            </w:pPr>
            <w:r>
              <w:t>(1)</w:t>
            </w:r>
            <w:r>
              <w:tab/>
            </w:r>
            <w:r>
              <w:t xml:space="preserve">Die Organe und Einrichtungen der Union entscheiden, ob und wann EU-VS zu archivieren sind, und legen die entsprechenden </w:t>
            </w:r>
            <w:r>
              <w:rPr>
                <w:b/>
                <w:i/>
              </w:rPr>
              <w:t>einheitlichen</w:t>
            </w:r>
            <w:r>
              <w:t xml:space="preserve"> praktischen Maßnahmen dafür fest.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39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EU-VS dürfen nicht an das Historische Archiv der Europäischen Union übermittelt werden.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39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39a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Streitigkeiten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Bei Zweifeln bezüglich des geschützten Charakters einer Information oder des angemessenen Geheimhaltungsgrads konsultieren die Organe und Einrichtungen der Union einander unverzüglich, bevor die Information übermittelt wird.</w:t>
            </w:r>
            <w:r>
              <w:t xml:space="preserve"> </w:t>
            </w:r>
            <w:r>
              <w:rPr>
                <w:b/>
                <w:i/>
              </w:rPr>
              <w:t>Bei Nichteinigung werden die Präsidenten der Organe oder Einrichtungen mit der Angelegenheit befasst, damit sie eine Lösung herbeiführen können.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Wurde bis zum Abschluss des in Absatz 1 genannten Verfahrens keine Einigung erzielt, so wird die Ablehnung der Überprüfung des geschützten Charakters der Information oder ihres angemessenen Geheimhaltungsgrads gemäß Artikel 263 AEUV auf ihre Rechtmäßigkeit überprüft.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40 – Absatz 1 – Buchstabe c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Überwachung der Einhaltung der einschlägigen Bestimmungen dieser Verordnung sowie der von der Koordinierungsgruppe angenommenen Leitlinien durch die Organe und Einrichtungen der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41 – Absatz 1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für die Gestaltung eines Kommunikations- und Informationssystems, in dem EU-VS bearbeitet und gespeichert werden, sind </w:t>
            </w:r>
            <w:r>
              <w:rPr>
                <w:b/>
                <w:i/>
              </w:rPr>
              <w:t>zentrale</w:t>
            </w:r>
            <w:r>
              <w:t xml:space="preserve"> Sicherheitsgrundsätze zu beachten, die ab Beginn des Projekts und als Teil des Informationssicherheitsrisiko-Managementprozesses gelten, darunter der Grundsatz „Kenntnis nur, wenn nötig“, Mindestfunktionalitäten, ein gestaffeltes Sicherheitskonzept, das Prinzip der minimalen Berechtigung, der Grundsatz der Aufgabentrennung und das Vier-Augen-Prinzip;</w:t>
            </w:r>
          </w:p>
        </w:tc>
        <w:tc>
          <w:tcPr>
            <w:tcW w:w="4876" w:type="dxa"/>
          </w:tcPr>
          <w:p>
            <w:pPr>
              <w:pStyle w:val="Normal6a"/>
            </w:pPr>
            <w:r>
              <w:t>b)</w:t>
            </w:r>
            <w:r>
              <w:tab/>
            </w:r>
            <w:r>
              <w:t xml:space="preserve">für die Gestaltung eines Kommunikations- und Informationssystems, in dem EU-VS bearbeitet und gespeichert werden, sind </w:t>
            </w:r>
            <w:r>
              <w:rPr>
                <w:b/>
                <w:i/>
              </w:rPr>
              <w:t>wesentliche</w:t>
            </w:r>
            <w:r>
              <w:t xml:space="preserve"> Sicherheitsgrundsätze zu beachten, die ab Beginn des Projekts und als Teil des Informationssicherheitsrisiko-Managementprozesses gelten, darunter der Grundsatz „Kenntnis nur, wenn nötig“, Mindestfunktionalitäten, ein gestaffeltes Sicherheitskonzept, das Prinzip der minimalen Berechtigung, der Grundsatz der Aufgabentrennung und das Vier-Augen-Prinzip;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41 – Absatz 1 – Buchstabe f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der Systemeigner oder die für den Betrieb zuständige Informationssicherungsstelle stellen sicher, dass ein Verfahren zur Ermittlung und Meldung von Schwachstellen vorhanden ist;</w:t>
            </w:r>
            <w:r>
              <w:t xml:space="preserve"> </w:t>
            </w:r>
            <w:r>
              <w:rPr>
                <w:b/>
                <w:i/>
              </w:rPr>
              <w:t>dieses Verfahren wird durch regelmäßige Prüfungen und gegebenenfalls durch Penetrationstests ergänzt.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42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Für alle als EU-VS eingestuften Informationen und Materialien wird vom Rat auf der Grundlage von Beiträgen der nationalen Sicherheitsbehörden eine Liste der zugelassenen kryptografischen Produkte geführt.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42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Für als RESTREINT UE/EU RESTRICTED eingestufte Informationen und Materialien erstellt die ENISA/CERT-EU innerhalb von 18 Monaten nach Veröffentlichung der Verordnung im Amtsblatt der Europäischen Union eine Liste zusätzlicher zugelassener kryptografischer Produkte.</w:t>
            </w:r>
            <w:r>
              <w:t xml:space="preserve"> </w:t>
            </w:r>
            <w:r>
              <w:rPr>
                <w:b/>
                <w:i/>
              </w:rPr>
              <w:t>Die Liste sollte jährlich überprüft werden, um sie entsprechend den technologischen Entwicklungen und den Marktentwicklungen zu aktualisieren.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42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Die Koordinierungsgruppe unterrichtet den Rat jährlich über alle kryptografischen Produkte, die sie auf der Grundlage einer in den Organen und Einrichtungen der Union durchgeführten Erhebung zur Bewertung durch eine Krypto-Zulassungsstelle eines Mitgliedstaats empfiehlt.</w:t>
            </w:r>
          </w:p>
        </w:tc>
        <w:tc>
          <w:tcPr>
            <w:tcW w:w="4876" w:type="dxa"/>
          </w:tcPr>
          <w:p>
            <w:pPr>
              <w:pStyle w:val="Normal6a"/>
            </w:pPr>
            <w:r>
              <w:t>(5)</w:t>
            </w:r>
            <w:r>
              <w:tab/>
            </w:r>
            <w:r>
              <w:t xml:space="preserve">Die Koordinierungsgruppe unterrichtet den Rat jährlich über alle kryptografischen Produkte, die sie auf der Grundlage einer in den Organen und Einrichtungen der Union durchgeführten Erhebung zur Bewertung durch eine Krypto-Zulassungsstelle eines Mitgliedstaats </w:t>
            </w:r>
            <w:r>
              <w:rPr>
                <w:b/>
                <w:i/>
              </w:rPr>
              <w:t>oder die ENISA/CERT-EU</w:t>
            </w:r>
            <w:r>
              <w:t xml:space="preserve"> empfiehlt.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51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Alle Organe und Einrichtungen der Union </w:t>
            </w:r>
            <w:r>
              <w:rPr>
                <w:b/>
                <w:i/>
              </w:rPr>
              <w:t>können</w:t>
            </w:r>
            <w:r>
              <w:t xml:space="preserve"> unter den in Artikel 54 festgelegten Bedingungen EU-VS an andere Organe oder Einrichtungen der Union </w:t>
            </w:r>
            <w:r>
              <w:rPr>
                <w:b/>
                <w:i/>
              </w:rPr>
              <w:t>weitergeben</w:t>
            </w:r>
            <w:r>
              <w:t>.</w:t>
            </w:r>
          </w:p>
        </w:tc>
        <w:tc>
          <w:tcPr>
            <w:tcW w:w="4876" w:type="dxa"/>
          </w:tcPr>
          <w:p>
            <w:pPr>
              <w:pStyle w:val="Normal6a"/>
            </w:pPr>
            <w:r>
              <w:t>(1)</w:t>
            </w:r>
            <w:r>
              <w:tab/>
            </w:r>
            <w:r>
              <w:t xml:space="preserve">Alle Organe und Einrichtungen der Union </w:t>
            </w:r>
            <w:r>
              <w:rPr>
                <w:b/>
                <w:i/>
              </w:rPr>
              <w:t>geben</w:t>
            </w:r>
            <w:r>
              <w:t xml:space="preserve"> unter den in Artikel 54 festgelegten Bedingungen EU-VS an andere Organe oder Einrichtungen der Union </w:t>
            </w:r>
            <w:r>
              <w:rPr>
                <w:b/>
                <w:i/>
              </w:rPr>
              <w:t>weiter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52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Die Untergruppe für die Weitergabe von EU-VS und den Austausch von Verschlusssachen setzt sich aus Vertretern der Kommission, des Rates und des Europäischen Auswärtigen Dienstes zusammen und arbeitet einvernehmlich.</w:t>
            </w:r>
          </w:p>
        </w:tc>
        <w:tc>
          <w:tcPr>
            <w:tcW w:w="4876" w:type="dxa"/>
          </w:tcPr>
          <w:p>
            <w:pPr>
              <w:pStyle w:val="Normal6a"/>
            </w:pPr>
            <w:r>
              <w:t>(2)</w:t>
            </w:r>
            <w:r>
              <w:tab/>
            </w:r>
            <w:r>
              <w:t xml:space="preserve">Die Untergruppe für die Weitergabe von EU-VS und den Austausch von Verschlusssachen setzt sich aus Vertretern </w:t>
            </w:r>
            <w:r>
              <w:rPr>
                <w:b/>
                <w:i/>
              </w:rPr>
              <w:t>des Europäischen Parlaments,</w:t>
            </w:r>
            <w:r>
              <w:t xml:space="preserve"> der Kommission, des Rates und des Europäischen Auswärtigen Dienstes zusammen und arbeitet einvernehmlich. </w:t>
            </w:r>
            <w:r>
              <w:rPr>
                <w:b/>
                <w:i/>
              </w:rPr>
              <w:t>Diese Untergruppe bemüht sich um ein ausgewogenes Verhältnis zwischen der Notwendigkeit des Schutzes von EU-VS und der Verordnung (EG) Nr. 1049/2001 und stellt sicher, dass die Einstufung als Verschlusssache selbst der Offenlegung nicht entgegensteht.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52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Die Untergruppe für die Weitergabe von EU-VS und den Austausch von Verschlusssachen setzt sich aus Vertretern der Kommission, des Rates und des Europäischen Auswärtigen Dienstes zusammen und arbeitet einvernehmlich.</w:t>
            </w:r>
          </w:p>
        </w:tc>
        <w:tc>
          <w:tcPr>
            <w:tcW w:w="4876" w:type="dxa"/>
          </w:tcPr>
          <w:p>
            <w:pPr>
              <w:pStyle w:val="Normal6a"/>
            </w:pPr>
            <w:r>
              <w:t>(2)</w:t>
            </w:r>
            <w:r>
              <w:tab/>
            </w:r>
            <w:r>
              <w:t xml:space="preserve">Die Untergruppe für die Weitergabe von EU-VS und den Austausch von Verschlusssachen setzt sich aus Vertretern </w:t>
            </w:r>
            <w:r>
              <w:rPr>
                <w:b/>
                <w:i/>
              </w:rPr>
              <w:t>des Europäischen Parlaments,</w:t>
            </w:r>
            <w:r>
              <w:t xml:space="preserve"> der Kommission, des Rates und des Europäischen Auswärtigen Dienstes zusammen und arbeitet einvernehmlich.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52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Die Untergruppe für die Weitergabe von EU-VS und den Austausch von Verschlusssachen setzt sich aus Vertretern der Kommission, des Rates und des Europäischen Auswärtigen Dienstes zusammen und arbeitet einvernehmlich.</w:t>
            </w:r>
          </w:p>
        </w:tc>
        <w:tc>
          <w:tcPr>
            <w:tcW w:w="4876" w:type="dxa"/>
          </w:tcPr>
          <w:p>
            <w:pPr>
              <w:pStyle w:val="Normal6a"/>
            </w:pPr>
            <w:r>
              <w:t>(2)</w:t>
            </w:r>
            <w:r>
              <w:tab/>
            </w:r>
            <w:r>
              <w:t xml:space="preserve">Die Untergruppe für die Weitergabe von EU-VS und den Austausch von Verschlusssachen setzt sich aus Vertretern </w:t>
            </w:r>
            <w:r>
              <w:rPr>
                <w:b/>
                <w:i/>
              </w:rPr>
              <w:t>des Europäischen Parlaments,</w:t>
            </w:r>
            <w:r>
              <w:t xml:space="preserve"> der Kommission, des Rates und des Europäischen Auswärtigen Dienstes zusammen und arbeitet einvernehmlich.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54 – Absatz 1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rPr>
                <w:b/>
                <w:i/>
              </w:rPr>
              <w:t>die Weitergabe ist nachweislich erforderlich;</w:t>
            </w:r>
          </w:p>
        </w:tc>
        <w:tc>
          <w:tcPr>
            <w:tcW w:w="4876" w:type="dxa"/>
          </w:tcPr>
          <w:p>
            <w:pPr>
              <w:pStyle w:val="Normal6a"/>
            </w:pPr>
            <w:r>
              <w:t>a)</w:t>
            </w:r>
            <w:r>
              <w:tab/>
            </w:r>
            <w:r>
              <w:rPr>
                <w:b/>
                <w:i/>
              </w:rPr>
              <w:t>aufgrund des Unionsrechts oder einer zwischen den Organen der Union geschlossenen Vereinbarung besteht eine rechtliche Verpflichtung</w:t>
            </w:r>
            <w:r>
              <w:rPr>
                <w:b/>
                <w:i/>
              </w:rPr>
              <w:t>oder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Weitergabe ist nachweislich erforderlich;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54 – Absatz 1 – Buchstabe a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aufgrund der Verträge, des abgeleiteten Rechts oder einer zwischen den Organen der Union geschlossenen interinstitutionellen Vereinbarung besteht eine rechtliche Verpflichtung;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54 – Absatz 1 – Buchstabe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die Sicherheitsbehörde des betreffenden Organs oder der betreffenden Einrichtung der Union beschließt, dass Verschlusssachen bis zu einem bestimmten Geheimhaltungsgrad an andere zertifizierte Organe und Einrichtungen der Union weitergegeben werden dürfen.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56 – Absatz 1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in dem betreffenden Organ oder der betreffenden Einrichtung der Union muss der Bedarf bestehen, Verschlusssachen, die in der Regel höchstens als </w:t>
            </w:r>
            <w:r>
              <w:rPr>
                <w:b/>
                <w:i/>
              </w:rPr>
              <w:t>RESTREINT UE/EU RESTRICTED</w:t>
            </w:r>
            <w:r>
              <w:t xml:space="preserve"> eingestuft sind, langfristig mit der entsprechenden Stelle in einem Drittstaat oder einer internationalen Organisation auszutauschen;</w:t>
            </w:r>
          </w:p>
        </w:tc>
        <w:tc>
          <w:tcPr>
            <w:tcW w:w="4876" w:type="dxa"/>
          </w:tcPr>
          <w:p>
            <w:pPr>
              <w:pStyle w:val="Normal6a"/>
            </w:pPr>
            <w:r>
              <w:t>a)</w:t>
            </w:r>
            <w:r>
              <w:tab/>
            </w:r>
            <w:r>
              <w:t xml:space="preserve">in dem betreffenden Organ oder der betreffenden Einrichtung der Union muss der Bedarf bestehen, Verschlusssachen, die in der Regel höchstens als </w:t>
            </w:r>
            <w:r>
              <w:rPr>
                <w:b/>
                <w:i/>
              </w:rPr>
              <w:t>CONFIDENTIEL UE/EU CONFIDENTIAL</w:t>
            </w:r>
            <w:r>
              <w:t xml:space="preserve"> eingestuft sind, langfristig mit der entsprechenden Stelle in einem Drittstaat oder einer internationalen Organisation auszutauschen;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60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Alle Organe und Einrichtungen der Union, die infolge einer von der Kommission, dem Rat oder dem EAD vor dem [TT.MM.JJJJ - Datum des Geltungsbeginns] durchgeführten Bewertung als für die Bearbeitung und Aufbewahrung von EU-VS geeignet eingestuft wurden, gelten als Organe und Einrichtungen der Union, die die in Artikel 19 Absatz 1 genannten Bedingungen erfüllen.</w:t>
            </w:r>
          </w:p>
        </w:tc>
        <w:tc>
          <w:tcPr>
            <w:tcW w:w="4876" w:type="dxa"/>
          </w:tcPr>
          <w:p>
            <w:pPr>
              <w:pStyle w:val="Normal6a"/>
            </w:pPr>
            <w:r>
              <w:t>(2)</w:t>
            </w:r>
            <w:r>
              <w:tab/>
            </w:r>
            <w:r>
              <w:t xml:space="preserve">Alle Organe und Einrichtungen der Union, die infolge einer von der Kommission, dem </w:t>
            </w:r>
            <w:r>
              <w:rPr>
                <w:b/>
                <w:i/>
              </w:rPr>
              <w:t>Europäischen Parlament, dem</w:t>
            </w:r>
            <w:r>
              <w:t xml:space="preserve"> Rat oder dem EAD vor dem [TT.MM.JJJJ - Datum des Geltungsbeginns] durchgeführten Bewertung als für die Bearbeitung und Aufbewahrung von EU-VS geeignet eingestuft wurden, gelten als Organe und Einrichtungen der Union, die die in Artikel 19 Absatz 1 genannten Bedingungen erfüllen.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60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Alle Organe und Einrichtungen der Union, die infolge einer </w:t>
            </w:r>
            <w:r>
              <w:rPr>
                <w:b/>
                <w:i/>
              </w:rPr>
              <w:t>von</w:t>
            </w:r>
            <w:r>
              <w:t xml:space="preserve"> der Kommission, dem Rat oder dem EAD vor dem [TT.MM.JJJJ - Datum des Geltungsbeginns] durchgeführten Bewertung als für die Bearbeitung und Aufbewahrung von EU-VS geeignet eingestuft wurden, gelten als Organe und Einrichtungen der Union, die die in Artikel 19 Absatz 1 genannten Bedingungen erfüllen.</w:t>
            </w:r>
          </w:p>
        </w:tc>
        <w:tc>
          <w:tcPr>
            <w:tcW w:w="4876" w:type="dxa"/>
          </w:tcPr>
          <w:p>
            <w:pPr>
              <w:pStyle w:val="Normal6a"/>
            </w:pPr>
            <w:r>
              <w:t>(2)</w:t>
            </w:r>
            <w:r>
              <w:tab/>
            </w:r>
            <w:r>
              <w:t xml:space="preserve">Alle Organe und Einrichtungen der Union, die infolge einer </w:t>
            </w:r>
            <w:r>
              <w:rPr>
                <w:b/>
                <w:i/>
              </w:rPr>
              <w:t>vom Parlament,</w:t>
            </w:r>
            <w:r>
              <w:t xml:space="preserve"> der Kommission, dem Rat oder dem EAD vor dem [TT.MM.JJJJ - Datum des Geltungsbeginns] durchgeführten Bewertung als für die Bearbeitung und Aufbewahrung von EU-VS geeignet eingestuft wurden, gelten als Organe und Einrichtungen der Union, die die in Artikel 19 Absatz 1 genannten Bedingungen erfüllen.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61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Spätestens am [TT/MM/JJJJ - </w:t>
            </w:r>
            <w:r>
              <w:rPr>
                <w:b/>
                <w:i/>
              </w:rPr>
              <w:t>drei</w:t>
            </w:r>
            <w:r>
              <w:t xml:space="preserve"> Jahre nach Geltungsbeginn] legt die Kommission dem Europäischen Parlament und dem Rat einen Bericht über die Durchführung dieser Verordnung vor.</w:t>
            </w:r>
          </w:p>
        </w:tc>
        <w:tc>
          <w:tcPr>
            <w:tcW w:w="4876" w:type="dxa"/>
          </w:tcPr>
          <w:p>
            <w:pPr>
              <w:pStyle w:val="Normal6a"/>
            </w:pPr>
            <w:r>
              <w:t>(1)</w:t>
            </w:r>
            <w:r>
              <w:tab/>
            </w:r>
            <w:r>
              <w:t xml:space="preserve">Spätestens am [TT/MM/JJJJ - </w:t>
            </w:r>
            <w:r>
              <w:rPr>
                <w:b/>
                <w:i/>
              </w:rPr>
              <w:t>zwei</w:t>
            </w:r>
            <w:r>
              <w:t xml:space="preserve"> Jahre nach Geltungsbeginn] legt die Kommission dem Europäischen Parlament und dem Rat einen Bericht über die Durchführung dieser Verordnung 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61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Frühestens [</w:t>
            </w:r>
            <w:r>
              <w:rPr>
                <w:b/>
                <w:i/>
              </w:rPr>
              <w:t>fünf</w:t>
            </w:r>
            <w:r>
              <w:t xml:space="preserve"> Jahre nach Geltungsbeginn] und danach alle fünf Jahre führt die Kommission eine Bewertung dieser Verordnung durch und legt dem Europäischen Parlament und dem Rat einen Bericht über die wichtigsten Ergebnisse vor.</w:t>
            </w:r>
          </w:p>
        </w:tc>
        <w:tc>
          <w:tcPr>
            <w:tcW w:w="4876" w:type="dxa"/>
          </w:tcPr>
          <w:p>
            <w:pPr>
              <w:pStyle w:val="Normal6a"/>
            </w:pPr>
            <w:r>
              <w:t>(2)</w:t>
            </w:r>
            <w:r>
              <w:tab/>
            </w:r>
            <w:r>
              <w:t>Frühestens [</w:t>
            </w:r>
            <w:r>
              <w:rPr>
                <w:b/>
                <w:i/>
              </w:rPr>
              <w:t>drei</w:t>
            </w:r>
            <w:r>
              <w:t xml:space="preserve"> Jahre nach Geltungsbeginn] und danach alle fünf Jahre führt die Kommission eine Bewertung dieser Verordnung durch und legt dem Europäischen Parlament und dem Rat einen Bericht über die wichtigsten Ergebnisse 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 – Nummer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Dokumente, die nicht als Verschlusssache eingestufte vertrauliche Informationen enthalten, müssen mit einer Sicherheitskennzeichnung versehen und gegebenenfalls mit einer oder mehreren Verteilungskennzeichnungen oder Kennzeichnungen, die die Zielgruppe angeben, versehen werden. Die übliche Sicherheitskennzeichnung ist das Wort „</w:t>
            </w:r>
            <w:r>
              <w:rPr>
                <w:b/>
                <w:i/>
              </w:rPr>
              <w:t>SENSITIVE“ (zur vertraulichen Behandlung</w:t>
            </w:r>
            <w:r>
              <w:t>) in Großbuchstaben, außer in den in Artikel 15 Absatz 2 genannten Fällen.</w:t>
            </w:r>
          </w:p>
        </w:tc>
        <w:tc>
          <w:tcPr>
            <w:tcW w:w="4876" w:type="dxa"/>
          </w:tcPr>
          <w:p>
            <w:pPr>
              <w:pStyle w:val="Normal6a"/>
            </w:pPr>
            <w:r>
              <w:t>1.</w:t>
            </w:r>
            <w:r>
              <w:tab/>
            </w:r>
            <w:r>
              <w:t>Dokumente, die nicht als Verschlusssache eingestufte vertrauliche Informationen enthalten, müssen mit einer Sicherheitskennzeichnung versehen und gegebenenfalls mit einer oder mehreren Verteilungskennzeichnungen oder Kennzeichnungen, die die Zielgruppe angeben, versehen werden. Die übliche Sicherheitskennzeichnung ist das Wort „</w:t>
            </w:r>
            <w:r>
              <w:rPr>
                <w:b/>
                <w:i/>
              </w:rPr>
              <w:t>PROTECTED“ (geschützt</w:t>
            </w:r>
            <w:r>
              <w:t>) in Großbuchstaben, außer in den in Artikel 15 Absatz 2 genannten Fällen.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 – Nummer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Mit „</w:t>
            </w:r>
            <w:r>
              <w:rPr>
                <w:b/>
                <w:i/>
              </w:rPr>
              <w:t>SENSITIVE</w:t>
            </w:r>
            <w:r>
              <w:t>“ gekennzeichnete Dokumente werden durch Entfernen oder Durchstreichen der Kennzeichnung auf „EU NORMAL“ oder „PUBLIC USE“ zurückgestuft.</w:t>
            </w:r>
          </w:p>
        </w:tc>
        <w:tc>
          <w:tcPr>
            <w:tcW w:w="4876" w:type="dxa"/>
          </w:tcPr>
          <w:p>
            <w:pPr>
              <w:pStyle w:val="Normal6a"/>
            </w:pPr>
            <w:r>
              <w:t>4.</w:t>
            </w:r>
            <w:r>
              <w:tab/>
            </w:r>
            <w:r>
              <w:t>Mit „</w:t>
            </w:r>
            <w:r>
              <w:rPr>
                <w:b/>
                <w:i/>
              </w:rPr>
              <w:t>PROTECTED</w:t>
            </w:r>
            <w:r>
              <w:t>“ gekennzeichnete Dokumente werden durch Entfernen oder Durchstreichen der Kennzeichnung auf „EU NORMAL“ oder „PUBLIC USE“ zurückgestuft.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 – Begriffsbestimmung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Eine „Sicherheitsermächtigung“ oder „PSC“ (personnel security clearance) ist eine Erklärung </w:t>
            </w:r>
            <w:r>
              <w:rPr>
                <w:b/>
                <w:i/>
              </w:rPr>
              <w:t>einer zuständigen Behörde eines Mitgliedstaats</w:t>
            </w:r>
            <w:r>
              <w:t xml:space="preserve">, die nach Abschluss einer Sicherheitsüberprüfung durch die </w:t>
            </w:r>
            <w:r>
              <w:rPr>
                <w:b/>
                <w:i/>
              </w:rPr>
              <w:t>zuständige Behörde</w:t>
            </w:r>
            <w:r>
              <w:t xml:space="preserve"> abgegeben wird und mit der bescheinigt wird, dass einer Person</w:t>
            </w:r>
            <w:r>
              <w:rPr>
                <w:b/>
                <w:i/>
              </w:rPr>
              <w:t>,</w:t>
            </w:r>
            <w:r>
              <w:t xml:space="preserve"> bis zu einem bestimmten Datum Zugang zu EU-VS bis zu einem bestimmten Geheimhaltungsgrad („CONFIDENTIEL UE/EU CONFIDENTIAL“ oder höher) gewährt werden kann.</w:t>
            </w:r>
          </w:p>
        </w:tc>
        <w:tc>
          <w:tcPr>
            <w:tcW w:w="4876" w:type="dxa"/>
          </w:tcPr>
          <w:p>
            <w:pPr>
              <w:pStyle w:val="Normal6a"/>
            </w:pPr>
            <w:r>
              <w:t>1)</w:t>
            </w:r>
            <w:r>
              <w:tab/>
            </w:r>
            <w:r>
              <w:t xml:space="preserve">Eine „Sicherheitsermächtigung“ oder „PSC“ (personnel security clearance) ist eine Erklärung </w:t>
            </w:r>
            <w:r>
              <w:rPr>
                <w:b/>
                <w:i/>
              </w:rPr>
              <w:t>der Kommission</w:t>
            </w:r>
            <w:r>
              <w:t xml:space="preserve">, die nach Abschluss einer Sicherheitsüberprüfung durch die </w:t>
            </w:r>
            <w:r>
              <w:rPr>
                <w:b/>
                <w:i/>
              </w:rPr>
              <w:t>Kommission in Zusammenarbeit mit den zuständigen Behörden der betreffenden Mitgliedstaaten</w:t>
            </w:r>
            <w:r>
              <w:t xml:space="preserve"> abgegeben wird und mit der bescheinigt wird, dass einer Person bis zu einem bestimmten Datum Zugang zu EU-VS bis zu einem bestimmten Geheimhaltungsgrad („CONFIDENTIEL UE/EU CONFIDENTIAL“ oder höher) gewährt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 – Begriffsbestimmung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Eine „Sicherheitsermächtigungsbescheinigung“ ist eine von </w:t>
            </w:r>
            <w:r>
              <w:rPr>
                <w:b/>
                <w:i/>
              </w:rPr>
              <w:t>einer zuständigen Behörde</w:t>
            </w:r>
            <w:r>
              <w:t xml:space="preserve"> ausgestellte Bescheinigung, in der festgestellt wird, dass eine Person eine Sicherheitsermächtigung oder eine gleichwertige Genehmigung besitzt oder eine Ermächtigung zum Zugang zu EU-VS bis zu einem bestimmten Geheimhaltungsgrad („CONFIDENTIEL UE/EU CONFIDENTIAL“ oder höher) besitzt, und aus der die Gültigkeitsdauer der betreffenden Sicherheitsermächtigung oder Zugangsermächtigung und das Ablaufdatum der Bescheinigung selbst hervorgehen.</w:t>
            </w:r>
          </w:p>
        </w:tc>
        <w:tc>
          <w:tcPr>
            <w:tcW w:w="4876" w:type="dxa"/>
          </w:tcPr>
          <w:p>
            <w:pPr>
              <w:pStyle w:val="Normal6a"/>
            </w:pPr>
            <w:r>
              <w:t>2)</w:t>
            </w:r>
            <w:r>
              <w:tab/>
            </w:r>
            <w:r>
              <w:t xml:space="preserve">Eine „Sicherheitsermächtigungsbescheinigung“ ist eine von </w:t>
            </w:r>
            <w:r>
              <w:rPr>
                <w:b/>
                <w:i/>
              </w:rPr>
              <w:t>der Kommission</w:t>
            </w:r>
            <w:r>
              <w:t xml:space="preserve"> ausgestellte Bescheinigung, in der festgestellt wird, dass eine Person eine Sicherheitsermächtigung oder eine gleichwertige Genehmigung besitzt oder eine Ermächtigung zum Zugang zu EU-VS bis zu einem bestimmten Geheimhaltungsgrad („CONFIDENTIEL UE/EU CONFIDENTIAL“ oder höher) besitzt, und aus der die Gültigkeitsdauer der betreffenden Sicherheitsermächtigung oder Zugangsermächtigung und das Ablaufdatum der Bescheinigung selbst hervorgehen.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 – Nummer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Sicherheitsbehörde des betreffenden Organs oder der betreffenden Einrichtung der Union muss die schriftliche Zustimmung der Person zum Sicherheitsüberprüfungsverfahren einholen, bevor sie den ausgefüllten Fragebogen zur Sicherheitsüberprüfung an die </w:t>
            </w:r>
            <w:r>
              <w:rPr>
                <w:b/>
                <w:i/>
              </w:rPr>
              <w:t>nationale Sicherheitsbehörde des Mitgliedstaats der Staatsangehörigkeit des Antragstellers</w:t>
            </w:r>
            <w:r>
              <w:t xml:space="preserve"> übermittelt.</w:t>
            </w:r>
          </w:p>
        </w:tc>
        <w:tc>
          <w:tcPr>
            <w:tcW w:w="4876" w:type="dxa"/>
          </w:tcPr>
          <w:p>
            <w:pPr>
              <w:pStyle w:val="Normal6a"/>
            </w:pPr>
            <w:r>
              <w:t>1.</w:t>
            </w:r>
            <w:r>
              <w:tab/>
            </w:r>
            <w:r>
              <w:t xml:space="preserve">Die Sicherheitsbehörde des betreffenden Organs oder der betreffenden Einrichtung der Union muss die schriftliche Zustimmung der Person zum Sicherheitsüberprüfungsverfahren einholen, bevor sie den ausgefüllten Fragebogen zur Sicherheitsüberprüfung an die </w:t>
            </w:r>
            <w:r>
              <w:rPr>
                <w:b/>
                <w:i/>
              </w:rPr>
              <w:t>Kommission</w:t>
            </w:r>
            <w:r>
              <w:t xml:space="preserve"> übermittelt.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 – Nummer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Werden einem Organ oder einer Einrichtung der Union sicherheitsrelevante Informationen zu einer Person bekannt, die eine Sicherheitsermächtigung im Hinblick auf den Zugang zu EU-VS beantragt hat, muss die zuständige Sicherheitsbehörde gemäß der vorliegenden Verordnung die </w:t>
            </w:r>
            <w:r>
              <w:rPr>
                <w:b/>
                <w:i/>
              </w:rPr>
              <w:t>betreffende nationale Sicherheitsbehörde</w:t>
            </w:r>
            <w:r>
              <w:t xml:space="preserve"> davon in Kenntnis setzen.</w:t>
            </w:r>
          </w:p>
        </w:tc>
        <w:tc>
          <w:tcPr>
            <w:tcW w:w="4876" w:type="dxa"/>
          </w:tcPr>
          <w:p>
            <w:pPr>
              <w:pStyle w:val="Normal6a"/>
            </w:pPr>
            <w:r>
              <w:t>2.</w:t>
            </w:r>
            <w:r>
              <w:tab/>
            </w:r>
            <w:r>
              <w:t xml:space="preserve">Werden einem Organ oder einer Einrichtung der Union sicherheitsrelevante Informationen zu einer Person bekannt, die eine Sicherheitsermächtigung im Hinblick auf den Zugang zu EU-VS beantragt hat, muss die zuständige Sicherheitsbehörde gemäß der vorliegenden Verordnung die </w:t>
            </w:r>
            <w:r>
              <w:rPr>
                <w:b/>
                <w:i/>
              </w:rPr>
              <w:t>Kommission</w:t>
            </w:r>
            <w:r>
              <w:t xml:space="preserve"> davon in Kenntnis 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 – Nummer 3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Nach der Benachrichtigung durch die </w:t>
            </w:r>
            <w:r>
              <w:rPr>
                <w:b/>
                <w:i/>
              </w:rPr>
              <w:t>zuständige nationale Sicherheitsbehörde</w:t>
            </w:r>
            <w:r>
              <w:t xml:space="preserve"> über die Gesamtauswertung der Erkenntnisse der Sicherheitsüberprüfung verfährt die zuständige Sicherheitsbehörde wie folgt:</w:t>
            </w:r>
          </w:p>
        </w:tc>
        <w:tc>
          <w:tcPr>
            <w:tcW w:w="4876" w:type="dxa"/>
          </w:tcPr>
          <w:p>
            <w:pPr>
              <w:pStyle w:val="Normal6a"/>
            </w:pPr>
            <w:r>
              <w:t>3.</w:t>
            </w:r>
            <w:r>
              <w:tab/>
            </w:r>
            <w:r>
              <w:t xml:space="preserve">Nach der Benachrichtigung durch die </w:t>
            </w:r>
            <w:r>
              <w:rPr>
                <w:b/>
                <w:i/>
              </w:rPr>
              <w:t>Kommission</w:t>
            </w:r>
            <w:r>
              <w:t xml:space="preserve"> über die Gesamtauswertung der Erkenntnisse der Sicherheitsüberprüfung verfährt die zuständige Sicherheitsbehörde wie folgt: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 – Nummer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Nimmt die Person den Dienst nach zwölf oder mehr Monaten nach der Mitteilung des Ergebnisses der Sicherheitsüberprüfung auf oder liegt eine Unterbrechung von zwölf Monaten in der Dienstzeit der Person vor, holt die zuständige Sicherheitsbehörde bei der </w:t>
            </w:r>
            <w:r>
              <w:rPr>
                <w:b/>
                <w:i/>
              </w:rPr>
              <w:t>betreffenden nationalen Sicherheitsbehörde</w:t>
            </w:r>
            <w:r>
              <w:t xml:space="preserve"> eine Bestätigung über die Gültigkeit der Sicherheitsermächtigung ein.</w:t>
            </w:r>
          </w:p>
        </w:tc>
        <w:tc>
          <w:tcPr>
            <w:tcW w:w="4876" w:type="dxa"/>
          </w:tcPr>
          <w:p>
            <w:pPr>
              <w:pStyle w:val="Normal6a"/>
            </w:pPr>
            <w:r>
              <w:t>4.</w:t>
            </w:r>
            <w:r>
              <w:tab/>
            </w:r>
            <w:r>
              <w:t xml:space="preserve">Nimmt die Person den Dienst nach zwölf oder mehr Monaten nach der Mitteilung des Ergebnisses der Sicherheitsüberprüfung auf oder liegt eine Unterbrechung von zwölf Monaten in der Dienstzeit der Person vor, holt die zuständige Sicherheitsbehörde bei der </w:t>
            </w:r>
            <w:r>
              <w:rPr>
                <w:b/>
                <w:i/>
              </w:rPr>
              <w:t>Kommission</w:t>
            </w:r>
            <w:r>
              <w:t xml:space="preserve"> eine Bestätigung über die Gültigkeit der Sicherheitsermächtigung 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 – Nummer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Werden dem betreffenden Organ oder der betreffenden Einrichtung der Union Informationen bekannt, nach denen eine Person, die zum Zugang zu EU-Verschlusssachen ermächtigt ist, ein Sicherheitsrisiko darstellt, muss die Sicherheitsbehörde dieses Organs oder dieser Einrichtung der Union die </w:t>
            </w:r>
            <w:r>
              <w:rPr>
                <w:b/>
                <w:i/>
              </w:rPr>
              <w:t>betreffende nationale Sicherheitsbehörde</w:t>
            </w:r>
            <w:r>
              <w:t xml:space="preserve"> davon in Kenntnis setzen und kann den Zugang der Person zu EU-VS aussetzen oder die Ermächtigung zum Zugang zu EU-VS zurücknehmen.</w:t>
            </w:r>
          </w:p>
        </w:tc>
        <w:tc>
          <w:tcPr>
            <w:tcW w:w="4876" w:type="dxa"/>
          </w:tcPr>
          <w:p>
            <w:pPr>
              <w:pStyle w:val="Normal6a"/>
            </w:pPr>
            <w:r>
              <w:t>5.</w:t>
            </w:r>
            <w:r>
              <w:tab/>
            </w:r>
            <w:r>
              <w:t xml:space="preserve">Werden dem betreffenden Organ oder der betreffenden Einrichtung der Union Informationen bekannt, nach denen eine Person, die zum Zugang zu EU-Verschlusssachen ermächtigt ist, ein Sicherheitsrisiko darstellt, muss die Sicherheitsbehörde dieses Organs oder dieser Einrichtung der Union die </w:t>
            </w:r>
            <w:r>
              <w:rPr>
                <w:b/>
                <w:i/>
              </w:rPr>
              <w:t>Kommission</w:t>
            </w:r>
            <w:r>
              <w:t xml:space="preserve"> davon in Kenntnis setzen und kann den Zugang der Person zu EU-VS aussetzen oder die Ermächtigung zum Zugang zu EU-VS zurücknehmen.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 – Nummer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Teilt </w:t>
            </w:r>
            <w:r>
              <w:rPr>
                <w:b/>
                <w:i/>
              </w:rPr>
              <w:t>eine nationale Sicherheitsbehörde</w:t>
            </w:r>
            <w:r>
              <w:t xml:space="preserve"> dem betreffenden Organ oder der betreffenden Einrichtung der Union mit, dass eine Feststellung in Bezug auf eine Person, die Zugang zu EU-VS hat, zurückgenommen wurde, muss die Sicherheitsbehörde dieses Organs oder dieser Einrichtung der Union ihre Sicherheitsermächtigung zurücknehmen und die Person gemäß ihren einschlägigen internen Vorschriften vom Zugang zu EU-VS ausschließen.</w:t>
            </w:r>
          </w:p>
        </w:tc>
        <w:tc>
          <w:tcPr>
            <w:tcW w:w="4876" w:type="dxa"/>
          </w:tcPr>
          <w:p>
            <w:pPr>
              <w:pStyle w:val="Normal6a"/>
            </w:pPr>
            <w:r>
              <w:t>6.</w:t>
            </w:r>
            <w:r>
              <w:tab/>
            </w:r>
            <w:r>
              <w:t xml:space="preserve">Teilt </w:t>
            </w:r>
            <w:r>
              <w:rPr>
                <w:b/>
                <w:i/>
              </w:rPr>
              <w:t>die Kommission</w:t>
            </w:r>
            <w:r>
              <w:t xml:space="preserve"> dem betreffenden Organ oder der betreffenden Einrichtung der Union mit, dass eine Feststellung in Bezug auf eine Person, die Zugang zu EU-VS hat, zurückgenommen wurde, muss die Sicherheitsbehörde dieses Organs oder dieser Einrichtung der Union ihre Sicherheitsermächtigung zurücknehmen und die Person gemäß ihren einschlägigen internen Vorschriften vom Zugang zu EU-VS ausschließen.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 – Nummer 8 – Unterabsatz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Die Sicherheitsbehörde des betreffenden Organs oder der betreffenden Einrichtung der Union kann die Gültigkeit der Ermächtigung zum Zugang zu EU-VS um bis zu zwölf Monate verlängern, sofern sie von der </w:t>
            </w:r>
            <w:r>
              <w:rPr>
                <w:b/>
                <w:i/>
              </w:rPr>
              <w:t>betreffenden nationalen Sicherheitsbehörde oder einer sonstigen zuständigen nationalen Behörde</w:t>
            </w:r>
            <w:r>
              <w:t xml:space="preserve"> binnen zwei Monaten ab dem Datum der Übermittlung des Erneuerungsantrags und des entsprechenden Sicherheitsfragebogens keine nachteiligen Informationen erhält.</w:t>
            </w:r>
          </w:p>
        </w:tc>
        <w:tc>
          <w:tcPr>
            <w:tcW w:w="4876" w:type="dxa"/>
          </w:tcPr>
          <w:p>
            <w:pPr>
              <w:pStyle w:val="Normal6a"/>
            </w:pPr>
            <w:r>
              <w:t xml:space="preserve">Die Sicherheitsbehörde des betreffenden Organs oder der betreffenden Einrichtung der Union kann die Gültigkeit der Ermächtigung zum Zugang zu EU-VS um bis zu zwölf Monate verlängern, sofern sie von der </w:t>
            </w:r>
            <w:r>
              <w:rPr>
                <w:b/>
                <w:i/>
              </w:rPr>
              <w:t>Kommission</w:t>
            </w:r>
            <w:r>
              <w:t xml:space="preserve"> binnen zwei Monaten ab dem Datum der Übermittlung des Erneuerungsantrags und des entsprechenden Sicherheitsfragebogens keine nachteiligen Informationen erhält.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 – Nummer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Die Sicherheitsbehörde des Organs oder der Einrichtung der Union kann ausnahmsweise eine befristete Ermächtigung zum Zugang zu EU-VS erteilen, sofern die </w:t>
            </w:r>
            <w:r>
              <w:rPr>
                <w:b/>
                <w:i/>
              </w:rPr>
              <w:t>zuständige nationale Sicherheitsbehörde</w:t>
            </w:r>
            <w:r>
              <w:t xml:space="preserve"> auf der Grundlage des ausgefüllten und übermittelten Sicherheitsfragebogens eine Vorabkontrolle durchgeführt hat, um sich zu vergewissern, dass keine relevanten nachteiligen Informationen bekannt sind.</w:t>
            </w:r>
          </w:p>
        </w:tc>
        <w:tc>
          <w:tcPr>
            <w:tcW w:w="4876" w:type="dxa"/>
          </w:tcPr>
          <w:p>
            <w:pPr>
              <w:pStyle w:val="Normal6a"/>
            </w:pPr>
            <w:r>
              <w:t>10.</w:t>
            </w:r>
            <w:r>
              <w:tab/>
            </w:r>
            <w:r>
              <w:t xml:space="preserve">Die Sicherheitsbehörde des Organs oder der Einrichtung der Union kann ausnahmsweise eine befristete Ermächtigung zum Zugang zu EU-VS erteilen, sofern die </w:t>
            </w:r>
            <w:r>
              <w:rPr>
                <w:b/>
                <w:i/>
              </w:rPr>
              <w:t>Kommission</w:t>
            </w:r>
            <w:r>
              <w:t xml:space="preserve"> auf der Grundlage des ausgefüllten und übermittelten Sicherheitsfragebogens eine Vorabkontrolle durchgeführt hat, um sich zu vergewissern, dass keine relevanten nachteiligen Informationen bekannt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 – Nummer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Alle Organe und Einrichtungen der Union müssen sicherstellen, dass abgeordnete nationale Sachverständige, die bei ihnen einen Dienstposten bekleiden sollen, der eine Sicherheitsermächtigung voraussetzt, der zuständigen Sicherheitsbehörde im Einklang mit den innerstaatlichen Rechts- und Verwaltungsvorschriften vor Dienstantritt eine gültige </w:t>
            </w:r>
            <w:r>
              <w:rPr>
                <w:b/>
                <w:i/>
              </w:rPr>
              <w:t>Sicherheitsermächtigung oder eine Sicherheitsermächtigungsbescheinigung</w:t>
            </w:r>
            <w:r>
              <w:t xml:space="preserve"> vorlegen. Sofern die in Artikel 23 Absatz 1 genannten Anforderungen erfüllt sind, kann die Sicherheitsbehörde der betreffenden Person eine Ermächtigung zum Zugang zu EU-VS erteilen, die bis zu dem Geheimhaltungsgrad der nationalen Sicherheitsermächtigung gilt und höchstens für die Dauer der Abordnung gültig ist.</w:t>
            </w:r>
          </w:p>
        </w:tc>
        <w:tc>
          <w:tcPr>
            <w:tcW w:w="4876" w:type="dxa"/>
          </w:tcPr>
          <w:p>
            <w:pPr>
              <w:pStyle w:val="Normal6a"/>
            </w:pPr>
            <w:r>
              <w:t>13.</w:t>
            </w:r>
            <w:r>
              <w:tab/>
            </w:r>
            <w:r>
              <w:t xml:space="preserve">Alle Organe und Einrichtungen der Union müssen sicherstellen, dass abgeordnete nationale Sachverständige, die bei ihnen einen Dienstposten bekleiden sollen, der eine Sicherheitsermächtigung voraussetzt, der zuständigen Sicherheitsbehörde im Einklang mit den innerstaatlichen Rechts- und Verwaltungsvorschriften vor Dienstantritt eine gültige </w:t>
            </w:r>
            <w:r>
              <w:rPr>
                <w:b/>
                <w:i/>
              </w:rPr>
              <w:t>nationale Sicherheitsermächtigung</w:t>
            </w:r>
            <w:r>
              <w:t xml:space="preserve"> vorlegen. Sofern die in Artikel 23 Absatz 1 genannten Anforderungen erfüllt sind, kann die Sicherheitsbehörde der betreffenden Person eine Ermächtigung zum Zugang zu EU-VS erteilen, die bis zu dem Geheimhaltungsgrad der nationalen Sicherheitsermächtigung gilt und höchstens für die Dauer der Abordnung gültig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III – Nummer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8.</w:t>
            </w:r>
            <w:r>
              <w:tab/>
            </w:r>
            <w:r>
              <w:rPr>
                <w:b/>
                <w:i/>
              </w:rPr>
              <w:t>EU-VS des Geheimhaltungsgrads „RESTREINT UE/EU RESTRICTED“ dürfen nur in einem der folgenden Bereiche bearbeitet und aufbewahrt werden:</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in einem Sicherheitsbereich,</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in einem Verwaltungsbereich, sofern die EU-VS vor dem Zugang unbefugter Personen geschützt werden,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außerhalb eines Sicherheitsbereichs oder eines Verwaltungsbereichs, sofern der Besitzer sich verpflichtet hat, die von der Sicherheitsbehörde der jeweiligen Organe und Einrichtungen der Union beschlossenen besonderen Maßnahmen einzuhalten.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III – Nummer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rPr>
                <w:b/>
                <w:i/>
              </w:rPr>
              <w:t>EU-VS des Geheimhaltungsgrads „RESTREINT UE/EU RESTRICTED“ müssen in geeigneten, verschließbaren Büromöbeln in einem Verwaltungsbereich oder einem Sicherheitsbereich aufbewahrt werden.</w:t>
            </w:r>
            <w:r>
              <w:t xml:space="preserve"> </w:t>
            </w:r>
            <w:r>
              <w:rPr>
                <w:b/>
                <w:i/>
              </w:rPr>
              <w:t>Sie können zeitweilig außerhalb eines Verwaltungsbereichs oder eines Sicherheitsbereichs aufbewahrt werden, sofern der Besitzer sich verpflichtet hat, die betreffenden Dokumente in geeigneten verschließbaren Büromöbeln aufzubewahren, wenn sie nicht gelesen oder erörtert werden.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III – Nummer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10.</w:t>
            </w:r>
            <w:r>
              <w:tab/>
            </w:r>
            <w:r>
              <w:rPr>
                <w:b/>
                <w:i/>
              </w:rPr>
              <w:t>Die Organe und Einrichtungen der Union dürfen Verschlusssachen des Geheimhaltungsgrads „RESTREINT UE/EU RESTRICTED“ außerhalb ihrer Standorte bearbeiten und aufbewahren, sofern die betreffenden Verschlusssachen angemessen geschützt sind.</w:t>
            </w:r>
            <w:r>
              <w:t xml:space="preserve"> </w:t>
            </w:r>
            <w:r>
              <w:rPr>
                <w:b/>
                <w:i/>
              </w:rPr>
              <w:t>Dabei müssen die Organe und Einrichtungen der Union die in Nummer 8 Buchstabe c vorgesehenen Maßnahmen einhalten.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IV – Nummer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Verschlusssachen des </w:t>
            </w:r>
            <w:r>
              <w:rPr>
                <w:b/>
                <w:i/>
              </w:rPr>
              <w:t>Geheimhaltungsgrads „RESTREINT UE/EU RESTRICTED“ müssen in einer mindestens einlagigen blickdichten Verpackung, wie z. B. Umschlägen, blickdichten Mappen oder einer Aktentasche befördert werden. Verschlusssachen des</w:t>
            </w:r>
            <w:r>
              <w:t xml:space="preserve"> Geheimhaltungsgrades „CONFIDENTIEL UE/EU CONFIDENTIAL“ oder höher müssen in zwei blickdichten Verpackungsschichten befördert werden.</w:t>
            </w:r>
          </w:p>
        </w:tc>
        <w:tc>
          <w:tcPr>
            <w:tcW w:w="4876" w:type="dxa"/>
          </w:tcPr>
          <w:p>
            <w:pPr>
              <w:pStyle w:val="Normal6a"/>
            </w:pPr>
            <w:r>
              <w:t>8.</w:t>
            </w:r>
            <w:r>
              <w:tab/>
            </w:r>
            <w:r>
              <w:t>Verschlusssachen des Geheimhaltungsgrades „CONFIDENTIEL UE/EU CONFIDENTIAL“ oder höher müssen in zwei blickdichten Verpackungsschichten befördert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IV – Nummer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Kommerzielle Kurierdienste dürfen Verschlusssachen </w:t>
            </w:r>
            <w:r>
              <w:rPr>
                <w:b/>
                <w:i/>
              </w:rPr>
              <w:t>der Geheimhaltungsgrade „RESTREINT UE/EU RESTRICTED“ und</w:t>
            </w:r>
            <w:r>
              <w:t xml:space="preserve"> „CONFIDENTIEL UE/EU CONFIDENTIAL“ innerhalb eines Mitgliedstaats und von einem Mitgliedstaat in einen anderen befördern. Kommerzielle Kurierdienste dürfen Verschlusssachen des Geheimhaltungsgrades „SECRET UE/EU SECRET“ nur innerhalb eines Mitgliedstaats und unter der Voraussetzung zustellen, dass sie von der zuständigen nationalen Sicherheitsbehörde zugelassen sind. EU-VS des Geheimhaltungsgrades „TRES SECRET UE/EU TOP SECRET“ dürfen einem kommerziellen Kurierdienst nicht anvertraut werden.</w:t>
            </w:r>
          </w:p>
        </w:tc>
        <w:tc>
          <w:tcPr>
            <w:tcW w:w="4876" w:type="dxa"/>
          </w:tcPr>
          <w:p>
            <w:pPr>
              <w:pStyle w:val="Normal6a"/>
            </w:pPr>
            <w:r>
              <w:t>10.</w:t>
            </w:r>
            <w:r>
              <w:tab/>
            </w:r>
            <w:r>
              <w:t xml:space="preserve">Kommerzielle Kurierdienste dürfen Verschlusssachen </w:t>
            </w:r>
            <w:r>
              <w:rPr>
                <w:b/>
                <w:i/>
              </w:rPr>
              <w:t>des Geheimhaltungsgrades</w:t>
            </w:r>
            <w:r>
              <w:t xml:space="preserve"> „CONFIDENTIEL UE/EU CONFIDENTIAL“ innerhalb eines Mitgliedstaats und von einem Mitgliedstaat in einen anderen befördern. Kommerzielle Kurierdienste dürfen Verschlusssachen des Geheimhaltungsgrades „SECRET UE/EU SECRET“ nur innerhalb eines Mitgliedstaats und unter der Voraussetzung zustellen, dass sie von der zuständigen nationalen Sicherheitsbehörde zugelassen sind. EU-VS des Geheimhaltungsgrades „TRES SECRET UE/EU TOP SECRET“ dürfen einem kommerziellen Kurierdienst nicht anvertraut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V – Nummer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18.</w:t>
            </w:r>
            <w:r>
              <w:tab/>
            </w:r>
            <w:r>
              <w:rPr>
                <w:b/>
                <w:i/>
              </w:rPr>
              <w:t>Verlangt ein Mitgliedstaat nach seinen innerstaatlichen Rechtsvorschriften für Aufträge, Finanzhilfevereinbarungen oder Unteraufträge des Geheimhaltungsgrads „RESTREINT UE/EU RESTRICTED“ einen Sicherheitsbescheid für Unternehmen oder eine Sicherheitsermächtigung der Mitarbeiter, so dürfen die Organe und Einrichtungen der Union als öffentliche Auftraggeber bzw. Vergabebehörden diese innerstaatlichen Anforderungen nicht dazu nutzen, anderen Mitgliedstaaten zusätzliche Verpflichtungen aufzuerlegen oder Bieter, Antragsteller, Auftragnehmer, Finanzhilfeempfänger oder Unterauftragnehmer aus Mitgliedstaaten, die keine derartigen Anforderungen an einen Sicherheitsbescheid für Unternehmen oder eine Sicherheitsermächtigung für den Zugang zu Verschlusssachen des Geheimhaltungsgrads „RESTREINT UE/EU RESTRICTED“ haben, von den entsprechenden Aufträgen, Finanzhilfevereinbarungen oder Unteraufträgen oder von den entsprechenden Vergabeverfahren auszuschließen.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V – Nummer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22.</w:t>
            </w:r>
            <w:r>
              <w:tab/>
            </w:r>
            <w:r>
              <w:rPr>
                <w:b/>
                <w:i/>
              </w:rPr>
              <w:t>Besuche, die mit einem Zugang zu Verschlusssachen des Geheimhaltungsgrads „RESTREINT UE/EU RESTRICTED“ einhergehen, müssen unmittelbar zwischen der entsendenden und der empfangenden Einrichtung vereinbart werden.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V – Nummer 24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24.</w:t>
            </w:r>
            <w:r>
              <w:tab/>
            </w:r>
            <w:r>
              <w:rPr>
                <w:b/>
                <w:i/>
              </w:rPr>
              <w:t>Die Sicherheitsakkreditierung des Kommunikations- und Informationssystems des Auftragnehmers oder Finanzhilfeempfängers, mit dem EU-VS des Geheimhaltungsgrads „RESTREINT UE/EU RESTRICTED“ bearbeitet werden sollen, und jede Zusammenschaltung dieses Systems mit anderen Systemen kann dem Sicherheitsbeauftragten des Auftragnehmers oder Finanzhilfeempfängers übertragen werden, wenn dies nach den innerstaatlichen Rechtsvorschriften zulässig ist.</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Im Fall einer Übertragung dieser Aufgabe ist der Auftragnehmer oder Finanzhilfeempfänger für die Umsetzung der in der Geheimschutzklausel beschriebenen Sicherheitsanforderungen verantwortlich, wenn er Verschlusssachen des Geheimhaltungsgrads „RESTREINT UE/EU RESTRICTED“ in seinem Kommunikations- und Informationssystem bearbeitet. Die betreffenden nationalen Sicherheitsbehörden oder beauftragten Sicherheitsbehörden und Sicherheitsakkreditierungsstellen sind weiterhin für den Schutz von Verschlusssachen des Geheimhaltungsgrads „RESTREINT UE/EU RESTRICTED“, die vom Auftragnehmer oder Finanzhilfeempfänger bearbeitet oder gespeichert werden, verantwortlich sowie berechtigt, die vom Auftragnehmer oder Finanzhilfeempfänger ergriffenen Sicherheitsmaßnahmen zu kontrollieren.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Darüber hinaus muss der Auftragnehmer oder Finanzhilfeempfänger dem Organ oder der Einrichtung der Union in der Funktion als öffentlicher Auftraggeber bzw. Vergabebehörde und, sofern dies aufgrund der innerstaatlichen Rechtsvorschriften vorgeschrieben ist, der zuständigen nationalen Sicherheitsakkreditierungsstelle eine Konformitätserklärung vorlegen, mit der bescheinigt wird, dass das Kommunikations- und Informationssystem des Auftragnehmers oder Finanzhilfeempfängers sowie damit verbundene Zusammenschaltungen für die Bearbeitung und Speicherung von EU-VS des Geheimhaltungsgrads „RESTREINT UE/EU RESTRICTED“ zugelassen wurden.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V – Nummer 26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26.</w:t>
            </w:r>
            <w:r>
              <w:tab/>
            </w:r>
            <w:r>
              <w:rPr>
                <w:b/>
                <w:i/>
              </w:rPr>
              <w:t>Verschlusssachen des Geheimhaltungsgrads „RESTREINT UE/EU RESTRICTED“ dürfen von Mitarbeitern des Auftragnehmers oder Finanzhilfeempfängers innerhalb der Union als Handgepäck mitgeführt werden, sofern die folgenden Anforderungen erfüllt sind:</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Der verwendete Umschlag bzw. die verwendete Verpackung ist blickdicht und enthält keinerlei Hinweis auf die Einstufung des Inhalts.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Die Verschlusssachen verbleiben ununterbrochen im Besitz des Überbringers.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Der Umschlag bzw. die Verpackung wird erst am endgültigen Bestimmungsort geöffnet.</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752.883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76</w:t>
    </w:r>
    <w:r>
      <w:fldChar w:fldCharType="end"/>
    </w:r>
    <w:r>
      <w:t>/</w:t>
    </w:r>
    <w:r>
      <w:fldChar w:fldCharType="begin"/>
    </w:r>
    <w:r>
      <w:instrText xml:space="preserve"> NUMPAGES </w:instrText>
    </w:r>
    <w:r>
      <w:fldChar w:fldCharType="separate"/>
    </w:r>
    <w:r>
      <w:t>76</w:t>
    </w:r>
    <w:r>
      <w:fldChar w:fldCharType="end"/>
    </w:r>
    <w:r>
      <w:tab/>
    </w:r>
    <w:r>
      <w:rPr>
        <w:rStyle w:val="HideTWBExt"/>
      </w:rPr>
      <w:t>&lt;PathFdR&gt;</w:t>
    </w:r>
    <w:r>
      <w:t>AM\1285361DE.docx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AM\1285361DE.docx</w:t>
    </w:r>
    <w:r>
      <w:rPr>
        <w:rStyle w:val="HideTWBExt"/>
      </w:rPr>
      <w:t>&lt;/PathFdR&gt;</w:t>
    </w:r>
    <w:r>
      <w:tab/>
    </w:r>
    <w:r>
      <w:fldChar w:fldCharType="begin"/>
    </w:r>
    <w:r>
      <w:instrText xml:space="preserve"> PAGE </w:instrText>
    </w:r>
    <w:r>
      <w:fldChar w:fldCharType="separate"/>
    </w:r>
    <w:r>
      <w:t>75</w:t>
    </w:r>
    <w:r>
      <w:fldChar w:fldCharType="end"/>
    </w:r>
    <w:r>
      <w:t>/</w:t>
    </w:r>
    <w:r>
      <w:fldChar w:fldCharType="begin"/>
    </w:r>
    <w:r>
      <w:instrText xml:space="preserve"> NUMPAGES </w:instrText>
    </w:r>
    <w:r>
      <w:fldChar w:fldCharType="separate"/>
    </w:r>
    <w:r>
      <w:t>76</w:t>
    </w:r>
    <w:r>
      <w:fldChar w:fldCharType="end"/>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AM\1285361DE.docx</w:t>
    </w:r>
    <w:r>
      <w:rPr>
        <w:rStyle w:val="HideTWBExt"/>
      </w:rPr>
      <w:t>&lt;/PathFdR&gt;</w:t>
    </w:r>
    <w:r>
      <w:tab/>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00"/>
    </w:pPr>
  </w:style>
  <w:style w:type="paragraph" w:customStyle="1" w:styleId="CoverNormal">
    <w:name w:val="CoverNormal"/>
    <w:basedOn w:val="Normal"/>
    <w:pPr>
      <w:widowControl w:val="0"/>
      <w:ind w:left="1400"/>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00"/>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00"/>
    </w:pPr>
    <w:rPr>
      <w:rFonts w:ascii="Arial" w:eastAsia="Arial" w:hAnsi="Arial" w:cs="Arial"/>
      <w:b/>
      <w:sz w:val="48"/>
    </w:rPr>
  </w:style>
  <w:style w:type="paragraph" w:customStyle="1" w:styleId="CoverBold">
    <w:name w:val="CoverBold"/>
    <w:basedOn w:val="Normal"/>
    <w:pPr>
      <w:widowControl w:val="0"/>
      <w:ind w:left="1400"/>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20"/>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widowControl w:val="0"/>
      <w:tabs>
        <w:tab w:val="center" w:pos="4520"/>
        <w:tab w:val="right" w:pos="906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76</Pages>
  <Words>14263</Words>
  <Characters>97414</Characters>
  <Application>Microsoft Office Word</Application>
  <DocSecurity>0</DocSecurity>
  <Lines>1</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26066</vt:lpwstr>
  </property>
  <property fmtid="{D5CDD505-2E9C-101B-9397-08002B2CF9AE}" pid="7" name="dmxml.render.traceId">
    <vt:lpwstr>65143f131a910278256620385e677f60</vt:lpwstr>
  </property>
  <property fmtid="{D5CDD505-2E9C-101B-9397-08002B2CF9AE}" pid="8" name="FooterPath">
    <vt:lpwstr>AM\1285361DE.docx</vt:lpwstr>
  </property>
  <property fmtid="{D5CDD505-2E9C-101B-9397-08002B2CF9AE}" pid="9" name="PE Number">
    <vt:lpwstr>752.883</vt:lpwstr>
  </property>
  <property fmtid="{D5CDD505-2E9C-101B-9397-08002B2CF9AE}" pid="10" name="UID">
    <vt:lpwstr>eu.europa.europarl-DIN1-2023-0000116548_01.00-de-01.00_text-xml</vt:lpwstr>
  </property>
</Properties>
</file>