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Euroopan parlamentti</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Kansalaisvapauksien sekä oikeus- ja sisäasioiden valiokunta</w:t>
      </w:r>
      <w:r>
        <w:rPr>
          <w:rStyle w:val="HideTWBExt"/>
        </w:rPr>
        <w:t>&lt;/Commission&gt;</w:t>
      </w:r>
    </w:p>
    <w:p>
      <w:pPr>
        <w:pStyle w:val="LineBottom"/>
      </w:pPr>
      <w:r>
        <w:t xml:space="preserve"> </w:t>
      </w:r>
    </w:p>
    <w:p>
      <w:pPr>
        <w:pStyle w:val="CoverReference"/>
      </w:pPr>
      <w:r>
        <w:rPr>
          <w:rStyle w:val="HideTWBExt"/>
        </w:rPr>
        <w:t>&lt;RefProc&gt;</w:t>
      </w:r>
      <w:r>
        <w:t>2022/0084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{07/09/2023}</w:t>
      </w:r>
      <w:r>
        <w:t>7.9.2023</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34</w:t>
      </w:r>
      <w:r>
        <w:t xml:space="preserve"> - </w:t>
      </w:r>
      <w:r>
        <w:t>181</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Vladimír Bilčík</w:t>
      </w:r>
      <w:r>
        <w:rPr>
          <w:rStyle w:val="HideTWBExt"/>
        </w:rPr>
        <w:t>&lt;/Rapporteur&gt;</w:t>
      </w:r>
    </w:p>
    <w:p>
      <w:pPr>
        <w:pStyle w:val="CoverNormal24a"/>
      </w:pPr>
      <w:r>
        <w:rPr>
          <w:rStyle w:val="HideTWBExt"/>
        </w:rPr>
        <w:t>&lt;DocRefPE&gt;</w:t>
      </w:r>
      <w:r>
        <w:t>(PE751.547v01-00)</w:t>
      </w:r>
      <w:r>
        <w:rPr>
          <w:rStyle w:val="HideTWBExt"/>
        </w:rPr>
        <w:t>&lt;/DocRefPE&gt;</w:t>
      </w:r>
    </w:p>
    <w:p>
      <w:pPr>
        <w:pStyle w:val="CoverNormal24a"/>
      </w:pPr>
      <w:r>
        <w:rPr>
          <w:rStyle w:val="HideTWBExt"/>
        </w:rPr>
        <w:t>&lt;Titre&gt;</w:t>
      </w:r>
      <w:r>
        <w:t>Tietoturvallisuus unionin toimielimissä, elimissä ja laitoksissa</w:t>
      </w:r>
      <w:r>
        <w:rPr>
          <w:rStyle w:val="HideTWBExt"/>
        </w:rPr>
        <w:t>&lt;/Titre&gt;</w:t>
      </w:r>
    </w:p>
    <w:p>
      <w:pPr>
        <w:pStyle w:val="CoverNormal"/>
      </w:pPr>
      <w:r>
        <w:rPr>
          <w:rStyle w:val="HideTWBExt"/>
        </w:rPr>
        <w:t>&lt;DocAmend&gt;</w:t>
      </w:r>
      <w:r>
        <w:t>Ehdotus asetukseksi</w:t>
      </w:r>
      <w:r>
        <w:rPr>
          <w:rStyle w:val="HideTWBExt"/>
        </w:rPr>
        <w:t>&lt;/DocAmend&gt;</w:t>
      </w:r>
    </w:p>
    <w:p>
      <w:pPr>
        <w:pStyle w:val="CoverNormal24a"/>
      </w:pPr>
      <w:r>
        <w:rPr>
          <w:rStyle w:val="HideTWBExt"/>
        </w:rPr>
        <w:t>&lt;DocRef&gt;</w:t>
      </w:r>
      <w:r>
        <w:t>(COM(2022)0119 – C9-0121/2022 – 2022/0084(COD))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34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 a viite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ottaa huomioon, että voidakseen hoitaa tehtäväänsä tehokkaasti perussopimusten mukaisesti parlamentin jäsenillä on oltava oikeus tutustua kaikentyyppisiin tietoihin tiedonsaantitarpeen perusteella;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 b viite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ottaa huomioon EU:n jäsenvaltioista valittujen parlamentin jäsenten tehtävän erityisluonteen ja toimeenpano- ja lainsäädäntövallan käyttäjien välisen toimivallanjaon, joiden vuoksi kansallisten turvallisuusviranomaisten on vapautettava jäsenet turvallisuustutkintamenettelystä;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 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Unionin toimielimillä ja elimillä on tällä hetkellä omat tietoturvallisuussääntönsä, jotka perustuvat niiden omaan työjärjestykseen tai perustamissäädökseen, tai niillä ei ole lainkaan tällaisia sääntöjä. Näin toimittaessa unionin kukin toimielin ja elin käyttää merkittävästi voimavaroja eri lähestymistapojen laatimiseen, mikä johtaa tilanteeseen, jossa tietojen vaihtaminen ei ole aina luotettavaa. Yhteisen lähestymistavan puute haittaa sovittuihin sääntöihin perustuvien yhteisten välineiden käyttöönottoa sen mukaan, mitkä suojattavien tietojen turvallisuustarpeet ovat.</w:t>
            </w:r>
          </w:p>
        </w:tc>
        <w:tc>
          <w:tcPr>
            <w:tcW w:w="4876" w:type="dxa"/>
          </w:tcPr>
          <w:p>
            <w:pPr>
              <w:pStyle w:val="Normal6a"/>
            </w:pPr>
            <w:r>
              <w:t>(1)</w:t>
            </w:r>
            <w:r>
              <w:tab/>
            </w:r>
            <w:r>
              <w:t xml:space="preserve">Unionin toimielimillä ja elimillä on tällä hetkellä omat tietoturvallisuussääntönsä, jotka perustuvat niiden omaan työjärjestykseen tai perustamissäädökseen, tai niillä ei ole lainkaan tällaisia sääntöjä. Näin toimittaessa unionin kukin toimielin ja elin käyttää merkittävästi voimavaroja eri lähestymistapojen laatimiseen, mikä johtaa tilanteeseen, jossa tietojen vaihtaminen ei ole aina luotettavaa </w:t>
            </w:r>
            <w:r>
              <w:rPr>
                <w:b/>
                <w:i/>
              </w:rPr>
              <w:t>tai riskitöntä</w:t>
            </w:r>
            <w:r>
              <w:t xml:space="preserve">. Yhteisen lähestymistavan puute haittaa sovittuihin sääntöihin perustuvien yhteisten </w:t>
            </w:r>
            <w:r>
              <w:rPr>
                <w:b/>
                <w:i/>
              </w:rPr>
              <w:t>ja yhteentoimivien</w:t>
            </w:r>
            <w:r>
              <w:t xml:space="preserve"> välineiden käyttöönottoa sen mukaan, mitkä suojattavien tietojen turvallisuustarpeet ovat.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 a kappale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a)</w:t>
            </w:r>
            <w:r>
              <w:tab/>
            </w:r>
            <w:r>
              <w:rPr>
                <w:b/>
                <w:i/>
              </w:rPr>
              <w:t>Koska unionin toimielinten on sovellettava SEUT-sopimuksen 15 artiklan 3 kohtaa noudattaen demokratian periaatteita, erityisesti niitä, jotka on vahvistettu SEU-sopimuksen 10 artiklan 3 kohdassa ja Euroopan unionin perusoikeuskirjan 42 artiklassa, Euroopan unionin turvallisuusluokiteltujen tietojen järjestelmässä olisi noudatettava tietojen luokittelun minimoinnin ja aikarajoituksen periaatteita.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 a kappale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a)</w:t>
            </w:r>
            <w:r>
              <w:tab/>
            </w:r>
            <w:r>
              <w:rPr>
                <w:b/>
                <w:i/>
              </w:rPr>
              <w:t>Huolta aiheuttaa se, että Euroopan komissio ja Euroopan ulkosuhdehallinto (EUH) ovat käynnistämässä kahta kilpailevaa aloitetta kyberturvallisuusuhkien torjumiseksi yhteistyössä yksityisten yritysten kanssa;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 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EU:n turvallisuusluokiteltujen tietojen ja turvallisuusluokittelemattomien tietojen suojaamista koskevien sääntöjen yhtenäistämisessä saavutetusta edistymisestä huolimatta asiaan liittyvien järjestelmien yhteentoimivuus on yhä vähäistä, mikä estää sujuvan tiedonsiirron unionin eri toimielinten ja elinten välillä. Sen vuoksi olisi toteutettava lisätoimia, jotka mahdollistavat EU:n turvallisuusluokiteltujen tietojen ja arkaluonteisten turvallisuusluokittelemattomien tietojen jakamista koskevan toimielinten välisen lähestymistavan, jossa on yhteiset tietoluokat ja yhteiset tietojen käsittelyyn sovellettavat pääperiaatteet. Lisäksi olisi määriteltävä perustaso, jotta voidaan yksinkertaistaa menettelyjä EU:n turvallisuusluokiteltujen tietojen ja arkaluonteisten turvallisuusluokittelemattomien tietojen jakamiseksi unionin toimielinten ja elinten välillä sekä jäsenvaltioiden kanssa.</w:t>
            </w:r>
          </w:p>
        </w:tc>
        <w:tc>
          <w:tcPr>
            <w:tcW w:w="4876" w:type="dxa"/>
          </w:tcPr>
          <w:p>
            <w:pPr>
              <w:pStyle w:val="Normal6a"/>
            </w:pPr>
            <w:r>
              <w:t>(2)</w:t>
            </w:r>
            <w:r>
              <w:tab/>
            </w:r>
            <w:r>
              <w:t xml:space="preserve">EU:n turvallisuusluokiteltujen tietojen ja turvallisuusluokittelemattomien tietojen suojaamista koskevien sääntöjen yhtenäistämisessä saavutetusta edistymisestä huolimatta asiaan liittyvien järjestelmien yhteentoimivuus on yhä vähäistä, mikä estää sujuvan tiedonsiirron unionin eri toimielinten ja elinten välillä. </w:t>
            </w:r>
            <w:r>
              <w:rPr>
                <w:b/>
                <w:i/>
              </w:rPr>
              <w:t>Toimielinten välinen yhteistyö ja luottamus ovat avainasemassa, jotta voidaan tehokkaasti ja vaikuttavasti suojella unionin tietoturvallisuusympäristöä.</w:t>
            </w:r>
            <w:r>
              <w:t xml:space="preserve"> Sen vuoksi olisi toteutettava lisätoimia, jotka mahdollistavat EU:n turvallisuusluokiteltujen tietojen ja arkaluonteisten turvallisuusluokittelemattomien tietojen jakamista koskevan toimielinten välisen lähestymistavan, </w:t>
            </w:r>
            <w:r>
              <w:rPr>
                <w:b/>
                <w:i/>
              </w:rPr>
              <w:t>joka perustuu parempaan synergiaan ja</w:t>
            </w:r>
            <w:r>
              <w:t xml:space="preserve"> jossa on yhteiset tietoluokat ja yhteiset tietojen käsittelyyn sovellettavat pääperiaatteet. Lisäksi olisi määriteltävä perustaso, jotta voidaan yksinkertaistaa menettelyjä EU:n turvallisuusluokiteltujen tietojen ja arkaluonteisten turvallisuusluokittelemattomien tietojen jakamiseksi unionin toimielinten ja elinten välillä sekä jäsenvaltioiden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 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EU:n turvallisuusluokiteltujen tietojen ja turvallisuusluokittelemattomien tietojen suojaamista koskevien sääntöjen yhtenäistämisessä saavutetusta edistymisestä huolimatta asiaan liittyvien järjestelmien yhteentoimivuus on yhä vähäistä, mikä estää sujuvan tiedonsiirron unionin eri toimielinten ja elinten välillä. </w:t>
            </w:r>
            <w:r>
              <w:rPr>
                <w:b/>
                <w:i/>
              </w:rPr>
              <w:t>Sen vuoksi</w:t>
            </w:r>
            <w:r>
              <w:t xml:space="preserve"> olisi </w:t>
            </w:r>
            <w:r>
              <w:rPr>
                <w:b/>
                <w:i/>
              </w:rPr>
              <w:t>toteutettava lisätoimia, jotka mahdollistavat</w:t>
            </w:r>
            <w:r>
              <w:t xml:space="preserve"> EU:n turvallisuusluokiteltujen tietojen ja arkaluonteisten turvallisuusluokittelemattomien tietojen jakamista </w:t>
            </w:r>
            <w:r>
              <w:rPr>
                <w:b/>
                <w:i/>
              </w:rPr>
              <w:t>koskevan</w:t>
            </w:r>
            <w:r>
              <w:t xml:space="preserve"> toimielinten </w:t>
            </w:r>
            <w:r>
              <w:rPr>
                <w:b/>
                <w:i/>
              </w:rPr>
              <w:t>välisen lähestymistavan</w:t>
            </w:r>
            <w:r>
              <w:t xml:space="preserve">, jossa on yhteiset tietoluokat ja yhteiset tietojen käsittelyyn sovellettavat pääperiaatteet. </w:t>
            </w:r>
            <w:r>
              <w:rPr>
                <w:b/>
                <w:i/>
              </w:rPr>
              <w:t>Lisäksi olisi määriteltävä perustaso, jotta voidaan yksinkertaistaa</w:t>
            </w:r>
            <w:r>
              <w:t xml:space="preserve"> menettelyjä EU:n turvallisuusluokiteltujen tietojen ja arkaluonteisten turvallisuusluokittelemattomien tietojen jakamiseksi unionin toimielinten ja elinten välillä sekä jäsenvaltioiden kanssa.</w:t>
            </w:r>
          </w:p>
        </w:tc>
        <w:tc>
          <w:tcPr>
            <w:tcW w:w="4876" w:type="dxa"/>
          </w:tcPr>
          <w:p>
            <w:pPr>
              <w:pStyle w:val="Normal6a"/>
            </w:pPr>
            <w:r>
              <w:t>(2)</w:t>
            </w:r>
            <w:r>
              <w:tab/>
            </w:r>
            <w:r>
              <w:t xml:space="preserve">EU:n turvallisuusluokiteltujen tietojen ja turvallisuusluokittelemattomien tietojen suojaamista koskevien sääntöjen yhtenäistämisessä saavutetusta edistymisestä huolimatta asiaan liittyvien järjestelmien yhteentoimivuus on yhä vähäistä, mikä estää sujuvan tiedonsiirron unionin eri toimielinten ja elinten välillä. Olisi </w:t>
            </w:r>
            <w:r>
              <w:rPr>
                <w:b/>
                <w:i/>
              </w:rPr>
              <w:t>otettava käyttöön</w:t>
            </w:r>
            <w:r>
              <w:t xml:space="preserve"> EU:n turvallisuusluokiteltujen tietojen ja arkaluonteisten turvallisuusluokittelemattomien tietojen jakamista </w:t>
            </w:r>
            <w:r>
              <w:rPr>
                <w:b/>
                <w:i/>
              </w:rPr>
              <w:t>koskeva</w:t>
            </w:r>
            <w:r>
              <w:t xml:space="preserve"> toimielinten </w:t>
            </w:r>
            <w:r>
              <w:rPr>
                <w:b/>
                <w:i/>
              </w:rPr>
              <w:t>välinen lähestymistapa</w:t>
            </w:r>
            <w:r>
              <w:t xml:space="preserve">, jossa on yhteiset tietoluokat ja yhteiset tietojen käsittelyyn sovellettavat pääperiaatteet. Menettelyjä EU:n turvallisuusluokiteltujen tietojen ja arkaluonteisten turvallisuusluokittelemattomien tietojen jakamiseksi unionin toimielinten ja elinten välillä sekä jäsenvaltioiden kanssa </w:t>
            </w:r>
            <w:r>
              <w:rPr>
                <w:b/>
                <w:i/>
              </w:rPr>
              <w:t>olisi yksinkertaistettava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3 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Näin ollen olisi määritettävä säännöt, joilla varmistetaan yhteinen tietoturvallisuuden taso kaikissa unionin toimielimissä ja elimissä. Sääntöjen olisi muodostettava kattava ja johdonmukainen yleinen kehys EU:n turvallisuusluokiteltujen tietojen ja turvallisuusluokittelemattomien tietojen suojaamiselle sekä varmistettava perusperiaatteiden ja vähimmäisvaatimusten vastaavuus.</w:t>
            </w:r>
          </w:p>
        </w:tc>
        <w:tc>
          <w:tcPr>
            <w:tcW w:w="4876" w:type="dxa"/>
          </w:tcPr>
          <w:p>
            <w:pPr>
              <w:pStyle w:val="Normal6a"/>
            </w:pPr>
            <w:r>
              <w:t>(3)</w:t>
            </w:r>
            <w:r>
              <w:tab/>
            </w:r>
            <w:r>
              <w:t>Näin ollen olisi määritettävä säännöt, joilla varmistetaan yhteinen tietoturvallisuuden taso kaikissa unionin toimielimissä ja elimissä</w:t>
            </w:r>
            <w:r>
              <w:rPr>
                <w:b/>
                <w:i/>
              </w:rPr>
              <w:t>, erityisesti kun otetaan huomioon, että kyberturvallisuusuhat lisääntyvät ja monet kansalliset toimijat ovat joutuneet hyökkäyksen kohteeksi</w:t>
            </w:r>
            <w:r>
              <w:t>. Sääntöjen olisi muodostettava kattava ja johdonmukainen yleinen kehys EU:n turvallisuusluokiteltujen tietojen ja turvallisuusluokittelemattomien tietojen suojaamiselle sekä varmistettava perusperiaatteiden ja vähimmäisvaatimusten vastaavuus.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3 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Näin ollen olisi määritettävä säännöt, joilla varmistetaan yhteinen tietoturvallisuuden taso kaikissa unionin toimielimissä ja elimissä. Sääntöjen olisi muodostettava kattava ja johdonmukainen yleinen kehys EU:n turvallisuusluokiteltujen tietojen ja turvallisuusluokittelemattomien tietojen suojaamiselle sekä varmistettava perusperiaatteiden ja vähimmäisvaatimusten vastaavuus.</w:t>
            </w:r>
          </w:p>
        </w:tc>
        <w:tc>
          <w:tcPr>
            <w:tcW w:w="4876" w:type="dxa"/>
          </w:tcPr>
          <w:p>
            <w:pPr>
              <w:pStyle w:val="Normal6a"/>
            </w:pPr>
            <w:r>
              <w:t>(3)</w:t>
            </w:r>
            <w:r>
              <w:tab/>
            </w:r>
            <w:r>
              <w:t xml:space="preserve">Näin ollen olisi määritettävä säännöt, joilla varmistetaan yhteinen tietoturvallisuuden taso kaikissa unionin toimielimissä ja elimissä. Sääntöjen olisi muodostettava kattava ja johdonmukainen yleinen kehys EU:n turvallisuusluokiteltujen tietojen ja turvallisuusluokittelemattomien tietojen suojaamiselle sekä varmistettava perusperiaatteiden ja </w:t>
            </w:r>
            <w:r>
              <w:rPr>
                <w:b/>
                <w:i/>
              </w:rPr>
              <w:t>yhteisten</w:t>
            </w:r>
            <w:r>
              <w:t xml:space="preserve"> vähimmäisvaatimusten vastaavuus.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3 a kappale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a)</w:t>
            </w:r>
            <w:r>
              <w:tab/>
            </w:r>
            <w:r>
              <w:rPr>
                <w:b/>
                <w:i/>
              </w:rPr>
              <w:t>Tässä asetuksessa vahvistetaan kaikkien unionin toimielinten ja elinten hallintoon sovellettavat säännöt, mutta sitä ei sovelleta komission jäseniin, neuvostossa kokoontuviin jäsenvaltioiden edustajiin, Euroopan parlamentin jäseniin, unionin tuomioistuinten tuomareihin tai Euroopan tilintarkastustuomioistuimen jäseniin, joihin sovelletaan kyseisten toimielinten sisäisiä sääntöjä.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3 a kappale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a)</w:t>
            </w:r>
            <w:r>
              <w:tab/>
            </w:r>
            <w:r>
              <w:rPr>
                <w:b/>
                <w:i/>
              </w:rPr>
              <w:t>SEUT- sopimuksen 15 artiklassa määrätään, että unionin toimielimet, elimet ja laitokset toimivat mahdollisimman avoimesti ja että kaikilla unionin kansalaisilla on oikeus tutustua unionin toimielinten, elinten ja laitosten asiakirjoihin.</w:t>
            </w:r>
            <w:r>
              <w:t xml:space="preserve"> </w:t>
            </w:r>
            <w:r>
              <w:rPr>
                <w:b/>
                <w:i/>
              </w:rPr>
              <w:t>Näin ollen asiakirjojen luokittelun on tapahduttava aina näiden yleisten periaatteiden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3 a kappale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a)</w:t>
            </w:r>
            <w:r>
              <w:tab/>
            </w:r>
            <w:r>
              <w:rPr>
                <w:b/>
                <w:i/>
              </w:rPr>
              <w:t>Perussopimuksissa annetaan toimivalta unionin eri toimielimille.</w:t>
            </w:r>
            <w:r>
              <w:t xml:space="preserve"> </w:t>
            </w:r>
            <w:r>
              <w:rPr>
                <w:b/>
                <w:i/>
              </w:rPr>
              <w:t>Jotta tätä toimivaltaa voitaisiin käyttää tehokkaasti, toimielinten jäsenillä olisi oltava valtuutuksensa nojalla oikeus tutustua kaikkiin tarvittaviin tietoihin tiedonsaantitarpeen periaatteen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3 a kappale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a)</w:t>
            </w:r>
            <w:r>
              <w:tab/>
            </w:r>
            <w:r>
              <w:rPr>
                <w:b/>
                <w:i/>
              </w:rPr>
              <w:t>Unionin toimielinten jäsenillä olisi oltava valtuutuksensa nojalla oikeus tutustua kaikkiin tarvittaviin tietoihin tiedonsaantitarpeen periaatteen mukaisesti, jotta he voivat käyttää heille perussopimuksissa annettua toimivaltaa.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3 a kappale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a)</w:t>
            </w:r>
            <w:r>
              <w:tab/>
            </w:r>
            <w:r>
              <w:rPr>
                <w:b/>
                <w:i/>
              </w:rPr>
              <w:t>muistuttaa, että arkaluontoisten tietojen valvonnan on säilyttävä EU:n hallituksilla;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3 b kappale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w:t>
            </w:r>
            <w:r>
              <w:tab/>
            </w:r>
            <w:r>
              <w:rPr>
                <w:b/>
                <w:i/>
              </w:rPr>
              <w:t>Tämän asetuksen tehokkuuden varmistamiseksi olisi aiheellista arvioida, ovatko komission jäseniin, neuvostossa kokoontuviin jäsenvaltioiden edustajiin, Euroopan parlamentin jäseniin, unionin tuomioistuinten tuomareihin tai Euroopan tilintarkastustuomioistuimen jäseniin sovellettavat sisäiset säännöt tässä asetuksessa vahvistetun suojan yhteisen vähimmäistason mukaisia, ja tehdä tarvittavat muutokset, jos näin ei 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3 b kappale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b)</w:t>
            </w:r>
            <w:r>
              <w:tab/>
            </w:r>
            <w:r>
              <w:rPr>
                <w:b/>
                <w:i/>
              </w:rPr>
              <w:t>Unionin toimielinten ja elinten olisi lisättävä organisatorista yhteentoimivuutta ja toimittava yhdessä tietoturvallisuuden alalla sen varmistamiseksi, että verkot, tietojärjestelmät, data ja kaikki tietojen keräämiseen, säilyttämiseen, käsittelyyn ja siirtämiseen käytettävät aineelliset resurssit suojataan asianmukaisesti.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3 c kappale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c)</w:t>
            </w:r>
            <w:r>
              <w:tab/>
            </w:r>
            <w:r>
              <w:rPr>
                <w:b/>
                <w:i/>
              </w:rPr>
              <w:t>Tietojen saatavuus turvallisella tavalla ja keskinäisen luottamuksen puitteissa on olennaisen tärkeää unionin lainsäätäjien tehtävien hoitamisen kannalta eikä sitä saa rajoittaa, kun lainsäätäjät hoitavat demokraattisia tehtäviään.</w:t>
            </w:r>
            <w:r>
              <w:t xml:space="preserve"> </w:t>
            </w:r>
            <w:r>
              <w:rPr>
                <w:b/>
                <w:i/>
              </w:rPr>
              <w:t>Euroopan parlamentin jäsenet hoitavat tätä lainsäädäntötehtävää, ja heidän tiedonsaantiinsa olisi sen vuoksi sovellettava sääntöjä, jotka vastaavat tässä asetuksessa vahvistettuja yhteisiä vähimmäisvaatimuksia.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4 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Hiljattain koettu pandemia </w:t>
            </w:r>
            <w:r>
              <w:rPr>
                <w:b/>
                <w:i/>
              </w:rPr>
              <w:t>muutti</w:t>
            </w:r>
            <w:r>
              <w:t xml:space="preserve"> merkittävästi </w:t>
            </w:r>
            <w:r>
              <w:rPr>
                <w:b/>
                <w:i/>
              </w:rPr>
              <w:t>työkäytäntöjä</w:t>
            </w:r>
            <w:r>
              <w:t>, ja etätyövälineiden käytöstä tuli yleiskäytäntö. Siksi monia menettelyjä, jotka perustuivat yhä ainakin osittain paperimuotoon, muokattiin nopeasti sähköisen käsittelyn ja tietojen vaihdon mahdollistamiseksi. Nämä kehityssuuntaukset edellyttävät tietojen käsittelyn ja suojaamisen muuttamista. Tässä asetuksessa otetaan huomioon uudet työkäytännöt.</w:t>
            </w:r>
          </w:p>
        </w:tc>
        <w:tc>
          <w:tcPr>
            <w:tcW w:w="4876" w:type="dxa"/>
          </w:tcPr>
          <w:p>
            <w:pPr>
              <w:pStyle w:val="Normal6a"/>
            </w:pPr>
            <w:r>
              <w:t>(4)</w:t>
            </w:r>
            <w:r>
              <w:tab/>
            </w:r>
            <w:r>
              <w:t xml:space="preserve">Hiljattain koettu pandemia </w:t>
            </w:r>
            <w:r>
              <w:rPr>
                <w:b/>
                <w:i/>
              </w:rPr>
              <w:t>vauhditti</w:t>
            </w:r>
            <w:r>
              <w:t xml:space="preserve"> merkittävästi </w:t>
            </w:r>
            <w:r>
              <w:rPr>
                <w:b/>
                <w:i/>
              </w:rPr>
              <w:t>työkäytäntöjen muutosta</w:t>
            </w:r>
            <w:r>
              <w:t>, ja etätyövälineiden käytöstä tuli yleiskäytäntö. Siksi monia menettelyjä, jotka perustuivat yhä ainakin osittain paperimuotoon, muokattiin nopeasti sähköisen käsittelyn ja tietojen vaihdon mahdollistamiseksi. Nämä kehityssuuntaukset edellyttävät tietojen käsittelyn ja suojaamisen muuttamista. Tässä asetuksessa otetaan huomioon uudet työkäytännöt.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5 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Tällä asetuksella luodaan yhteinen vähimmäistaso EU:n turvallisuusluokiteltujen tietojen ja turvallisuusluokittelemattomien tietojen suojaamiselle ja edistetään siten sen varmistamista, että unionin toimielimet ja elimet voivat tukeutua tehtäviään hoitaessaan tehokkaaseen ja riippumattomaan hallintoon. Samaan aikaan unionin kukin toimielin ja elin saa yhä määrittää itsenäisesti omien turvallisuustarpeidensa mukaisesti, miten se panee tässä asetuksessa vahvistetut säännöt täytäntöön. Tämä asetus ei missään tapauksessa estä unionin toimielimiä ja elimiä täyttämästä EU:n lainsäädännön mukaista tehtäväänsä tai puutu niiden institutionaaliseen riippumattomuuteen.</w:t>
            </w:r>
          </w:p>
        </w:tc>
        <w:tc>
          <w:tcPr>
            <w:tcW w:w="4876" w:type="dxa"/>
          </w:tcPr>
          <w:p>
            <w:pPr>
              <w:pStyle w:val="Normal6a"/>
            </w:pPr>
            <w:r>
              <w:t>(5)</w:t>
            </w:r>
            <w:r>
              <w:tab/>
            </w:r>
            <w:r>
              <w:t xml:space="preserve">Tällä asetuksella luodaan yhteinen vähimmäistaso EU:n turvallisuusluokiteltujen tietojen ja turvallisuusluokittelemattomien tietojen suojaamiselle ja edistetään siten sen varmistamista, että unionin toimielimet ja elimet voivat tukeutua tehtäviään hoitaessaan tehokkaaseen ja riippumattomaan hallintoon. Samaan aikaan unionin kukin toimielin ja elin saa yhä määrittää itsenäisesti omien turvallisuustarpeidensa mukaisesti, miten se panee tässä asetuksessa vahvistetut säännöt täytäntöön. Tämä asetus ei missään tapauksessa estä unionin toimielimiä ja elimiä täyttämästä EU:n lainsäädännön mukaista tehtäväänsä tai puutu niiden institutionaaliseen riippumattomuuteen. </w:t>
            </w:r>
            <w:r>
              <w:rPr>
                <w:b/>
                <w:i/>
              </w:rPr>
              <w:t>Tässä EU:n turvallisuusluokiteltujen tietojen suojan yhteisessä vähimmäistasossa on löydettävä oikea avoimuuden tasapaino, jotta turvallisuusluokituksen käyttö ei estä EU:n elimiä täyttämästä tehtäväänsä;</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5 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Tällä asetuksella luodaan yhteinen vähimmäistaso EU:n turvallisuusluokiteltujen tietojen ja turvallisuusluokittelemattomien tietojen suojaamiselle ja edistetään siten sen varmistamista, että unionin toimielimet ja elimet voivat tukeutua tehtäviään hoitaessaan tehokkaaseen ja riippumattomaan hallintoon. Samaan aikaan unionin kukin toimielin ja elin saa yhä määrittää itsenäisesti omien turvallisuustarpeidensa mukaisesti, miten se panee tässä asetuksessa vahvistetut säännöt täytäntöön. Tämä asetus ei missään tapauksessa estä unionin toimielimiä ja elimiä täyttämästä EU:n lainsäädännön mukaista tehtäväänsä tai puutu niiden institutionaaliseen riippumattomuuteen.</w:t>
            </w:r>
          </w:p>
        </w:tc>
        <w:tc>
          <w:tcPr>
            <w:tcW w:w="4876" w:type="dxa"/>
          </w:tcPr>
          <w:p>
            <w:pPr>
              <w:pStyle w:val="Normal6a"/>
            </w:pPr>
            <w:r>
              <w:t>(5)</w:t>
            </w:r>
            <w:r>
              <w:tab/>
            </w:r>
            <w:r>
              <w:t xml:space="preserve">Tällä asetuksella luodaan yhteinen vähimmäistaso EU:n turvallisuusluokiteltujen tietojen ja turvallisuusluokittelemattomien tietojen suojaamiselle ja edistetään siten sen varmistamista, että unionin toimielimet ja elimet voivat tukeutua tehtäviään hoitaessaan tehokkaaseen ja riippumattomaan hallintoon. Samaan aikaan unionin kukin toimielin ja elin saa yhä määrittää itsenäisesti omien turvallisuustarpeidensa mukaisesti, miten se panee tässä asetuksessa vahvistetut säännöt täytäntöön. Tämä asetus ei missään tapauksessa estä unionin toimielimiä ja elimiä täyttämästä EU:n lainsäädännön mukaista tehtäväänsä tai puutu niiden institutionaaliseen riippumattomuuteen. </w:t>
            </w:r>
            <w:r>
              <w:rPr>
                <w:b/>
                <w:i/>
              </w:rPr>
              <w:t>Olisi myös huolehdittava asianmukaisesti siitä, etteivät toimenpiteet vaikuta kielteisesti unionin toimijoiden tehokkaaseen tietojenvaihtoon ja toimintaan muiden unionin toimijoiden ja kansallisten toimivaltaisten viranomaisten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5 a kappale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 a)</w:t>
            </w:r>
            <w:r>
              <w:tab/>
            </w:r>
            <w:r>
              <w:rPr>
                <w:b/>
                <w:i/>
              </w:rPr>
              <w:t>EU:n turvallisuusluokiteltujen tietojen jakaminen avoimesti ja oikea-aikaisesti on olennaisen tärkeää unionin toimielinten ja elinten asianmukaisen toiminnan kannalta.</w:t>
            </w:r>
            <w:r>
              <w:t xml:space="preserve"> </w:t>
            </w:r>
            <w:r>
              <w:rPr>
                <w:b/>
                <w:i/>
              </w:rPr>
              <w:t>Unionin toimielinten ja elinten olisi tätä asetusta täytäntöön pannessaan pyrittävä lisäämään avoimuutta, minimoimaan luottamuksellisten asiakirjojen käyttö ja rajoittamaan sitä ajallisesti, tarjoamaan suojatoimia sellaista luokittelun käyttöä vastaan, joka estäisi unionin toimijoita täyttämästä tehtäviään sekä varmistamaan, että väärinkäytösten paljastajia suojellaan asianmukaisesti ja että tietojen suojan taso on korkea unionin lainsäädännön ja parhaiden käytäntöjen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5 a kappale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 a)</w:t>
            </w:r>
            <w:r>
              <w:tab/>
            </w:r>
            <w:r>
              <w:rPr>
                <w:b/>
                <w:i/>
              </w:rPr>
              <w:t>Tällä asetuksella olisi varmistettava, että henkilötietojen ja yksityisyyden suojaa koskevan oikeuden rajoittaminen on välttämätöntä ja oikeasuhteista ja että kyseisen oikeuden olennaista sisältöä noudatetaan Euroopan unionin perusoikeuskirjan 52 artiklan 1 kohdan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5 b kappale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 b)</w:t>
            </w:r>
            <w:r>
              <w:tab/>
            </w:r>
            <w:r>
              <w:rPr>
                <w:b/>
                <w:i/>
              </w:rPr>
              <w:t>Kaikkien henkilötietojen käsittelyyn liittyvien tietoturvatoimenpiteiden olisi oltava asiaankuuluvan tietosuojaa ja yksityisyyttä koskevan unionin lainsäädännön mukaisia.</w:t>
            </w:r>
            <w:r>
              <w:t xml:space="preserve"> </w:t>
            </w:r>
            <w:r>
              <w:rPr>
                <w:b/>
                <w:i/>
              </w:rPr>
              <w:t>Unionin toimielinten ja elinten olisi otettava käyttöön asiaankuuluvat tekniset ja organisatoriset suojatoimet, joilla varmistetaan säännösten noudattaminen vastuullisella, avoimella ja perustellulla tavalla.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6 a kappale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 a)</w:t>
            </w:r>
            <w:r>
              <w:tab/>
            </w:r>
            <w:r>
              <w:rPr>
                <w:b/>
                <w:i/>
              </w:rPr>
              <w:t>Olennainen osa kyberuhkia koskevista tiedoista koskee hyväksikäytettyjä haavoittuvuuksia eli heikkouksia, joita hakkerit hyödyntävät luvattoman pääsyn saamiseksi.</w:t>
            </w:r>
            <w:r>
              <w:t xml:space="preserve"> </w:t>
            </w:r>
            <w:r>
              <w:rPr>
                <w:b/>
                <w:i/>
              </w:rPr>
              <w:t>Euroopan unionin kyberturvallisuusvirastolla (ENISA) ei ehkä ole riittävästi kapasiteettia hallinnoida kaikkia raportteja, joita tuotteiden valmistajien tekevät näistä haavoittuvuuksista.</w:t>
            </w:r>
            <w:r>
              <w:t xml:space="preserve"> </w:t>
            </w:r>
            <w:r>
              <w:rPr>
                <w:b/>
                <w:i/>
              </w:rPr>
              <w:t>EU:n jäsenvaltiot haluaisivat, että nämä ilmoitukset lähetetään tietoturvaloukkauksia käsitteleville kansallisille yksiköille (CSIRT-yksiköt).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7 a kappale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a)</w:t>
            </w:r>
            <w:r>
              <w:tab/>
            </w:r>
            <w:r>
              <w:rPr>
                <w:b/>
                <w:i/>
              </w:rPr>
              <w:t>Jotta yhteistyössä kansallisten keskuspankkien ja kansallisten toimivaltaisten viranomaisten kanssa suoritettavien Euroopan keskuspankin (EKP) tehtävien ja toimien erityisluonne osana Euroopan keskuspankkijärjestelmää (EKPJ) ja yhteistä valvontamekanismia (YVM) säilyisi, tätä asetusta ei pitäisi soveltaa EKPJ:n ja YVM:n tietoihin.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8 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 xml:space="preserve">Jotta voidaan perustaa virallinen yhteistyörakenne unionin toimielinten ja elinten välille tietoturvallisuuden alalla, on tarpeen perustaa toimielinten välinen koordinointiryhmä, jäljempänä ’koordinointiryhmä’, jossa ovat edustettuina kaikki unionin toimielinten ja elinten turvallisuusviranomaiset. Koordinointiryhmällä ei ole päätöksentekovaltaa, vaan sen olisi parannettava toimintapolitiikkojen johdonmukaisuutta tietoturvallisuuden alalla ja edistettävä tietoturvamenettelyjen ja </w:t>
            </w:r>
            <w:r>
              <w:rPr>
                <w:b/>
                <w:i/>
              </w:rPr>
              <w:t>‑</w:t>
            </w:r>
            <w:r>
              <w:t>välineiden yhdenmukaistamista kaikissa unionin toimielimissä ja elimissä.</w:t>
            </w:r>
          </w:p>
        </w:tc>
        <w:tc>
          <w:tcPr>
            <w:tcW w:w="4876" w:type="dxa"/>
          </w:tcPr>
          <w:p>
            <w:pPr>
              <w:pStyle w:val="Normal6a"/>
            </w:pPr>
            <w:r>
              <w:t>(8)</w:t>
            </w:r>
            <w:r>
              <w:tab/>
            </w:r>
            <w:r>
              <w:t xml:space="preserve">Jotta voidaan perustaa </w:t>
            </w:r>
            <w:r>
              <w:rPr>
                <w:b/>
                <w:i/>
              </w:rPr>
              <w:t>yhteinen ja yhdenmukainen</w:t>
            </w:r>
            <w:r>
              <w:t xml:space="preserve"> virallinen yhteistyörakenne unionin toimielinten ja elinten välille tietoturvallisuuden alalla, on tarpeen perustaa toimielinten välinen koordinointiryhmä, jäljempänä ’koordinointiryhmä’, jossa ovat edustettuina kaikki unionin toimielinten ja elinten turvallisuusviranomaiset. Koordinointiryhmällä ei ole päätöksentekovaltaa, vaan sen olisi parannettava toimintapolitiikkojen johdonmukaisuutta tietoturvallisuuden alalla ja edistettävä tietoturvamenettelyjen ja </w:t>
            </w:r>
            <w:r>
              <w:rPr>
                <w:b/>
                <w:i/>
              </w:rPr>
              <w:t>-</w:t>
            </w:r>
            <w:r>
              <w:t>välineiden yhdenmukaistamista kaikissa unionin toimielimissä ja elimissä.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w:t>
      </w:r>
      <w:r>
        <w:rPr>
          <w:rStyle w:val="HideTWBExt"/>
        </w:rPr>
        <w:t>&lt;/NumAm&gt;</w:t>
      </w:r>
    </w:p>
    <w:p>
      <w:pPr>
        <w:pStyle w:val="NormalBold"/>
      </w:pPr>
      <w:r>
        <w:rPr>
          <w:rStyle w:val="HideTWBExt"/>
        </w:rPr>
        <w:t>&lt;RepeatBlock-By&gt;</w:t>
      </w:r>
      <w:r>
        <w:rPr>
          <w:rStyle w:val="HideTWBExt"/>
        </w:rPr>
        <w:t>&lt;Members&gt;</w:t>
      </w:r>
      <w:r>
        <w:t>Nils Ušakovs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9 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Koordinointiryhmä tarvitsee työssään tukea asiantuntijoilta tietoturvallisuuden eri osa-alueilta: luokittelu ja merkinnät, viestintä- ja tietojärjestelmät, hyväksyntä, fyysinen turvallisuus sekä EU:n turvallisuusluokiteltujen tietojen jakaminen ja turvallisuusluokiteltujen tietojen vaihtaminen. Jotta voidaan ehkäistä toimien päällekkäisyyttä unionin toimielimissä ja elimissä, olisi perustettava temaattisia alaryhmiä. Lisäksi koordinointiryhmän olisi tarvittaessa voitava perustaa muita alaryhmiä, joilla on erityistehtäviä.</w:t>
            </w:r>
          </w:p>
        </w:tc>
        <w:tc>
          <w:tcPr>
            <w:tcW w:w="4876" w:type="dxa"/>
          </w:tcPr>
          <w:p>
            <w:pPr>
              <w:pStyle w:val="Normal6a"/>
            </w:pPr>
            <w:r>
              <w:t>(9)</w:t>
            </w:r>
            <w:r>
              <w:tab/>
            </w:r>
            <w:r>
              <w:t xml:space="preserve">Koordinointiryhmä tarvitsee työssään tukea asiantuntijoilta tietoturvallisuuden eri osa-alueilta: luokittelu ja merkinnät, viestintä- ja tietojärjestelmät, hyväksyntä, fyysinen turvallisuus sekä EU:n turvallisuusluokiteltujen tietojen jakaminen ja turvallisuusluokiteltujen tietojen vaihtaminen. Jotta voidaan </w:t>
            </w:r>
            <w:r>
              <w:rPr>
                <w:b/>
                <w:i/>
              </w:rPr>
              <w:t>vähentää hallinnollista rasitetta ja</w:t>
            </w:r>
            <w:r>
              <w:t xml:space="preserve"> ehkäistä toimien päällekkäisyyttä unionin toimielimissä ja elimissä, olisi perustettava temaattisia alaryhmiä. Lisäksi koordinointiryhmän olisi tarvittaessa voitava perustaa muita alaryhmiä, joilla on erityistehtäviä.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10 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Koordinointiryhmän olisi tehtävä tiivistä yhteistyötä jäsenvaltioiden kansallisten turvallisuusviranomaisten kanssa tietoturvallisuuden parantamiseksi unionissa. Sen vuoksi olisi perustettava jäsenvaltioiden tietoturvallisuuskomitea, joka neuvoo koordinointiryhmää.</w:t>
            </w:r>
          </w:p>
        </w:tc>
        <w:tc>
          <w:tcPr>
            <w:tcW w:w="4876" w:type="dxa"/>
          </w:tcPr>
          <w:p>
            <w:pPr>
              <w:pStyle w:val="Normal6a"/>
            </w:pPr>
            <w:r>
              <w:t>(10)</w:t>
            </w:r>
            <w:r>
              <w:tab/>
            </w:r>
            <w:r>
              <w:t xml:space="preserve">Koordinointiryhmän olisi tehtävä tiivistä yhteistyötä jäsenvaltioiden kansallisten turvallisuusviranomaisten kanssa tietoturvallisuuden parantamiseksi unionissa. Sen vuoksi olisi perustettava jäsenvaltioiden tietoturvallisuuskomitea, joka neuvoo koordinointiryhmää </w:t>
            </w:r>
            <w:r>
              <w:rPr>
                <w:b/>
                <w:i/>
              </w:rPr>
              <w:t>kunnioittaen luottamuksellisia turvallisuustietoja koskevia jäsenvaltioiden oikeuksia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10 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Koordinointiryhmän olisi tehtävä tiivistä yhteistyötä jäsenvaltioiden </w:t>
            </w:r>
            <w:r>
              <w:rPr>
                <w:b/>
                <w:i/>
              </w:rPr>
              <w:t>kansallisten turvallisuusviranomaisten</w:t>
            </w:r>
            <w:r>
              <w:t xml:space="preserve"> kanssa tietoturvallisuuden parantamiseksi unionissa. Sen vuoksi olisi perustettava jäsenvaltioiden tietoturvallisuuskomitea, joka neuvoo koordinointiryhmää.</w:t>
            </w:r>
          </w:p>
        </w:tc>
        <w:tc>
          <w:tcPr>
            <w:tcW w:w="4876" w:type="dxa"/>
          </w:tcPr>
          <w:p>
            <w:pPr>
              <w:pStyle w:val="Normal6a"/>
            </w:pPr>
            <w:r>
              <w:t>(10)</w:t>
            </w:r>
            <w:r>
              <w:tab/>
            </w:r>
            <w:r>
              <w:t xml:space="preserve">Koordinointiryhmän olisi tehtävä tiivistä yhteistyötä jäsenvaltioiden </w:t>
            </w:r>
            <w:r>
              <w:rPr>
                <w:b/>
                <w:i/>
              </w:rPr>
              <w:t>luokitteluviranomaisten</w:t>
            </w:r>
            <w:r>
              <w:t xml:space="preserve"> kanssa tietoturvallisuuden parantamiseksi unionissa. Sen vuoksi olisi perustettava jäsenvaltioiden tietoturvallisuuskomitea, joka neuvoo koordinointiryhmää.</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Tätä olisi sovellettava horisontaalisesti.</w:t>
      </w:r>
    </w:p>
    <w:p>
      <w:r>
        <w:rPr>
          <w:rStyle w:val="HideTWBExt"/>
        </w:rPr>
        <w:t>&lt;/Amend&gt;</w:t>
      </w:r>
    </w:p>
    <w:p>
      <w:pPr>
        <w:pStyle w:val="AmNumberTabs"/>
      </w:pPr>
      <w:r>
        <w:rPr>
          <w:rStyle w:val="HideTWBExt"/>
        </w:rPr>
        <w:t>&lt;Amend&gt;</w:t>
      </w:r>
      <w:r>
        <w:t>Tarkistus</w:t>
      </w:r>
      <w:r>
        <w:tab/>
      </w:r>
      <w:r>
        <w:tab/>
      </w:r>
      <w:r>
        <w:rPr>
          <w:rStyle w:val="HideTWBExt"/>
        </w:rPr>
        <w:t>&lt;NumAm&gt;</w:t>
      </w:r>
      <w:r>
        <w:t>63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12 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(12)</w:t>
            </w:r>
            <w:r>
              <w:tab/>
            </w:r>
            <w:r>
              <w:t xml:space="preserve">Tietoturvallisuuden riskinhallintaa koskevan periaatteen olisi oltava keskeinen siinä toimintapolitiikassa, jota unionin kunkin toimielimen ja elimen on määrä kehittää tällä alalla. Vaikka tässä asetuksessa vahvistetut vähimmäisvaatimukset on täytettävä, unionin kunkin toimielimen ja elimen olisi hyväksyttävä erityisiä turvatoimia tietojen suojaamiseksi sisäisen riskinarvioinnin tulosten perusteella. Samaan tapaan tekniset keinot tietojen suojaamiseksi olisi mukautettava kunkin toimielimen ja elimen </w:t>
            </w:r>
            <w:r>
              <w:rPr>
                <w:b/>
                <w:i/>
              </w:rPr>
              <w:t>erityistilanteeseen</w:t>
            </w:r>
            <w:r>
              <w:t>.</w:t>
            </w:r>
          </w:p>
        </w:tc>
        <w:tc>
          <w:tcPr>
            <w:tcW w:w="4876" w:type="dxa"/>
          </w:tcPr>
          <w:p>
            <w:pPr>
              <w:pStyle w:val="Normal6a"/>
            </w:pPr>
            <w:r>
              <w:t>(12)</w:t>
            </w:r>
            <w:r>
              <w:tab/>
            </w:r>
            <w:r>
              <w:t xml:space="preserve">Tietoturvallisuuden riskinhallintaa koskevan periaatteen olisi oltava keskeinen siinä toimintapolitiikassa, jota unionin kunkin toimielimen ja elimen on määrä kehittää tällä alalla. Vaikka tässä asetuksessa vahvistetut </w:t>
            </w:r>
            <w:r>
              <w:rPr>
                <w:b/>
                <w:i/>
              </w:rPr>
              <w:t>yhteiset</w:t>
            </w:r>
            <w:r>
              <w:t xml:space="preserve"> vähimmäisvaatimukset on täytettävä, unionin kunkin toimielimen ja elimen olisi hyväksyttävä erityisiä turvatoimia tietojen suojaamiseksi sisäisen riskinarvioinnin tulosten perusteella. Samaan tapaan tekniset keinot tietojen suojaamiseksi olisi mukautettava kunkin toimielimen ja elimen </w:t>
            </w:r>
            <w:r>
              <w:rPr>
                <w:b/>
                <w:i/>
              </w:rPr>
              <w:t>tarpeisiin ja erityispiirteisiin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13 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(13)</w:t>
            </w:r>
            <w:r>
              <w:tab/>
            </w:r>
            <w:r>
              <w:rPr>
                <w:b/>
                <w:i/>
              </w:rPr>
              <w:t>Kun otetaan huomioon unionin toimielinten ja elinten omien tietoturvallisuussääntöjensä perusteella kehittämien turvallisuusluokittelemattomien tietojen luokkien moninaisuus ja jotta vältetään tämän asetuksen täytäntöönpanon viivästyminen, unionin toimielinten tai elinten olisi saatava säilyttää oma merkintäjärjestelmänsä sisäisissä käyttötarkoituksissa tai vaihtaessaan tietoja muissa toimielimissä tai elimissä taikka jäsenvaltioissa vastaavaa tehtävää hoitavien elinten kanssa.</w:t>
            </w:r>
          </w:p>
        </w:tc>
        <w:tc>
          <w:tcPr>
            <w:tcW w:w="4876" w:type="dxa"/>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14 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 xml:space="preserve">Uusiin etätyökäytäntöihin mukautumiseksi kunkin unionin toimielimen tai elimen etäkäyttöpalveluihin yhdistämiseen käytettävät </w:t>
            </w:r>
            <w:r>
              <w:rPr>
                <w:b/>
                <w:i/>
              </w:rPr>
              <w:t>verkot</w:t>
            </w:r>
            <w:r>
              <w:t xml:space="preserve"> olisi suojattava </w:t>
            </w:r>
            <w:r>
              <w:rPr>
                <w:b/>
                <w:i/>
              </w:rPr>
              <w:t>riittävillä</w:t>
            </w:r>
            <w:r>
              <w:t xml:space="preserve"> turvatoimilla.</w:t>
            </w:r>
          </w:p>
        </w:tc>
        <w:tc>
          <w:tcPr>
            <w:tcW w:w="4876" w:type="dxa"/>
          </w:tcPr>
          <w:p>
            <w:pPr>
              <w:pStyle w:val="Normal6a"/>
            </w:pPr>
            <w:r>
              <w:t>(14)</w:t>
            </w:r>
            <w:r>
              <w:tab/>
            </w:r>
            <w:r>
              <w:t xml:space="preserve">Uusiin etätyökäytäntöihin mukautumiseksi kunkin unionin toimielimen tai elimen etäkäyttöpalveluihin yhdistämiseen käytettävät </w:t>
            </w:r>
            <w:r>
              <w:rPr>
                <w:b/>
                <w:i/>
              </w:rPr>
              <w:t>verkkotietojärjestelmät, digitaalinen infrastruktuuri ja päätelaitteet</w:t>
            </w:r>
            <w:r>
              <w:t xml:space="preserve"> olisi suojattava </w:t>
            </w:r>
            <w:r>
              <w:rPr>
                <w:b/>
                <w:i/>
              </w:rPr>
              <w:t>huipputason</w:t>
            </w:r>
            <w:r>
              <w:t xml:space="preserve"> turvatoimilla.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66</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14 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Uusiin etätyökäytäntöihin mukautumiseksi kunkin unionin toimielimen tai elimen etäkäyttöpalveluihin yhdistämiseen käytettävät verkot olisi suojattava riittävillä turvatoimilla.</w:t>
            </w:r>
          </w:p>
        </w:tc>
        <w:tc>
          <w:tcPr>
            <w:tcW w:w="4876" w:type="dxa"/>
          </w:tcPr>
          <w:p>
            <w:pPr>
              <w:pStyle w:val="Normal6a"/>
            </w:pPr>
            <w:r>
              <w:t>(14)</w:t>
            </w:r>
            <w:r>
              <w:tab/>
            </w:r>
            <w:r>
              <w:t xml:space="preserve">Uusiin etätyökäytäntöihin mukautumiseksi kunkin unionin toimielimen tai elimen etäkäyttöpalveluihin yhdistämiseen käytettävät verkot olisi suojattava riittävillä turvatoimilla </w:t>
            </w:r>
            <w:r>
              <w:rPr>
                <w:b/>
                <w:i/>
              </w:rPr>
              <w:t>siten, että investoidaan päästä päähän suojattuihin verkkoihin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67</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15 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Koska unionin toimielimet ja elimet käyttävät usein toimeksisaajia ja ulkoistavat tehtäviä, on tärkeää vahvistaa yhteiset määräykset, joita sovelletaan tietoturvallisuuteen liittyviä tehtäviä suorittavien toimeksisaajien henkilöstöön.</w:t>
            </w:r>
          </w:p>
        </w:tc>
        <w:tc>
          <w:tcPr>
            <w:tcW w:w="4876" w:type="dxa"/>
          </w:tcPr>
          <w:p>
            <w:pPr>
              <w:pStyle w:val="Normal6a"/>
            </w:pPr>
            <w:r>
              <w:t>(15)</w:t>
            </w:r>
            <w:r>
              <w:tab/>
            </w:r>
            <w:r>
              <w:t xml:space="preserve">Koska unionin toimielimet ja elimet käyttävät usein toimeksisaajia ja ulkoistavat tehtäviä, on tärkeää vahvistaa yhteiset määräykset, joita sovelletaan tietoturvallisuuteen liittyviä tehtäviä suorittavien toimeksisaajien henkilöstöön. </w:t>
            </w:r>
            <w:r>
              <w:rPr>
                <w:b/>
                <w:i/>
              </w:rPr>
              <w:t>Tällaisiin määräyksiin olisi sisällyttävä muun muassa vaatimus, että hankintamenettelyissä tehdään perusteellinen taustaselvitys, jossa otetaan huomioon koko toimitusketju sekä taloudellinen ja poliittinen ympäristö, jossa kolmannet osapuolet toimivat.</w:t>
            </w:r>
            <w:r>
              <w:t xml:space="preserve"> </w:t>
            </w:r>
            <w:r>
              <w:rPr>
                <w:b/>
                <w:i/>
              </w:rPr>
              <w:t>Jos suhteet kolmansiin osapuoliin aiheuttavat riskin EU:n demokraattisten prosessien luotettavuudelle, tällaiset suhteet olisi katkaistava ilman aiheetonta viivytystä.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w:t>
      </w:r>
      <w:r>
        <w:rPr>
          <w:rStyle w:val="HideTWBExt"/>
        </w:rPr>
        <w:t>&lt;/NumAm&gt;</w:t>
      </w:r>
    </w:p>
    <w:p>
      <w:pPr>
        <w:pStyle w:val="NormalBold"/>
      </w:pPr>
      <w:r>
        <w:rPr>
          <w:rStyle w:val="HideTWBExt"/>
        </w:rPr>
        <w:t>&lt;RepeatBlock-By&gt;</w:t>
      </w:r>
      <w:r>
        <w:rPr>
          <w:rStyle w:val="HideTWBExt"/>
        </w:rPr>
        <w:t>&lt;Members&gt;</w:t>
      </w:r>
      <w:r>
        <w:t>Annika Bruna, Jean-Paul Garraud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15 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Koska unionin toimielimet ja elimet käyttävät usein toimeksisaajia ja ulkoistavat tehtäviä, on tärkeää vahvistaa yhteiset määräykset, joita sovelletaan tietoturvallisuuteen liittyviä tehtäviä suorittavien toimeksisaajien henkilöstöön.</w:t>
            </w:r>
          </w:p>
        </w:tc>
        <w:tc>
          <w:tcPr>
            <w:tcW w:w="4876" w:type="dxa"/>
          </w:tcPr>
          <w:p>
            <w:pPr>
              <w:pStyle w:val="Normal6a"/>
            </w:pPr>
            <w:r>
              <w:t>(15)</w:t>
            </w:r>
            <w:r>
              <w:tab/>
            </w:r>
            <w:r>
              <w:t>Koska unionin toimielimet ja elimet käyttävät usein toimeksisaajia ja ulkoistavat tehtäviä, on tärkeää vahvistaa yhteiset määräykset, joita sovelletaan tietoturvallisuuteen liittyviä tehtäviä suorittavien toimeksisaajien henkilöstöön</w:t>
            </w:r>
            <w:r>
              <w:rPr>
                <w:b/>
                <w:i/>
              </w:rPr>
              <w:t>, ja tarkastaa ulkoisten toimeksisaajien laatu ja luotettavuus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16 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 xml:space="preserve">Unionin eri toimielinten ja elinten sisäisiin sääntöihin sisältyvät, EU:n turvallisuusluokiteltuihin tietoihin pääsyä koskevat aineelliset säännöt ovat tällä hetkellä yhdenmukaisia, mutta luokitteluissa ja vaadituissa menettelyissä on merkittäviä eroja. </w:t>
            </w:r>
            <w:r>
              <w:rPr>
                <w:b/>
                <w:i/>
              </w:rPr>
              <w:t>Tämä aiheuttaa rasitteen jäsenvaltioiden kansallisille turvallisuusviranomaisille, koska niiden on mukauduttava eri vaatimuksiin.</w:t>
            </w:r>
            <w:r>
              <w:t xml:space="preserve"> Siksi on tarpeen säätää yhteisestä sanastosta ja yhteisistä menettelyistä henkilöstöturvallisuuden alalla ja siten </w:t>
            </w:r>
            <w:r>
              <w:rPr>
                <w:b/>
                <w:i/>
              </w:rPr>
              <w:t>yksinkertaistaa yhteistyötä jäsenvaltioiden kansallisten turvallisuusviranomaisten kanssa ja</w:t>
            </w:r>
            <w:r>
              <w:t xml:space="preserve"> vähentää EU:n turvallisuusluokiteltujen tietojen vaarantumisen riskiä.</w:t>
            </w:r>
          </w:p>
        </w:tc>
        <w:tc>
          <w:tcPr>
            <w:tcW w:w="4876" w:type="dxa"/>
          </w:tcPr>
          <w:p>
            <w:pPr>
              <w:pStyle w:val="Normal6a"/>
            </w:pPr>
            <w:r>
              <w:t>(16)</w:t>
            </w:r>
            <w:r>
              <w:tab/>
            </w:r>
            <w:r>
              <w:t>Unionin eri toimielinten ja elinten sisäisiin sääntöihin sisältyvät, EU:n turvallisuusluokiteltuihin tietoihin pääsyä koskevat aineelliset säännöt ovat tällä hetkellä yhdenmukaisia, mutta luokitteluissa ja vaadituissa menettelyissä on merkittäviä eroja. Siksi on tarpeen säätää yhteisestä sanastosta ja yhteisistä menettelyistä henkilöstöturvallisuuden alalla ja siten vähentää EU:n turvallisuusluokiteltujen tietojen vaarantumisen riskiä.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18 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(18)</w:t>
            </w:r>
            <w:r>
              <w:tab/>
            </w:r>
            <w:r>
              <w:t>EU:n turvallisuusluokiteltujen tietojen suojaaminen varmistetaan myös teknisillä ja organisatorisilla toimenpiteillä, joita sovelletaan niihin unionin toimielinten tiloihin, rakennuksiin, huoneisiin, toimistoihin tai toimitiloihin, joissa EU:n turvallisuusluokitelluista tiedoista keskustellaan tai joissa niitä käsitellään tai säilytetään. Tässä asetuksessa säädetään sellaisen tietoturvallisuuden hallintaprosessin täytäntöönpanosta fyysisen turvallisuuden alalla, jonka avulla toimielimet ja elimet voivat valita asianmukaiset turvatoimet omia toimipaikkojaan varten.</w:t>
            </w:r>
          </w:p>
        </w:tc>
        <w:tc>
          <w:tcPr>
            <w:tcW w:w="4876" w:type="dxa"/>
          </w:tcPr>
          <w:p>
            <w:pPr>
              <w:pStyle w:val="Normal6a"/>
            </w:pPr>
            <w:r>
              <w:t>(18)</w:t>
            </w:r>
            <w:r>
              <w:tab/>
            </w:r>
            <w:r>
              <w:t xml:space="preserve">EU:n turvallisuusluokiteltujen tietojen suojaaminen varmistetaan myös teknisillä ja organisatorisilla toimenpiteillä, joita sovelletaan niihin unionin toimielinten tiloihin, rakennuksiin, huoneisiin, toimistoihin tai toimitiloihin, joissa EU:n turvallisuusluokitelluista tiedoista keskustellaan tai joissa niitä käsitellään tai säilytetään. Tässä asetuksessa säädetään sellaisen tietoturvallisuuden hallintaprosessin täytäntöönpanosta fyysisen turvallisuuden alalla, jonka avulla toimielimet ja elimet voivat valita asianmukaiset turvatoimet omia toimipaikkojaan varten. </w:t>
            </w:r>
            <w:r>
              <w:rPr>
                <w:b/>
                <w:i/>
              </w:rPr>
              <w:t>Turvallisuusinfrastruktuurista, myös palveluista, olisi tehtävä perusteellinen arviointi, joka kattaa kaikki toimintaketjun ja -ympäristön näkökohdat.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20 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(20)</w:t>
            </w:r>
            <w:r>
              <w:tab/>
            </w:r>
            <w:r>
              <w:rPr>
                <w:b/>
                <w:i/>
              </w:rPr>
              <w:t>Tärkeä</w:t>
            </w:r>
            <w:r>
              <w:t xml:space="preserve"> EU:n turvallisuusluokiteltujen tietojen hallintaan liittyvä periaate </w:t>
            </w:r>
            <w:r>
              <w:rPr>
                <w:b/>
                <w:i/>
              </w:rPr>
              <w:t>on luovuttajavalvonta</w:t>
            </w:r>
            <w:r>
              <w:t xml:space="preserve">, joka on näin ollen </w:t>
            </w:r>
            <w:r>
              <w:rPr>
                <w:b/>
                <w:i/>
              </w:rPr>
              <w:t>tarpeen vahvistaa ja kehittää selkeästi</w:t>
            </w:r>
            <w:r>
              <w:t>. Tältä osin EU:n turvallisuusluokiteltujen tietojen tuottaminen aikaansaa luovuttajalle vastuun</w:t>
            </w:r>
            <w:r>
              <w:rPr>
                <w:b/>
                <w:i/>
              </w:rPr>
              <w:t>, jonka olisi katettava</w:t>
            </w:r>
            <w:r>
              <w:t xml:space="preserve"> asiaan liittyvän EU:n turvallisuusluokitellun asiakirjan </w:t>
            </w:r>
            <w:r>
              <w:rPr>
                <w:b/>
                <w:i/>
              </w:rPr>
              <w:t>koko elinkaari</w:t>
            </w:r>
            <w:r>
              <w:t>.</w:t>
            </w:r>
          </w:p>
        </w:tc>
        <w:tc>
          <w:tcPr>
            <w:tcW w:w="4876" w:type="dxa"/>
          </w:tcPr>
          <w:p>
            <w:pPr>
              <w:pStyle w:val="Normal6a"/>
            </w:pPr>
            <w:r>
              <w:t>(20)</w:t>
            </w:r>
            <w:r>
              <w:tab/>
            </w:r>
            <w:r>
              <w:rPr>
                <w:b/>
                <w:i/>
              </w:rPr>
              <w:t>Luovuttajavalvonta on</w:t>
            </w:r>
            <w:r>
              <w:t xml:space="preserve"> EU:n turvallisuusluokiteltujen tietojen hallintaan liittyvä periaate, joka on näin ollen </w:t>
            </w:r>
            <w:r>
              <w:rPr>
                <w:b/>
                <w:i/>
              </w:rPr>
              <w:t>otettava huomioon</w:t>
            </w:r>
            <w:r>
              <w:t xml:space="preserve">. Tältä osin EU:n turvallisuusluokiteltujen tietojen tuottaminen aikaansaa luovuttajalle vastuun asiaan liittyvän EU:n turvallisuusluokitellun asiakirjan </w:t>
            </w:r>
            <w:r>
              <w:rPr>
                <w:b/>
                <w:i/>
              </w:rPr>
              <w:t>elinkaaren alussa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21 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(21)</w:t>
            </w:r>
            <w:r>
              <w:tab/>
            </w:r>
            <w:r>
              <w:t xml:space="preserve">Unionin toimielimet ja elimet ovat perinteisesti kehittäneet viestintä- ja tietojärjestelmiään itsenäisesti, eikä niiden yhteentoimivuuteen kaikissa unionin toimielimissä ja elimissä ole kiinnitetty riittävästi huomiota. Siksi on tarpeen vahvistaa vähimmäisturvallisuusvaatimukset viestintä- ja tietojärjestelmille, joissa käsitellään </w:t>
            </w:r>
            <w:r>
              <w:rPr>
                <w:b/>
                <w:i/>
              </w:rPr>
              <w:t>ja säilytetään</w:t>
            </w:r>
            <w:r>
              <w:t xml:space="preserve"> sekä EU:n turvallisuusluokiteltuja tietoja että turvallisuusluokittelemattomia tietoja, jotta voidaan taata sujuva tietojenvaihto asiaan liittyvien sidosryhmien kanssa.</w:t>
            </w:r>
          </w:p>
        </w:tc>
        <w:tc>
          <w:tcPr>
            <w:tcW w:w="4876" w:type="dxa"/>
          </w:tcPr>
          <w:p>
            <w:pPr>
              <w:pStyle w:val="Normal6a"/>
            </w:pPr>
            <w:r>
              <w:t>(21)</w:t>
            </w:r>
            <w:r>
              <w:tab/>
            </w:r>
            <w:r>
              <w:t>Unionin toimielimet ja elimet ovat perinteisesti kehittäneet viestintä- ja tietojärjestelmiään itsenäisesti, eikä niiden yhteentoimivuuteen kaikissa unionin toimielimissä ja elimissä ole kiinnitetty riittävästi huomiota. Siksi on tarpeen vahvistaa vähimmäisturvallisuusvaatimukset viestintä- ja tietojärjestelmille, joissa käsitellään</w:t>
            </w:r>
            <w:r>
              <w:rPr>
                <w:b/>
                <w:i/>
              </w:rPr>
              <w:t>, säilytetään ja siirretään</w:t>
            </w:r>
            <w:r>
              <w:t xml:space="preserve"> sekä EU:n turvallisuusluokiteltuja tietoja että turvallisuusluokittelemattomia tietoja, jotta voidaan taata sujuva tietojenvaihto asiaan liittyvien sidosryhmien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21 a kappale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(21 a)</w:t>
            </w:r>
            <w:r>
              <w:tab/>
            </w:r>
            <w:r>
              <w:rPr>
                <w:b/>
                <w:i/>
              </w:rPr>
              <w:t>Unionin toimijoiden hallussa olevia tietoja vaihdetaan myös tieto- ja viestintätekniikan ympäristön välityksellä, paikan päällä tai virtuaalisesti, tieto- ja viestintätekniikan tuotteiden, palvelujen ja prosessien välityksellä sekä käyttäen verkkoja ja tietojärjestelmiä, jotka unionin toimija omistaa tai joita se käyttää tai joita kolmas osapuoli ylläpitää tai käyttää, mukaan lukien mobiililaitteet, yritysverkot ja internetiin liittämättömät liiketoiminnan verkot ja kaikki tieto- ja viestintätekniikan ympäristöön liitetyt laitteet.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 artikla – 1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Tässä asetuksessa säädetään </w:t>
            </w:r>
            <w:r>
              <w:rPr>
                <w:b/>
                <w:i/>
              </w:rPr>
              <w:t>tietoturvallisuussäännöistä</w:t>
            </w:r>
            <w:r>
              <w:t xml:space="preserve"> unionin kaikkia toimielimiä ja elimiä varten.</w:t>
            </w:r>
          </w:p>
        </w:tc>
        <w:tc>
          <w:tcPr>
            <w:tcW w:w="4876" w:type="dxa"/>
          </w:tcPr>
          <w:p>
            <w:pPr>
              <w:pStyle w:val="Normal6a"/>
            </w:pPr>
            <w:r>
              <w:t>1.</w:t>
            </w:r>
            <w:r>
              <w:tab/>
            </w:r>
            <w:r>
              <w:t xml:space="preserve">Tässä asetuksessa säädetään </w:t>
            </w:r>
            <w:r>
              <w:rPr>
                <w:b/>
                <w:i/>
              </w:rPr>
              <w:t>tietoturvallisuutta koskevista yhteisistä ja yhdenmukaisista vähimmäissäännöistä</w:t>
            </w:r>
            <w:r>
              <w:t xml:space="preserve"> unionin kaikkia toimielimiä ja elimiä varten.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75</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 artikla – 1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Tässä asetuksessa säädetään </w:t>
            </w:r>
            <w:r>
              <w:rPr>
                <w:b/>
                <w:i/>
              </w:rPr>
              <w:t>tietoturvallisuussäännöistä</w:t>
            </w:r>
            <w:r>
              <w:t xml:space="preserve"> unionin kaikkia toimielimiä ja elimiä varten.</w:t>
            </w:r>
          </w:p>
        </w:tc>
        <w:tc>
          <w:tcPr>
            <w:tcW w:w="4876" w:type="dxa"/>
          </w:tcPr>
          <w:p>
            <w:pPr>
              <w:pStyle w:val="Normal6a"/>
            </w:pPr>
            <w:r>
              <w:t>1.</w:t>
            </w:r>
            <w:r>
              <w:tab/>
            </w:r>
            <w:r>
              <w:t xml:space="preserve">Tässä asetuksessa säädetään </w:t>
            </w:r>
            <w:r>
              <w:rPr>
                <w:b/>
                <w:i/>
              </w:rPr>
              <w:t>tietoturvallisuutta koskevista yhteisistä vähimmäissäännöistä</w:t>
            </w:r>
            <w:r>
              <w:t xml:space="preserve"> unionin kaikkia toimielimiä ja elimiä varten.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 artikla – 1 a kohta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a.</w:t>
            </w:r>
            <w:r>
              <w:tab/>
            </w:r>
            <w:r>
              <w:rPr>
                <w:b/>
                <w:i/>
              </w:rPr>
              <w:t>Tämä asetus ei rajoita Euroopan parlamentin ja neuvoston asetuksen (EY) N:o 1049/2001 soveltamista.</w:t>
            </w:r>
            <w:r>
              <w:t xml:space="preserve"> </w:t>
            </w:r>
            <w:r>
              <w:rPr>
                <w:b/>
                <w:i/>
              </w:rPr>
              <w:t>Tätä asetusta, erityisesti EU:n turvallisuusluokiteltuja tietoja koskevia säännöksiä, ei saa käyttää miltään osin unionin toimielinten, elinten ja laitosten asiakirjoihin tutustumista koskevan oikeuden rajoittamiseen tavalla, joka ylittää tällaiseen tutustumisoikeuteen sovellettavan lainsäädännön.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 artikla – 1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Tätä asetusta sovelletaan kaikkiin unionin toimielinten ja elinten käsittelemiin ja säilyttämiin tietoihin, mukaan lukien Euroopan atomienergiayhteisön toimintaan liittyvät tiedot Euratomin turvallisuusluokiteltuja tietoja </w:t>
            </w:r>
            <w:r>
              <w:rPr>
                <w:b/>
                <w:i/>
              </w:rPr>
              <w:t>lukuun ottamatta</w:t>
            </w:r>
            <w:r>
              <w:t>.</w:t>
            </w:r>
          </w:p>
        </w:tc>
        <w:tc>
          <w:tcPr>
            <w:tcW w:w="4876" w:type="dxa"/>
          </w:tcPr>
          <w:p>
            <w:pPr>
              <w:pStyle w:val="Normal6a"/>
            </w:pPr>
            <w:r>
              <w:t>1.</w:t>
            </w:r>
            <w:r>
              <w:tab/>
            </w:r>
            <w:r>
              <w:t>Tätä asetusta sovelletaan kaikkiin unionin toimielinten ja elinten käsittelemiin ja säilyttämiin tietoihin, mukaan lukien Euroopan atomienergiayhteisön toimintaan liittyvät tiedot</w:t>
            </w:r>
            <w:r>
              <w:rPr>
                <w:b/>
                <w:i/>
              </w:rPr>
              <w:t>, lukuun ottamatta</w:t>
            </w:r>
            <w:r>
              <w:t xml:space="preserve"> Euratomin turvallisuusluokiteltuja tietoja </w:t>
            </w:r>
            <w:r>
              <w:rPr>
                <w:b/>
                <w:i/>
              </w:rPr>
              <w:t>ja tietoja, jotka liittyvät EKP:n tehtäviin ja toimintaan EKPJ:ssä ja YVM:ssä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 artikla – 1 a kohta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a.</w:t>
            </w:r>
            <w:r>
              <w:tab/>
            </w:r>
            <w:r>
              <w:rPr>
                <w:b/>
                <w:i/>
              </w:rPr>
              <w:t>Tämä asetus ei rajoita asetuksen (Euratom) N:o 3/1958[1], Euroopan talousyhteisön ja Euroopan atomienergiajärjestön virkamiehiin sovellettavien henkilöstösääntöjen ja näiden yhteisöjen muuta henkilöstöä koskevien palvelussuhteen ehtojen vahvistamisesta annetun asetuksen N:o 31 (ETY) 11 (Euratom)[2], Euroopan parlamentin ja neuvoston asetuksen (EY) N:o 1049/2001[3], Euroopan parlamentin ja neuvoston asetuksen (EU) 2018/1725[4], neuvoston asetuksen (ETY, Euratom) N:o 354/83[5], Euroopan parlamentin ja neuvoston asetuksen (EU, Euratom) 2018/1046[6], Euroopan parlamentin ja neuvoston asetuksen (EU) 2021/697[7] sekä toimenpiteistä yhteisen korkean kyberturvatason varmistamiseksi unionin toimielimissä, elimissä ja laitoksissa annetun Euroopan parlamentin ja neuvoston asetuksen (EU) [...][8] soveltamista. [KL1] [1] Asetus (Euratom) N:o 3/1958 Euroopan ydinenergiayhteisön perustamissopimuksen 24 artiklan soveltamisesta (EYVL 17, 6.10.1958, s.</w:t>
            </w:r>
            <w:r>
              <w:t xml:space="preserve"> </w:t>
            </w:r>
            <w:r>
              <w:rPr>
                <w:b/>
                <w:i/>
              </w:rPr>
              <w:t>406). [2] EYVL 45, 14.6.1962, s.</w:t>
            </w:r>
            <w:r>
              <w:t xml:space="preserve"> </w:t>
            </w:r>
            <w:r>
              <w:rPr>
                <w:b/>
                <w:i/>
              </w:rPr>
              <w:t>1385. [3] Euroopan parlamentin ja neuvoston asetus (EY) N:o 1049/2001, annettu 30 päivänä toukokuuta 2001, Euroopan parlamentin, neuvoston ja komission asiakirjojen saamisesta yleisön tutustuttavaksi (EUVL L 145, 31.5.2001, s.</w:t>
            </w:r>
            <w:r>
              <w:t xml:space="preserve"> </w:t>
            </w:r>
            <w:r>
              <w:rPr>
                <w:b/>
                <w:i/>
              </w:rPr>
              <w:t>43). [4] 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 (EUVL L 295, 21.11.2018, s.</w:t>
            </w:r>
            <w:r>
              <w:t xml:space="preserve"> </w:t>
            </w:r>
            <w:r>
              <w:rPr>
                <w:b/>
                <w:i/>
              </w:rPr>
              <w:t>39). [5] Neuvoston asetus (ETY, Euratom) N:o 354/83, annettu 1 päivänä helmikuuta 1983, Euroopan talousyhteisön ja Euroopan atomienergiayhteisön historiallisten arkistojen avaamisesta yleisölle (EYVL L 43, 15.2.1983, s.</w:t>
            </w:r>
            <w:r>
              <w:t xml:space="preserve"> </w:t>
            </w:r>
            <w:r>
              <w:rPr>
                <w:b/>
                <w:i/>
              </w:rPr>
              <w:t>1). [6] Euroopan parlamentin ja neuvoston asetus (EU, Euratom) 2018/1046, annettu 18 päivänä heinäkuuta 2018,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(EUVL L 193, 30.7.2018, s.</w:t>
            </w:r>
            <w:r>
              <w:t xml:space="preserve"> </w:t>
            </w:r>
            <w:r>
              <w:rPr>
                <w:b/>
                <w:i/>
              </w:rPr>
              <w:t>1). [7] Euroopan parlamentin ja neuvoston asetus (EU) 2021/697, annettu 29 päivänä huhtikuuta 2021, Euroopan puolustusrahaston perustamisesta ja asetuksen (EU) 2018/1092 kumoamisesta (EUVL L 170, 12.5.2021, s. 149). [8] Euroopan parlamentin ja neuvoston asetus […] toimenpiteistä yhteisen korkean kyberturvatason varmistamiseksi unionin toimielimissä, elimissä ja laitoksissa.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79</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 artikla – 1 a kohta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a.</w:t>
            </w:r>
            <w:r>
              <w:tab/>
            </w:r>
            <w:r>
              <w:rPr>
                <w:b/>
                <w:i/>
              </w:rPr>
              <w:t>Tätä asetusta ei sovelleta komission jäseniin, neuvostossa kokoontuviin jäsenvaltioiden edustajiin, Euroopan parlamentin jäseniin, unionin tuomioistuinten tuomareihin eikä Euroopan tilintarkastustuomioistuimen jäseniin.</w:t>
            </w:r>
            <w:r>
              <w:t xml:space="preserve"> </w:t>
            </w:r>
            <w:r>
              <w:rPr>
                <w:b/>
                <w:i/>
              </w:rPr>
              <w:t>Näiden toimielinten ja elinten on hyväksyttävä tämän asetuksen mukaiset sisäiset säännöt, jotta voidaan varmistaa asetuksen tehokkuus ja se, ettei luoda aukkoja tietoturvallisuusjärjestelmään eikä eroja samassa toimielimessä olevien henkilöiden välille.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 artikla – 2 kohta – a alakohta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kolmeen turvallisuusluokittelemattomien tietojen tasoon: julkiseen käyttöön tarkoitettu, normaali ja </w:t>
            </w:r>
            <w:r>
              <w:rPr>
                <w:b/>
                <w:i/>
              </w:rPr>
              <w:t>arkaluonteinen</w:t>
            </w:r>
            <w:r>
              <w:t xml:space="preserve"> turvallisuusluokittelematon;</w:t>
            </w:r>
          </w:p>
        </w:tc>
        <w:tc>
          <w:tcPr>
            <w:tcW w:w="4876" w:type="dxa"/>
          </w:tcPr>
          <w:p>
            <w:pPr>
              <w:pStyle w:val="Normal6a"/>
            </w:pPr>
            <w:r>
              <w:t>a)</w:t>
            </w:r>
            <w:r>
              <w:tab/>
            </w:r>
            <w:r>
              <w:t xml:space="preserve">kolmeen turvallisuusluokittelemattomien tietojen tasoon: julkiseen käyttöön tarkoitettu, normaali ja </w:t>
            </w:r>
            <w:r>
              <w:rPr>
                <w:b/>
                <w:i/>
              </w:rPr>
              <w:t>suojattu</w:t>
            </w:r>
            <w:r>
              <w:t xml:space="preserve"> turvallisuusluokittelematon;</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(Muutos koskee koko tekstiä. Jos tarkistus hyväksytään, kaikkialle tekstiin on tehtävä vastaavat muutokset.)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Asetuksen (EY) N:o 1049/2001 9 artiklassa arkaluonteisiksi kutsutaan ainoastaan turvallisuusluokituksia CONFIDENTIEL UE/EU CONFIDENTIAL, SECRET UE/EU SECRET ja TRES SECRET UE/EU TOP SECRET.</w:t>
      </w:r>
      <w:r>
        <w:t xml:space="preserve"> </w:t>
      </w:r>
      <w:r>
        <w:t>Sekaannusten välttämiseksi olisi käytettävä erilaista terminologiaa.</w:t>
      </w:r>
    </w:p>
    <w:p>
      <w:r>
        <w:rPr>
          <w:rStyle w:val="HideTWBExt"/>
        </w:rPr>
        <w:t>&lt;/Amend&gt;</w:t>
      </w:r>
    </w:p>
    <w:p>
      <w:pPr>
        <w:pStyle w:val="AmNumberTabs"/>
      </w:pPr>
      <w:r>
        <w:rPr>
          <w:rStyle w:val="HideTWBExt"/>
        </w:rPr>
        <w:t>&lt;Amend&gt;</w:t>
      </w:r>
      <w:r>
        <w:t>Tarkistus</w:t>
      </w:r>
      <w:r>
        <w:tab/>
      </w:r>
      <w:r>
        <w:tab/>
      </w:r>
      <w:r>
        <w:rPr>
          <w:rStyle w:val="HideTWBExt"/>
        </w:rPr>
        <w:t>&lt;NumAm&gt;</w:t>
      </w:r>
      <w:r>
        <w:t>81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 artikla – 2 kohta – b alakohta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rPr>
                <w:b/>
                <w:i/>
              </w:rPr>
              <w:t>neljään</w:t>
            </w:r>
            <w:r>
              <w:t xml:space="preserve"> EU:n turvallisuusluokiteltujen tietojen tasoon: </w:t>
            </w:r>
            <w:r>
              <w:rPr>
                <w:b/>
                <w:i/>
              </w:rPr>
              <w:t>RESTREINT UE/EU RESTRICTED,</w:t>
            </w:r>
            <w:r>
              <w:t xml:space="preserve"> CONFIDENTIEL UE/EU CONFIDENTIAL, SECRET UE/EU SECRET ja TRÈS SECRET UE/EU TOP SECRET.</w:t>
            </w:r>
          </w:p>
        </w:tc>
        <w:tc>
          <w:tcPr>
            <w:tcW w:w="4876" w:type="dxa"/>
          </w:tcPr>
          <w:p>
            <w:pPr>
              <w:pStyle w:val="Normal6a"/>
            </w:pPr>
            <w:r>
              <w:t>b)</w:t>
            </w:r>
            <w:r>
              <w:tab/>
            </w:r>
            <w:r>
              <w:rPr>
                <w:b/>
                <w:i/>
              </w:rPr>
              <w:t>kolmeen</w:t>
            </w:r>
            <w:r>
              <w:t xml:space="preserve"> EU:n turvallisuusluokiteltujen tietojen tasoon: CONFIDENTIEL UE/EU CONFIDENTIAL, SECRET UE/EU SECRET ja TRÈS SECRET UE/EU TOP SECRET.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(Muutos koskee koko tekstiä. Jos tarkistus hyväksytään, kaikkialle tekstiin on tehtävä vastaavat muutokset.)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 artikla – 3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Nämä tasot perustuvat vahinkoon, jota tietojen luvaton ilmitulo voi aiheuttaa oikeutetuille </w:t>
            </w:r>
            <w:r>
              <w:rPr>
                <w:b/>
                <w:i/>
              </w:rPr>
              <w:t>yksityisille ja</w:t>
            </w:r>
            <w:r>
              <w:t xml:space="preserve"> julkisille eduille, myös unionin, unionin toimielinten ja elinten, jäsenvaltioiden tai muiden sidosryhmien eduille, ja niiden tarkoituksena on, että voidaan soveltaa asianmukaisia suojatoimia.</w:t>
            </w:r>
          </w:p>
        </w:tc>
        <w:tc>
          <w:tcPr>
            <w:tcW w:w="4876" w:type="dxa"/>
          </w:tcPr>
          <w:p>
            <w:pPr>
              <w:pStyle w:val="Normal6a"/>
            </w:pPr>
            <w:r>
              <w:t>3.</w:t>
            </w:r>
            <w:r>
              <w:tab/>
            </w:r>
            <w:r>
              <w:t>Nämä tasot perustuvat vahinkoon, jota tietojen luvaton ilmitulo voi aiheuttaa oikeutetuille julkisille eduille, myös unionin, unionin toimielinten ja elinten, jäsenvaltioiden tai muiden sidosryhmien eduille, ja niiden tarkoituksena on, että voidaan soveltaa asianmukaisia suojatoimia.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1 a kohta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a.</w:t>
            </w:r>
            <w:r>
              <w:tab/>
            </w:r>
            <w:r>
              <w:rPr>
                <w:b/>
                <w:i/>
              </w:rPr>
              <w:t>Unionin toimielinten jäsenillä on oikeus tutustua kaikentyyppisiin tietoihin tiedonsaantitarpeen perusteella, jotta he voivat hoitaa tehtävänsä tehokkaasti perussopimusten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2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Tämän asetuksen noudattamatta jättäminen, erityisesti 2 artiklan 2 kohdassa tarkoitettujen luottamuksellisuustasojen mukaisten tietojen, julkiseen käyttöön tarkoitettuja tietoja lukuun ottamatta, luvaton luovuttaminen johtaa tutkintaan ja voi johtaa siihen, että käyttöön otetaan henkilöstöön kohdistuva vastuu perussopimusten tai toimielimen tai elimen asiaa koskevien henkilöstösääntöjen mukaisesti.</w:t>
            </w:r>
          </w:p>
        </w:tc>
        <w:tc>
          <w:tcPr>
            <w:tcW w:w="4876" w:type="dxa"/>
          </w:tcPr>
          <w:p>
            <w:pPr>
              <w:pStyle w:val="Normal6a"/>
            </w:pPr>
            <w:r>
              <w:t>2.</w:t>
            </w:r>
            <w:r>
              <w:tab/>
            </w:r>
            <w:r>
              <w:t xml:space="preserve">Tämän asetuksen noudattamatta jättäminen, erityisesti 2 artiklan 2 kohdassa tarkoitettujen luottamuksellisuustasojen mukaisten tietojen, julkiseen käyttöön tarkoitettuja tietoja lukuun ottamatta, luvaton luovuttaminen johtaa tutkintaan ja voi johtaa siihen, että käyttöön otetaan henkilöstöön kohdistuva vastuu perussopimusten tai toimielimen tai elimen asiaa koskevien henkilöstösääntöjen mukaisesti </w:t>
            </w:r>
            <w:r>
              <w:rPr>
                <w:b/>
                <w:i/>
              </w:rPr>
              <w:t>ottaen asianmukaisesti huomioon säännökset, jotka koskevat sellaisten seikkojen, jotka antavat aihetta olettaa petoksen tai korruption taikka unionin etuja vahingoittavan muun laittoman toiminnan mahdollisuutta, tai sellaisten virkatoimiin liittyvien vakavien tekojen, jotka voivat merkitä, että ammatillisia velvollisuuksia ei ole noudatettu, paljastamista, sekä unionin oikeuden rikkomisesta ilmoittavien henkilöiden suojelun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3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Unionin toimielimet ja elimet arvioivat kaikki käsittelemänsä ja säilyttämänsä tiedot, jotta ne voidaan luokitella 2 artiklan 2 kohdassa tarkoitettujen luottamuksellisuustasojen mukaisesti.</w:t>
            </w:r>
          </w:p>
        </w:tc>
        <w:tc>
          <w:tcPr>
            <w:tcW w:w="4876" w:type="dxa"/>
          </w:tcPr>
          <w:p>
            <w:pPr>
              <w:pStyle w:val="Normal6a"/>
            </w:pPr>
            <w:r>
              <w:t>3.</w:t>
            </w:r>
            <w:r>
              <w:tab/>
            </w:r>
            <w:r>
              <w:rPr>
                <w:b/>
                <w:i/>
              </w:rPr>
              <w:t>Sanotun rajoittamatta SEUT-sopimuksen 15 artiklan soveltamista</w:t>
            </w:r>
            <w:r>
              <w:t xml:space="preserve"> unionin toimielimet ja elimet arvioivat kaikki käsittelemänsä ja säilyttämänsä tiedot, jotta ne voidaan luokitella 2 artiklan 2 kohdassa tarkoitettujen luottamuksellisuustasojen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4 kohta – d alakohta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eheys: tiedot ovat täydelliset ja tietojen täydellisyys muuttumaton;</w:t>
            </w:r>
          </w:p>
        </w:tc>
        <w:tc>
          <w:tcPr>
            <w:tcW w:w="4876" w:type="dxa"/>
          </w:tcPr>
          <w:p>
            <w:pPr>
              <w:pStyle w:val="Normal6a"/>
            </w:pPr>
            <w:r>
              <w:t>d)</w:t>
            </w:r>
            <w:r>
              <w:tab/>
            </w:r>
            <w:r>
              <w:t xml:space="preserve">eheys: tiedot ovat täydelliset ja tietojen täydellisyys muuttumaton </w:t>
            </w:r>
            <w:r>
              <w:rPr>
                <w:b/>
                <w:i/>
              </w:rPr>
              <w:t>ja tietojen jakamiseen käytetty tekninen infrastruktuuri on suojattu kaikelta ulkomaiselta sekaantumiselta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6 kohta – 2 alakohta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EU:n turvallisuusluokiteltuja tietoja käsittelevät ja säilyttävät toimielimet ja elimet järjestävät vähintään joka viides vuosi pakollisen koulutuksen kaikille henkilöille, joille on myönnetty pääsy EU:n turvallisuusluokiteltuihin tietoihin. Unionin asianomaiset toimielimet ja elimet järjestävät erityiskoulutusta niille toimijoille, joilla on tietoturvallisuuteen liittyviä tehtäviä.</w:t>
            </w:r>
          </w:p>
        </w:tc>
        <w:tc>
          <w:tcPr>
            <w:tcW w:w="4876" w:type="dxa"/>
          </w:tcPr>
          <w:p>
            <w:pPr>
              <w:pStyle w:val="Normal6a"/>
            </w:pPr>
            <w:r>
              <w:t xml:space="preserve">EU:n turvallisuusluokiteltuja tietoja käsittelevät ja säilyttävät toimielimet ja elimet järjestävät vähintään joka viides vuosi pakollisen koulutuksen kaikille henkilöille, joille on myönnetty pääsy EU:n turvallisuusluokiteltuihin tietoihin. Unionin asianomaiset toimielimet ja elimet järjestävät erityiskoulutusta niille toimijoille, joilla on tietoturvallisuuteen liittyviä tehtäviä. </w:t>
            </w:r>
            <w:r>
              <w:rPr>
                <w:b/>
                <w:i/>
              </w:rPr>
              <w:t>Unionin toimijoiden on suunniteltava ja toteutettava viimeistään kuuden kuukauden kuluttua tämän asetuksen voimaantulopäivästä tehokkaita ja asianmukaisia kursseja, jotka ovat oikeassa suhteessa 5 artiklan mukaisesti tunnistettuihin riskeihin, kaikille henkilöille, joilla on lupa päästä EU:n turvallisuusluokiteltuihin tietoihin.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3 kohta – a a alakohta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a)</w:t>
            </w:r>
            <w:r>
              <w:tab/>
            </w:r>
            <w:r>
              <w:rPr>
                <w:b/>
                <w:i/>
              </w:rPr>
              <w:t>riskit luonnollisten henkilöiden oikeuksille ja vapauksille;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3 kohta – f alakohta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toiminnan jatkuvuus ja palautuminen;</w:t>
            </w:r>
          </w:p>
        </w:tc>
        <w:tc>
          <w:tcPr>
            <w:tcW w:w="4876" w:type="dxa"/>
          </w:tcPr>
          <w:p>
            <w:pPr>
              <w:pStyle w:val="Normal6a"/>
            </w:pPr>
            <w:r>
              <w:t>f)</w:t>
            </w:r>
            <w:r>
              <w:tab/>
            </w:r>
            <w:r>
              <w:t>toiminnan jatkuvuus</w:t>
            </w:r>
            <w:r>
              <w:rPr>
                <w:b/>
                <w:i/>
              </w:rPr>
              <w:t>, kriisinhallinta</w:t>
            </w:r>
            <w:r>
              <w:t xml:space="preserve"> ja palautuminen;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 – 1 kohta – 2 a alakohta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Koordinointiryhmän jäsenet nimitetään siten, että sukupuolijakauma ja maantieteellinen edustus ovat tasapainossa.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91</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 – 2 kohta – a a alakohta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a)</w:t>
            </w:r>
            <w:r>
              <w:tab/>
            </w:r>
            <w:r>
              <w:rPr>
                <w:b/>
                <w:i/>
              </w:rPr>
              <w:t>antaa päätöksiä temaattisten alaryhmien perustamisesta, niiden toimeksiannoista ja niiden kokousten sääntöjenmukaisuudesta;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 – 2 kohta – e a alakohta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a)</w:t>
            </w:r>
            <w:r>
              <w:tab/>
            </w:r>
            <w:r>
              <w:rPr>
                <w:b/>
                <w:i/>
              </w:rPr>
              <w:t>valvoo, että unionin toimielimet ja elimet noudattavat tätä asetusta sekä c alakohdan nojalla laadittuja ohjeasiakirjoja hyväksymällä vuotuisen arviointikertomuksen, johon kootaan asianomaisilta alaryhmiltä saadut tiedot.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 – 2 kohta – e a alakohta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a)</w:t>
            </w:r>
            <w:r>
              <w:tab/>
            </w:r>
            <w:r>
              <w:rPr>
                <w:b/>
                <w:i/>
              </w:rPr>
              <w:t>seuraa, miten unionin toimielimet ja elimet noudattavat tätä asetusta sekä c alakohdan nojalla laadittuja ohjeasiakirjoja hyväksymällä vuotuisen arviointikertomuksen;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 – 6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Unionin kukin toimielin tai elin on asianmukaisesti edustettuna koordinointiryhmässä </w:t>
            </w:r>
            <w:r>
              <w:rPr>
                <w:b/>
                <w:i/>
              </w:rPr>
              <w:t>ja soveltuvin osin</w:t>
            </w:r>
            <w:r>
              <w:t xml:space="preserve"> temaattisissa alaryhmissä.</w:t>
            </w:r>
          </w:p>
        </w:tc>
        <w:tc>
          <w:tcPr>
            <w:tcW w:w="4876" w:type="dxa"/>
          </w:tcPr>
          <w:p>
            <w:pPr>
              <w:pStyle w:val="Normal6a"/>
            </w:pPr>
            <w:r>
              <w:t>6.</w:t>
            </w:r>
            <w:r>
              <w:tab/>
            </w:r>
            <w:r>
              <w:t>Unionin kukin toimielin tai elin on asianmukaisesti edustettuna koordinointiryhmässä</w:t>
            </w:r>
            <w:r>
              <w:rPr>
                <w:b/>
                <w:i/>
              </w:rPr>
              <w:t>.</w:t>
            </w:r>
            <w:r>
              <w:t xml:space="preserve"> </w:t>
            </w:r>
            <w:r>
              <w:rPr>
                <w:b/>
                <w:i/>
              </w:rPr>
              <w:t>Parlamentti, komissio ja neuvosto ovat edustettuina kaikissa</w:t>
            </w:r>
            <w:r>
              <w:t xml:space="preserve"> temaattisissa alaryhmissä. </w:t>
            </w:r>
            <w:r>
              <w:rPr>
                <w:b/>
                <w:i/>
              </w:rPr>
              <w:t>Muut toimielimet ja elimet soveltuvin osin.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95</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 – 7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Unionin toimielimet ja elimet ilmoittavat koordinointiryhmälle kaikesta merkittävästä tietoturvallisuutta koskevan toimintapolitiikan kehityksestä omassa organisaatiossaan.</w:t>
            </w:r>
          </w:p>
        </w:tc>
        <w:tc>
          <w:tcPr>
            <w:tcW w:w="4876" w:type="dxa"/>
          </w:tcPr>
          <w:p>
            <w:pPr>
              <w:pStyle w:val="Normal6a"/>
            </w:pPr>
            <w:r>
              <w:t>7.</w:t>
            </w:r>
            <w:r>
              <w:tab/>
            </w:r>
            <w:r>
              <w:t xml:space="preserve">Unionin toimielimet ja elimet ilmoittavat koordinointiryhmälle kaikesta merkittävästä tietoturvallisuutta koskevan toimintapolitiikan kehityksestä omassa organisaatiossaan </w:t>
            </w:r>
            <w:r>
              <w:rPr>
                <w:b/>
                <w:i/>
              </w:rPr>
              <w:t>ilman aiheetonta viivytystä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96</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 – 8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Koordinointiryhmää avustaa 2 kohdan e alakohdassa tarkoitettujen tehtävien suorittamisessa tietoturvallisuuskomitea. Komiteassa on yksi edustaja kustakin kansallisesta turvallisuusviranomaisesta, ja sen puheenjohtajana toimii 5 kohdassa tarkoitettu koordinointiryhmän sihteeristö. Tietoturvallisuuskomitealla on neuvoa-antava rooli.</w:t>
            </w:r>
          </w:p>
        </w:tc>
        <w:tc>
          <w:tcPr>
            <w:tcW w:w="4876" w:type="dxa"/>
          </w:tcPr>
          <w:p>
            <w:pPr>
              <w:pStyle w:val="Normal6a"/>
            </w:pPr>
            <w:r>
              <w:t>8.</w:t>
            </w:r>
            <w:r>
              <w:tab/>
            </w:r>
            <w:r>
              <w:t xml:space="preserve">Koordinointiryhmää avustaa 2 kohdan e alakohdassa tarkoitettujen tehtävien suorittamisessa tietoturvallisuuskomitea. Komiteassa on yksi edustaja kustakin kansallisesta turvallisuusviranomaisesta, ja sen puheenjohtajana toimii 5 kohdassa tarkoitettu koordinointiryhmän sihteeristö. </w:t>
            </w:r>
            <w:r>
              <w:rPr>
                <w:b/>
                <w:i/>
              </w:rPr>
              <w:t>Euroopan parlamentin edustaja osallistuu komiteaan tarkkailijana.</w:t>
            </w:r>
            <w:r>
              <w:t xml:space="preserve"> Tietoturvallisuuskomitealla on neuvoa-antava rooli.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artikla – 1 kohta – e a alakohta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a)</w:t>
            </w:r>
            <w:r>
              <w:tab/>
            </w:r>
            <w:r>
              <w:rPr>
                <w:b/>
                <w:i/>
              </w:rPr>
              <w:t>hallinnollisia järjestelyjä kolmansien maiden ja kansainvälisten järjestöjen kanssa käsittelevä alaryhmä.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8 artikla – 1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Unionin kukin toimielin ja elin nimeää turvallisuusviranomaisen, joka ottaa hoitaakseen tässä asetuksessa </w:t>
            </w:r>
            <w:r>
              <w:rPr>
                <w:b/>
                <w:i/>
              </w:rPr>
              <w:t>ja soveltuvissa tapauksissa toimielimen tai elimen sisäisissä turvallisuussäännöissä annetut tehtävät</w:t>
            </w:r>
            <w:r>
              <w:t>. Kutakin turvallisuusviranomaista tukee sen tehtävien suorittamisessa osasto tai virkamies, jolle on uskottu tietoturvallisuuteen liittyviä tehtäviä.</w:t>
            </w:r>
          </w:p>
        </w:tc>
        <w:tc>
          <w:tcPr>
            <w:tcW w:w="4876" w:type="dxa"/>
          </w:tcPr>
          <w:p>
            <w:pPr>
              <w:pStyle w:val="Normal6a"/>
            </w:pPr>
            <w:r>
              <w:t>1.</w:t>
            </w:r>
            <w:r>
              <w:tab/>
            </w:r>
            <w:r>
              <w:t xml:space="preserve">Unionin kukin toimielin ja elin nimeää turvallisuusviranomaisen, joka ottaa hoitaakseen tässä asetuksessa </w:t>
            </w:r>
            <w:r>
              <w:rPr>
                <w:b/>
                <w:i/>
              </w:rPr>
              <w:t>annetut tehtävät sekä valvoo ja varmistaa, että kukin asianomainen unionin toimielin tai elin noudattaa koordinointiryhmän hyväksymiä ohjeasiakirjoja</w:t>
            </w:r>
            <w:r>
              <w:t>. Kutakin turvallisuusviranomaista tukee sen tehtävien suorittamisessa osasto tai virkamies, jolle on uskottu tietoturvallisuuteen liittyviä tehtäviä.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11 artikla – 4 kohta – d alakohta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rPr>
                <w:b/>
                <w:i/>
              </w:rPr>
              <w:t>lepäävän ja siirrettävän tiedon salaaminen</w:t>
            </w:r>
            <w:r>
              <w:t>;</w:t>
            </w:r>
          </w:p>
        </w:tc>
        <w:tc>
          <w:tcPr>
            <w:tcW w:w="4876" w:type="dxa"/>
          </w:tcPr>
          <w:p>
            <w:pPr>
              <w:pStyle w:val="Normal6a"/>
            </w:pPr>
            <w:r>
              <w:t>d)</w:t>
            </w:r>
            <w:r>
              <w:tab/>
            </w:r>
            <w:r>
              <w:rPr>
                <w:b/>
                <w:i/>
              </w:rPr>
              <w:t>tietojen päästä-päähän-salaus asiaankuuluvien prosessien kaikissa vaiheissa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12 artikla – 2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Unionin toimielimet ja elimet voivat merkitä 1 kohdassa tarkoitetut tiedot merkinnällä ”PUBLIC USE”.</w:t>
            </w:r>
          </w:p>
        </w:tc>
        <w:tc>
          <w:tcPr>
            <w:tcW w:w="4876" w:type="dxa"/>
          </w:tcPr>
          <w:p>
            <w:pPr>
              <w:pStyle w:val="Normal6a"/>
            </w:pPr>
            <w:r>
              <w:t>2.</w:t>
            </w:r>
            <w:r>
              <w:tab/>
            </w:r>
            <w:r>
              <w:t xml:space="preserve">Unionin toimielimet ja elimet voivat merkitä 1 kohdassa tarkoitetut tiedot merkinnällä ”PUBLIC USE”. </w:t>
            </w:r>
            <w:r>
              <w:rPr>
                <w:b/>
                <w:i/>
              </w:rPr>
              <w:t>Tällaisen merkinnän puuttuminen ei anna aihetta olettaa, että tiedot voisivat olla turvallisuusluokiteltuja.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101</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12 artikla – 2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Unionin toimielimet ja elimet </w:t>
            </w:r>
            <w:r>
              <w:rPr>
                <w:b/>
                <w:i/>
              </w:rPr>
              <w:t>voivat merkitä</w:t>
            </w:r>
            <w:r>
              <w:t xml:space="preserve"> 1 kohdassa tarkoitetut tiedot merkinnällä ”PUBLIC USE”.</w:t>
            </w:r>
          </w:p>
        </w:tc>
        <w:tc>
          <w:tcPr>
            <w:tcW w:w="4876" w:type="dxa"/>
          </w:tcPr>
          <w:p>
            <w:pPr>
              <w:pStyle w:val="Normal6a"/>
            </w:pPr>
            <w:r>
              <w:t>2.</w:t>
            </w:r>
            <w:r>
              <w:tab/>
            </w:r>
            <w:r>
              <w:t xml:space="preserve">Unionin toimielimet ja elimet </w:t>
            </w:r>
            <w:r>
              <w:rPr>
                <w:b/>
                <w:i/>
              </w:rPr>
              <w:t>merkitsevät</w:t>
            </w:r>
            <w:r>
              <w:t xml:space="preserve"> 1 kohdassa tarkoitetut tiedot merkinnällä ”PUBLIC USE”.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12 artikla – 3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Unionin kaikki toimielimet ja elimet varmistavat julkiseen käyttöön tarkoitettujen tietojen eheyden ja saatavuuden asianmukaisilla toimilla kyseisten tietojen turvallisuustarpeiden perusteella.</w:t>
            </w:r>
          </w:p>
        </w:tc>
        <w:tc>
          <w:tcPr>
            <w:tcW w:w="4876" w:type="dxa"/>
          </w:tcPr>
          <w:p>
            <w:pPr>
              <w:pStyle w:val="Normal6a"/>
            </w:pPr>
            <w:r>
              <w:t>3.</w:t>
            </w:r>
            <w:r>
              <w:tab/>
            </w:r>
            <w:r>
              <w:t xml:space="preserve">Unionin kaikki toimielimet ja elimet varmistavat julkiseen käyttöön tarkoitettujen tietojen eheyden ja saatavuuden asianmukaisilla toimilla kyseisten tietojen turvallisuustarpeiden </w:t>
            </w:r>
            <w:r>
              <w:rPr>
                <w:b/>
                <w:i/>
              </w:rPr>
              <w:t>ja tiedonsaantioikeuden</w:t>
            </w:r>
            <w:r>
              <w:t xml:space="preserve"> perusteella.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13 artikla – 2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Normaalit tiedot voidaan merkitä visuaalisesti tai metatiedoissa, kun se on tarpeen niiden suojaamiseksi, erityisesti kun ne jaetaan unionin toimielinten ja elinten ulkopuolelle. Siinä tapauksessa on käytettävä merkintää ”EU NORMAL” tai ”unionin toimielimen tai elimen nimi tai lyhenne NORMAL” (tapauksen mukaan).</w:t>
            </w:r>
          </w:p>
        </w:tc>
        <w:tc>
          <w:tcPr>
            <w:tcW w:w="4876" w:type="dxa"/>
          </w:tcPr>
          <w:p>
            <w:pPr>
              <w:pStyle w:val="Normal6a"/>
            </w:pPr>
            <w:r>
              <w:t>2.</w:t>
            </w:r>
            <w:r>
              <w:tab/>
            </w:r>
            <w:r>
              <w:t xml:space="preserve">Normaalit tiedot voidaan merkitä visuaalisesti tai metatiedoissa, kun se on tarpeen niiden suojaamiseksi, erityisesti kun ne jaetaan unionin toimielinten ja elinten ulkopuolelle. Siinä tapauksessa on käytettävä merkintää ”EU NORMAL” tai ”unionin toimielimen tai elimen nimi tai lyhenne NORMAL” (tapauksen mukaan). </w:t>
            </w:r>
            <w:r>
              <w:rPr>
                <w:b/>
                <w:i/>
              </w:rPr>
              <w:t>Tällaisen merkinnän puuttuminen ei anna aihetta olettaa, että tiedot voisivat olla turvallisuusluokiteltuja.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13 artikla – 4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Normaaleja tietoja vaihdetaan unionin toimielinten ja elinten ulkopuolella ainoastaan sellaisten luonnollisten tai oikeushenkilöiden kanssa, joilla on tiedonsaantitarve.</w:t>
            </w:r>
          </w:p>
        </w:tc>
        <w:tc>
          <w:tcPr>
            <w:tcW w:w="4876" w:type="dxa"/>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13 artikla – 4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Normaaleja tietoja vaihdetaan unionin toimielinten ja elinten ulkopuolella ainoastaan sellaisten luonnollisten tai oikeushenkilöiden kanssa, joilla on tiedonsaantitarve.</w:t>
            </w:r>
          </w:p>
        </w:tc>
        <w:tc>
          <w:tcPr>
            <w:tcW w:w="4876" w:type="dxa"/>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14 artikla – 1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Unionin toimielimet ja elimet luokittelevat arkaluonteisiksi turvallisuusluokittelemattomiksi tiedoiksi ja käsittelevät ja säilyttävät arkaluonteisina turvallisuusluokittelemattomina tietoina kaikkia tietoja, jotka eivät ole turvallisuusluokiteltuja mutta joita niiden on suojattava oikeudellisten velvoitteiden vuoksi tai sen haitan vuoksi, jota niiden luvaton ilmitulo voi aiheuttaa oikeutetuille </w:t>
            </w:r>
            <w:r>
              <w:rPr>
                <w:b/>
                <w:i/>
              </w:rPr>
              <w:t>yksityisille ja</w:t>
            </w:r>
            <w:r>
              <w:t xml:space="preserve"> julkisille eduille, myös unionin toimielinten ja elinten</w:t>
            </w:r>
            <w:r>
              <w:rPr>
                <w:b/>
                <w:i/>
              </w:rPr>
              <w:t>, jäsenvaltioiden tai yksilöiden</w:t>
            </w:r>
            <w:r>
              <w:t xml:space="preserve"> eduille.</w:t>
            </w:r>
          </w:p>
        </w:tc>
        <w:tc>
          <w:tcPr>
            <w:tcW w:w="4876" w:type="dxa"/>
          </w:tcPr>
          <w:p>
            <w:pPr>
              <w:pStyle w:val="Normal6a"/>
            </w:pPr>
            <w:r>
              <w:t>1.</w:t>
            </w:r>
            <w:r>
              <w:tab/>
            </w:r>
            <w:r>
              <w:t xml:space="preserve">Unionin toimielimet ja elimet luokittelevat arkaluonteisiksi turvallisuusluokittelemattomiksi tiedoiksi ja käsittelevät ja säilyttävät arkaluonteisina turvallisuusluokittelemattomina tietoina kaikkia tietoja, jotka eivät ole turvallisuusluokiteltuja mutta joita niiden on suojattava oikeudellisten velvoitteiden vuoksi tai sen haitan vuoksi, jota niiden luvaton ilmitulo voi aiheuttaa oikeutetuille julkisille eduille, myös unionin toimielinten ja elinten </w:t>
            </w:r>
            <w:r>
              <w:rPr>
                <w:b/>
                <w:i/>
              </w:rPr>
              <w:t>tai jäsenvaltioiden</w:t>
            </w:r>
            <w:r>
              <w:t xml:space="preserve"> eduille.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14 artikla – 4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Arkaluonteisia turvallisuusluokittelemattomia tietoja vaihdetaan unionin toimielinten ja elinten ulkopuolella ainoastaan sellaisten luonnollisten ja oikeushenkilöiden kanssa, joilla on tiedonsaantitarve, noudattaen tietoihin liittyviä käsittelyohjeita. Asianmukaiset käsittelyohjeet on saatettava kaikkien osapuolten tietoon.</w:t>
            </w:r>
          </w:p>
        </w:tc>
        <w:tc>
          <w:tcPr>
            <w:tcW w:w="4876" w:type="dxa"/>
          </w:tcPr>
          <w:p>
            <w:pPr>
              <w:pStyle w:val="Normal6a"/>
            </w:pPr>
            <w:r>
              <w:t>4.</w:t>
            </w:r>
            <w:r>
              <w:tab/>
            </w:r>
            <w:r>
              <w:t xml:space="preserve">Arkaluonteisia turvallisuusluokittelemattomia tietoja vaihdetaan unionin toimielinten ja elinten ulkopuolella ainoastaan sellaisten luonnollisten ja oikeushenkilöiden kanssa, joilla on tiedonsaantitarve, noudattaen tietoihin liittyviä käsittelyohjeita </w:t>
            </w:r>
            <w:r>
              <w:rPr>
                <w:b/>
                <w:i/>
              </w:rPr>
              <w:t>ja mahdollisia 1 kohdan mukaisia oikeudellisesta suojasta johtuvia vaatimuksia</w:t>
            </w:r>
            <w:r>
              <w:t>. Asianmukaiset käsittelyohjeet on saatettava kaikkien osapuolten tietoon.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15 artikla – 1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Unionin toimielimet ja elimet määrittelevät menettelyt sellaisen mahdollisen tai epäillyn poikkeaman raportoimista ja hallintaa varten, joka saattaisi vaarantaa turvallisuusluokittelemattomien tietojen turvallisuuden.</w:t>
            </w:r>
          </w:p>
        </w:tc>
        <w:tc>
          <w:tcPr>
            <w:tcW w:w="4876" w:type="dxa"/>
          </w:tcPr>
          <w:p>
            <w:pPr>
              <w:pStyle w:val="Normal6a"/>
            </w:pPr>
            <w:r>
              <w:t>1.</w:t>
            </w:r>
            <w:r>
              <w:tab/>
            </w:r>
            <w:r>
              <w:t xml:space="preserve">Unionin toimielimet ja elimet määrittelevät </w:t>
            </w:r>
            <w:r>
              <w:rPr>
                <w:b/>
                <w:i/>
              </w:rPr>
              <w:t>yhdenmukaiset</w:t>
            </w:r>
            <w:r>
              <w:t xml:space="preserve"> menettelyt sellaisen mahdollisen tai epäillyn poikkeaman raportoimista ja hallintaa varten, joka saattaisi vaarantaa turvallisuusluokittelemattomien tietojen turvallisuuden.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15 artikla – 2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Silloin kun sitä edellytetään, unionin toimielimet ja elimet käyttävät 12–14 artiklassa tarkoitettuja merkintöjä. </w:t>
            </w:r>
            <w:r>
              <w:rPr>
                <w:b/>
                <w:i/>
              </w:rPr>
              <w:t>Poikkeuksellisesti muita vastaavia merkintöjä voidaan käyttää sisäisesti ja yhteyksissä muissa unionin toimielimissä ja elimissä tai jäsenvaltioissa vastaavaa tehtävää hoitaviin elimiin, kun kaikki osapuolet sen hyväksyvät.</w:t>
            </w:r>
            <w:r>
              <w:t xml:space="preserve"> </w:t>
            </w:r>
            <w:r>
              <w:rPr>
                <w:b/>
                <w:i/>
              </w:rPr>
              <w:t>Tällaisesta poikkeuksesta on ilmoitettava 7 artiklan 1 kohdan b alakohdassa tarkoitetulle turvallisuusluokittelemattomia tietoja käsittelevälle alaryhmälle.</w:t>
            </w:r>
          </w:p>
        </w:tc>
        <w:tc>
          <w:tcPr>
            <w:tcW w:w="4876" w:type="dxa"/>
          </w:tcPr>
          <w:p>
            <w:pPr>
              <w:pStyle w:val="Normal6a"/>
            </w:pPr>
            <w:r>
              <w:t>2.</w:t>
            </w:r>
            <w:r>
              <w:tab/>
            </w:r>
            <w:r>
              <w:t>Silloin kun sitä edellytetään, unionin toimielimet ja elimet käyttävät 12–14 artiklassa tarkoitettuja merkintöjä.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16 artikla – 1 kohta – e a alakohta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a)</w:t>
            </w:r>
            <w:r>
              <w:tab/>
            </w:r>
            <w:r>
              <w:rPr>
                <w:b/>
                <w:i/>
              </w:rPr>
              <w:t>seurata, että unionin toimielimet ja elimet noudattavat tämän asetuksen asiaankuuluvia säännöksiä sekä koordinointiryhmän hyväksymiä ohjeasiakirjoja.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18 artikla – 1 kohta – d alakohta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RESTREINT UE/EU RESTRICTED:</w:t>
            </w:r>
            <w:r>
              <w:t xml:space="preserve"> </w:t>
            </w:r>
            <w:r>
              <w:rPr>
                <w:b/>
                <w:i/>
              </w:rPr>
              <w:t>tiedot ja aineistot, joiden luvattomasta ilmitulosta saattaisi olla haittaa unionin tai yhden tai useamman jäsenvaltion eduille.</w:t>
            </w:r>
          </w:p>
        </w:tc>
        <w:tc>
          <w:tcPr>
            <w:tcW w:w="4876" w:type="dxa"/>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18 artikla – 2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Koordinointiryhmä antaa ohjeasiakirjoja EU:n turvallisuusluokiteltujen tietojen tuottamisesta ja luokittelusta.</w:t>
            </w:r>
          </w:p>
        </w:tc>
        <w:tc>
          <w:tcPr>
            <w:tcW w:w="4876" w:type="dxa"/>
          </w:tcPr>
          <w:p>
            <w:pPr>
              <w:pStyle w:val="Normal6a"/>
            </w:pPr>
            <w:r>
              <w:t>2.</w:t>
            </w:r>
            <w:r>
              <w:tab/>
            </w:r>
            <w:r>
              <w:t xml:space="preserve">Koordinointiryhmä antaa ohjeasiakirjoja EU:n turvallisuusluokiteltujen tietojen tuottamisesta ja luokittelusta. </w:t>
            </w:r>
            <w:r>
              <w:rPr>
                <w:b/>
                <w:i/>
              </w:rPr>
              <w:t>Tällaisissa asiakirjoissa on otettava huomioon sekä turvallisuusluokiteltujen tietojen käytön minimoinnin periaate että tiettyjen asiakirjojen yliluokittelun riski, ja niihin on sisällyttävä tietojen ja aineistojen luokittelun arvioimista ja perustelemista koskevat säännöt, jotta voidaan lisätä avoimuutta ja välttää perusteettomat lukkiutumisvaikutukset.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113</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18 artikla – 2 a kohta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a.</w:t>
            </w:r>
            <w:r>
              <w:tab/>
            </w:r>
            <w:r>
              <w:rPr>
                <w:b/>
                <w:i/>
              </w:rPr>
              <w:t>Jos jonkin tiedon luottamuksellisuudesta tai turvallisuusluokasta on epäselvyyttä tai jos unionin toimielinten välillä on erimielisyyttä, toimielimet neuvottelevat asiasta viipymättä ja ennen kyseisen tiedon siirtämistä.</w:t>
            </w:r>
            <w:r>
              <w:t xml:space="preserve"> </w:t>
            </w:r>
            <w:r>
              <w:rPr>
                <w:b/>
                <w:i/>
              </w:rPr>
              <w:t>Näissä neuvotteluissa toimielimiä edustaa asianomaisen elimen puheenjohtaja tai turvallisuusasioista vastaava henkilö.</w:t>
            </w:r>
            <w:r>
              <w:t xml:space="preserve"> </w:t>
            </w:r>
            <w:r>
              <w:rPr>
                <w:b/>
                <w:i/>
              </w:rPr>
              <w:t>Jos asiassa ei päästä yhteisymmärrykseen, se siirretään toimielinten puheenjohtajien ratkaistavaksi.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20 artikla – 3 a kohta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a.</w:t>
            </w:r>
            <w:r>
              <w:tab/>
            </w:r>
            <w:r>
              <w:rPr>
                <w:b/>
                <w:i/>
              </w:rPr>
              <w:t>Tämä artikla ei rajoita asetuksen (EY) N:o 1049/2001 soveltamista.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22 artikla – 1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Tietoturvaloukkauksena pidetään sellaista unionin toimielimen tai elimen taikka henkilön tekoa tai toimimatta jättämistä, joka rikkoo tätä asetusta.</w:t>
            </w:r>
          </w:p>
        </w:tc>
        <w:tc>
          <w:tcPr>
            <w:tcW w:w="4876" w:type="dxa"/>
          </w:tcPr>
          <w:p>
            <w:pPr>
              <w:pStyle w:val="Normal6a"/>
            </w:pPr>
            <w:r>
              <w:t>1.</w:t>
            </w:r>
            <w:r>
              <w:tab/>
            </w:r>
            <w:r>
              <w:t xml:space="preserve">Tietoturvaloukkauksena pidetään </w:t>
            </w:r>
            <w:r>
              <w:rPr>
                <w:b/>
                <w:i/>
              </w:rPr>
              <w:t>mitä tahansa</w:t>
            </w:r>
            <w:r>
              <w:t xml:space="preserve"> sellaista unionin toimielimen tai elimen taikka henkilön tekoa tai toimimatta jättämistä, joka rikkoo tätä asetusta.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116</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22 artikla – 3 kohta – a alakohta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ilmoittaa asiasta luovuttajalle;</w:t>
            </w:r>
          </w:p>
        </w:tc>
        <w:tc>
          <w:tcPr>
            <w:tcW w:w="4876" w:type="dxa"/>
          </w:tcPr>
          <w:p>
            <w:pPr>
              <w:pStyle w:val="Normal6a"/>
            </w:pPr>
            <w:r>
              <w:t>a)</w:t>
            </w:r>
            <w:r>
              <w:tab/>
            </w:r>
            <w:r>
              <w:t xml:space="preserve">ilmoittaa asiasta luovuttajalle </w:t>
            </w:r>
            <w:r>
              <w:rPr>
                <w:b/>
                <w:i/>
              </w:rPr>
              <w:t>ilman aiheetonta viivytystä ja joka tapauksessa viimeistään kolmen päivän kuluttua siitä, kun turvallisuusviranomaiselle on ilmoitettu tietoturvaloukkauksesta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117</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22 artikla – 3 kohta – b alakohta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varmistaa, että henkilöstö, joka ei ole välittömästi tekemisissä tietoturvaloukkauksen kanssa, tutkii tapauksen tosiasioiden selvittämiseksi;</w:t>
            </w:r>
          </w:p>
        </w:tc>
        <w:tc>
          <w:tcPr>
            <w:tcW w:w="4876" w:type="dxa"/>
          </w:tcPr>
          <w:p>
            <w:pPr>
              <w:pStyle w:val="Normal6a"/>
            </w:pPr>
            <w:r>
              <w:t>b)</w:t>
            </w:r>
            <w:r>
              <w:tab/>
            </w:r>
            <w:r>
              <w:t xml:space="preserve">varmistaa, että henkilöstö, joka ei ole välittömästi tekemisissä tietoturvaloukkauksen kanssa, tutkii tapauksen </w:t>
            </w:r>
            <w:r>
              <w:rPr>
                <w:b/>
                <w:i/>
              </w:rPr>
              <w:t>perusteellisesti</w:t>
            </w:r>
            <w:r>
              <w:t xml:space="preserve"> tosiasioiden selvittämiseksi;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22 artikla – 3 kohta – e alakohta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e)</w:t>
            </w:r>
            <w:r>
              <w:tab/>
            </w:r>
            <w:r>
              <w:t>ilmoittaa toimivaltaisille viranomaisille todellisesta tai mahdollisesta vaarantumisesta ja toteutetuista toimista.</w:t>
            </w:r>
          </w:p>
        </w:tc>
        <w:tc>
          <w:tcPr>
            <w:tcW w:w="4876" w:type="dxa"/>
          </w:tcPr>
          <w:p>
            <w:pPr>
              <w:pStyle w:val="Normal6a"/>
            </w:pPr>
            <w:r>
              <w:t>e)</w:t>
            </w:r>
            <w:r>
              <w:tab/>
            </w:r>
            <w:r>
              <w:t xml:space="preserve">ilmoittaa toimivaltaisille viranomaisille todellisesta tai mahdollisesta vaarantumisesta ja toteutetuista toimista </w:t>
            </w:r>
            <w:r>
              <w:rPr>
                <w:b/>
                <w:i/>
              </w:rPr>
              <w:t>ilman aiheetonta viivytystä ja joka tapauksessa viimeistään kolmen päivän kuluttua siitä, kun turvallisuusviranomaiselle on ilmoitettu tietoturvaloukkauksesta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23 artikla – 2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Unionin toimielimet ja elimet ottavat huomioon henkilön lojaaliuden, rehellisyyden ja luotettavuuden, joka määritetään </w:t>
            </w:r>
            <w:r>
              <w:rPr>
                <w:b/>
                <w:i/>
              </w:rPr>
              <w:t>sen jäsenvaltion</w:t>
            </w:r>
            <w:r>
              <w:t xml:space="preserve"> toimivaltaisten viranomaisten tekemässä turvallisuustutkinnassa</w:t>
            </w:r>
            <w:r>
              <w:rPr>
                <w:b/>
                <w:i/>
              </w:rPr>
              <w:t>, jonka kansalainen hakija on</w:t>
            </w:r>
            <w:r>
              <w:t>.</w:t>
            </w:r>
          </w:p>
        </w:tc>
        <w:tc>
          <w:tcPr>
            <w:tcW w:w="4876" w:type="dxa"/>
          </w:tcPr>
          <w:p>
            <w:pPr>
              <w:pStyle w:val="Normal6a"/>
            </w:pPr>
            <w:r>
              <w:t>2.</w:t>
            </w:r>
            <w:r>
              <w:tab/>
            </w:r>
            <w:r>
              <w:t xml:space="preserve">Unionin toimielimet ja elimet ottavat huomioon henkilön lojaaliuden, rehellisyyden ja luotettavuuden, joka määritetään </w:t>
            </w:r>
            <w:r>
              <w:rPr>
                <w:b/>
                <w:i/>
              </w:rPr>
              <w:t>komission yhteistyössä asianomaisten jäsenvaltioiden</w:t>
            </w:r>
            <w:r>
              <w:t xml:space="preserve"> toimivaltaisten viranomaisten tekemässä turvallisuustutkinnassa</w:t>
            </w:r>
            <w:r>
              <w:rPr>
                <w:b/>
                <w:i/>
              </w:rPr>
              <w:t>. Komissio voi tehdä yhteistyötä myös sellaisten kolmansien maiden tai kansainvälisten järjestöjen kanssa, joiden kanssa unionilla on tietoturvallisuussopimus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23 artikla – 3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Unionin toimielimet ja elimet voivat hyväksyä turvallisuusselvityksiä sellaisista kolmansista maista ja kansainvälisistä järjestöistä, joiden kanssa unionilla on tietoturvallisuussopimus.</w:t>
            </w:r>
          </w:p>
        </w:tc>
        <w:tc>
          <w:tcPr>
            <w:tcW w:w="4876" w:type="dxa"/>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121</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23 artikla – 3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Unionin toimielimet ja elimet voivat hyväksyä turvallisuusselvityksiä sellaisista kolmansista maista ja kansainvälisistä järjestöistä, joiden kanssa unionilla on tietoturvallisuussopimus.</w:t>
            </w:r>
          </w:p>
        </w:tc>
        <w:tc>
          <w:tcPr>
            <w:tcW w:w="4876" w:type="dxa"/>
          </w:tcPr>
          <w:p>
            <w:pPr>
              <w:pStyle w:val="Normal6a"/>
            </w:pPr>
            <w:r>
              <w:t>3.</w:t>
            </w:r>
            <w:r>
              <w:tab/>
            </w:r>
            <w:r>
              <w:t xml:space="preserve">Unionin toimielimet ja elimet voivat hyväksyä turvallisuusselvityksiä sellaisista kolmansista maista ja kansainvälisistä järjestöistä, joiden kanssa unionilla on tietoturvallisuussopimus. </w:t>
            </w:r>
            <w:r>
              <w:rPr>
                <w:b/>
                <w:i/>
              </w:rPr>
              <w:t>Ne varmistavat kaikissa tapauksissa, että 1 ja 2 kohdan mukaisia periaatteita noudatetaan.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23 artikla – 4 kohta – 2 alakohta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Kun palvelutasosopimus tehdään, komission turvallisuusviranomainen toimii yhteyspisteenä kyseisen unionin toimielimen tai elimen turvallisuusyksiköiden ja jäsenvaltioiden kansallisten toimivaltaisten viranomaisten välillä turvallisuusselvitysasioissa.</w:t>
            </w:r>
          </w:p>
        </w:tc>
        <w:tc>
          <w:tcPr>
            <w:tcW w:w="4876" w:type="dxa"/>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24 artikla – 4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Poikkeuksellisissa olosuhteissa, jos se on yksikön etujen vuoksi asianmukaisesti perusteltua ja jos täydellistä turvallisuustutkintaa ei ole vielä saatu päätökseen, unionin toimielimen tai elimen turvallisuusviranomainen voi myöntää henkilöille tiettyä tointa varten tilapäisen valtuutuksen EU:n turvallisuusluokiteltuihin tietoihin pääsyä varten, sanotun kuitenkaan rajoittamatta EU:n turvallisuusluokiteltuihin tietoihin pääsyä varten myönnetyn valtuutuksen uusimista koskevien säännösten soveltamista</w:t>
            </w:r>
            <w:r>
              <w:rPr>
                <w:b/>
                <w:i/>
              </w:rPr>
              <w:t>, ja saatuaan vahvistuksen asiaan liittyvältä kansalliselta turvallisuusviranomaiselta</w:t>
            </w:r>
            <w:r>
              <w:t>.</w:t>
            </w:r>
          </w:p>
        </w:tc>
        <w:tc>
          <w:tcPr>
            <w:tcW w:w="4876" w:type="dxa"/>
          </w:tcPr>
          <w:p>
            <w:pPr>
              <w:pStyle w:val="Normal6a"/>
            </w:pPr>
            <w:r>
              <w:t>4.</w:t>
            </w:r>
            <w:r>
              <w:tab/>
            </w:r>
            <w:r>
              <w:t>Poikkeuksellisissa olosuhteissa, jos se on yksikön etujen vuoksi asianmukaisesti perusteltua ja jos täydellistä turvallisuustutkintaa ei ole vielä saatu päätökseen, unionin toimielimen tai elimen turvallisuusviranomainen voi myöntää henkilöille tiettyä tointa varten tilapäisen valtuutuksen EU:n turvallisuusluokiteltuihin tietoihin pääsyä varten, sanotun kuitenkaan rajoittamatta EU:n turvallisuusluokiteltuihin tietoihin pääsyä varten myönnetyn valtuutuksen uusimista koskevien säännösten soveltamista.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25 artikla – 3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Kun EU:n turvallisuusluokiteltuihin tietoihin pääsyä koskevan valtuutuksen haltija ottaa vastaan työn toisessa unionin toimielimessä tai elimessä, kyseinen unionin toimielin tai elin ilmoittaa asiaankuuluvalle kansalliselle turvallisuusviranomaiselle työnantajan vaihtumisesta toimivaltaisen turvallisuusviranomaisen välityksellä.</w:t>
            </w:r>
          </w:p>
        </w:tc>
        <w:tc>
          <w:tcPr>
            <w:tcW w:w="4876" w:type="dxa"/>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25 artikla – 3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Kun EU:n turvallisuusluokiteltuihin tietoihin pääsyä koskevan valtuutuksen haltija ottaa vastaan työn toisessa unionin toimielimessä tai elimessä, kyseinen unionin toimielin tai elin ilmoittaa asiaankuuluvalle kansalliselle turvallisuusviranomaiselle työnantajan vaihtumisesta toimivaltaisen turvallisuusviranomaisen välityksellä.</w:t>
            </w:r>
          </w:p>
        </w:tc>
        <w:tc>
          <w:tcPr>
            <w:tcW w:w="4876" w:type="dxa"/>
          </w:tcPr>
          <w:p>
            <w:pPr>
              <w:pStyle w:val="Normal6a"/>
            </w:pPr>
            <w:r>
              <w:t>3.</w:t>
            </w:r>
            <w:r>
              <w:tab/>
            </w:r>
            <w:r>
              <w:t xml:space="preserve">Kun EU:n turvallisuusluokiteltuihin tietoihin pääsyä koskevan valtuutuksen haltija ottaa vastaan työn toisessa unionin toimielimessä tai elimessä, kyseinen unionin toimielin tai elin ilmoittaa </w:t>
            </w:r>
            <w:r>
              <w:rPr>
                <w:b/>
                <w:i/>
              </w:rPr>
              <w:t>ilman aiheetonta viivytystä</w:t>
            </w:r>
            <w:r>
              <w:t xml:space="preserve"> asiaankuuluvalle kansalliselle turvallisuusviranomaiselle työnantajan vaihtumisesta toimivaltaisen turvallisuusviranomaisen välityksellä.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28 artikla – 1 kohta – d a alakohta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a)</w:t>
            </w:r>
            <w:r>
              <w:tab/>
            </w:r>
            <w:r>
              <w:rPr>
                <w:b/>
                <w:i/>
              </w:rPr>
              <w:t>seurata, että unionin toimielimet ja elimet noudattavat tämän asetuksen asiaankuuluvia säännöksiä sekä koordinointiryhmän hyväksymiä ohjeasiakirjoja.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30 artikla – 2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Mikä tahansa unionin toimielin ja elin, joka on EU:n turvallisuusluokiteltujen tietojen luovuttaja, määrittää kyseisten tietojen turvallisuusluokan niiden tuottamishetkellä ja 18 artiklan 1 kohdan mukaisesti.</w:t>
            </w:r>
          </w:p>
        </w:tc>
        <w:tc>
          <w:tcPr>
            <w:tcW w:w="4876" w:type="dxa"/>
          </w:tcPr>
          <w:p>
            <w:pPr>
              <w:pStyle w:val="Normal6a"/>
            </w:pPr>
            <w:r>
              <w:t>2.</w:t>
            </w:r>
            <w:r>
              <w:tab/>
            </w:r>
            <w:r>
              <w:t xml:space="preserve">Mikä tahansa unionin toimielin ja elin, joka on EU:n turvallisuusluokiteltujen tietojen luovuttaja, määrittää kyseisten tietojen </w:t>
            </w:r>
            <w:r>
              <w:rPr>
                <w:b/>
                <w:i/>
              </w:rPr>
              <w:t>alkuperäisen</w:t>
            </w:r>
            <w:r>
              <w:t xml:space="preserve"> turvallisuusluokan niiden tuottamishetkellä ja 18 artiklan 1 kohdan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128</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31 artikla – 1 kohta – a alakohta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turvallisuusluokka on merkittävä selvästi jokaiselle sivulle;</w:t>
            </w:r>
          </w:p>
        </w:tc>
        <w:tc>
          <w:tcPr>
            <w:tcW w:w="4876" w:type="dxa"/>
          </w:tcPr>
          <w:p>
            <w:pPr>
              <w:pStyle w:val="Normal6a"/>
            </w:pPr>
            <w:r>
              <w:t>a)</w:t>
            </w:r>
            <w:r>
              <w:tab/>
            </w:r>
            <w:r>
              <w:t xml:space="preserve">turvallisuusluokka </w:t>
            </w:r>
            <w:r>
              <w:rPr>
                <w:b/>
                <w:i/>
              </w:rPr>
              <w:t>ja turvallisuusluokituksen kesto</w:t>
            </w:r>
            <w:r>
              <w:t xml:space="preserve"> on merkittävä selvästi jokaiselle sivulle;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32 artikla – otsikko</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Luovuttajavalvonta</w:t>
            </w:r>
          </w:p>
        </w:tc>
        <w:tc>
          <w:tcPr>
            <w:tcW w:w="4876" w:type="dxa"/>
          </w:tcPr>
          <w:p>
            <w:pPr>
              <w:pStyle w:val="Normal6a"/>
            </w:pPr>
            <w:r>
              <w:rPr>
                <w:b/>
                <w:i/>
              </w:rPr>
              <w:t>Luovuttajan suostumus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32 artikla – 1 kohta – johdantokappale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Unionin toimielin tai elin, jonka alaisuudessa EU:n turvallisuusluokiteltu asiakirja on tuotettu, harjoittaa luovuttajavalvontaa kyseisen asiakirjan osalta. Luovuttaja määrittää asiakirjan turvallisuusluokan ja on vastuussa sen ensimmäisestä jakelusta. Rajoittamatta asetuksen (EY) N:o 1049/2001 soveltamista luovuttajan kirjallinen ennakkosuostumus on hankittava ennen kuin</w:t>
            </w:r>
          </w:p>
        </w:tc>
        <w:tc>
          <w:tcPr>
            <w:tcW w:w="4876" w:type="dxa"/>
          </w:tcPr>
          <w:p>
            <w:pPr>
              <w:pStyle w:val="Normal6a"/>
            </w:pPr>
            <w:r>
              <w:t>1.</w:t>
            </w:r>
            <w:r>
              <w:tab/>
            </w:r>
            <w:r>
              <w:t xml:space="preserve">Unionin toimielin tai elin, jonka alaisuudessa EU:n turvallisuusluokiteltu asiakirja on tuotettu, harjoittaa luovuttajavalvontaa kyseisen asiakirjan osalta. Luovuttaja määrittää asiakirjan turvallisuusluokan ja on vastuussa sen ensimmäisestä jakelusta. </w:t>
            </w:r>
            <w:r>
              <w:rPr>
                <w:b/>
                <w:i/>
              </w:rPr>
              <w:t>Luovuttaja voi kuulla tarkoitettuja vastaanottajia EU:n turvallisuusluokitellun asiakirjan turvallisuusluokasta erityisesti silloin, jos jonkin tiedon luottamuksellisuudesta ja sen asianmukaisesta turvallisuusluokasta on epäilyjä, ja jotta voidaan estää tällaisten asiakirjojen yliluokittelu.</w:t>
            </w:r>
            <w:r>
              <w:t xml:space="preserve"> </w:t>
            </w:r>
            <w:r>
              <w:rPr>
                <w:b/>
                <w:i/>
              </w:rPr>
              <w:t>EU:n turvallisuusluokitellun asiakirjan ensimmäisen jakelun yhteydessä luovuttajan on otettava huomioon tietojen vastaanottajien perussopimuksista johtuvat oikeudet ja velvollisuudet.</w:t>
            </w:r>
            <w:r>
              <w:t xml:space="preserve"> Rajoittamatta asetuksen (EY) N:o 1049/2001 soveltamista luovuttajan kirjallinen ennakkosuostumus on hankittava ennen kuin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32 artikla – 1 kohta – johdantokappale</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Unionin </w:t>
            </w:r>
            <w:r>
              <w:rPr>
                <w:b/>
                <w:i/>
              </w:rPr>
              <w:t>toimielin tai elin</w:t>
            </w:r>
            <w:r>
              <w:t xml:space="preserve">, jonka alaisuudessa EU:n </w:t>
            </w:r>
            <w:r>
              <w:rPr>
                <w:b/>
                <w:i/>
              </w:rPr>
              <w:t>turvallisuusluokiteltu</w:t>
            </w:r>
            <w:r>
              <w:t xml:space="preserve"> asiakirja on tuotettu, </w:t>
            </w:r>
            <w:r>
              <w:rPr>
                <w:b/>
                <w:i/>
              </w:rPr>
              <w:t>harjoittaa luovuttajavalvontaa kyseisen asiakirjan osalta</w:t>
            </w:r>
            <w:r>
              <w:t xml:space="preserve">. Luovuttaja määrittää asiakirjan turvallisuusluokan ja on vastuussa sen ensimmäisestä jakelusta. </w:t>
            </w:r>
            <w:r>
              <w:rPr>
                <w:b/>
                <w:i/>
              </w:rPr>
              <w:t>Rajoittamatta asetuksen (EY) N:o 1049/2001 soveltamista luovuttajan kirjallinen ennakkosuostumus on hankittava</w:t>
            </w:r>
            <w:r>
              <w:t xml:space="preserve"> ennen kuin</w:t>
            </w:r>
          </w:p>
        </w:tc>
        <w:tc>
          <w:tcPr>
            <w:tcW w:w="4876" w:type="dxa"/>
          </w:tcPr>
          <w:p>
            <w:pPr>
              <w:pStyle w:val="Normal6a"/>
            </w:pPr>
            <w:r>
              <w:t>1.</w:t>
            </w:r>
            <w:r>
              <w:tab/>
            </w:r>
            <w:r>
              <w:t xml:space="preserve">Unionin </w:t>
            </w:r>
            <w:r>
              <w:rPr>
                <w:b/>
                <w:i/>
              </w:rPr>
              <w:t>toimielimellä tai elimellä</w:t>
            </w:r>
            <w:r>
              <w:t xml:space="preserve">, jonka alaisuudessa </w:t>
            </w:r>
            <w:r>
              <w:rPr>
                <w:b/>
                <w:i/>
              </w:rPr>
              <w:t>vähintään turvallisuusluokkaan CONFIDENTIEL UE/EU-CONFIDENTIAL luokiteltu</w:t>
            </w:r>
            <w:r>
              <w:t xml:space="preserve"> EU:n asiakirja on tuotettu, </w:t>
            </w:r>
            <w:r>
              <w:rPr>
                <w:b/>
                <w:i/>
              </w:rPr>
              <w:t>on luovuttajan suostumusta koskeva oikeus kyseiseen asiakirjaan</w:t>
            </w:r>
            <w:r>
              <w:t xml:space="preserve">. Luovuttaja määrittää asiakirjan </w:t>
            </w:r>
            <w:r>
              <w:rPr>
                <w:b/>
                <w:i/>
              </w:rPr>
              <w:t>alkuperäisen</w:t>
            </w:r>
            <w:r>
              <w:t xml:space="preserve"> turvallisuusluokan ja on vastuussa sen ensimmäisestä jakelusta. </w:t>
            </w:r>
            <w:r>
              <w:rPr>
                <w:b/>
                <w:i/>
              </w:rPr>
              <w:t>Luovuttajan kirjallinen ennakkosuostumus on hankittava, jos se on tarpeen Euroopan unionin tai sen yhden tai useamman jäsenvaltion olennaisten etujen suojaamiseksi yleisen turvallisuuden, puolustuksen ja sotilasasioiden, kansainvälisten suhteiden tai finanssi-, raha- tai talouspolitiikan alalla,</w:t>
            </w:r>
            <w:r>
              <w:t xml:space="preserve"> ennen kuin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32 artikla – 1 kohta – d alakohta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w:t>
            </w:r>
            <w:r>
              <w:tab/>
            </w:r>
            <w:r>
              <w:rPr>
                <w:b/>
                <w:i/>
              </w:rPr>
              <w:t>tietoja jäljennetään tai käännetään, jos tiedot kuuluvat luokkaan TRÈS SECRET UE/EU TOP SECRET.</w:t>
            </w:r>
          </w:p>
        </w:tc>
        <w:tc>
          <w:tcPr>
            <w:tcW w:w="4876" w:type="dxa"/>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32 artikla – 2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Jos EU:n turvallisuusluokitellun asiakirjan luovuttajaa ei voida tunnistaa, </w:t>
            </w:r>
            <w:r>
              <w:rPr>
                <w:b/>
                <w:i/>
              </w:rPr>
              <w:t>luovuttajavalvontaa harjoittaa</w:t>
            </w:r>
            <w:r>
              <w:t xml:space="preserve"> kyseisen turvallisuusluokitellun tiedon haltijana oleva unionin toimielin tai elin.</w:t>
            </w:r>
          </w:p>
        </w:tc>
        <w:tc>
          <w:tcPr>
            <w:tcW w:w="4876" w:type="dxa"/>
          </w:tcPr>
          <w:p>
            <w:pPr>
              <w:pStyle w:val="Normal6a"/>
            </w:pPr>
            <w:r>
              <w:t>2.</w:t>
            </w:r>
            <w:r>
              <w:tab/>
            </w:r>
            <w:r>
              <w:t xml:space="preserve">Jos EU:n turvallisuusluokitellun asiakirjan luovuttajaa ei voida tunnistaa, </w:t>
            </w:r>
            <w:r>
              <w:rPr>
                <w:b/>
                <w:i/>
              </w:rPr>
              <w:t>luovuttajan suostumuksen antaa</w:t>
            </w:r>
            <w:r>
              <w:t xml:space="preserve"> kyseisen turvallisuusluokitellun tiedon haltijana oleva unionin toimielin tai elin.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35 artikla – 1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Tietojen on oltava turvallisuusluokiteltuja vain niin kauan kuin ne on suojattava. Kun EU:n turvallisuusluokitellut tiedot eivät enää edellytä alkuperäistä turvallisuusluokkaa, niiden turvallisuusluokkaa on alennettava. Kun EU:n turvallisuusluokitellut tiedot eivät enää edellytä turvallisuusluokitusta, niiden turvallisuusluokka on poistettava.</w:t>
            </w:r>
          </w:p>
        </w:tc>
        <w:tc>
          <w:tcPr>
            <w:tcW w:w="4876" w:type="dxa"/>
          </w:tcPr>
          <w:p>
            <w:pPr>
              <w:pStyle w:val="Normal6a"/>
            </w:pPr>
            <w:r>
              <w:t>1.</w:t>
            </w:r>
            <w:r>
              <w:tab/>
            </w:r>
            <w:r>
              <w:t xml:space="preserve">Tietojen on oltava turvallisuusluokiteltuja vain niin kauan kuin ne on suojattava. Kun EU:n turvallisuusluokitellut tiedot eivät enää edellytä alkuperäistä turvallisuusluokkaa, niiden turvallisuusluokkaa on alennettava. Kun EU:n turvallisuusluokitellut tiedot eivät enää edellytä turvallisuusluokitusta, niiden turvallisuusluokka on poistettava. </w:t>
            </w:r>
            <w:r>
              <w:rPr>
                <w:b/>
                <w:i/>
              </w:rPr>
              <w:t>Kaikkia luokituksia on tarkasteltava uudelleen viimeistään vuoden kuluttua asiakirjan luomisesta ja sen jälkeen kerran vuodessa.</w:t>
            </w:r>
            <w:r>
              <w:t xml:space="preserve"> </w:t>
            </w:r>
            <w:r>
              <w:rPr>
                <w:b/>
                <w:i/>
              </w:rPr>
              <w:t>Jos on kyse asiakirjoista, jotka koskevat meneillään olevaa lainsäädäntöprosessia, uudelleentarkastelu on tehtävä viimeistään kahden kuukauden kuluttua asiakirjan luomisesta ja sen jälkeen kahden kuukauden välein.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135</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35 artikla – 2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Tietoja tuottaessaan luovuttajan on </w:t>
            </w:r>
            <w:r>
              <w:rPr>
                <w:b/>
                <w:i/>
              </w:rPr>
              <w:t>mahdollisuuksien mukaan ja erityisesti luokkaan RESTREINT UE/EU RESTRICTED kuuluvien tietojen osalta</w:t>
            </w:r>
            <w:r>
              <w:t xml:space="preserve"> ilmoitettava, voidaanko EU:n turvallisuusluokiteltujen tietojen turvallisuusluokkaa alentaa tai voidaanko se poistaa tiettynä päivänä tai tietyn tapahtuman jälkeen.</w:t>
            </w:r>
          </w:p>
        </w:tc>
        <w:tc>
          <w:tcPr>
            <w:tcW w:w="4876" w:type="dxa"/>
          </w:tcPr>
          <w:p>
            <w:pPr>
              <w:pStyle w:val="Normal6a"/>
            </w:pPr>
            <w:r>
              <w:t>2.</w:t>
            </w:r>
            <w:r>
              <w:tab/>
            </w:r>
            <w:r>
              <w:t>Tietoja tuottaessaan luovuttajan on ilmoitettava, voidaanko EU:n turvallisuusluokiteltujen tietojen turvallisuusluokkaa alentaa tai voidaanko se poistaa tiettynä päivänä tai tietyn tapahtuman jälkeen.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35 artikla – 2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Tietoja tuottaessaan luovuttajan on mahdollisuuksien mukaan </w:t>
            </w:r>
            <w:r>
              <w:rPr>
                <w:b/>
                <w:i/>
              </w:rPr>
              <w:t>ja erityisesti luokkaan RESTREINT UE/EU RESTRICTED kuuluvien tietojen osalta ilmoitettava</w:t>
            </w:r>
            <w:r>
              <w:t>, voidaanko EU:n turvallisuusluokiteltujen tietojen turvallisuusluokkaa alentaa tai voidaanko se poistaa tiettynä päivänä tai tietyn tapahtuman jälkeen.</w:t>
            </w:r>
          </w:p>
        </w:tc>
        <w:tc>
          <w:tcPr>
            <w:tcW w:w="4876" w:type="dxa"/>
          </w:tcPr>
          <w:p>
            <w:pPr>
              <w:pStyle w:val="Normal6a"/>
            </w:pPr>
            <w:r>
              <w:t>2.</w:t>
            </w:r>
            <w:r>
              <w:tab/>
            </w:r>
            <w:r>
              <w:t xml:space="preserve">Tietoja tuottaessaan luovuttajan on </w:t>
            </w:r>
            <w:r>
              <w:rPr>
                <w:b/>
                <w:i/>
              </w:rPr>
              <w:t>ilmoitettava</w:t>
            </w:r>
            <w:r>
              <w:t xml:space="preserve"> mahdollisuuksien mukaan, voidaanko EU:n turvallisuusluokiteltujen tietojen turvallisuusluokkaa alentaa tai voidaanko se poistaa tiettynä päivänä tai tietyn tapahtuman jälkeen.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35 artikla – 3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rPr>
                <w:b/>
                <w:i/>
              </w:rPr>
              <w:t>Tiedot luovuttaneen</w:t>
            </w:r>
            <w:r>
              <w:t xml:space="preserve"> unionin toimielimen tai elimen vastuulla on päättää, voidaanko EU:n turvallisuusluokitellun asiakirjan turvallisuusluokkaa alentaa tai voidaanko se poistaa. </w:t>
            </w:r>
            <w:r>
              <w:rPr>
                <w:b/>
                <w:i/>
              </w:rPr>
              <w:t>Sen on tarkasteltava tietoja ja arvioitava riskejä säännöllisesti, vähintään joka viides vuosi, sen määrittämiseksi, onko alkuperäinen turvallisuusluokka yhä asianmukainen.</w:t>
            </w:r>
          </w:p>
        </w:tc>
        <w:tc>
          <w:tcPr>
            <w:tcW w:w="4876" w:type="dxa"/>
          </w:tcPr>
          <w:p>
            <w:pPr>
              <w:pStyle w:val="Normal6a"/>
            </w:pPr>
            <w:r>
              <w:t>3.</w:t>
            </w:r>
            <w:r>
              <w:tab/>
            </w:r>
            <w:r>
              <w:rPr>
                <w:b/>
                <w:i/>
              </w:rPr>
              <w:t>Kunkin</w:t>
            </w:r>
            <w:r>
              <w:t xml:space="preserve"> unionin toimielimen tai elimen vastuulla on päättää, voidaanko EU:n turvallisuusluokitellun asiakirjan turvallisuusluokkaa alentaa tai voidaanko se poistaa.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38 artikla – 1 kohta – 2 alakohta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Hätäevakuointi- ja hävittämissuunnitelmia koskevat toiminnalliset yksityiskohdat on </w:t>
            </w:r>
            <w:r>
              <w:rPr>
                <w:b/>
                <w:i/>
              </w:rPr>
              <w:t>luokiteltava luokkaan RESTREINT UE/EU RESTRICTED</w:t>
            </w:r>
            <w:r>
              <w:t>.</w:t>
            </w:r>
          </w:p>
        </w:tc>
        <w:tc>
          <w:tcPr>
            <w:tcW w:w="4876" w:type="dxa"/>
          </w:tcPr>
          <w:p>
            <w:pPr>
              <w:pStyle w:val="Normal6a"/>
            </w:pPr>
            <w:r>
              <w:t xml:space="preserve">Hätäevakuointi- ja hävittämissuunnitelmia koskevat toiminnalliset yksityiskohdat on </w:t>
            </w:r>
            <w:r>
              <w:rPr>
                <w:b/>
                <w:i/>
              </w:rPr>
              <w:t>myös luokiteltava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39 artikla – 1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Unionin toimielimet ja elimet päättävät arkistoinnista ja sen ajankohdasta sekä toteutettavista käytännön toimenpiteistä </w:t>
            </w:r>
            <w:r>
              <w:rPr>
                <w:b/>
                <w:i/>
              </w:rPr>
              <w:t>asiakirjahallintoa koskevan politiikkansa mukaisesti</w:t>
            </w:r>
            <w:r>
              <w:t>.</w:t>
            </w:r>
          </w:p>
        </w:tc>
        <w:tc>
          <w:tcPr>
            <w:tcW w:w="4876" w:type="dxa"/>
          </w:tcPr>
          <w:p>
            <w:pPr>
              <w:pStyle w:val="Normal6a"/>
            </w:pPr>
            <w:r>
              <w:t>1.</w:t>
            </w:r>
            <w:r>
              <w:tab/>
            </w:r>
            <w:r>
              <w:t xml:space="preserve">Unionin toimielimet ja elimet päättävät arkistoinnista ja sen ajankohdasta sekä toteutettavista </w:t>
            </w:r>
            <w:r>
              <w:rPr>
                <w:b/>
                <w:i/>
              </w:rPr>
              <w:t>yhdenmukaisista</w:t>
            </w:r>
            <w:r>
              <w:t xml:space="preserve"> käytännön toimenpiteistä.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140</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39 artikla – 2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EU:n turvallisuusluokiteltuja asiakirjoja ei siirretä Euroopan unionin historialliseen arkistoon.</w:t>
            </w:r>
          </w:p>
        </w:tc>
        <w:tc>
          <w:tcPr>
            <w:tcW w:w="4876" w:type="dxa"/>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39 a artikla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39 a artikla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Erimielisyydet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Jos jonkin tiedon suojattavaa luonnetta tai sen turvallisuusluokan asianmukaisuutta epäillään, unionin toimielimet ja elimet kuulevat toisiaan viipymättä ja ennen tietojen siirtämistä.</w:t>
            </w:r>
            <w:r>
              <w:t xml:space="preserve"> </w:t>
            </w:r>
            <w:r>
              <w:rPr>
                <w:b/>
                <w:i/>
              </w:rPr>
              <w:t>Jos asiassa ei päästä yhteisymmärrykseen, se siirretään toimielinten tai elinten puheenjohtajien ratkaistavaksi.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Jos 1 kohdassa tarkoitetun menettelyn päätteeksi ei ole päästy sopimukseen, tietojen suojattavan luonteen tai niiden asianmukaisen turvallisuusluokan uudelleentarkastelusta kieltäytymisen laillisuutta tutkitaan SEUT-sopimuksen 263 artiklan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142</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40 artikla – 1 kohta – c a alakohta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a)</w:t>
            </w:r>
            <w:r>
              <w:tab/>
            </w:r>
            <w:r>
              <w:rPr>
                <w:b/>
                <w:i/>
              </w:rPr>
              <w:t>seurata, että unionin toimielimet ja elimet noudattavat tämän asetuksen asiaankuuluvia säännöksiä sekä koordinointiryhmän hyväksymiä ohjeasiakirjoja.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143</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41 artikla – 1 kohta – b alakohta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EU:n turvallisuusluokiteltuja tietoja käsittelevien ja säilyttävien viestintä- ja tietojärjestelmien rakennetta koskevia </w:t>
            </w:r>
            <w:r>
              <w:rPr>
                <w:b/>
                <w:i/>
              </w:rPr>
              <w:t>keskeisiä</w:t>
            </w:r>
            <w:r>
              <w:t xml:space="preserve"> turvallisuusperiaatteita on noudatettava hankkeen suunnitteluvaiheessa osana tietoturvallisuusriskien hallintaprosessia ja ottaen huomioon tiedonsaantitarve, vähimmäistoimivuus, syvyyssuuntainen turvallisuus, pienimmän valtuuden periaate, tehtävien eriyttäminen ja neljän silmän periaate;</w:t>
            </w:r>
          </w:p>
        </w:tc>
        <w:tc>
          <w:tcPr>
            <w:tcW w:w="4876" w:type="dxa"/>
          </w:tcPr>
          <w:p>
            <w:pPr>
              <w:pStyle w:val="Normal6a"/>
            </w:pPr>
            <w:r>
              <w:t>b)</w:t>
            </w:r>
            <w:r>
              <w:tab/>
            </w:r>
            <w:r>
              <w:t xml:space="preserve">EU:n turvallisuusluokiteltuja tietoja käsittelevien ja säilyttävien viestintä- ja tietojärjestelmien rakennetta koskevia </w:t>
            </w:r>
            <w:r>
              <w:rPr>
                <w:b/>
                <w:i/>
              </w:rPr>
              <w:t>oleellisen tärkeitä</w:t>
            </w:r>
            <w:r>
              <w:t xml:space="preserve"> turvallisuusperiaatteita on noudatettava hankkeen suunnitteluvaiheessa osana tietoturvallisuusriskien hallintaprosessia ja ottaen huomioon tiedonsaantitarve, vähimmäistoimivuus, syvyyssuuntainen turvallisuus, pienimmän valtuuden periaate, tehtävien eriyttäminen ja neljän silmän periaate;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144</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41 artikla – 1 kohta – f a alakohta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 a)</w:t>
            </w:r>
            <w:r>
              <w:tab/>
            </w:r>
            <w:r>
              <w:rPr>
                <w:b/>
                <w:i/>
              </w:rPr>
              <w:t>järjestelmän omistajan tai operatiivisen tiedonturvaamisviranomaisen on varmistettava, että käytössä on haavoittuvuuksien tunnistamis- ja raportointiprosessi.</w:t>
            </w:r>
            <w:r>
              <w:t xml:space="preserve"> </w:t>
            </w:r>
            <w:r>
              <w:rPr>
                <w:b/>
                <w:i/>
              </w:rPr>
              <w:t>Tätä prosessia olisi tarvittaessa täydennettävä säännöllisillä tarkastuksilla ja tunkeutumistestauksella.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145</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42 artikla – 1 a kohta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a.</w:t>
            </w:r>
            <w:r>
              <w:tab/>
            </w:r>
            <w:r>
              <w:rPr>
                <w:b/>
                <w:i/>
              </w:rPr>
              <w:t>Neuvosto ylläpitää luetteloa hyväksytyistä salaustuotteista kansallisilta turvallisuusviranomaisilta saatujen tietojen perusteella kaikkien EU:n turvallisuusluokitelluiksi tiedoiksi luokiteltujen tietojen ja aineistojen osalta.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146</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42 artikla – 4 a kohta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a.</w:t>
            </w:r>
            <w:r>
              <w:tab/>
            </w:r>
            <w:r>
              <w:rPr>
                <w:b/>
                <w:i/>
              </w:rPr>
              <w:t>RESTREINT UE/EU RESTRICTED -turvallisuusluokkaan luokiteltujen tietojen ja aineistojen osalta ENISA/CERT-EU laatii luettelon muista hyväksytyistä salaustuotteista 18 kuukauden kuluessa siitä, kun asetus on julkaistu Euroopan unionin virallisessa lehdessä.</w:t>
            </w:r>
            <w:r>
              <w:t xml:space="preserve"> </w:t>
            </w:r>
            <w:r>
              <w:rPr>
                <w:b/>
                <w:i/>
              </w:rPr>
              <w:t>Luetteloa olisi tämän jälkeen tarkasteltava uudelleen joka vuosi, jotta se vastaisi teknologian ja markkinoiden kehitystä.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42 artikla – 5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Koordinointiryhmä ilmoittaa neuvostolle vuosittain salaustuotteista, joista se suosittelee toteuttamaan jäsenvaltion salauslaitteiden hyväksyntäviranomaisen arvioinnin unionin toimielimissä ja elimissä tehdyn kyselytutkimuksen perusteella.</w:t>
            </w:r>
          </w:p>
        </w:tc>
        <w:tc>
          <w:tcPr>
            <w:tcW w:w="4876" w:type="dxa"/>
          </w:tcPr>
          <w:p>
            <w:pPr>
              <w:pStyle w:val="Normal6a"/>
            </w:pPr>
            <w:r>
              <w:t>5.</w:t>
            </w:r>
            <w:r>
              <w:tab/>
            </w:r>
            <w:r>
              <w:t xml:space="preserve">Koordinointiryhmä ilmoittaa neuvostolle vuosittain salaustuotteista, joista se suosittelee toteuttamaan jäsenvaltion salauslaitteiden hyväksyntäviranomaisen </w:t>
            </w:r>
            <w:r>
              <w:rPr>
                <w:b/>
                <w:i/>
              </w:rPr>
              <w:t>tai ENISAn/CERT-EU:n</w:t>
            </w:r>
            <w:r>
              <w:t xml:space="preserve"> arvioinnin unionin toimielimissä ja elimissä tehdyn kyselytutkimuksen perusteella.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148</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51 artikla – 1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Unionin kaikki toimielimet ja elimet </w:t>
            </w:r>
            <w:r>
              <w:rPr>
                <w:b/>
                <w:i/>
              </w:rPr>
              <w:t>voivat jakaa</w:t>
            </w:r>
            <w:r>
              <w:t xml:space="preserve"> EU:n turvallisuusluokiteltuja tietoja unionin muiden toimielinten tai elinten kanssa 54 artiklassa asetettujen ehtojen mukaisesti.</w:t>
            </w:r>
          </w:p>
        </w:tc>
        <w:tc>
          <w:tcPr>
            <w:tcW w:w="4876" w:type="dxa"/>
          </w:tcPr>
          <w:p>
            <w:pPr>
              <w:pStyle w:val="Normal6a"/>
            </w:pPr>
            <w:r>
              <w:t>1.</w:t>
            </w:r>
            <w:r>
              <w:tab/>
            </w:r>
            <w:r>
              <w:t xml:space="preserve">Unionin kaikki toimielimet ja elimet </w:t>
            </w:r>
            <w:r>
              <w:rPr>
                <w:b/>
                <w:i/>
              </w:rPr>
              <w:t>jakavat</w:t>
            </w:r>
            <w:r>
              <w:t xml:space="preserve"> EU:n turvallisuusluokiteltuja tietoja unionin muiden toimielinten tai elinten kanssa 54 artiklassa asetettujen ehtojen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149</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52 artikla – 2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EU:n turvallisuusluokiteltujen tietojen jakamista ja turvallisuusluokiteltujen tietojen vaihtamista käsittelevä alaryhmä koostuu komission, neuvoston ja Euroopan ulkosuhdehallinnon edustajista ja tekee päätökset yksimielisesti.</w:t>
            </w:r>
          </w:p>
        </w:tc>
        <w:tc>
          <w:tcPr>
            <w:tcW w:w="4876" w:type="dxa"/>
          </w:tcPr>
          <w:p>
            <w:pPr>
              <w:pStyle w:val="Normal6a"/>
            </w:pPr>
            <w:r>
              <w:t>2.</w:t>
            </w:r>
            <w:r>
              <w:tab/>
            </w:r>
            <w:r>
              <w:t xml:space="preserve">EU:n turvallisuusluokiteltujen tietojen jakamista ja turvallisuusluokiteltujen tietojen vaihtamista käsittelevä alaryhmä koostuu </w:t>
            </w:r>
            <w:r>
              <w:rPr>
                <w:b/>
                <w:i/>
              </w:rPr>
              <w:t>Euroopan parlamentin,</w:t>
            </w:r>
            <w:r>
              <w:t xml:space="preserve"> komission, neuvoston ja Euroopan ulkosuhdehallinnon edustajista ja tekee päätökset yksimielisesti. </w:t>
            </w:r>
            <w:r>
              <w:rPr>
                <w:b/>
                <w:i/>
              </w:rPr>
              <w:t>Alaryhmä pyrkii löytämään oikeudenmukaisen tasapainon EU:n turvallisuusluokiteltujen tietojen suojaamisen tarpeen ja asetuksen (EY) N:o 1049/2001 välillä ja varmistaa, ettei luokittelu itsessään estä tietojen ilmaisemista.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150</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52 artikla – 2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EU:n turvallisuusluokiteltujen tietojen jakamista ja turvallisuusluokiteltujen tietojen vaihtamista käsittelevä alaryhmä koostuu komission, neuvoston ja Euroopan ulkosuhdehallinnon edustajista ja tekee päätökset yksimielisesti.</w:t>
            </w:r>
          </w:p>
        </w:tc>
        <w:tc>
          <w:tcPr>
            <w:tcW w:w="4876" w:type="dxa"/>
          </w:tcPr>
          <w:p>
            <w:pPr>
              <w:pStyle w:val="Normal6a"/>
            </w:pPr>
            <w:r>
              <w:t>2.</w:t>
            </w:r>
            <w:r>
              <w:tab/>
            </w:r>
            <w:r>
              <w:t xml:space="preserve">EU:n turvallisuusluokiteltujen tietojen jakamista ja turvallisuusluokiteltujen tietojen vaihtamista käsittelevä alaryhmä koostuu </w:t>
            </w:r>
            <w:r>
              <w:rPr>
                <w:b/>
                <w:i/>
              </w:rPr>
              <w:t>Euroopan parlamentin,</w:t>
            </w:r>
            <w:r>
              <w:t xml:space="preserve"> komission, neuvoston ja Euroopan ulkosuhdehallinnon edustajista ja tekee päätökset yksimielisesti.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151</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52 artikla – 2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EU:n turvallisuusluokiteltujen tietojen jakamista ja turvallisuusluokiteltujen tietojen vaihtamista käsittelevä alaryhmä koostuu komission, neuvoston ja Euroopan ulkosuhdehallinnon edustajista ja tekee päätökset yksimielisesti.</w:t>
            </w:r>
          </w:p>
        </w:tc>
        <w:tc>
          <w:tcPr>
            <w:tcW w:w="4876" w:type="dxa"/>
          </w:tcPr>
          <w:p>
            <w:pPr>
              <w:pStyle w:val="Normal6a"/>
            </w:pPr>
            <w:r>
              <w:t>2.</w:t>
            </w:r>
            <w:r>
              <w:tab/>
            </w:r>
            <w:r>
              <w:t xml:space="preserve">EU:n turvallisuusluokiteltujen tietojen jakamista ja turvallisuusluokiteltujen tietojen vaihtamista käsittelevä alaryhmä koostuu </w:t>
            </w:r>
            <w:r>
              <w:rPr>
                <w:b/>
                <w:i/>
              </w:rPr>
              <w:t>Euroopan parlamentin,</w:t>
            </w:r>
            <w:r>
              <w:t xml:space="preserve"> komission, neuvoston ja Euroopan ulkosuhdehallinnon edustajista ja tekee päätökset yksimielisesti.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152</w:t>
      </w:r>
      <w:r>
        <w:rPr>
          <w:rStyle w:val="HideTWBExt"/>
        </w:rPr>
        <w:t>&lt;/NumAm&gt;</w:t>
      </w:r>
    </w:p>
    <w:p>
      <w:pPr>
        <w:pStyle w:val="NormalBold"/>
      </w:pPr>
      <w:r>
        <w:rPr>
          <w:rStyle w:val="HideTWBExt"/>
        </w:rPr>
        <w:t>&lt;RepeatBlock-By&gt;</w:t>
      </w:r>
      <w:r>
        <w:rPr>
          <w:rStyle w:val="HideTWBExt"/>
        </w:rPr>
        <w:t>&lt;Members&gt;</w:t>
      </w:r>
      <w:r>
        <w:t>Konstantinos Arvanitis</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54 artikla – 1 kohta – a alakohta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rPr>
                <w:b/>
                <w:i/>
              </w:rPr>
              <w:t>tietojen vaihtamiselle on todettu tarve</w:t>
            </w:r>
            <w:r>
              <w:t>;</w:t>
            </w:r>
          </w:p>
        </w:tc>
        <w:tc>
          <w:tcPr>
            <w:tcW w:w="4876" w:type="dxa"/>
          </w:tcPr>
          <w:p>
            <w:pPr>
              <w:pStyle w:val="Normal6a"/>
            </w:pPr>
            <w:r>
              <w:t>a)</w:t>
            </w:r>
            <w:r>
              <w:tab/>
            </w:r>
            <w:r>
              <w:rPr>
                <w:b/>
                <w:i/>
              </w:rPr>
              <w:t>siihen on unionin oikeuteen tai unionin toimielinten välillä tehtyyn sopimukseen perustuva oikeudellinen velvoite</w:t>
            </w:r>
            <w:r>
              <w:t>;</w:t>
            </w:r>
            <w:r>
              <w:rPr>
                <w:b/>
                <w:i/>
              </w:rPr>
              <w:t>tai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tietojen vaihtamiselle on todettu tarve;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153</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54 artikla – 1 kohta – a a alakohta (uusi)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a)</w:t>
            </w:r>
            <w:r>
              <w:tab/>
            </w:r>
            <w:r>
              <w:rPr>
                <w:b/>
                <w:i/>
              </w:rPr>
              <w:t>siihen on perussopimuksiin, johdettuun oikeuteen tai unionin toimielinten välillä tehtyyn toimielinten sopimukseen perustuva oikeudellinen velvoite;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154</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54 artikla – 1 kohta – c alakohta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rPr>
                <w:b/>
                <w:i/>
              </w:rPr>
              <w:t>unionin asianomaisen toimielimen tai elimen turvallisuusviranomainen päättää, että se voi jakaa enintään määrätyn tasoisia turvallisuusluokiteltuja tietoja muiden tällä tavalla vahvistettujen unionin toimielinten ja elinten kanssa.</w:t>
            </w:r>
          </w:p>
        </w:tc>
        <w:tc>
          <w:tcPr>
            <w:tcW w:w="4876" w:type="dxa"/>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56 artikla – 1 kohta – a alakohta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unionin asianomaisella toimielimellä tai elimellä on pitkäkestoinen tarve vaihtaa tietoja, jotka kuuluvat pääsääntöisesti korkeintaan luokkaan </w:t>
            </w:r>
            <w:r>
              <w:rPr>
                <w:b/>
                <w:i/>
              </w:rPr>
              <w:t>RESTREINT UE/EU RESTRICTED</w:t>
            </w:r>
            <w:r>
              <w:t>, kolmannessa maassa tai kansainvälisessä järjestössä vastaavaa tehtävää hoitavan elimen kanssa;</w:t>
            </w:r>
          </w:p>
        </w:tc>
        <w:tc>
          <w:tcPr>
            <w:tcW w:w="4876" w:type="dxa"/>
          </w:tcPr>
          <w:p>
            <w:pPr>
              <w:pStyle w:val="Normal6a"/>
            </w:pPr>
            <w:r>
              <w:t>a)</w:t>
            </w:r>
            <w:r>
              <w:tab/>
            </w:r>
            <w:r>
              <w:t xml:space="preserve">unionin asianomaisella toimielimellä tai elimellä on pitkäkestoinen tarve vaihtaa tietoja, jotka kuuluvat pääsääntöisesti korkeintaan luokkaan </w:t>
            </w:r>
            <w:r>
              <w:rPr>
                <w:b/>
                <w:i/>
              </w:rPr>
              <w:t>CONFIDENTIEL UE/EU CONFIDENTIAL</w:t>
            </w:r>
            <w:r>
              <w:t>, kolmannessa maassa tai kansainvälisessä järjestössä vastaavaa tehtävää hoitavan elimen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156</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60 artikla – 2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Unionin kaikkien toimielinten ja elinten, jotka komissio, neuvosto tai Euroopan ulkosuhdehallinto on arvioinut ennen … päivää …kuuta … [asetuksen soveltamispäivä] soveltuviksi käsittelemään ja säilyttämään EU:n turvallisuusluokiteltuja tietoja, katsotaan täyttävän 19 artiklan 1 kohdassa tarkoitetut edellytykset.</w:t>
            </w:r>
          </w:p>
        </w:tc>
        <w:tc>
          <w:tcPr>
            <w:tcW w:w="4876" w:type="dxa"/>
          </w:tcPr>
          <w:p>
            <w:pPr>
              <w:pStyle w:val="Normal6a"/>
            </w:pPr>
            <w:r>
              <w:t>2.</w:t>
            </w:r>
            <w:r>
              <w:tab/>
            </w:r>
            <w:r>
              <w:t xml:space="preserve">Unionin kaikkien toimielinten ja elinten, jotka komissio, </w:t>
            </w:r>
            <w:r>
              <w:rPr>
                <w:b/>
                <w:i/>
              </w:rPr>
              <w:t>Euroopan parlamentti,</w:t>
            </w:r>
            <w:r>
              <w:t xml:space="preserve"> neuvosto tai Euroopan ulkosuhdehallinto on arvioinut ennen … päivää …kuuta … [asetuksen soveltamispäivä] soveltuviksi käsittelemään ja säilyttämään EU:n turvallisuusluokiteltuja tietoja, katsotaan täyttävän 19 artiklan 1 kohdassa tarkoitetut edellytykset.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157</w:t>
      </w:r>
      <w:r>
        <w:rPr>
          <w:rStyle w:val="HideTWBExt"/>
        </w:rPr>
        <w:t>&lt;/NumAm&gt;</w:t>
      </w:r>
    </w:p>
    <w:p>
      <w:pPr>
        <w:pStyle w:val="NormalBold"/>
      </w:pPr>
      <w:r>
        <w:rPr>
          <w:rStyle w:val="HideTWBExt"/>
        </w:rPr>
        <w:t>&lt;RepeatBlock-By&gt;</w:t>
      </w:r>
      <w:r>
        <w:rPr>
          <w:rStyle w:val="HideTWBExt"/>
        </w:rPr>
        <w:t>&lt;Members&gt;</w:t>
      </w:r>
      <w:r>
        <w:t>Vladimír Bilčík</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60 artikla – 2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Unionin kaikkien toimielinten ja elinten, jotka komissio, neuvosto tai Euroopan ulkosuhdehallinto on arvioinut ennen … päivää …kuuta … [asetuksen soveltamispäivä] soveltuviksi käsittelemään ja säilyttämään EU:n turvallisuusluokiteltuja tietoja, katsotaan täyttävän 19 artiklan 1 kohdassa tarkoitetut edellytykset.</w:t>
            </w:r>
          </w:p>
        </w:tc>
        <w:tc>
          <w:tcPr>
            <w:tcW w:w="4876" w:type="dxa"/>
          </w:tcPr>
          <w:p>
            <w:pPr>
              <w:pStyle w:val="Normal6a"/>
            </w:pPr>
            <w:r>
              <w:t>2.</w:t>
            </w:r>
            <w:r>
              <w:tab/>
            </w:r>
            <w:r>
              <w:t xml:space="preserve">Unionin kaikkien toimielinten ja elinten, jotka </w:t>
            </w:r>
            <w:r>
              <w:rPr>
                <w:b/>
                <w:i/>
              </w:rPr>
              <w:t>parlamentti,</w:t>
            </w:r>
            <w:r>
              <w:t xml:space="preserve"> komissio, neuvosto tai Euroopan ulkosuhdehallinto on arvioinut ennen … päivää …kuuta … [asetuksen soveltamispäivä] soveltuviksi käsittelemään ja säilyttämään EU:n turvallisuusluokiteltuja tietoja, katsotaan täyttävän 19 artiklan 1 kohdassa tarkoitetut edellytykset.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158</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61 artikla – 1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Komissio esittää viimeistään … päivänä …kuuta … [</w:t>
            </w:r>
            <w:r>
              <w:rPr>
                <w:b/>
                <w:i/>
              </w:rPr>
              <w:t>kolmen</w:t>
            </w:r>
            <w:r>
              <w:t xml:space="preserve"> vuoden kuluttua asetuksen soveltamispäivästä] Euroopan parlamentille ja neuvostolle kertomuksen tämän asetuksen täytäntöönpanosta.</w:t>
            </w:r>
          </w:p>
        </w:tc>
        <w:tc>
          <w:tcPr>
            <w:tcW w:w="4876" w:type="dxa"/>
          </w:tcPr>
          <w:p>
            <w:pPr>
              <w:pStyle w:val="Normal6a"/>
            </w:pPr>
            <w:r>
              <w:t>1.</w:t>
            </w:r>
            <w:r>
              <w:tab/>
            </w:r>
            <w:r>
              <w:t>Komissio esittää viimeistään … päivänä …kuuta … [</w:t>
            </w:r>
            <w:r>
              <w:rPr>
                <w:b/>
                <w:i/>
              </w:rPr>
              <w:t>kahden</w:t>
            </w:r>
            <w:r>
              <w:t xml:space="preserve"> vuoden kuluttua asetuksen soveltamispäivästä] Euroopan parlamentille ja neuvostolle kertomuksen tämän asetuksen täytäntöönpanosta.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159</w:t>
      </w:r>
      <w:r>
        <w:rPr>
          <w:rStyle w:val="HideTWBExt"/>
        </w:rPr>
        <w:t>&lt;/NumAm&gt;</w:t>
      </w:r>
    </w:p>
    <w:p>
      <w:pPr>
        <w:pStyle w:val="NormalBold"/>
      </w:pPr>
      <w:r>
        <w:rPr>
          <w:rStyle w:val="HideTWBExt"/>
        </w:rPr>
        <w:t>&lt;RepeatBlock-By&gt;</w:t>
      </w:r>
      <w:r>
        <w:rPr>
          <w:rStyle w:val="HideTWBExt"/>
        </w:rPr>
        <w:t>&lt;Members&gt;</w:t>
      </w:r>
      <w:r>
        <w:t>Maite Pagazaurtundúa</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61 artikla – 2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Komissio suorittaa aikaisintaan … päivänä …kuuta … [</w:t>
            </w:r>
            <w:r>
              <w:rPr>
                <w:b/>
                <w:i/>
              </w:rPr>
              <w:t>viiden</w:t>
            </w:r>
            <w:r>
              <w:t xml:space="preserve"> vuoden kuluttua asetuksen soveltamisen alkamispäivästä] ja sen jälkeen joka viides vuosi tämän asetuksen arvioinnin ja esittää Euroopan parlamentille ja neuvostolle kertomuksen arvioinnin pääasiallisista tuloksista.</w:t>
            </w:r>
          </w:p>
        </w:tc>
        <w:tc>
          <w:tcPr>
            <w:tcW w:w="4876" w:type="dxa"/>
          </w:tcPr>
          <w:p>
            <w:pPr>
              <w:pStyle w:val="Normal6a"/>
            </w:pPr>
            <w:r>
              <w:t>2.</w:t>
            </w:r>
            <w:r>
              <w:tab/>
            </w:r>
            <w:r>
              <w:t>Komissio suorittaa aikaisintaan … päivänä …kuuta … [</w:t>
            </w:r>
            <w:r>
              <w:rPr>
                <w:b/>
                <w:i/>
              </w:rPr>
              <w:t>kolmen</w:t>
            </w:r>
            <w:r>
              <w:t xml:space="preserve"> vuoden kuluttua asetuksen soveltamisen alkamispäivästä] ja sen jälkeen joka viides vuosi tämän asetuksen arvioinnin ja esittää Euroopan parlamentille ja neuvostolle kertomuksen arvioinnin pääasiallisista tuloksista.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 – 1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Arkaluonteisia turvallisuusluokittelemattomia tietoja sisältävät asiakirjat on merkittävä turvallisuusmerkinnällä ja tarvittaessa yhdellä tai useammalla jakelumerkinnällä, jossa ilmoitetaan kohdeyleisö. Vakiomuotoinen turvallisuusmerkintä on isoilla kirjaimilla kirjoitettu sana ”</w:t>
            </w:r>
            <w:r>
              <w:rPr>
                <w:b/>
                <w:i/>
              </w:rPr>
              <w:t>SENSITIVE</w:t>
            </w:r>
            <w:r>
              <w:t>”, lukuun ottamatta 15 artiklan 2 kohdassa tarkoitettuja tapauksia.</w:t>
            </w:r>
          </w:p>
        </w:tc>
        <w:tc>
          <w:tcPr>
            <w:tcW w:w="4876" w:type="dxa"/>
          </w:tcPr>
          <w:p>
            <w:pPr>
              <w:pStyle w:val="Normal6a"/>
            </w:pPr>
            <w:r>
              <w:t>1.</w:t>
            </w:r>
            <w:r>
              <w:tab/>
            </w:r>
            <w:r>
              <w:t>Arkaluonteisia turvallisuusluokittelemattomia tietoja sisältävät asiakirjat on merkittävä turvallisuusmerkinnällä ja tarvittaessa yhdellä tai useammalla jakelumerkinnällä, jossa ilmoitetaan kohdeyleisö. Vakiomuotoinen turvallisuusmerkintä on isoilla kirjaimilla kirjoitettu sana ”</w:t>
            </w:r>
            <w:r>
              <w:rPr>
                <w:b/>
                <w:i/>
              </w:rPr>
              <w:t>PROTECTED</w:t>
            </w:r>
            <w:r>
              <w:t>”, lukuun ottamatta 15 artiklan 2 kohdassa tarkoitettuja tapauksia.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 – 4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rPr>
                <w:b/>
                <w:i/>
              </w:rPr>
              <w:t>SENSITIVE-merkinnällä</w:t>
            </w:r>
            <w:r>
              <w:t xml:space="preserve"> merkittyjen asiakirjojen luokka alennetaan EU NORMAL- tai PUBLIC USE </w:t>
            </w:r>
            <w:r>
              <w:rPr>
                <w:b/>
                <w:i/>
              </w:rPr>
              <w:t>‑</w:t>
            </w:r>
            <w:r>
              <w:t>luokkaan poistamalla merkinnät.</w:t>
            </w:r>
          </w:p>
        </w:tc>
        <w:tc>
          <w:tcPr>
            <w:tcW w:w="4876" w:type="dxa"/>
          </w:tcPr>
          <w:p>
            <w:pPr>
              <w:pStyle w:val="Normal6a"/>
            </w:pPr>
            <w:r>
              <w:t>4.</w:t>
            </w:r>
            <w:r>
              <w:tab/>
            </w:r>
            <w:r>
              <w:rPr>
                <w:b/>
                <w:i/>
              </w:rPr>
              <w:t>PROTECTED-merkinnällä</w:t>
            </w:r>
            <w:r>
              <w:t xml:space="preserve"> merkittyjen asiakirjojen luokka alennetaan EU NORMAL- tai PUBLIC USE </w:t>
            </w:r>
            <w:r>
              <w:rPr>
                <w:b/>
                <w:i/>
              </w:rPr>
              <w:t>-</w:t>
            </w:r>
            <w:r>
              <w:t>luokkaan poistamalla merkinnät.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II – 1 kohta – 1 alakohta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’henkilöturvallisuusselvityksellä’ </w:t>
            </w:r>
            <w:r>
              <w:rPr>
                <w:b/>
                <w:i/>
              </w:rPr>
              <w:t>jäsenvaltion asiaan liittyvän viranomaisen</w:t>
            </w:r>
            <w:r>
              <w:t xml:space="preserve"> lausuntoa, joka annetaan toimivaltaisten viranomaisten tekemän turvallisuustutkinnan päätteeksi ja jonka mukaan henkilölle voidaan myöntää pääsy EU:n turvallisuusluokiteltuihin tietoihin tiettyyn turvallisuusluokkaan (CONFIDENTIEL UE/EU CONFIDENTIAL tai sitä korkeampi) saakka ja tietyksi määräajaksi;</w:t>
            </w:r>
          </w:p>
        </w:tc>
        <w:tc>
          <w:tcPr>
            <w:tcW w:w="4876" w:type="dxa"/>
          </w:tcPr>
          <w:p>
            <w:pPr>
              <w:pStyle w:val="Normal6a"/>
            </w:pPr>
            <w:r>
              <w:t>1)</w:t>
            </w:r>
            <w:r>
              <w:tab/>
            </w:r>
            <w:r>
              <w:rPr>
                <w:b/>
                <w:i/>
              </w:rPr>
              <w:t>1)</w:t>
            </w:r>
            <w:r>
              <w:t xml:space="preserve"> ’henkilöturvallisuusselvityksellä’ </w:t>
            </w:r>
            <w:r>
              <w:rPr>
                <w:b/>
                <w:i/>
              </w:rPr>
              <w:t>komission</w:t>
            </w:r>
            <w:r>
              <w:t xml:space="preserve"> lausuntoa, joka annetaan </w:t>
            </w:r>
            <w:r>
              <w:rPr>
                <w:b/>
                <w:i/>
              </w:rPr>
              <w:t>komission yhteistyössä asianomaisen jäsenvaltion</w:t>
            </w:r>
            <w:r>
              <w:t xml:space="preserve"> toimivaltaisten viranomaisten </w:t>
            </w:r>
            <w:r>
              <w:rPr>
                <w:b/>
                <w:i/>
              </w:rPr>
              <w:t>kanssa</w:t>
            </w:r>
            <w:r>
              <w:t xml:space="preserve"> tekemän turvallisuustutkinnan päätteeksi ja jonka mukaan henkilölle voidaan myöntää pääsy EU:n turvallisuusluokiteltuihin tietoihin tiettyyn turvallisuusluokkaan (CONFIDENTIEL UE/EU CONFIDENTIAL tai sitä korkeampi) saakka ja tietyksi määräajaksi;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II – 1 kohta – 2 alakohta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’henkilöturvallisuusselvitykseen perustuvalla todistuksella’ </w:t>
            </w:r>
            <w:r>
              <w:rPr>
                <w:b/>
                <w:i/>
              </w:rPr>
              <w:t>toimivaltaisen viranomaisen</w:t>
            </w:r>
            <w:r>
              <w:t xml:space="preserve"> antamaa todistusta, jonka mukaan henkilöllä on voimassa oleva turvallisuusselvitys tai vastaava taikka turvallisuusvaltuutus ja josta käy ilmi turvallisuusluokka, johon kuuluviin EU:n turvallisuusluokiteltuihin tietoihin henkilölle voidaan myöntää pääsy (CONFIDENTIEL UE/EU CONFIDENTIAL tai sitä korkeampi), asianomaisen turvallisuusselvityksen tai ‑valtuutuksen voimassaoloaika ja todistuksen voimassaolon päättymispäivä.</w:t>
            </w:r>
          </w:p>
        </w:tc>
        <w:tc>
          <w:tcPr>
            <w:tcW w:w="4876" w:type="dxa"/>
          </w:tcPr>
          <w:p>
            <w:pPr>
              <w:pStyle w:val="Normal6a"/>
            </w:pPr>
            <w:r>
              <w:t>2)</w:t>
            </w:r>
            <w:r>
              <w:tab/>
            </w:r>
            <w:r>
              <w:t xml:space="preserve">’henkilöturvallisuusselvitykseen perustuvalla todistuksella’ </w:t>
            </w:r>
            <w:r>
              <w:rPr>
                <w:b/>
                <w:i/>
              </w:rPr>
              <w:t>komission</w:t>
            </w:r>
            <w:r>
              <w:t xml:space="preserve"> antamaa todistusta, jonka mukaan henkilöllä on voimassa oleva turvallisuusselvitys tai vastaava taikka turvallisuusvaltuutus ja josta käy ilmi turvallisuusluokka, johon kuuluviin EU:n turvallisuusluokiteltuihin tietoihin henkilölle voidaan myöntää pääsy (CONFIDENTIEL UE/EU CONFIDENTIAL tai sitä korkeampi), asianomaisen turvallisuusselvityksen tai ‑valtuutuksen voimassaoloaika ja todistuksen voimassaolon päättymispäivä.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II – 1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Unionin asianomaisen toimielimen tai elimen turvallisuusviranomaisen on pyydettävä henkilön kirjallinen suostumus turvallisuusselvitysmenettelyä varten ennen täytetyn turvallisuusselvityslomakkeen lähettämistä </w:t>
            </w:r>
            <w:r>
              <w:rPr>
                <w:b/>
                <w:i/>
              </w:rPr>
              <w:t>sen jäsenvaltion kansalliselle turvallisuusviranomaiselle, jonka kansalainen hakija on</w:t>
            </w:r>
            <w:r>
              <w:t>.</w:t>
            </w:r>
          </w:p>
        </w:tc>
        <w:tc>
          <w:tcPr>
            <w:tcW w:w="4876" w:type="dxa"/>
          </w:tcPr>
          <w:p>
            <w:pPr>
              <w:pStyle w:val="Normal6a"/>
            </w:pPr>
            <w:r>
              <w:t>1.</w:t>
            </w:r>
            <w:r>
              <w:tab/>
            </w:r>
            <w:r>
              <w:t xml:space="preserve">Unionin asianomaisen toimielimen tai elimen turvallisuusviranomaisen on pyydettävä henkilön kirjallinen suostumus turvallisuusselvitysmenettelyä varten ennen täytetyn turvallisuusselvityslomakkeen lähettämistä </w:t>
            </w:r>
            <w:r>
              <w:rPr>
                <w:b/>
                <w:i/>
              </w:rPr>
              <w:t>komissiolle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II – 2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Jos unionin toimielimen tai elimen tietoon tulee turvallisuustutkinnan kannalta merkityksellisiä tietoja henkilöstä, joka on hakenut turvallisuusselvitystä EU:n turvallisuusluokiteltuihin tietoihin pääsyä varten, toimivaltaisen turvallisuusviranomaisen on ilmoitettava siitä </w:t>
            </w:r>
            <w:r>
              <w:rPr>
                <w:b/>
                <w:i/>
              </w:rPr>
              <w:t>asianomaiselle kansalliselle turvallisuusviranomaiselle</w:t>
            </w:r>
            <w:r>
              <w:t xml:space="preserve"> tämän asetuksen mukaisesti.</w:t>
            </w:r>
          </w:p>
        </w:tc>
        <w:tc>
          <w:tcPr>
            <w:tcW w:w="4876" w:type="dxa"/>
          </w:tcPr>
          <w:p>
            <w:pPr>
              <w:pStyle w:val="Normal6a"/>
            </w:pPr>
            <w:r>
              <w:t>2.</w:t>
            </w:r>
            <w:r>
              <w:tab/>
            </w:r>
            <w:r>
              <w:t xml:space="preserve">Jos unionin toimielimen tai elimen tietoon tulee turvallisuustutkinnan kannalta merkityksellisiä tietoja henkilöstä, joka on hakenut turvallisuusselvitystä EU:n turvallisuusluokiteltuihin tietoihin pääsyä varten, toimivaltaisen turvallisuusviranomaisen on ilmoitettava siitä </w:t>
            </w:r>
            <w:r>
              <w:rPr>
                <w:b/>
                <w:i/>
              </w:rPr>
              <w:t>komissiolle</w:t>
            </w:r>
            <w:r>
              <w:t xml:space="preserve"> tämän asetuksen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II – 3 kohta – johdanto-osa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Sen jälkeen, kun </w:t>
            </w:r>
            <w:r>
              <w:rPr>
                <w:b/>
                <w:i/>
              </w:rPr>
              <w:t>kansallinen turvallisuusviranomainen</w:t>
            </w:r>
            <w:r>
              <w:t xml:space="preserve"> on ilmoittanut kokonaisarvionsa turvallisuustutkinnan tuloksista, toimivaltainen turvallisuusviranomainen</w:t>
            </w:r>
          </w:p>
        </w:tc>
        <w:tc>
          <w:tcPr>
            <w:tcW w:w="4876" w:type="dxa"/>
          </w:tcPr>
          <w:p>
            <w:pPr>
              <w:pStyle w:val="Normal6a"/>
            </w:pPr>
            <w:r>
              <w:t>3.</w:t>
            </w:r>
            <w:r>
              <w:tab/>
            </w:r>
            <w:r>
              <w:t xml:space="preserve">Sen jälkeen, kun </w:t>
            </w:r>
            <w:r>
              <w:rPr>
                <w:b/>
                <w:i/>
              </w:rPr>
              <w:t>komissio</w:t>
            </w:r>
            <w:r>
              <w:t xml:space="preserve"> on ilmoittanut kokonaisarvionsa turvallisuustutkinnan tuloksista, toimivaltainen turvallisuusviranomainen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II – 4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Jos henkilö aloittaa palveluksensa aikaisintaan 12 kuukauden kuluessa siitä päivämäärästä, kun turvallisuustutkinnan tuloksesta on ilmoitettu, tai jos henkilön palveluksessaolo keskeytyy 12 kuukaudeksi, toimivaltaisen turvallisuusviranomaisen on pyydettävä </w:t>
            </w:r>
            <w:r>
              <w:rPr>
                <w:b/>
                <w:i/>
              </w:rPr>
              <w:t>asiaankuuluvalta kansalliselta turvallisuusviranomaiselta</w:t>
            </w:r>
            <w:r>
              <w:t xml:space="preserve"> vahvistus turvallisuusselvityksen voimassaololle.</w:t>
            </w:r>
          </w:p>
        </w:tc>
        <w:tc>
          <w:tcPr>
            <w:tcW w:w="4876" w:type="dxa"/>
          </w:tcPr>
          <w:p>
            <w:pPr>
              <w:pStyle w:val="Normal6a"/>
            </w:pPr>
            <w:r>
              <w:t>4.</w:t>
            </w:r>
            <w:r>
              <w:tab/>
            </w:r>
            <w:r>
              <w:t xml:space="preserve">Jos henkilö aloittaa palveluksensa aikaisintaan 12 kuukauden kuluessa siitä päivämäärästä, kun turvallisuustutkinnan tuloksesta on ilmoitettu, tai jos henkilön palveluksessaolo keskeytyy 12 kuukaudeksi, toimivaltaisen turvallisuusviranomaisen on pyydettävä </w:t>
            </w:r>
            <w:r>
              <w:rPr>
                <w:b/>
                <w:i/>
              </w:rPr>
              <w:t>komissiolta</w:t>
            </w:r>
            <w:r>
              <w:t xml:space="preserve"> vahvistus turvallisuusselvityksen voimassaololle.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II – 5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Jos unionin asianomaisen toimielimen tai elimen tietoon tulee, että henkilö, jolla on valtuutus EU:n turvallisuusluokiteltuihin tietoihin pääsyä varten, saattaa aiheuttaa turvallisuusriskin, kyseisen unionin toimielimen tai elimen turvallisuusviranomaisen on asiaankuuluvien sääntöjen ja määräysten mukaisesti ilmoitettava siitä </w:t>
            </w:r>
            <w:r>
              <w:rPr>
                <w:b/>
                <w:i/>
              </w:rPr>
              <w:t>asiaan liittyvälle kansalliselle turvallisuusviranomaiselle</w:t>
            </w:r>
            <w:r>
              <w:t>, ja se voi estää pääsyn EU:n turvallisuusluokiteltuihin tietoihin tai peruuttaa valtuutuksen EU:n turvallisuusluokiteltuihin tietoihin pääsyä varten.</w:t>
            </w:r>
          </w:p>
        </w:tc>
        <w:tc>
          <w:tcPr>
            <w:tcW w:w="4876" w:type="dxa"/>
          </w:tcPr>
          <w:p>
            <w:pPr>
              <w:pStyle w:val="Normal6a"/>
            </w:pPr>
            <w:r>
              <w:t>5.</w:t>
            </w:r>
            <w:r>
              <w:tab/>
            </w:r>
            <w:r>
              <w:t xml:space="preserve">Jos unionin asianomaisen toimielimen tai elimen tietoon tulee, että henkilö, jolla on valtuutus EU:n turvallisuusluokiteltuihin tietoihin pääsyä varten, saattaa aiheuttaa turvallisuusriskin, kyseisen unionin toimielimen tai elimen turvallisuusviranomaisen on asiaankuuluvien sääntöjen ja määräysten mukaisesti ilmoitettava siitä </w:t>
            </w:r>
            <w:r>
              <w:rPr>
                <w:b/>
                <w:i/>
              </w:rPr>
              <w:t>komissiolle</w:t>
            </w:r>
            <w:r>
              <w:t>, ja se voi estää pääsyn EU:n turvallisuusluokiteltuihin tietoihin tai peruuttaa valtuutuksen EU:n turvallisuusluokiteltuihin tietoihin pääsyä varten.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II – 6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Jos </w:t>
            </w:r>
            <w:r>
              <w:rPr>
                <w:b/>
                <w:i/>
              </w:rPr>
              <w:t>kansallinen turvallisuusviranomainen</w:t>
            </w:r>
            <w:r>
              <w:t xml:space="preserve"> ilmoittaa unionin asianomaiselle toimielimelle tai elimelle, ettei henkilöllä, jolla on pääsy EU:n turvallisuusluokiteltuihin tietoihin, ole enää viranomaisen vakuutusta, unionin asianomaisen toimielimen tai elimen on peruutettava turvallisuusvaltuutuksensa ja evättävä henkilöltä pääsy EU:n turvallisuusluokiteltuihin tietoihin omien asiaan liittyvien sisäisten sääntöjensä mukaisesti.</w:t>
            </w:r>
          </w:p>
        </w:tc>
        <w:tc>
          <w:tcPr>
            <w:tcW w:w="4876" w:type="dxa"/>
          </w:tcPr>
          <w:p>
            <w:pPr>
              <w:pStyle w:val="Normal6a"/>
            </w:pPr>
            <w:r>
              <w:t>6.</w:t>
            </w:r>
            <w:r>
              <w:tab/>
            </w:r>
            <w:r>
              <w:t xml:space="preserve">Jos </w:t>
            </w:r>
            <w:r>
              <w:rPr>
                <w:b/>
                <w:i/>
              </w:rPr>
              <w:t>komissio</w:t>
            </w:r>
            <w:r>
              <w:t xml:space="preserve"> ilmoittaa unionin asianomaiselle toimielimelle tai elimelle, ettei henkilöllä, jolla on pääsy EU:n turvallisuusluokiteltuihin tietoihin, ole enää viranomaisen vakuutusta, unionin asianomaisen toimielimen tai elimen on peruutettava turvallisuusvaltuutuksensa ja evättävä henkilöltä pääsy EU:n turvallisuusluokiteltuihin tietoihin omien asiaan liittyvien sisäisten sääntöjensä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II – 8 kohta – 1 alakohta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Unionin asianomaisen toimielimen ja elimen turvallisuusviranomainen voi jatkaa voimassa olevan EU:n turvallisuusluokiteltuihin tietoihin pääsyä varten myönnetyn valtuutuksen voimassaoloa enintään 12 kuukaudella, jos </w:t>
            </w:r>
            <w:r>
              <w:rPr>
                <w:b/>
                <w:i/>
              </w:rPr>
              <w:t>asianomainen kansallinen turvallisuusviranomainen tai muu toimivaltainen viranomainen</w:t>
            </w:r>
            <w:r>
              <w:t xml:space="preserve"> ei ole ilmoittanut mitään kielteisiä seikkoja kahden kuukauden kuluessa uusintapyynnön ja siihen liittyvän selvityslomakkeen lähetyspäivästä.</w:t>
            </w:r>
          </w:p>
        </w:tc>
        <w:tc>
          <w:tcPr>
            <w:tcW w:w="4876" w:type="dxa"/>
          </w:tcPr>
          <w:p>
            <w:pPr>
              <w:pStyle w:val="Normal6a"/>
            </w:pPr>
            <w:r>
              <w:t xml:space="preserve">Unionin asianomaisen toimielimen ja elimen turvallisuusviranomainen voi jatkaa voimassa olevan EU:n turvallisuusluokiteltuihin tietoihin pääsyä varten myönnetyn valtuutuksen voimassaoloa enintään 12 kuukaudella, jos </w:t>
            </w:r>
            <w:r>
              <w:rPr>
                <w:b/>
                <w:i/>
              </w:rPr>
              <w:t>komissio</w:t>
            </w:r>
            <w:r>
              <w:t xml:space="preserve"> ei ole ilmoittanut mitään kielteisiä seikkoja kahden kuukauden kuluessa uusintapyynnön ja siihen liittyvän selvityslomakkeen lähetyspäivästä.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II – 10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Unionin asianomaisen toimielimen ja elimen turvallisuusviranomainen voi poikkeuksellisesti myöntää tilapäisen valtuutuksen EU:n turvallisuusluokiteltuihin tietoihin pääsyä varten, jos </w:t>
            </w:r>
            <w:r>
              <w:rPr>
                <w:b/>
                <w:i/>
              </w:rPr>
              <w:t>toimivaltainen kansallinen turvallisuusviranomainen</w:t>
            </w:r>
            <w:r>
              <w:t xml:space="preserve"> on tehnyt alustavan tarkastuksen täytetyn ja toimitetun turvallisuuslomakkeen perusteella sen tarkistamiseksi, ettei tiedossa ole kielteisiä seikkoja.</w:t>
            </w:r>
          </w:p>
        </w:tc>
        <w:tc>
          <w:tcPr>
            <w:tcW w:w="4876" w:type="dxa"/>
          </w:tcPr>
          <w:p>
            <w:pPr>
              <w:pStyle w:val="Normal6a"/>
            </w:pPr>
            <w:r>
              <w:t>10.</w:t>
            </w:r>
            <w:r>
              <w:tab/>
            </w:r>
            <w:r>
              <w:t xml:space="preserve">Unionin asianomaisen toimielimen ja elimen turvallisuusviranomainen voi poikkeuksellisesti myöntää tilapäisen valtuutuksen EU:n turvallisuusluokiteltuihin tietoihin pääsyä varten, jos </w:t>
            </w:r>
            <w:r>
              <w:rPr>
                <w:b/>
                <w:i/>
              </w:rPr>
              <w:t>komissio</w:t>
            </w:r>
            <w:r>
              <w:t xml:space="preserve"> on tehnyt alustavan tarkastuksen täytetyn ja toimitetun turvallisuuslomakkeen perusteella sen tarkistamiseksi, ettei tiedossa ole kielteisiä seikkoja.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172</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II – 13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13.</w:t>
            </w:r>
            <w:r>
              <w:tab/>
            </w:r>
            <w:r>
              <w:t xml:space="preserve">Kaikkien unionin toimielinten ja elinten on varmistettava, että niiden sellaisissa tehtävissä työskentelevät kansalliset asiantuntijat, joissa edellytetään turvallisuusselvitys, esittävät toimivaltaiselle turvallisuusviranomaiselle ennen tehtäviensä aloittamista voimassa olevan </w:t>
            </w:r>
            <w:r>
              <w:rPr>
                <w:b/>
                <w:i/>
              </w:rPr>
              <w:t>henkilöturvallisuusselvityksen tai siihen perustuvan todistuksen</w:t>
            </w:r>
            <w:r>
              <w:t xml:space="preserve"> kansallisten lakien ja asetusten mukaisesti. Edellyttäen, että 23 artiklan 1 kohdassa tarkoitetut vaatimukset täyttyvät, turvallisuusviranomainen voi tämän jälkeen myöntää enintään tehtävän keston ajaksi valtuutuksen päästä EU:n turvallisuusluokiteltuihin tietoihin sellaiseen tasoon asti, joka vastaa kansallisessa turvallisuusselvityksessä mainittua tasoa.</w:t>
            </w:r>
          </w:p>
        </w:tc>
        <w:tc>
          <w:tcPr>
            <w:tcW w:w="4876" w:type="dxa"/>
          </w:tcPr>
          <w:p>
            <w:pPr>
              <w:pStyle w:val="Normal6a"/>
            </w:pPr>
            <w:r>
              <w:t>13.</w:t>
            </w:r>
            <w:r>
              <w:tab/>
            </w:r>
            <w:r>
              <w:t xml:space="preserve">Kaikkien unionin toimielinten ja elinten on varmistettava, että niiden sellaisissa tehtävissä työskentelevät kansalliset asiantuntijat, joissa edellytetään turvallisuusselvitys, esittävät toimivaltaiselle turvallisuusviranomaiselle ennen tehtäviensä aloittamista voimassa olevan </w:t>
            </w:r>
            <w:r>
              <w:rPr>
                <w:b/>
                <w:i/>
              </w:rPr>
              <w:t>kansallisen turvallisuusselvityksen</w:t>
            </w:r>
            <w:r>
              <w:t xml:space="preserve"> kansallisten lakien ja asetusten mukaisesti. Edellyttäen, että 23 artiklan 1 kohdassa tarkoitetut vaatimukset täyttyvät, turvallisuusviranomainen voi tämän jälkeen myöntää enintään tehtävän keston ajaksi valtuutuksen päästä EU:n turvallisuusluokiteltuihin tietoihin sellaiseen tasoon asti, joka vastaa kansallisessa turvallisuusselvityksessä mainittua tasoa.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173</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III – 8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8.</w:t>
            </w:r>
            <w:r>
              <w:tab/>
            </w:r>
            <w:r>
              <w:rPr>
                <w:b/>
                <w:i/>
              </w:rPr>
              <w:t>Luokkaan RESTREINT UE/EU RESTRICTED kuuluvia EU:n turvallisuusluokiteltuja tietoja on käsiteltävä ja säilytettävä jollakin seuraavista alueista:</w:t>
            </w:r>
          </w:p>
        </w:tc>
        <w:tc>
          <w:tcPr>
            <w:tcW w:w="4876" w:type="dxa"/>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turva-alueella;</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hallinnollisella alueella, jos pääsy EU:n turvallisuusluokiteltuihin tietoihin on suojattu sivullisilta;</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turva-alueen tai hallinnollisen alueen ulkopuolella, jos haltija on sitoutunut noudattamaan unionin kunkin toimielimen ja elimen turvallisuusviranomaisen päättämiä korvaavia toimenpiteitä.</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174</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III – 9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9.</w:t>
            </w:r>
            <w:r>
              <w:tab/>
            </w:r>
            <w:r>
              <w:rPr>
                <w:b/>
                <w:i/>
              </w:rPr>
              <w:t>Luokkaan RESTREINT UE/EU RESTRICTED kuuluvat EU:n turvallisuusluokitellut tiedot on säilytettävä lukituissa toimistokalusteissa hallinnollisella alueella tai turva-alueella.</w:t>
            </w:r>
            <w:r>
              <w:t xml:space="preserve"> </w:t>
            </w:r>
            <w:r>
              <w:rPr>
                <w:b/>
                <w:i/>
              </w:rPr>
              <w:t>Niitä voidaan tilapäisesti säilyttää hallinnollisen alueen tai turva-alueen ulkopuolella, jos haltija on sitoutunut säilyttämään kyseiset asiakirjat asianmukaisissa lukituissa toimistokalusteissa silloin, kun niitä ei lueta tai niistä ei keskustella.</w:t>
            </w:r>
          </w:p>
        </w:tc>
        <w:tc>
          <w:tcPr>
            <w:tcW w:w="4876" w:type="dxa"/>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175</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III – 10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10.</w:t>
            </w:r>
            <w:r>
              <w:tab/>
            </w:r>
            <w:r>
              <w:rPr>
                <w:b/>
                <w:i/>
              </w:rPr>
              <w:t>Unionin toimielimet ja elimet voivat käsitellä ja säilyttää RESTREINT UE/EU RESTRICTED ‑tietoja toimipaikkojensa ulkopuolella edellyttäen, että asiaan liittyvät tiedot suojataan asianmukaisesti.</w:t>
            </w:r>
            <w:r>
              <w:t xml:space="preserve"> </w:t>
            </w:r>
            <w:r>
              <w:rPr>
                <w:b/>
                <w:i/>
              </w:rPr>
              <w:t>Tätä tarkoitusta varten unionin toimielinten ja elinten on noudatettava 8 kohdan c alakohdassa tarkoitettuja toimia.</w:t>
            </w:r>
          </w:p>
        </w:tc>
        <w:tc>
          <w:tcPr>
            <w:tcW w:w="4876" w:type="dxa"/>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176</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IV – 8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rPr>
                <w:b/>
                <w:i/>
              </w:rPr>
              <w:t>RESTREINT UE/EU RESTRICTED ‑tietoja on kuljetettava paketissa, jossa on vähintään yksi läpinäkymätön kerros, kuten kirjekuoressa, läpinäkymättömässä kansiossa tai salkussa.</w:t>
            </w:r>
            <w:r>
              <w:t xml:space="preserve"> Luokkaan CONFIDENTIEL UE/EU CONFIDENTIAL tai sitä korkeampaan luokkaan kuuluvia tietoja on kuljetettava paketissa, jossa on kaksi läpinäkymätöntä kerrosta.</w:t>
            </w:r>
          </w:p>
        </w:tc>
        <w:tc>
          <w:tcPr>
            <w:tcW w:w="4876" w:type="dxa"/>
          </w:tcPr>
          <w:p>
            <w:pPr>
              <w:pStyle w:val="Normal6a"/>
            </w:pPr>
            <w:r>
              <w:t>8.</w:t>
            </w:r>
            <w:r>
              <w:tab/>
            </w:r>
            <w:r>
              <w:t>Luokkaan CONFIDENTIEL UE/EU CONFIDENTIAL tai sitä korkeampaan luokkaan kuuluvia tietoja on kuljetettava paketissa, jossa on kaksi läpinäkymätöntä kerrosta.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177</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IV – 10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Kaupalliset kuriirit voivat toimittaa luokkaan </w:t>
            </w:r>
            <w:r>
              <w:rPr>
                <w:b/>
                <w:i/>
              </w:rPr>
              <w:t>RESTREINT UE/EU RESTRICTED ja luokkaan</w:t>
            </w:r>
            <w:r>
              <w:t xml:space="preserve"> CONFIDENTIEL UE/EU CONFIDENTIAL kuuluvia tietoja jonkin jäsenvaltion sisällä ja yhdestä jäsenvaltiosta toiseen. Kaupalliset kuriirit voivat toimittaa SECRET UE/EU SECRET ‑tietoja vain jonkin jäsenvaltion sisällä ja edellyttäen, että kuriirit ovat asiaankuuluvan kansallisen turvallisuusviranomaisen hyväksymiä. Luokkaan TRÈS SECRET UE/EU TOP SECRET kuuluvia EU:n turvallisuusluokiteltuja tietoja ei voida antaa kaupallisen kuriirin kuljetettaviksi.</w:t>
            </w:r>
          </w:p>
        </w:tc>
        <w:tc>
          <w:tcPr>
            <w:tcW w:w="4876" w:type="dxa"/>
          </w:tcPr>
          <w:p>
            <w:pPr>
              <w:pStyle w:val="Normal6a"/>
            </w:pPr>
            <w:r>
              <w:t>10.</w:t>
            </w:r>
            <w:r>
              <w:tab/>
            </w:r>
            <w:r>
              <w:t>Kaupalliset kuriirit voivat toimittaa luokkaan CONFIDENTIEL UE/EU CONFIDENTIAL kuuluvia tietoja jonkin jäsenvaltion sisällä ja yhdestä jäsenvaltiosta toiseen. Kaupalliset kuriirit voivat toimittaa SECRET UE/EU SECRET ‑tietoja vain jonkin jäsenvaltion sisällä ja edellyttäen, että kuriirit ovat asiaankuuluvan kansallisen turvallisuusviranomaisen hyväksymiä. Luokkaan TRÈS SECRET UE/EU TOP SECRET kuuluvia EU:n turvallisuusluokiteltuja tietoja ei voida antaa kaupallisen kuriirin kuljetettaviksi.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178</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V – 18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18.</w:t>
            </w:r>
            <w:r>
              <w:tab/>
            </w:r>
            <w:r>
              <w:rPr>
                <w:b/>
                <w:i/>
              </w:rPr>
              <w:t>Jos jäsenvaltio edellyttää kansallisissa laeissaan ja asetuksissaan yhteisö- tai henkilöturvallisuusselvitystä luokkaan RESTREINT UE/EU RESTRICTED kuuluvien sopimusten, avustussopimusten tai alihankintasopimusten osalta, hankintaviranomaisena tai avustuksen myöntävänä viranomaisena toimivat unionin toimielimet tai elimet eivät saa käyttää kyseisiä kansallisia vaatimuksia asettaakseen lisävelvollisuuksia muille jäsenvaltioille eivätkä sulkeakseen pois sellaisissa jäsenvaltioissa toimivia tarjoajia, hakijoita, toimeksisaajia, avustuksen saajia tai alihankkijoita, joilla ei ole vastaavia yhteisö- tai henkilöturvallisuusselvitystä koskevia vaatimuksia asiaan liittyvien sopimusten, avustussopimusten tai alihankintasopimusten tai niitä koskevien kilpailujen RESTREINT UE/EU RESTRICTED ‑tietoihin pääsemiseksi.</w:t>
            </w:r>
          </w:p>
        </w:tc>
        <w:tc>
          <w:tcPr>
            <w:tcW w:w="4876" w:type="dxa"/>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179</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V – 22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22.</w:t>
            </w:r>
            <w:r>
              <w:tab/>
            </w:r>
            <w:r>
              <w:rPr>
                <w:b/>
                <w:i/>
              </w:rPr>
              <w:t>Vierailuista, joihin kuuluu pääsy luokkaan RESTREINT UE/EU RESTRICTED kuuluviin tietoihin, on sovittava suoraan lähettävän ja vastaanottavan yhteisön välillä.</w:t>
            </w:r>
          </w:p>
        </w:tc>
        <w:tc>
          <w:tcPr>
            <w:tcW w:w="4876" w:type="dxa"/>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180</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V – 24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24.</w:t>
            </w:r>
            <w:r>
              <w:tab/>
            </w:r>
            <w:r>
              <w:rPr>
                <w:b/>
                <w:i/>
              </w:rPr>
              <w:t>Luokkaan RESTREINT UE/EU RESTRICTED kuuluvia EU:n turvallisuusluokiteltuja tietoja käsittelevän toimeksisaajien tai avustuksen saajien viestintä- ja tietojärjestelmän ja sen liitäntöjen turvallisuusjärjestelyjen hyväksyntä voidaan siirtää toimeksisaajan tai avustuksen saajan turvallisuusvastaavalle, jos se sallitaan kansallisissa laeissa ja asetuksissa.</w:t>
            </w:r>
          </w:p>
        </w:tc>
        <w:tc>
          <w:tcPr>
            <w:tcW w:w="4876" w:type="dxa"/>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Siinä tapauksessa, että turvallisuusjärjestelyjen hyväksymistä koskeva tehtävä siirretään, toimeksisaajan tai avustuksen saajan on vastattava turvallisuutta koskevassa lisälausekkeessa kuvattujen turvallisuusvaatimusten täytäntöönpanosta, kun sen viestintä- ja tietojärjestelmässä käsitellään RESTREINT UE/EU RESTRICTED ‑tietoja.</w:t>
            </w:r>
            <w:r>
              <w:rPr>
                <w:b/>
                <w:i/>
              </w:rPr>
              <w:t xml:space="preserve"> </w:t>
            </w:r>
            <w:r>
              <w:rPr>
                <w:b/>
                <w:i/>
              </w:rPr>
              <w:t>Asianomaisilla kansallisilla tai nimetyillä turvallisuusviranomaisilla ja turvallisuusjärjestelyjen hyväksyntäviranomaisilla säilyy kuitenkin vastuu toimeksisaajan tai avustuksen saajan käsittelemien tai säilyttämien luokkaan RESTREINT UE/EU RESTRICTED kuuluvien tietojen suojaamisesta sekä oikeus tarkastaa toimeksisaajan tai avustuksen saajan toteuttamat turvallisuustoimenpiteet.</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Toimeksisaajan tai avustuksen saajan on lisäksi annettava hankintaviranomaisena tai avustuksen myöntävänä viranomaisena toimivalle unionin toimielimelle ja elimelle ja, kansallisten lakien ja asetusten niin edellyttäessä, toimivaltaiselle kansalliselle turvallisuusjärjestelyjen hyväksyntäviranomaiselle vaatimustenmukaisuuslausunto, jossa vahvistetaan, että toimeksisaajan tai avustuksen saajan viestintä- ja tietojärjestelmä ja siihen liittyvät liitännät on hyväksytty luokkaan RESTREINT UE/EU RESTRICTED kuuluvien EU:n turvallisuusluokiteltujen tietojen käsittelyyn ja säilyttämiseen.</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181</w:t>
      </w:r>
      <w:r>
        <w:rPr>
          <w:rStyle w:val="HideTWBExt"/>
        </w:rPr>
        <w:t>&lt;/NumAm&gt;</w:t>
      </w:r>
    </w:p>
    <w:p>
      <w:pPr>
        <w:pStyle w:val="NormalBold"/>
      </w:pPr>
      <w:r>
        <w:rPr>
          <w:rStyle w:val="HideTWBExt"/>
        </w:rPr>
        <w:t>&lt;RepeatBlock-By&gt;</w:t>
      </w:r>
      <w:r>
        <w:rPr>
          <w:rStyle w:val="HideTWBExt"/>
        </w:rPr>
        <w:t>&lt;Members&gt;</w:t>
      </w:r>
      <w:r>
        <w:t>Daniel Freund</w:t>
      </w:r>
      <w:r>
        <w:rPr>
          <w:rStyle w:val="HideTWBExt"/>
        </w:rPr>
        <w:t>&lt;/Members&gt;</w:t>
      </w:r>
    </w:p>
    <w:p>
      <w:pPr>
        <w:pStyle w:val="NormalBold"/>
      </w:pPr>
      <w:r>
        <w:rPr>
          <w:rStyle w:val="HideTWBExt"/>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Liite V – 26 kohta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Komission teksti</w:t>
            </w:r>
          </w:p>
        </w:tc>
        <w:tc>
          <w:tcPr>
            <w:tcW w:w="4876" w:type="dxa"/>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26.</w:t>
            </w:r>
            <w:r>
              <w:tab/>
            </w:r>
            <w:r>
              <w:rPr>
                <w:b/>
                <w:i/>
              </w:rPr>
              <w:t>Toimeksisaajan tai avustuksen saajan henkilöstö voi kuljettaa RESTREINT UE/EU RESTRICTED ‑tietoja henkilökohtaisesti Euroopan unionissa edellyttäen, että seuraavat vaatimukset täytetään:</w:t>
            </w:r>
          </w:p>
        </w:tc>
        <w:tc>
          <w:tcPr>
            <w:tcW w:w="4876" w:type="dxa"/>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käytettävä kirjekuori tai pakkaus on läpinäkymätön eikä siinä ilmoiteta sisällön turvallisuusluokitusta;</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turvallisuusluokitellut tiedot ovat koko ajan kuljettajan hallussa;</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kirjekuorta tai pakkausta ei avata ennen kuin se pääsee lopulliseen määräpaikkaansa.</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752.883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72</w:t>
    </w:r>
    <w:r>
      <w:fldChar w:fldCharType="end"/>
    </w:r>
    <w:r>
      <w:t>/</w:t>
    </w:r>
    <w:r>
      <w:fldChar w:fldCharType="begin"/>
    </w:r>
    <w:r>
      <w:instrText xml:space="preserve"> NUMPAGES </w:instrText>
    </w:r>
    <w:r>
      <w:fldChar w:fldCharType="separate"/>
    </w:r>
    <w:r>
      <w:t>72</w:t>
    </w:r>
    <w:r>
      <w:fldChar w:fldCharType="end"/>
    </w:r>
    <w:r>
      <w:tab/>
    </w:r>
    <w:r>
      <w:rPr>
        <w:rStyle w:val="HideTWBExt"/>
      </w:rPr>
      <w:t>&lt;PathFdR&gt;</w:t>
    </w:r>
    <w:r>
      <w:t>AM\1285361FI.docx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AM\1285361FI.docx</w:t>
    </w:r>
    <w:r>
      <w:rPr>
        <w:rStyle w:val="HideTWBExt"/>
      </w:rPr>
      <w:t>&lt;/PathFdR&gt;</w:t>
    </w:r>
    <w:r>
      <w:tab/>
    </w:r>
    <w:r>
      <w:fldChar w:fldCharType="begin"/>
    </w:r>
    <w:r>
      <w:instrText xml:space="preserve"> PAGE </w:instrText>
    </w:r>
    <w:r>
      <w:fldChar w:fldCharType="separate"/>
    </w:r>
    <w:r>
      <w:t>71</w:t>
    </w:r>
    <w:r>
      <w:fldChar w:fldCharType="end"/>
    </w:r>
    <w:r>
      <w:t>/</w:t>
    </w:r>
    <w:r>
      <w:fldChar w:fldCharType="begin"/>
    </w:r>
    <w:r>
      <w:instrText xml:space="preserve"> NUMPAGES </w:instrText>
    </w:r>
    <w:r>
      <w:fldChar w:fldCharType="separate"/>
    </w:r>
    <w:r>
      <w:t>72</w:t>
    </w:r>
    <w:r>
      <w:fldChar w:fldCharType="end"/>
    </w:r>
    <w:r>
      <w:tab/>
    </w:r>
    <w:r>
      <w:t>PE</w:t>
    </w:r>
    <w:r>
      <w:rPr>
        <w:rStyle w:val="HideTWBExt"/>
      </w:rPr>
      <w:t>&lt;NoPE&gt;</w:t>
    </w:r>
    <w:r>
      <w:t>752.883</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AM\1285361FI.docx</w:t>
    </w:r>
    <w:r>
      <w:rPr>
        <w:rStyle w:val="HideTWBExt"/>
      </w:rPr>
      <w:t>&lt;/PathFdR&gt;</w:t>
    </w:r>
    <w:r>
      <w:tab/>
    </w:r>
    <w:r>
      <w:tab/>
    </w:r>
    <w:r>
      <w:t>PE</w:t>
    </w:r>
    <w:r>
      <w:rPr>
        <w:rStyle w:val="HideTWBExt"/>
      </w:rPr>
      <w:t>&lt;NoPE&gt;</w:t>
    </w:r>
    <w:r>
      <w:t>752.883</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00"/>
    </w:pPr>
  </w:style>
  <w:style w:type="paragraph" w:customStyle="1" w:styleId="CoverNormal">
    <w:name w:val="CoverNormal"/>
    <w:basedOn w:val="Normal"/>
    <w:pPr>
      <w:widowControl w:val="0"/>
      <w:ind w:left="1400"/>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00"/>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00"/>
    </w:pPr>
    <w:rPr>
      <w:rFonts w:ascii="Arial" w:eastAsia="Arial" w:hAnsi="Arial" w:cs="Arial"/>
      <w:b/>
      <w:sz w:val="48"/>
    </w:rPr>
  </w:style>
  <w:style w:type="paragraph" w:customStyle="1" w:styleId="CoverBold">
    <w:name w:val="CoverBold"/>
    <w:basedOn w:val="Normal"/>
    <w:pPr>
      <w:widowControl w:val="0"/>
      <w:ind w:left="1400"/>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20"/>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widowControl w:val="0"/>
      <w:tabs>
        <w:tab w:val="center" w:pos="4520"/>
        <w:tab w:val="right" w:pos="906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72</Pages>
  <Words>10959</Words>
  <Characters>89413</Characters>
  <Application>Microsoft Office Word</Application>
  <DocSecurity>0</DocSecurity>
  <Lines>1</Lines>
  <Paragraphs>1326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1285361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26078</vt:lpwstr>
  </property>
  <property fmtid="{D5CDD505-2E9C-101B-9397-08002B2CF9AE}" pid="7" name="dmxml.render.traceId">
    <vt:lpwstr>6514434648632bd93df75875e7e20c5b</vt:lpwstr>
  </property>
  <property fmtid="{D5CDD505-2E9C-101B-9397-08002B2CF9AE}" pid="8" name="FooterPath">
    <vt:lpwstr>AM\1285361FI.docx</vt:lpwstr>
  </property>
  <property fmtid="{D5CDD505-2E9C-101B-9397-08002B2CF9AE}" pid="9" name="PE Number">
    <vt:lpwstr>752.883</vt:lpwstr>
  </property>
  <property fmtid="{D5CDD505-2E9C-101B-9397-08002B2CF9AE}" pid="10" name="UID">
    <vt:lpwstr>eu.europa.europarl-DIN1-2023-0000116548_01.00-fi-02.00_text-xml</vt:lpwstr>
  </property>
</Properties>
</file>