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Europos Parlamentas</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Informacijos saugumas Sąjungos institucijose, įstaigose, organuose ir agentūrose</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atsižvelgdami į tai, jog Parlamento nariai, kad galėtų veiksmingai vykdyti savo įgaliojimus pagal Sutartis, pagal būtinybės žinoti principą turi turėti galimybę susipažinti su visų rūšių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b nurodomoji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atsižvelgdami į ES valstybėse narėse išrinktų Parlamento narių įgaliojimų ypatumus ir į valdžių padalijimą tarp vykdomosios ir įstatymų leidžiamosios valdžios, taigi, ir į tai, kad Parlamento nariams netaikoma nacionalinių saugumo institucijų vykdoma patikimumo patikrinimo procedūra;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šiuo metu Sąjungos institucijos ir įstaigos turi savo informacijos saugumo taisykles, pagrįstas jų darbo tvarkos taisyklėmis arba steigimo aktu, arba tokių taisyklių visai neturi. Šiomis aplinkybėmis kiekviena Sąjungos institucija ir įstaiga labai stengiasi laikytis savo požiūrio, kuris skiriasi nuo kitų institucijų ir įstaigų taikomų požiūrių, todėl keitimasis informacija ne visada yra patikimas. Tai, kad nėra bendro požiūrio, trukdo diegti bendras priemones, grindžiamas sutartomis taisyklėmis, kurios priklauso nuo saugotinos informacijos saugumo poreikių;</w:t>
            </w:r>
          </w:p>
        </w:tc>
        <w:tc>
          <w:tcPr>
            <w:tcW w:w="4876" w:type="dxa"/>
          </w:tcPr>
          <w:p>
            <w:pPr>
              <w:pStyle w:val="Normal6a"/>
            </w:pPr>
            <w:r>
              <w:t>(1)</w:t>
            </w:r>
            <w:r>
              <w:tab/>
            </w:r>
            <w:r>
              <w:t xml:space="preserve">šiuo metu Sąjungos institucijos ir įstaigos turi savo informacijos saugumo taisykles, pagrįstas jų darbo tvarkos taisyklėmis arba steigimo aktu, arba tokių taisyklių visai neturi. Šiomis aplinkybėmis kiekviena Sąjungos institucija ir įstaiga labai stengiasi laikytis savo požiūrio, kuris skiriasi nuo kitų institucijų ir įstaigų taikomų požiūrių, todėl keitimasis informacija ne visada yra patikimas </w:t>
            </w:r>
            <w:r>
              <w:rPr>
                <w:b/>
                <w:i/>
              </w:rPr>
              <w:t>ar paveiktinas</w:t>
            </w:r>
            <w:r>
              <w:t xml:space="preserve">. Tai, kad nėra bendro požiūrio, trukdo diegti bendras priemones, grindžiamas sutartomis taisyklėmis, kurios priklauso nuo saugotinos informacijos saugumo poreikių </w:t>
            </w:r>
            <w:r>
              <w:rPr>
                <w:b/>
                <w:i/>
              </w:rPr>
              <w:t>ir nuo tokių priemonių sąveikumo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kadangi Sąjungos institucijos privalo taikyti SESV 15 straipsnio 3 dalį laikydamosi demokratijos principų, visų pirma nustatytų ES sutarties 10 straipsnio 3 dalyje ir Europos Sąjungos pagrindinių teisių chartijos (toliau – Chartija) 42 straipsnyje, Europos Sąjungos įslaptintos informacijos (toliau – ESĮI) sistemoje turėtų būti paisoma duomenų įslaptinimo mažinimo ir įslaptintų duomenų naudojimo laiko apribojimo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yra susirūpinę dėl to, kad Europos Komisija ir Europos išorės veiksmų tarnyba (EIVT) rengia dvi konkuruojančias iniciatyvas, kuriomis siekiama bendradarbiauti su privačiomis įmonėmis kibernetinių grėsmių srityje;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nors siekiant nustatyti nuoseklesnes Europos Sąjungos įslaptintos informacijos (ESĮI) ir neįslaptintos informacijos apsaugos taisykles padaryta pažanga, atitinkamų sistemų sąveikumas tebėra ribotas, o dėl to įvairios Sąjungos institucijos ir įstaigos negali sklandžiai keistis informacija. Todėl reikėtų dėti daugiau pastangų, kad būtų galima laikytis tarpinstitucinio požiūrio į dalijimąsi ESĮI ir neskelbtina neįslaptinta informacija – nustatyti bendras informacijos kategorijas ir taikyti bendrus pagrindinius tvarkymo principus. Taip pat reikėtų numatyti pagrindinius procedūrų, pagal kurias Sąjungos institucijos ir įstaigos tarpusavyje ir su valstybėmis narėmis dalijasi ESĮI ir neskelbtina neįslaptinta informacija, paprastinimo standartus;</w:t>
            </w:r>
          </w:p>
        </w:tc>
        <w:tc>
          <w:tcPr>
            <w:tcW w:w="4876" w:type="dxa"/>
          </w:tcPr>
          <w:p>
            <w:pPr>
              <w:pStyle w:val="Normal6a"/>
            </w:pPr>
            <w:r>
              <w:t>(2)</w:t>
            </w:r>
            <w:r>
              <w:tab/>
            </w:r>
            <w:r>
              <w:t xml:space="preserve">nors siekiant nustatyti nuoseklesnes Europos Sąjungos įslaptintos informacijos (ESĮI) ir neįslaptintos informacijos apsaugos taisykles padaryta pažanga, atitinkamų sistemų sąveikumas tebėra ribotas, o dėl to įvairios Sąjungos institucijos ir įstaigos negali sklandžiai keistis informacija. </w:t>
            </w:r>
            <w:r>
              <w:rPr>
                <w:b/>
                <w:i/>
              </w:rPr>
              <w:t>Tarpinstitucinis bendradarbiavimas ir pasitikėjimas yra nepaprastai svarbūs siekiant efektyviai ir veiksmingai apsaugoti Sąjungos informacijos saugumo aplinką.</w:t>
            </w:r>
            <w:r>
              <w:t xml:space="preserve"> Todėl reikėtų dėti daugiau pastangų, kad būtų galima laikytis </w:t>
            </w:r>
            <w:r>
              <w:rPr>
                <w:b/>
                <w:i/>
              </w:rPr>
              <w:t>didesne sinergija grindžiamo</w:t>
            </w:r>
            <w:r>
              <w:t xml:space="preserve"> tarpinstitucinio požiūrio į dalijimąsi ESĮI ir neskelbtina neįslaptinta informacija – nustatyti bendras informacijos kategorijas ir taikyti bendrus pagrindinius tvarkymo principus. Taip pat reikėtų numatyti pagrindinius procedūrų, pagal kurias Sąjungos institucijos ir įstaigos tarpusavyje ir su valstybėmis narėmis dalijasi ESĮI ir neskelbtina neįslaptinta informacija, paprastinimo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nors siekiant nustatyti nuoseklesnes Europos Sąjungos įslaptintos informacijos (ESĮI) ir neįslaptintos informacijos apsaugos taisykles padaryta pažanga, atitinkamų sistemų sąveikumas tebėra ribotas, o dėl to įvairios Sąjungos institucijos ir įstaigos negali sklandžiai keistis informacija. </w:t>
            </w:r>
            <w:r>
              <w:rPr>
                <w:b/>
                <w:i/>
              </w:rPr>
              <w:t>Todėl reikėtų dėti daugiau pastangų, kad būtų galima laikytis tarpinstitucinio požiūrio</w:t>
            </w:r>
            <w:r>
              <w:t xml:space="preserve"> į dalijimąsi ESĮI ir neskelbtina neįslaptinta informacija </w:t>
            </w:r>
            <w:r>
              <w:rPr>
                <w:b/>
                <w:i/>
              </w:rPr>
              <w:t>– nustatyti</w:t>
            </w:r>
            <w:r>
              <w:t xml:space="preserve"> bendras informacijos kategorijas ir </w:t>
            </w:r>
            <w:r>
              <w:rPr>
                <w:b/>
                <w:i/>
              </w:rPr>
              <w:t>taikyti</w:t>
            </w:r>
            <w:r>
              <w:t xml:space="preserve"> bendrus pagrindinius tvarkymo principus. </w:t>
            </w:r>
            <w:r>
              <w:rPr>
                <w:b/>
                <w:i/>
              </w:rPr>
              <w:t>Taip pat reikėtų numatyti pagrindinius procedūrų</w:t>
            </w:r>
            <w:r>
              <w:t>, pagal kurias Sąjungos institucijos ir įstaigos tarpusavyje ir su valstybėmis narėmis dalijasi ESĮI ir neskelbtina neįslaptinta informacija</w:t>
            </w:r>
            <w:r>
              <w:rPr>
                <w:b/>
                <w:i/>
              </w:rPr>
              <w:t>, paprastinimo standartus</w:t>
            </w:r>
            <w:r>
              <w:t>;</w:t>
            </w:r>
          </w:p>
        </w:tc>
        <w:tc>
          <w:tcPr>
            <w:tcW w:w="4876" w:type="dxa"/>
          </w:tcPr>
          <w:p>
            <w:pPr>
              <w:pStyle w:val="Normal6a"/>
            </w:pPr>
            <w:r>
              <w:t>(2)</w:t>
            </w:r>
            <w:r>
              <w:tab/>
            </w:r>
            <w:r>
              <w:t xml:space="preserve">nors siekiant nustatyti nuoseklesnes Europos Sąjungos įslaptintos informacijos (ESĮI) ir neįslaptintos informacijos apsaugos taisykles padaryta pažanga, atitinkamų sistemų sąveikumas tebėra ribotas, o dėl to įvairios Sąjungos institucijos ir įstaigos negali sklandžiai keistis informacija. </w:t>
            </w:r>
            <w:r>
              <w:rPr>
                <w:b/>
                <w:i/>
              </w:rPr>
              <w:t>Turėtų būt nustatytas tarpinstitucinis požiūris</w:t>
            </w:r>
            <w:r>
              <w:t xml:space="preserve"> į dalijimąsi ESĮI ir neskelbtina neįslaptinta informacija </w:t>
            </w:r>
            <w:r>
              <w:rPr>
                <w:b/>
                <w:i/>
              </w:rPr>
              <w:t>nustatant</w:t>
            </w:r>
            <w:r>
              <w:t xml:space="preserve"> bendras informacijos kategorijas ir </w:t>
            </w:r>
            <w:r>
              <w:rPr>
                <w:b/>
                <w:i/>
              </w:rPr>
              <w:t>taikant</w:t>
            </w:r>
            <w:r>
              <w:t xml:space="preserve"> bendrus pagrindinius tvarkymo principus. </w:t>
            </w:r>
            <w:r>
              <w:rPr>
                <w:b/>
                <w:i/>
              </w:rPr>
              <w:t>Turėtų būti supapratsintos procedūros</w:t>
            </w:r>
            <w:r>
              <w:t>, pagal kurias Sąjungos institucijos ir įstaigos tarpusavyje ir su valstybėmis narėmis dalijasi ESĮI ir neskelbtina neįslaptinta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todėl reikėtų nustatyti atitinkamas taisykles, kuriomis užtikrinamas bendras informacijos saugumo lygis visose Sąjungos institucijose ir įstaigose. Jos turėtų sudaryti išsamią ir nuoseklią bendrą ESĮI ir neįslaptintos informacijos apsaugos sistemą ir turėtų padėti užtikrinti pagrindinių principų ir būtiniausių standartų lygiavertiškumą;</w:t>
            </w:r>
          </w:p>
        </w:tc>
        <w:tc>
          <w:tcPr>
            <w:tcW w:w="4876" w:type="dxa"/>
          </w:tcPr>
          <w:p>
            <w:pPr>
              <w:pStyle w:val="Normal6a"/>
            </w:pPr>
            <w:r>
              <w:t>(3)</w:t>
            </w:r>
            <w:r>
              <w:tab/>
            </w:r>
            <w:r>
              <w:t>todėl reikėtų nustatyti atitinkamas taisykles, kuriomis užtikrinamas bendras informacijos saugumo lygis visose Sąjungos institucijose ir įstaigose</w:t>
            </w:r>
            <w:r>
              <w:rPr>
                <w:b/>
                <w:i/>
              </w:rPr>
              <w:t>, juolab kad daugėja kibernetinių grėsmių ir kad daug nacionalinių subjektų patiria atakų</w:t>
            </w:r>
            <w:r>
              <w:t>. Jos turėtų sudaryti išsamią ir nuoseklią bendrą ESĮI ir neįslaptintos informacijos apsaugos sistemą ir turėtų padėti užtikrinti pagrindinių principų ir būtiniausių standartų lygiavertiškumą;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todėl reikėtų nustatyti atitinkamas taisykles, kuriomis užtikrinamas bendras informacijos saugumo lygis visose Sąjungos institucijose ir įstaigose. Jos turėtų sudaryti išsamią ir nuoseklią bendrą ESĮI ir neįslaptintos informacijos apsaugos sistemą ir turėtų padėti užtikrinti pagrindinių principų ir būtiniausių standartų lygiavertiškumą;</w:t>
            </w:r>
          </w:p>
        </w:tc>
        <w:tc>
          <w:tcPr>
            <w:tcW w:w="4876" w:type="dxa"/>
          </w:tcPr>
          <w:p>
            <w:pPr>
              <w:pStyle w:val="Normal6a"/>
            </w:pPr>
            <w:r>
              <w:t>(3)</w:t>
            </w:r>
            <w:r>
              <w:tab/>
            </w:r>
            <w:r>
              <w:t xml:space="preserve">todėl reikėtų nustatyti atitinkamas taisykles, kuriomis užtikrinamas bendras informacijos saugumo lygis visose Sąjungos institucijose ir įstaigose. Jos turėtų sudaryti išsamią ir nuoseklią bendrą ESĮI ir neįslaptintos informacijos apsaugos sistemą ir turėtų padėti užtikrinti pagrindinių principų ir </w:t>
            </w:r>
            <w:r>
              <w:rPr>
                <w:b/>
                <w:i/>
              </w:rPr>
              <w:t>bendrų</w:t>
            </w:r>
            <w:r>
              <w:t xml:space="preserve"> būtiniausių standartų lygiavertiškumą;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šiuo reglamentu nustatomos taisyklės, taikytinos visų Sąjungos institucijų ir įstaigų administravimui, tačiau jis neapima Komisijos narių, valstybių narių atstovų Taryboje, Europos Parlamento narių, Sąjungos teismų teisėjų ar Europos Audito Rūmų narių, kuriems taikomos jų vidaus taisyklės;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SESV 15 straipsnyje nustatyta, kad Sąjungos institucijos, įstaigos, organai ir agentūros turi veikti kiek įmanoma gerbdami atvirumo principą, o kiekvienas Sąjungos pilietis turi teisę susipažinti su dokumentais.</w:t>
            </w:r>
            <w:r>
              <w:t xml:space="preserve"> </w:t>
            </w:r>
            <w:r>
              <w:rPr>
                <w:b/>
                <w:i/>
              </w:rPr>
              <w:t>Todėl kiekvienas dokumentų įslaptinimas atliekamas paisant šių esminių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kadangi Sutartimis suteikiami įgaliojimai įvairioms Sąjungos institucijoms.</w:t>
            </w:r>
            <w:r>
              <w:t xml:space="preserve"> </w:t>
            </w:r>
            <w:r>
              <w:rPr>
                <w:b/>
                <w:i/>
              </w:rPr>
              <w:t>Todėl, kad šiais įgaliojimais būtų galima veiksmingai naudotis, jų nariai, vykdydami savo įgaliojimus, pagal būtinybės žinoti principą turėtų turėti galimybę susipažinti su visa būtina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Sąjungos institucijų nariai, vykdydami savo įgaliojimus, pagal būtinybės žinoti principą turėtų turėti galimybę susipažinti su visa būtina informacija, kad galėtų naudotis Sutartimis jiems suteiktais įgaliojimais;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ES vyriausybės turėtų būti atsakingos už neskelbtiną informaciją;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b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siekiant užtikrinti šio reglamento veiksmingumą, būtų tikslinga įvertinti, ar Komisijos nariams, valstybių narių atstovams Taryboje, Europos Parlamento nariams, Sąjungos teismų teisėjams ar Europos Audito Rūmų nariams taikomos vidaus taisyklės atitinka šiuo reglamentu nustatytą bendrą minimalų apsaugos lygį, ir, jei taip nėra, padaryti reikiamus pakeitimus;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b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informacijos saugumo srityje Sąjungos institucijos ir įstaigos turėtų didinti organizacinį sąveikumą ir imtis bendrų veiksmų, kad užtikrintų tinkamą tinklų, informacinių sistemų, duomenų ir visų materialinių išteklių, naudojamų informacijai rinkti, saugoti, tvarkyti ir perduoti,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c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galimybės susipažinti su informacija saugiai ir abipusio pasitikėjimo sąlygomis yra labai svarbios, kad ES teisėkūros institucijos galėtų vykdyti savo funkcijas ir nebūtų ribojamos vykdant demokratines funkcijas;</w:t>
            </w:r>
            <w:r>
              <w:t xml:space="preserve"> </w:t>
            </w:r>
            <w:r>
              <w:rPr>
                <w:b/>
                <w:i/>
              </w:rPr>
              <w:t>šias teisėkūros funkcijas vykdo Europos Parlamento nariai, todėl jų galimybės susipažinti su informacija turėtų būti reglamentuojamos taisyklėmis, kurių reikalavimai yra panašūs į šiuo reglamentu nustatytus bendrus būtiniausius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dėl</w:t>
            </w:r>
            <w:r>
              <w:t xml:space="preserve"> pastarojo meto </w:t>
            </w:r>
            <w:r>
              <w:rPr>
                <w:b/>
                <w:i/>
              </w:rPr>
              <w:t>pandemijos labai pasikeitė</w:t>
            </w:r>
            <w:r>
              <w:t xml:space="preserve"> darbo </w:t>
            </w:r>
            <w:r>
              <w:rPr>
                <w:b/>
                <w:i/>
              </w:rPr>
              <w:t>praktika</w:t>
            </w:r>
            <w:r>
              <w:t>, o nuotolinio ryšio priemonių naudojimas tapo norma. Todėl daugelis procedūrų, kurios vis dar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c>
          <w:tcPr>
            <w:tcW w:w="4876" w:type="dxa"/>
          </w:tcPr>
          <w:p>
            <w:pPr>
              <w:pStyle w:val="Normal6a"/>
            </w:pPr>
            <w:r>
              <w:t>(4)</w:t>
            </w:r>
            <w:r>
              <w:tab/>
            </w:r>
            <w:r>
              <w:t xml:space="preserve">pastarojo meto </w:t>
            </w:r>
            <w:r>
              <w:rPr>
                <w:b/>
                <w:i/>
              </w:rPr>
              <w:t>pandemija paspartino didelę pagrindinę</w:t>
            </w:r>
            <w:r>
              <w:t xml:space="preserve"> darbo </w:t>
            </w:r>
            <w:r>
              <w:rPr>
                <w:b/>
                <w:i/>
              </w:rPr>
              <w:t>praktikos pertvarką</w:t>
            </w:r>
            <w:r>
              <w:t>, o nuotolinio ryšio priemonių naudojimas tapo norma. Todėl daugelis procedūrų, kurios vis dar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nustatant minimalų bendrą ESĮI ir neįslaptintos informacijos apsaugos lygį, šiuo reglamentu padedama užtikrinti, kad, vykdydamos savo užduotis, Sąjungos institucijos ir įstaigos gautų veiksmingos ir nepriklausomos administracijos paramą. Be to, kiekviena Sąjungos institucija ir įstaiga, atsižvelgdamos į savo poreikius saugumo srityje, išlaiko savarankiškumą sprendžiant, kaip įgyvendinti šiame reglamente nustatytas taisykles. Šiuo reglamentu jokiu būdu neužkertamas kelias Sąjungos institucijoms ir įstaigoms vykdyti savo misiją, kuri pavesta ES teisės aktais, arba nesikėsinama į jų institucinę autonomiją;</w:t>
            </w:r>
          </w:p>
        </w:tc>
        <w:tc>
          <w:tcPr>
            <w:tcW w:w="4876" w:type="dxa"/>
          </w:tcPr>
          <w:p>
            <w:pPr>
              <w:pStyle w:val="Normal6a"/>
            </w:pPr>
            <w:r>
              <w:t>(5)</w:t>
            </w:r>
            <w:r>
              <w:tab/>
            </w:r>
            <w:r>
              <w:t xml:space="preserve">nustatant minimalų bendrą ESĮI ir neįslaptintos informacijos apsaugos lygį, šiuo reglamentu padedama užtikrinti, kad, vykdydamos savo užduotis, Sąjungos institucijos ir įstaigos gautų veiksmingos ir nepriklausomos administracijos paramą. Be to, kiekviena Sąjungos institucija ir įstaiga, atsižvelgdamos į savo poreikius saugumo srityje, išlaiko savarankiškumą sprendžiant, kaip įgyvendinti šiame reglamente nustatytas taisykles. Šiuo reglamentu jokiu būdu neužkertamas kelias Sąjungos institucijoms ir įstaigoms vykdyti savo misiją, kuri pavesta ES teisės aktais, arba nesikėsinama į jų institucinę autonomiją; </w:t>
            </w:r>
            <w:r>
              <w:rPr>
                <w:b/>
                <w:i/>
              </w:rPr>
              <w:t>šiuo minimaliu bendru ESĮI apsaugos lygiu turi būti užtikrinta tinkama skaidrumo ir slaptumo žymų naudojimo tokiu būdu, kuris trukdytų ES įstaigoms vykdyti savo misiją, pusiausvyra;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nustatant minimalų bendrą ESĮI ir neįslaptintos informacijos apsaugos lygį, šiuo reglamentu padedama užtikrinti, kad, vykdydamos savo užduotis, Sąjungos institucijos ir įstaigos gautų veiksmingos ir nepriklausomos administracijos paramą. Be to, kiekviena Sąjungos institucija ir įstaiga, atsižvelgdamos į savo poreikius saugumo srityje, išlaiko savarankiškumą sprendžiant, kaip įgyvendinti šiame reglamente nustatytas taisykles. Šiuo reglamentu jokiu būdu neužkertamas kelias Sąjungos institucijoms ir įstaigoms vykdyti savo misiją, kuri pavesta ES teisės aktais, arba nesikėsinama į jų institucinę autonomiją;</w:t>
            </w:r>
          </w:p>
        </w:tc>
        <w:tc>
          <w:tcPr>
            <w:tcW w:w="4876" w:type="dxa"/>
          </w:tcPr>
          <w:p>
            <w:pPr>
              <w:pStyle w:val="Normal6a"/>
            </w:pPr>
            <w:r>
              <w:t>(5)</w:t>
            </w:r>
            <w:r>
              <w:tab/>
            </w:r>
            <w:r>
              <w:t>nustatant minimalų bendrą ESĮI ir neįslaptintos informacijos apsaugos lygį, šiuo reglamentu padedama užtikrinti, kad, vykdydamos savo užduotis, Sąjungos institucijos ir įstaigos gautų veiksmingos ir nepriklausomos administracijos paramą. Be to, kiekviena Sąjungos institucija ir įstaiga, atsižvelgdamos į savo poreikius saugumo srityje, išlaiko savarankiškumą sprendžiant, kaip įgyvendinti šiame reglamente nustatytas taisykles. Šiuo reglamentu jokiu būdu neužkertamas kelias Sąjungos institucijoms ir įstaigoms vykdyti savo misiją, kuri pavesta ES teisės aktais, arba nesikėsinama į jų institucinę autonomiją</w:t>
            </w:r>
            <w:r>
              <w:rPr>
                <w:b/>
                <w:i/>
              </w:rPr>
              <w:t>.</w:t>
            </w:r>
            <w:r>
              <w:t xml:space="preserve"> </w:t>
            </w:r>
            <w:r>
              <w:rPr>
                <w:b/>
                <w:i/>
              </w:rPr>
              <w:t>Taip pat reikėtų tinkamai atsižvelgti į tai, kad priemonės nedarytų neigiamo poveikio veiksmingam Sąjungos subjektų keitimuisi informacija ir operacijoms su kitais Sąjungos subjektais ir nacionalinėmis kompetentingomis institucijomis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tam, kad Sąjungos institucijos ir įstaigos tinkamai veiktų, labai svarbu skaidriai ir laiku dalytis ESĮI.</w:t>
            </w:r>
            <w:r>
              <w:t xml:space="preserve"> </w:t>
            </w:r>
            <w:r>
              <w:rPr>
                <w:b/>
                <w:i/>
              </w:rPr>
              <w:t>Įgyvendindamos šį reglamentą, Sąjungos institucijos ir įstaigos turėtų stengtis didinti skaidrumą, kuo labiau sumažinti konfidencialių dokumentų naudojimą ir apriboti jų naudojimo laiką, nustatyti apsaugos priemones nuo slaptumo žymų naudojimo siekiant trukdyti Sąjungos institucijoms ir įstaigoms vykdyti savo misiją ir užtikrinti, kad pranešėjai būtų tinkamai apsaugoti ir kad būtų garantuota aukšto lygio informacijos apsauga pagal Sąjungos teisę ir geriausią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šiuo reglamentu turėtų būti užtikrinta, kad bet koks teisės į asmens duomenų ir privatumo apsaugą apribojimas būtų būtinas ir proporcingas ir juo nekeičiama šios teisės esmė, kaip numatyta Europos Sąjungos pagrindinių teisių chartijos 52 straipsnio 1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b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(5b)</w:t>
            </w:r>
            <w:r>
              <w:tab/>
            </w:r>
            <w:r>
              <w:rPr>
                <w:b/>
                <w:i/>
              </w:rPr>
              <w:t>visos informacijos saugumo priemonės, susijusios su asmens duomenų tvarkymu, turėtų atitikti atitinkamus Sąjungos duomenų apsaugos ir privatumo teisės aktus.</w:t>
            </w:r>
            <w:r>
              <w:t xml:space="preserve"> </w:t>
            </w:r>
            <w:r>
              <w:rPr>
                <w:b/>
                <w:i/>
              </w:rPr>
              <w:t>Sąjungos institucijos ir įstaigos turėtų numatyti reikiamas technines ir organizacines apsaugos priemones, kad būtų užtikrintas atskaitingas, skaidrus ir pagrįstas reikalavimų laikymasis;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esminė žvalgybinės informacijos apie kibernetines grėsmes dalis yra susijusi su išnaudojamu pažeidžiamumu, t. y. trūkumais, kuriais įsilaužėliai naudojasi, kad gautų neteisėtą prieigą.</w:t>
            </w:r>
            <w:r>
              <w:t xml:space="preserve"> </w:t>
            </w:r>
            <w:r>
              <w:rPr>
                <w:b/>
                <w:i/>
              </w:rPr>
              <w:t>Europos Sąjungos kibernetinio saugumo agentūra (ENISA) gali neturėti pakankamai galimybių susitvarkyti su produktų gamintojų pranešimų apie tokį pažeidžiamumą apimtimi.</w:t>
            </w:r>
            <w:r>
              <w:t xml:space="preserve"> </w:t>
            </w:r>
            <w:r>
              <w:rPr>
                <w:b/>
                <w:i/>
              </w:rPr>
              <w:t>ES valstybės narės labiau norėtų, kad šie pranešimai būtų siunčiami nacionalinėms reagavimo į kompiuterių saugumo incidentus tarnyboms (CSIRT);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siekiant išsaugoti specifinį Europos Centrinio Banko (ECB) užduočių ir veiklos pagal Europos centrinių bankų sistemą (ECBS) ir Bendrą priežiūros mechanizmą (BPM), vykdomų bendradarbiaujant su nacionaliniais centriniais bankais ir nacionalinėmis kompetentingomis institucijomis, pobūdį, šis reglamentas neturėtų būti taikomas ECBS ir BPM informacijai;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siekiant sukurti oficialią Sąjungos institucijų ir įstaigų bendradarbiavimo informacijos saugumo srityje struktūrą, būtina įsteigti Tarpinstitucinę koordinavimo grupę (toliau – Koordinavimo grupė), kurioje būtų atstovaujama visų Sąjungos institucijų ir įstaigų saugumo institucijoms. Neturėdama sprendimų priėmimo įgaliojimų, Koordinavimo grupė turėtų didinti informacijos saugumo srities politikos nuoseklumą ir turėtų prisidėti prie informacijos saugumo procedūrų ir priemonių suderinimo Sąjungos institucijose ir įstaigose;</w:t>
            </w:r>
          </w:p>
        </w:tc>
        <w:tc>
          <w:tcPr>
            <w:tcW w:w="4876" w:type="dxa"/>
          </w:tcPr>
          <w:p>
            <w:pPr>
              <w:pStyle w:val="Normal6a"/>
            </w:pPr>
            <w:r>
              <w:t>(8)</w:t>
            </w:r>
            <w:r>
              <w:tab/>
            </w:r>
            <w:r>
              <w:t xml:space="preserve">siekiant sukurti oficialią </w:t>
            </w:r>
            <w:r>
              <w:rPr>
                <w:b/>
                <w:i/>
              </w:rPr>
              <w:t>bendrą ir vienodą</w:t>
            </w:r>
            <w:r>
              <w:t xml:space="preserve"> Sąjungos institucijų ir įstaigų bendradarbiavimo informacijos saugumo srityje struktūrą, būtina įsteigti Tarpinstitucinę koordinavimo grupę (toliau – Koordinavimo grupė), kurioje būtų atstovaujama visų Sąjungos institucijų ir įstaigų saugumo institucijoms. Neturėdama sprendimų priėmimo įgaliojimų, Koordinavimo grupė turėtų didinti informacijos saugumo srities politikos nuoseklumą ir turėtų prisidėti prie informacijos saugumo procedūrų ir priemonių suderinimo Sąjungos institucijose ir įstaigose;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Koordinavimo grupės darbui reikalinga įvairių informacijos saugumo sričių, kaip antai skirstymo į kategorijas ir žymėjimo, ryšių ir informacinių sistemų, akreditavimo, fizinio saugumo, keitimosi ESĮI ir įslaptinta informacija, ekspertų parama. Todėl, siekiant išvengti Sąjungos institucijų ir įstaigų pastangų dubliavimo, turėtų būti įsteigti teminiai pogrupiai. Be to, prireikus Koordinavimo grupė turėtų galėti sudaryti kitus pogrupius, kuriems būtų pavestos konkrečios užduotys;</w:t>
            </w:r>
          </w:p>
        </w:tc>
        <w:tc>
          <w:tcPr>
            <w:tcW w:w="4876" w:type="dxa"/>
          </w:tcPr>
          <w:p>
            <w:pPr>
              <w:pStyle w:val="Normal6a"/>
            </w:pPr>
            <w:r>
              <w:t>(9)</w:t>
            </w:r>
            <w:r>
              <w:tab/>
            </w:r>
            <w:r>
              <w:t xml:space="preserve">Koordinavimo grupės darbui reikalinga įvairių informacijos saugumo sričių, kaip antai skirstymo į kategorijas ir žymėjimo, ryšių ir informacinių sistemų, akreditavimo, fizinio saugumo, keitimosi ESĮI ir įslaptinta informacija, ekspertų parama. Todėl, siekiant </w:t>
            </w:r>
            <w:r>
              <w:rPr>
                <w:b/>
                <w:i/>
              </w:rPr>
              <w:t>sumažinti administracinę naštą ir</w:t>
            </w:r>
            <w:r>
              <w:t xml:space="preserve"> išvengti Sąjungos institucijų ir įstaigų pastangų dubliavimo, turėtų būti įsteigti teminiai pogrupiai. Be to, prireikus Koordinavimo grupė turėtų galėti sudaryti kitus pogrupius, kuriems būtų pavestos konkrečios užduotys;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Koordinavimo grupė turėtų glaudžiai bendradarbiauti su valstybių narių nacionalinėmis saugumo institucijomis, kad būtų padidintas informacijos saugumas Sąjungoje. Todėl reikėtų įsteigti Valstybių narių informacijos saugumo komitetą, kuris teiktų konsultacijas Koordinavimo grupei;</w:t>
            </w:r>
          </w:p>
        </w:tc>
        <w:tc>
          <w:tcPr>
            <w:tcW w:w="4876" w:type="dxa"/>
          </w:tcPr>
          <w:p>
            <w:pPr>
              <w:pStyle w:val="Normal6a"/>
            </w:pPr>
            <w:r>
              <w:t>(10)</w:t>
            </w:r>
            <w:r>
              <w:tab/>
            </w:r>
            <w:r>
              <w:t>Koordinavimo grupė turėtų glaudžiai bendradarbiauti su valstybių narių nacionalinėmis saugumo institucijomis, kad būtų padidintas informacijos saugumas Sąjungoje. Todėl reikėtų įsteigti Valstybių narių informacijos saugumo komitetą, kuris teiktų konsultacijas Koordinavimo grupei</w:t>
            </w:r>
            <w:r>
              <w:rPr>
                <w:b/>
                <w:i/>
              </w:rPr>
              <w:t>, kartu paisant valstybių narių prerogatyvų konfidencialių saugumo duomenų srityje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Koordinavimo grupė turėtų glaudžiai bendradarbiauti su valstybių narių </w:t>
            </w:r>
            <w:r>
              <w:rPr>
                <w:b/>
                <w:i/>
              </w:rPr>
              <w:t>nacionalinėmis saugumo</w:t>
            </w:r>
            <w:r>
              <w:t xml:space="preserve"> institucijomis, kad būtų padidintas informacijos saugumas Sąjungoje. Todėl reikėtų įsteigti Valstybių narių informacijos saugumo komitetą, kuris teiktų konsultacijas Koordinavimo grupei;</w:t>
            </w:r>
          </w:p>
        </w:tc>
        <w:tc>
          <w:tcPr>
            <w:tcW w:w="4876" w:type="dxa"/>
          </w:tcPr>
          <w:p>
            <w:pPr>
              <w:pStyle w:val="Normal6a"/>
            </w:pPr>
            <w:r>
              <w:t>(10)</w:t>
            </w:r>
            <w:r>
              <w:tab/>
            </w:r>
            <w:r>
              <w:t xml:space="preserve">Koordinavimo grupė turėtų glaudžiai bendradarbiauti su valstybių narių </w:t>
            </w:r>
            <w:r>
              <w:rPr>
                <w:b/>
                <w:i/>
              </w:rPr>
              <w:t>informacijos įslaptinimo</w:t>
            </w:r>
            <w:r>
              <w:t xml:space="preserve"> institucijomis, kad būtų padidintas informacijos saugumas Sąjungoje. Todėl reikėtų įsteigti Valstybių narių informacijos saugumo komitetą, kuris teiktų konsultacijas Koordinavimo grupei;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Šis pakeitimas turėtų būti taikomas horizontaliai.</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informacijos saugumo rizikos valdymo principas turėtų būti politikos, kurią šioje srityje turi parengti kiekviena Sąjungos institucija ir įstaiga, pagrindas. Nors šiame reglamente nustatyti būtiniausi reikalavimai turi būti įvykdyti, kiekviena Sąjungos institucija ir įstaiga turėtų patvirtinti specialias informacijos apsaugos saugumo priemones, atsižvelgdamos į vidaus rizikos vertinimo rezultatus. Lygiai taip pat techninės informacijos apsaugos priemonės turėtų būti pritaikytos prie </w:t>
            </w:r>
            <w:r>
              <w:rPr>
                <w:b/>
                <w:i/>
              </w:rPr>
              <w:t>konkrečios</w:t>
            </w:r>
            <w:r>
              <w:t xml:space="preserve"> kiekvienos institucijos ir įstaigos </w:t>
            </w:r>
            <w:r>
              <w:rPr>
                <w:b/>
                <w:i/>
              </w:rPr>
              <w:t>padėties</w:t>
            </w:r>
            <w:r>
              <w:t>;</w:t>
            </w:r>
          </w:p>
        </w:tc>
        <w:tc>
          <w:tcPr>
            <w:tcW w:w="4876" w:type="dxa"/>
          </w:tcPr>
          <w:p>
            <w:pPr>
              <w:pStyle w:val="Normal6a"/>
            </w:pPr>
            <w:r>
              <w:t>(12)</w:t>
            </w:r>
            <w:r>
              <w:tab/>
            </w:r>
            <w:r>
              <w:t xml:space="preserve">informacijos saugumo rizikos valdymo principas turėtų būti politikos, kurią šioje srityje turi parengti kiekviena Sąjungos institucija ir įstaiga, pagrindas. Nors šiame reglamente nustatyti </w:t>
            </w:r>
            <w:r>
              <w:rPr>
                <w:b/>
                <w:i/>
              </w:rPr>
              <w:t>bendri</w:t>
            </w:r>
            <w:r>
              <w:t xml:space="preserve"> būtiniausi reikalavimai turi būti įvykdyti, kiekviena Sąjungos institucija ir įstaiga turėtų patvirtinti specialias informacijos apsaugos saugumo priemones, atsižvelgdamos į vidaus rizikos vertinimo rezultatus. Lygiai taip pat techninės informacijos apsaugos priemonės turėtų būti pritaikytos prie kiekvienos institucijos ir įstaigos </w:t>
            </w:r>
            <w:r>
              <w:rPr>
                <w:b/>
                <w:i/>
              </w:rPr>
              <w:t>poreikių ir ypatumų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atsižvelgiant į neįslaptintos informacijos kategorijų, kurias Sąjungos institucijos ir įstaigos sukūrė remdamosi savo saugumo informacijos taisyklėmis, įvairovę ir siekiant išvengti vėlavimo įgyvendinant šį reglamentą, Sąjungos institucijoms ir įstaigoms turėtų būti suteikta galimybė vidaus tikslais arba keičiantis informacija su savo konkrečiais partneriais iš kitų institucijų ir įstaigų arba iš valstybių narių turėti savo žymų sistemą;</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siekiant prisitaikyti prie naujos nuotolinio darbo praktikos, </w:t>
            </w:r>
            <w:r>
              <w:rPr>
                <w:b/>
                <w:i/>
              </w:rPr>
              <w:t>tinklai</w:t>
            </w:r>
            <w:r>
              <w:t xml:space="preserve">, naudojami jungiantis prie Sąjungos institucijos arba įstaigos nuotolinės prieigos paslaugų, turėtų būti apsaugoti </w:t>
            </w:r>
            <w:r>
              <w:rPr>
                <w:b/>
                <w:i/>
              </w:rPr>
              <w:t>tinkamomis</w:t>
            </w:r>
            <w:r>
              <w:t xml:space="preserve"> saugumo priemonėmis;</w:t>
            </w:r>
          </w:p>
        </w:tc>
        <w:tc>
          <w:tcPr>
            <w:tcW w:w="4876" w:type="dxa"/>
          </w:tcPr>
          <w:p>
            <w:pPr>
              <w:pStyle w:val="Normal6a"/>
            </w:pPr>
            <w:r>
              <w:t>(14)</w:t>
            </w:r>
            <w:r>
              <w:tab/>
            </w:r>
            <w:r>
              <w:t xml:space="preserve">siekiant prisitaikyti prie naujos nuotolinio darbo praktikos, </w:t>
            </w:r>
            <w:r>
              <w:rPr>
                <w:b/>
                <w:i/>
              </w:rPr>
              <w:t>tinklo informacinės sistemos, skaitmeninė infrastruktūra ir galiniai įrenginiai</w:t>
            </w:r>
            <w:r>
              <w:t xml:space="preserve">, naudojami jungiantis prie Sąjungos institucijos arba įstaigos nuotolinės prieigos paslaugų, turėtų būti apsaugoti </w:t>
            </w:r>
            <w:r>
              <w:rPr>
                <w:b/>
                <w:i/>
              </w:rPr>
              <w:t>pažangiausiomis</w:t>
            </w:r>
            <w:r>
              <w:t xml:space="preserve"> saugumo priemonėmis;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siekiant prisitaikyti prie naujos nuotolinio darbo praktikos, tinklai, naudojami jungiantis prie Sąjungos institucijos arba įstaigos nuotolinės prieigos paslaugų, turėtų būti apsaugoti tinkamomis saugumo priemonėmis;</w:t>
            </w:r>
          </w:p>
        </w:tc>
        <w:tc>
          <w:tcPr>
            <w:tcW w:w="4876" w:type="dxa"/>
          </w:tcPr>
          <w:p>
            <w:pPr>
              <w:pStyle w:val="Normal6a"/>
            </w:pPr>
            <w:r>
              <w:t>(14)</w:t>
            </w:r>
            <w:r>
              <w:tab/>
            </w:r>
            <w:r>
              <w:t>siekiant prisitaikyti prie naujos nuotolinio darbo praktikos, tinklai, naudojami jungiantis prie Sąjungos institucijos arba įstaigos nuotolinės prieigos paslaugų, turėtų būti apsaugoti tinkamomis saugumo priemonėmis</w:t>
            </w:r>
            <w:r>
              <w:rPr>
                <w:b/>
                <w:i/>
              </w:rPr>
              <w:t>, investuojant į ištisinius saugumo tinklus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p>
        </w:tc>
        <w:tc>
          <w:tcPr>
            <w:tcW w:w="4876" w:type="dxa"/>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r>
              <w:rPr>
                <w:b/>
                <w:i/>
              </w:rPr>
              <w:t>.</w:t>
            </w:r>
            <w:r>
              <w:t xml:space="preserve"> </w:t>
            </w:r>
            <w:r>
              <w:rPr>
                <w:b/>
                <w:i/>
              </w:rPr>
              <w:t>Tokios nuostatos turėtų apimti, be kita ko, reikalavimą vykdant konkurso procedūras atlikti kruopštų patikrinimą, atsižvelgiant į visą tiekimo grandinės spektrą ir ekonominę bei politinę aplinką, kurioje veikia trečiosios šalys.</w:t>
            </w:r>
            <w:r>
              <w:t xml:space="preserve"> </w:t>
            </w:r>
            <w:r>
              <w:rPr>
                <w:b/>
                <w:i/>
              </w:rPr>
              <w:t>Jei santykiai su trečiosiomis šalimis kelia pavojų demokratinių procesų ES vientisumui, jie turėtų būti nepagrįstai nedelsiant nutraukti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p>
        </w:tc>
        <w:tc>
          <w:tcPr>
            <w:tcW w:w="4876" w:type="dxa"/>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r>
              <w:rPr>
                <w:b/>
                <w:i/>
              </w:rPr>
              <w:t>, ir tikrinti išorės rangovų kokybę ir konfidencialumą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šiuo metu įvairių Sąjungos institucijų ir įstaigų vidaus taisyklėse nustatytos esminės taisyklės dėl galimybės susipažinti su ESĮI yra suderintos, tačiau esama didelių skirtumų, susijusių su pavadinimais ir reikiamomis procedūromis. </w:t>
            </w:r>
            <w:r>
              <w:rPr>
                <w:b/>
                <w:i/>
              </w:rPr>
              <w:t>Dėl to užkraunama našta valstybių narių nacionalinėms saugumo institucijoms, kurios turi prisitaikyti prie skirtingų reikalavimų.</w:t>
            </w:r>
            <w:r>
              <w:t xml:space="preserve"> Todėl būtina numatyti bendrą </w:t>
            </w:r>
            <w:r>
              <w:rPr>
                <w:b/>
                <w:i/>
              </w:rPr>
              <w:t>terminų žodyną</w:t>
            </w:r>
            <w:r>
              <w:t xml:space="preserve"> ir bendras procedūras personalo patikimumo srityje, taip </w:t>
            </w:r>
            <w:r>
              <w:rPr>
                <w:b/>
                <w:i/>
              </w:rPr>
              <w:t>supaprastinant bendradarbiavimą su valstybių narių nacionalinėmis saugumo institucijomis ir</w:t>
            </w:r>
            <w:r>
              <w:t xml:space="preserve"> sumažinant pavojų ESĮI;</w:t>
            </w:r>
          </w:p>
        </w:tc>
        <w:tc>
          <w:tcPr>
            <w:tcW w:w="4876" w:type="dxa"/>
          </w:tcPr>
          <w:p>
            <w:pPr>
              <w:pStyle w:val="Normal6a"/>
            </w:pPr>
            <w:r>
              <w:t>(16)</w:t>
            </w:r>
            <w:r>
              <w:tab/>
            </w:r>
            <w:r>
              <w:t xml:space="preserve">šiuo metu įvairių Sąjungos institucijų ir įstaigų vidaus taisyklėse nustatytos esminės taisyklės dėl galimybės susipažinti su ESĮI yra suderintos, tačiau esama didelių skirtumų, susijusių su pavadinimais ir reikiamomis procedūromis. Todėl būtina numatyti bendrą </w:t>
            </w:r>
            <w:r>
              <w:rPr>
                <w:b/>
                <w:i/>
              </w:rPr>
              <w:t>žodynėlį</w:t>
            </w:r>
            <w:r>
              <w:t xml:space="preserve"> ir bendras procedūras personalo patikimumo srityje, taip sumažinant pavojų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ESĮI apsauga taip pat užtikrinama techninėmis ir organizacinėmis priemonėmis, kurios taikomos Sąjungos institucijų ir įstaigų patalpoms, pastatams, salėms, biurams ar infrastruktūrai, kuriuose ESĮI aptariama, tvarkoma arba saugoma. Šiuo reglamentu numatoma įgyvendinti informacijos saugumo valdymo procesą fizinio saugumo srityje, kad Sąjungos institucijos ir įstaigos galėtų pasirinkti tinkamas saugumo priemones savo veiklos vietoms;</w:t>
            </w:r>
          </w:p>
        </w:tc>
        <w:tc>
          <w:tcPr>
            <w:tcW w:w="4876" w:type="dxa"/>
          </w:tcPr>
          <w:p>
            <w:pPr>
              <w:pStyle w:val="Normal6a"/>
            </w:pPr>
            <w:r>
              <w:t>(18)</w:t>
            </w:r>
            <w:r>
              <w:tab/>
            </w:r>
            <w:r>
              <w:t>ESĮI apsauga taip pat užtikrinama techninėmis ir organizacinėmis priemonėmis, kurios taikomos Sąjungos institucijų ir įstaigų patalpoms, pastatams, salėms, biurams ar infrastruktūrai, kuriuose ESĮI aptariama, tvarkoma arba saugoma. Šiuo reglamentu numatoma įgyvendinti informacijos saugumo valdymo procesą fizinio saugumo srityje, kad Sąjungos institucijos ir įstaigos galėtų pasirinkti tinkamas saugumo priemones savo veiklos vietoms</w:t>
            </w:r>
            <w:r>
              <w:rPr>
                <w:b/>
                <w:i/>
              </w:rPr>
              <w:t>.</w:t>
            </w:r>
            <w:r>
              <w:t xml:space="preserve"> </w:t>
            </w:r>
            <w:r>
              <w:rPr>
                <w:b/>
                <w:i/>
              </w:rPr>
              <w:t>Turėtų būti atliekamas išsamus saugumo infrastruktūros, įskaitant paslaugas, vertinimas, apimantis visus veiklos grandinės ir aplinkos aspektus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informacijos rengėjo kontrolė yra </w:t>
            </w:r>
            <w:r>
              <w:rPr>
                <w:b/>
                <w:i/>
              </w:rPr>
              <w:t>svarbus</w:t>
            </w:r>
            <w:r>
              <w:t xml:space="preserve"> ESĮI valdymo </w:t>
            </w:r>
            <w:r>
              <w:rPr>
                <w:b/>
                <w:i/>
              </w:rPr>
              <w:t>principas</w:t>
            </w:r>
            <w:r>
              <w:t xml:space="preserve">, todėl </w:t>
            </w:r>
            <w:r>
              <w:rPr>
                <w:b/>
                <w:i/>
              </w:rPr>
              <w:t>ji turi būti aiškiai apibrėžta ir išplėtota</w:t>
            </w:r>
            <w:r>
              <w:t>. Šiuo atžvilgiu ESĮI parengimu rengėjui nustatoma atsakomybė</w:t>
            </w:r>
            <w:r>
              <w:rPr>
                <w:b/>
                <w:i/>
              </w:rPr>
              <w:t>, kuri turėtų apimti visą</w:t>
            </w:r>
            <w:r>
              <w:t xml:space="preserve"> atitinkamo ESĮI dokumento gyvavimo </w:t>
            </w:r>
            <w:r>
              <w:rPr>
                <w:b/>
                <w:i/>
              </w:rPr>
              <w:t>ciklą</w:t>
            </w:r>
            <w:r>
              <w:t>;</w:t>
            </w:r>
          </w:p>
        </w:tc>
        <w:tc>
          <w:tcPr>
            <w:tcW w:w="4876" w:type="dxa"/>
          </w:tcPr>
          <w:p>
            <w:pPr>
              <w:pStyle w:val="Normal6a"/>
            </w:pPr>
            <w:r>
              <w:t>(20)</w:t>
            </w:r>
            <w:r>
              <w:tab/>
            </w:r>
            <w:r>
              <w:t xml:space="preserve">informacijos rengėjo kontrolė yra </w:t>
            </w:r>
            <w:r>
              <w:rPr>
                <w:b/>
                <w:i/>
              </w:rPr>
              <w:t>vienas iš</w:t>
            </w:r>
            <w:r>
              <w:t xml:space="preserve"> ESĮI valdymo </w:t>
            </w:r>
            <w:r>
              <w:rPr>
                <w:b/>
                <w:i/>
              </w:rPr>
              <w:t>principų</w:t>
            </w:r>
            <w:r>
              <w:t xml:space="preserve">, todėl </w:t>
            </w:r>
            <w:r>
              <w:rPr>
                <w:b/>
                <w:i/>
              </w:rPr>
              <w:t>į jį reikia atsižvelgti</w:t>
            </w:r>
            <w:r>
              <w:t xml:space="preserve">. Šiuo atžvilgiu ESĮI parengimu rengėjui nustatoma atsakomybė atitinkamo ESĮI dokumento gyvavimo </w:t>
            </w:r>
            <w:r>
              <w:rPr>
                <w:b/>
                <w:i/>
              </w:rPr>
              <w:t>ciklo pradžioje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Sąjungos institucijos ir įstaigos tradiciškai savarankiškai plėtojo savo ryšių ir informacines sistemas, nepakankamai dėmesio skirdamos jų sąveikumui visose Sąjungos institucijose ir įstaigose. Todėl, siekiant užtikrinti sklandų keitimąsi informacija su atitinkamais suinteresuotaisiais subjektais, būtina nustatyti būtiniausius saugumo reikalavimus, susijusius su ryšių ir informacinėmis sistemomis (RIS), kuriose tvarkoma </w:t>
            </w:r>
            <w:r>
              <w:rPr>
                <w:b/>
                <w:i/>
              </w:rPr>
              <w:t>ir saugoma ESĮI ir</w:t>
            </w:r>
            <w:r>
              <w:t xml:space="preserve"> neįslaptinta informacija;</w:t>
            </w:r>
          </w:p>
        </w:tc>
        <w:tc>
          <w:tcPr>
            <w:tcW w:w="4876" w:type="dxa"/>
          </w:tcPr>
          <w:p>
            <w:pPr>
              <w:pStyle w:val="Normal6a"/>
            </w:pPr>
            <w:r>
              <w:t>(21)</w:t>
            </w:r>
            <w:r>
              <w:tab/>
            </w:r>
            <w:r>
              <w:t>Sąjungos institucijos ir įstaigos tradiciškai savarankiškai plėtojo savo ryšių ir informacines sistemas, nepakankamai dėmesio skirdamos jų sąveikumui visose Sąjungos institucijose ir įstaigose. Todėl, siekiant užtikrinti sklandų keitimąsi informacija su atitinkamais suinteresuotaisiais subjektais, būtina nustatyti būtiniausius saugumo reikalavimus, susijusius su ryšių ir informacinėmis sistemomis (RIS), kuriose tvarkoma</w:t>
            </w:r>
            <w:r>
              <w:rPr>
                <w:b/>
                <w:i/>
              </w:rPr>
              <w:t>, saugoma ir perduodama ESĮI bei</w:t>
            </w:r>
            <w:r>
              <w:t xml:space="preserve"> neįslaptinta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(21a)</w:t>
            </w:r>
            <w:r>
              <w:tab/>
            </w:r>
            <w:r>
              <w:rPr>
                <w:b/>
                <w:i/>
              </w:rPr>
              <w:t>Sąjungos subjektų turima informacija taip pat keičiamasi per IRT aplinką, vietoje esantį ar virtualų turtą, IRT produktus, IRT paslaugas ir IRT procesus, taip pat per tinklus ir informacines sistemas, kurie priklauso Sąjungos subjektui ar yra jo valdomi arba kurių prieglobą teikia ir kuriuos valdo trečioji šalis, įskaitant mobiliuosius įrenginius, įmonių tinklus, prie interneto neprijungtus verslo tinklus ir bet kokius su IRT aplinka susijusius įrenginius;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Šiuo reglamentu nustatomos visų Sąjungos institucijų ir įstaigų informacijos saugumo taisyklės.</w:t>
            </w:r>
          </w:p>
        </w:tc>
        <w:tc>
          <w:tcPr>
            <w:tcW w:w="4876" w:type="dxa"/>
          </w:tcPr>
          <w:p>
            <w:pPr>
              <w:pStyle w:val="Normal6a"/>
            </w:pPr>
            <w:r>
              <w:t>1.</w:t>
            </w:r>
            <w:r>
              <w:tab/>
            </w:r>
            <w:r>
              <w:t xml:space="preserve">Šiuo reglamentu nustatomos </w:t>
            </w:r>
            <w:r>
              <w:rPr>
                <w:b/>
                <w:i/>
              </w:rPr>
              <w:t>bendros ir vienodos būtiniausios</w:t>
            </w:r>
            <w:r>
              <w:t xml:space="preserve"> visų Sąjungos institucijų ir įstaigų informacijos saugumo taisyklės.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Šiuo reglamentu nustatomos visų Sąjungos institucijų ir įstaigų informacijos saugumo taisyklės.</w:t>
            </w:r>
          </w:p>
        </w:tc>
        <w:tc>
          <w:tcPr>
            <w:tcW w:w="4876" w:type="dxa"/>
          </w:tcPr>
          <w:p>
            <w:pPr>
              <w:pStyle w:val="Normal6a"/>
            </w:pPr>
            <w:r>
              <w:t>1.</w:t>
            </w:r>
            <w:r>
              <w:tab/>
            </w:r>
            <w:r>
              <w:t xml:space="preserve">Šiuo reglamentu nustatomos </w:t>
            </w:r>
            <w:r>
              <w:rPr>
                <w:b/>
                <w:i/>
              </w:rPr>
              <w:t>bendros būtiniausios</w:t>
            </w:r>
            <w:r>
              <w:t xml:space="preserve"> visų Sąjungos institucijų ir įstaigų informacijos saugumo taisyklės.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Šis reglamentas nedaro poveikio Europos Parlamento ir Tarybos reglamentui (EB) 1049/2001.</w:t>
            </w:r>
            <w:r>
              <w:t xml:space="preserve"> </w:t>
            </w:r>
            <w:r>
              <w:rPr>
                <w:b/>
                <w:i/>
              </w:rPr>
              <w:t>Jokios šio reglamento nuostatos, visų pirma ESĮI reglamentuojančios nuostatos, negali būti naudojamos siekiant apriboti teisę susipažinti su Sąjungos institucijų, įstaigų, organų ir agentūrų dokumentais, viršijant tai, kas numatyta taikytinuose teisės aktuose, reglamentuojančiuose tokią susipažinimo galimybę.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Šis reglamentas taikomas visai Sąjungos institucijų ir įstaigų tvarkomai ir saugomai informacijai, įskaitant informaciją, susijusią su Europos atominės energijos bendrijos veikla, </w:t>
            </w:r>
            <w:r>
              <w:rPr>
                <w:b/>
                <w:i/>
              </w:rPr>
              <w:t>išskyrus</w:t>
            </w:r>
            <w:r>
              <w:t xml:space="preserve"> Euratomo </w:t>
            </w:r>
            <w:r>
              <w:rPr>
                <w:b/>
                <w:i/>
              </w:rPr>
              <w:t>įslaptintą</w:t>
            </w:r>
            <w:r>
              <w:t xml:space="preserve"> informaciją.</w:t>
            </w:r>
          </w:p>
        </w:tc>
        <w:tc>
          <w:tcPr>
            <w:tcW w:w="4876" w:type="dxa"/>
          </w:tcPr>
          <w:p>
            <w:pPr>
              <w:pStyle w:val="Normal6a"/>
            </w:pPr>
            <w:r>
              <w:t>1.</w:t>
            </w:r>
            <w:r>
              <w:tab/>
            </w:r>
            <w:r>
              <w:t xml:space="preserve">Šis reglamentas taikomas visai Sąjungos institucijų ir įstaigų tvarkomai ir saugomai informacijai, įskaitant informaciją, susijusią su Europos atominės energijos bendrijos veikla, </w:t>
            </w:r>
            <w:r>
              <w:rPr>
                <w:b/>
                <w:i/>
              </w:rPr>
              <w:t>bet neįtraukiant</w:t>
            </w:r>
            <w:r>
              <w:t xml:space="preserve"> Euratomo </w:t>
            </w:r>
            <w:r>
              <w:rPr>
                <w:b/>
                <w:i/>
              </w:rPr>
              <w:t>įslaptintos informacijos, ir išskyrus</w:t>
            </w:r>
            <w:r>
              <w:t xml:space="preserve"> informaciją</w:t>
            </w:r>
            <w:r>
              <w:rPr>
                <w:b/>
                <w:i/>
              </w:rPr>
              <w:t>, susijusią su ECB uždaviniais ir veikla ECBS ir BPM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Šiuo reglamentu nedaromas poveikis Reglamentui (Euratomas) Nr. 3/195[1], Reglamentui Nr. 31 (EEB), 11 (EAEB), nustatančiam Europos ekonominės bendrijos ir Europos atominės energijos bendrijos pareigūnų tarnybos nuostatus ir kitų tarnautojų įdarbinimo sąlygas[2], Europos Parlamento ir Tarybos reglamentui (EB) Nr. 1049/2001[3], Europos Parlamento ir Tarybos reglamentui (ES) 2018/1725[4], Tarybos reglamentui (EEB, EURATOMAS) Nr. 354/83[5], Europos Parlamento ir Tarybos reglamentui (ES, Euratomas) 2018/1046[6], Europos Parlamento ir Tarybos reglamentui (ES) 2021/697[7], Europos Parlamento ir Tarybos reglamentui (ES) [...][8], kuriuo nustatomos priemonės aukštam bendram kibernetinio saugumo lygiui Sąjungos institucijose, įstaigose, organuose ir agentūrose užtikrinti. [KL1] [1] Reglamentas (Euratomas) Nr. 3/1958, įgyvendinantis Europos atominės energijos bendrijos steigimo sutarties 24 straipsnį (OL 17, 1958 10 6, p.</w:t>
            </w:r>
            <w:r>
              <w:t xml:space="preserve"> </w:t>
            </w:r>
            <w:r>
              <w:rPr>
                <w:b/>
                <w:i/>
              </w:rPr>
              <w:t>406). [2] OL 45, 1962 6 14, p.</w:t>
            </w:r>
            <w:r>
              <w:t xml:space="preserve"> </w:t>
            </w:r>
            <w:r>
              <w:rPr>
                <w:b/>
                <w:i/>
              </w:rPr>
              <w:t>1385. [3] 2001 m. gegužės 30 d. Europos Parlamento ir Tarybos reglamentas (EB) Nr. 1049/2001 dėl galimybės visuomenei susipažinti su Europos Parlamento, Tarybos ir Komisijos dokumentais (OL L 145, 2001 5 31, p.</w:t>
            </w:r>
            <w:r>
              <w:t xml:space="preserve"> </w:t>
            </w:r>
            <w:r>
              <w:rPr>
                <w:b/>
                <w:i/>
              </w:rPr>
              <w:t>430. [4]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w:t>
            </w:r>
            <w:r>
              <w:t xml:space="preserve"> </w:t>
            </w:r>
            <w:r>
              <w:rPr>
                <w:b/>
                <w:i/>
              </w:rPr>
              <w:t>39). [5] 1983 m. vasario 1 d. Tarybos reglamentas (EEB, EURATOMAS) Nr. 354/83 dėl Europos ekonominės bendrijos ir Europos atominės energijos bendrijos istorinių archyvų atvėrimo visuomenei (OL L 43, 1983 2 15, p.</w:t>
            </w:r>
            <w:r>
              <w:t xml:space="preserve"> </w:t>
            </w:r>
            <w:r>
              <w:rPr>
                <w:b/>
                <w:i/>
              </w:rPr>
              <w:t>1). [6] 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w:t>
            </w:r>
            <w:r>
              <w:t xml:space="preserve"> </w:t>
            </w:r>
            <w:r>
              <w:rPr>
                <w:b/>
                <w:i/>
              </w:rPr>
              <w:t>1). [7] 2021 m. balandžio 29 d. Europos Parlamento ir Tarybos reglamentas (ES) 2021/697, kuriuo įsteigiamas Europos gynybos fondas ir panaikinamas Reglamentas (ES) 2018/1092 (OL L 170, 2021 5 12, p. 149). [8] Europos Parlamento ir Tarybos reglamentas [...], kuriuo nustatomos priemonės aukštam bendram kibernetinio saugumo lygiui Sąjungos institucijose, įstaigose, organuose ir agentūrose.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Šis reglamentas netaikomas Komisijos nariams, valstybių narių atstovams Taryboje, Europos Parlamento nariams, Sąjungos teismų teisėjams ir Europos Audito Rūmų nariams.</w:t>
            </w:r>
            <w:r>
              <w:t xml:space="preserve"> </w:t>
            </w:r>
            <w:r>
              <w:rPr>
                <w:b/>
                <w:i/>
              </w:rPr>
              <w:t>Siekiant užtikrinti reglamento veiksmingumą ir nesukurti informacijos saugumo sistemos spragų ar nesutarimų tarp tos pačios institucijos darbuotojų, šios institucijos ir įstaigos priima su šiuo reglamentu suderintas vidaus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trijų neįslaptintos informacijos lygių informacijai: viešo naudojimo, įprastai ir </w:t>
            </w:r>
            <w:r>
              <w:rPr>
                <w:b/>
                <w:i/>
              </w:rPr>
              <w:t>neskelbtinai</w:t>
            </w:r>
            <w:r>
              <w:t xml:space="preserve"> neįslaptintai;</w:t>
            </w:r>
          </w:p>
        </w:tc>
        <w:tc>
          <w:tcPr>
            <w:tcW w:w="4876" w:type="dxa"/>
          </w:tcPr>
          <w:p>
            <w:pPr>
              <w:pStyle w:val="Normal6a"/>
            </w:pPr>
            <w:r>
              <w:t>a)</w:t>
            </w:r>
            <w:r>
              <w:tab/>
            </w:r>
            <w:r>
              <w:t xml:space="preserve">trijų neįslaptintos informacijos lygių informacijai: viešo naudojimo, įprastai ir </w:t>
            </w:r>
            <w:r>
              <w:rPr>
                <w:b/>
                <w:i/>
              </w:rPr>
              <w:t>saugomai</w:t>
            </w:r>
            <w:r>
              <w:t xml:space="preserve"> neįslaptintai;</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taikomas visam tekstui. Jį priėmus reikės padaryti atitinkamus viso teksto pakeitimus.)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Reglamento (EB) Nr. 1049/2001 9 straipsnyje neskelbtina informacija vadinama tik slaptumo žymomis CONFIDENTIEL UE/EU CONFIDENTIAL, SECRET UE/EU SECRET, TRES SECRET UE/EU TOP SECRET žymima informacija.</w:t>
      </w:r>
      <w:r>
        <w:t xml:space="preserve"> </w:t>
      </w:r>
      <w:r>
        <w:t>Siekiant išvengti painiavos, reikėtų vartoti kitokią terminiją.</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keturių</w:t>
            </w:r>
            <w:r>
              <w:t xml:space="preserve"> ES įslaptintos informacijos lygių informacijai, žymimai slaptumo žymomis: </w:t>
            </w:r>
            <w:r>
              <w:rPr>
                <w:b/>
                <w:i/>
              </w:rPr>
              <w:t>RESTREINT UE/EU RESTRICTED,</w:t>
            </w:r>
            <w:r>
              <w:t xml:space="preserve"> CONFIDENTIEL UE/EU CONFIDENTIAL, SECRET UE/EU SECRET, TRES SECRET UE/EU TOP SECRET.</w:t>
            </w:r>
          </w:p>
        </w:tc>
        <w:tc>
          <w:tcPr>
            <w:tcW w:w="4876" w:type="dxa"/>
          </w:tcPr>
          <w:p>
            <w:pPr>
              <w:pStyle w:val="Normal6a"/>
            </w:pPr>
            <w:r>
              <w:t>b)</w:t>
            </w:r>
            <w:r>
              <w:tab/>
            </w:r>
            <w:r>
              <w:rPr>
                <w:b/>
                <w:i/>
              </w:rPr>
              <w:t>trijų</w:t>
            </w:r>
            <w:r>
              <w:t xml:space="preserve"> ES įslaptintos informacijos lygių informacijai, žymimai slaptumo žymomis: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taikomas visam tekstui. Jį priėmus reikės padaryti atitinkamus viso teksto pakeitimus.)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Kad būtų galima taikyti tinkamas apsaugos priemones, šie lygiai grindžiami žala, kurią neteisėtas atskleidimas gali padaryti teisėtiems </w:t>
            </w:r>
            <w:r>
              <w:rPr>
                <w:b/>
                <w:i/>
              </w:rPr>
              <w:t>privatiesiems ir</w:t>
            </w:r>
            <w:r>
              <w:t xml:space="preserve"> viešiesiems interesams, įskaitant Sąjungos, jos institucijų bei įstaigų ir valstybių narių ar kitų suinteresuotųjų subjektų interesus.</w:t>
            </w:r>
          </w:p>
        </w:tc>
        <w:tc>
          <w:tcPr>
            <w:tcW w:w="4876" w:type="dxa"/>
          </w:tcPr>
          <w:p>
            <w:pPr>
              <w:pStyle w:val="Normal6a"/>
            </w:pPr>
            <w:r>
              <w:t>3.</w:t>
            </w:r>
            <w:r>
              <w:tab/>
            </w:r>
            <w:r>
              <w:t>Kad būtų galima taikyti tinkamas apsaugos priemones, šie lygiai grindžiami žala, kurią neteisėtas atskleidimas gali padaryti teisėtiems viešiesiems interesams, įskaitant Sąjungos, jos institucijų bei įstaigų ir valstybių narių ar kitų suinteresuotųjų subjektų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Sąjungos institucijų nariai pagal būtinybės žinoti principą turi galimybę susipažinti su visų rūšių informacija, kad galėtų veiksmingai vykdyti savo įgaliojimus pagal Sutartis.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Šio reglamento nesilaikymas, visų pirma neteisėtas 2 straipsnio 2 dalyje nurodytų slaptumo lygių informacijos, išskyrus viešo naudojimo informaciją, atskleidimas, turi būti tiriamas ir dėl jo darbuotojams gali tekti atsakomybė pagal Sutartis arba atitinkamas jų tarnybos taisykles.</w:t>
            </w:r>
          </w:p>
        </w:tc>
        <w:tc>
          <w:tcPr>
            <w:tcW w:w="4876" w:type="dxa"/>
          </w:tcPr>
          <w:p>
            <w:pPr>
              <w:pStyle w:val="Normal6a"/>
            </w:pPr>
            <w:r>
              <w:t>2.</w:t>
            </w:r>
            <w:r>
              <w:tab/>
            </w:r>
            <w:r>
              <w:t>Šio reglamento nesilaikymas, visų pirma neteisėtas 2 straipsnio 2 dalyje nurodytų slaptumo lygių informacijos, išskyrus viešo naudojimo informaciją, atskleidimas, turi būti tiriamas ir dėl jo darbuotojams gali tekti atsakomybė pagal Sutartis arba atitinkamas jų tarnybos taisykles</w:t>
            </w:r>
            <w:r>
              <w:rPr>
                <w:b/>
                <w:i/>
              </w:rPr>
              <w:t>, deramai paisant nuostatų dėl faktų, leidžiančių preziumuoti, kad esama galimos Sąjungos interesams kenkiančios neteisėtos veiklos, įskaitant sukčiavimą ar korupciją, arba su profesinių pareigų atlikimu susijusių veiksmų, kurie gali būti laikomi rimtu profesinių pareigų nevykdymu, atskleidimo ir deramai atsižvelgiant į asmenų, pranešančių apie Sąjungos teisės pažeidimus, apsaugą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Sąjungos institucijos ir įstaigos įvertina visą savo tvarkomą ir saugomą informaciją, kad galėtų ją suskirstyti į kategorijas laikydamosi 2 straipsnio 2 dalyje nurodytų slaptumo lygių.</w:t>
            </w:r>
          </w:p>
        </w:tc>
        <w:tc>
          <w:tcPr>
            <w:tcW w:w="4876" w:type="dxa"/>
          </w:tcPr>
          <w:p>
            <w:pPr>
              <w:pStyle w:val="Normal6a"/>
            </w:pPr>
            <w:r>
              <w:t>3.</w:t>
            </w:r>
            <w:r>
              <w:tab/>
            </w:r>
            <w:r>
              <w:rPr>
                <w:b/>
                <w:i/>
              </w:rPr>
              <w:t>Nedarant poveikio SESV 15 straipsniui,</w:t>
            </w:r>
            <w:r>
              <w:t xml:space="preserve"> Sąjungos institucijos ir įstaigos įvertina visą savo tvarkomą ir saugomą informaciją, kad galėtų ją suskirstyti į kategorijas laikydamosi 2 straipsnio 2 dalyje nurodytų slaptumo lygių.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4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vientisumą: informacija išsami, </w:t>
            </w:r>
            <w:r>
              <w:rPr>
                <w:b/>
                <w:i/>
              </w:rPr>
              <w:t>o</w:t>
            </w:r>
            <w:r>
              <w:t xml:space="preserve"> jos išsamumas nekinta;</w:t>
            </w:r>
          </w:p>
        </w:tc>
        <w:tc>
          <w:tcPr>
            <w:tcW w:w="4876" w:type="dxa"/>
          </w:tcPr>
          <w:p>
            <w:pPr>
              <w:pStyle w:val="Normal6a"/>
            </w:pPr>
            <w:r>
              <w:t>d)</w:t>
            </w:r>
            <w:r>
              <w:tab/>
            </w:r>
            <w:r>
              <w:t>vientisumą: informacija išsami, jos išsamumas nekinta</w:t>
            </w:r>
            <w:r>
              <w:rPr>
                <w:b/>
                <w:i/>
              </w:rPr>
              <w:t>, o techninė infrastruktūra, naudojama dalijantis informacija, yra apsaugota nuo bet kokio užsienio šalių kišimosi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6 dalies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w:t>
            </w:r>
          </w:p>
        </w:tc>
        <w:tc>
          <w:tcPr>
            <w:tcW w:w="4876" w:type="dxa"/>
          </w:tcPr>
          <w:p>
            <w:pPr>
              <w:pStyle w:val="Normal6a"/>
            </w:pPr>
            <w:r>
              <w:t xml:space="preserve">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 </w:t>
            </w:r>
            <w:r>
              <w:rPr>
                <w:b/>
                <w:i/>
              </w:rPr>
              <w:t>Sąjungos subjektai ne vėliau kaip per šešis mėnesius nuo šio reglamento įsigaliojimo dienos parengia ir įgyvendina veiksmingus ir tinkamus visiems asmenims, turintiems leidimą susipažinti su ESĮI, skirtus mokymo kursus, atitinkančius pagal 5 straipsnį nustatytą riziką.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riziką fizinių asmenų teisėms ir laisvėms;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veiklos tęstinumą </w:t>
            </w:r>
            <w:r>
              <w:rPr>
                <w:b/>
                <w:i/>
              </w:rPr>
              <w:t>ir</w:t>
            </w:r>
            <w:r>
              <w:t xml:space="preserve"> atkūrimą po ekstremaliųjų įvykių;</w:t>
            </w:r>
          </w:p>
        </w:tc>
        <w:tc>
          <w:tcPr>
            <w:tcW w:w="4876" w:type="dxa"/>
          </w:tcPr>
          <w:p>
            <w:pPr>
              <w:pStyle w:val="Normal6a"/>
            </w:pPr>
            <w:r>
              <w:t>f)</w:t>
            </w:r>
            <w:r>
              <w:tab/>
            </w:r>
            <w:r>
              <w:t>veiklos tęstinumą</w:t>
            </w:r>
            <w:r>
              <w:rPr>
                <w:b/>
                <w:i/>
              </w:rPr>
              <w:t>, krizių valdymą ir veiklos</w:t>
            </w:r>
            <w:r>
              <w:t xml:space="preserve"> atkūrimą po ekstremaliųjų įvykių;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1 dalies 2 a pastraipa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Paskirti Koordinavimo grupės nariai turi atspindėti tinkamą lyčių ir geografinę pusiausvyrą.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priima sprendimus dėl teminių pogrupių sudarymo, jų įgaliojimų ir posėdžių periodiškumo;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dalies e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stebi, kaip Sąjungos institucijos ir įstaigos laikosi šio reglamento ir pagal c punktą parengtų rekomendacinių dokumentų, priimdama metinę vertinimo ataskaitą, kuri apima atitinkamų pogrupių indėlį.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dalies e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stebi, kaip Sąjungos institucijos ir įstaigos laikosi šio reglamento ir pagal c punktą parengtų rekomendacinių dokumentų, priimdama metinę vertinimo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Koordinavimo grupėje </w:t>
            </w:r>
            <w:r>
              <w:rPr>
                <w:b/>
                <w:i/>
              </w:rPr>
              <w:t>ir, kai taikytina, teminiuose pogrupiuose</w:t>
            </w:r>
            <w:r>
              <w:t xml:space="preserve"> tinkamai atstovaujama kiekvienai Sąjungos institucijai </w:t>
            </w:r>
            <w:r>
              <w:rPr>
                <w:b/>
                <w:i/>
              </w:rPr>
              <w:t>arba</w:t>
            </w:r>
            <w:r>
              <w:t xml:space="preserve"> įstaigai.</w:t>
            </w:r>
          </w:p>
        </w:tc>
        <w:tc>
          <w:tcPr>
            <w:tcW w:w="4876" w:type="dxa"/>
          </w:tcPr>
          <w:p>
            <w:pPr>
              <w:pStyle w:val="Normal6a"/>
            </w:pPr>
            <w:r>
              <w:t>6.</w:t>
            </w:r>
            <w:r>
              <w:tab/>
            </w:r>
            <w:r>
              <w:t xml:space="preserve">Koordinavimo grupėje tinkamai atstovaujama kiekvienai Sąjungos institucijai </w:t>
            </w:r>
            <w:r>
              <w:rPr>
                <w:b/>
                <w:i/>
              </w:rPr>
              <w:t>ar</w:t>
            </w:r>
            <w:r>
              <w:t xml:space="preserve"> įstaigai. </w:t>
            </w:r>
            <w:r>
              <w:rPr>
                <w:b/>
                <w:i/>
              </w:rPr>
              <w:t>Visuose teminiuose pogrupiuose atstovaujama Parlamentui, Komisijai ir Tarybai,</w:t>
            </w:r>
            <w:r>
              <w:t xml:space="preserve"> </w:t>
            </w:r>
            <w:r>
              <w:rPr>
                <w:b/>
                <w:i/>
              </w:rPr>
              <w:t>o kitoms institucijoms ir įstaigoms, kai tikslinga;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7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Sąjungos institucijos ir įstaigos atkreipia Koordinavimo grupės dėmesį į visus reikšmingus savo organizacijos informacijos saugumo politikos pokyčius.</w:t>
            </w:r>
          </w:p>
        </w:tc>
        <w:tc>
          <w:tcPr>
            <w:tcW w:w="4876" w:type="dxa"/>
          </w:tcPr>
          <w:p>
            <w:pPr>
              <w:pStyle w:val="Normal6a"/>
            </w:pPr>
            <w:r>
              <w:t>7.</w:t>
            </w:r>
            <w:r>
              <w:tab/>
            </w:r>
            <w:r>
              <w:t xml:space="preserve">Sąjungos institucijos ir įstaigos </w:t>
            </w:r>
            <w:r>
              <w:rPr>
                <w:b/>
                <w:i/>
              </w:rPr>
              <w:t>nepagrįstai nedelsdamos</w:t>
            </w:r>
            <w:r>
              <w:t xml:space="preserve"> atkreipia Koordinavimo grupės dėmesį į visus reikšmingus savo organizacijos informacijos saugumo politikos pokyčius.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8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Koordinavimo grupei vykdyti 2 dalies e punkte nurodytas užduotis padeda Informacijos saugumo komitetas. Tą komitetą sudaro po vieną kiekvienos nacionalinės saugumo institucijos atstovą, o jam pirmininkauja 5 dalyje nurodytas Koordinavimo grupės sekretoriatas. Informacijos saugumo komitetas atlieka patariamąjį vaidmenį.</w:t>
            </w:r>
          </w:p>
        </w:tc>
        <w:tc>
          <w:tcPr>
            <w:tcW w:w="4876" w:type="dxa"/>
          </w:tcPr>
          <w:p>
            <w:pPr>
              <w:pStyle w:val="Normal6a"/>
            </w:pPr>
            <w:r>
              <w:t>8.</w:t>
            </w:r>
            <w:r>
              <w:tab/>
            </w:r>
            <w:r>
              <w:t xml:space="preserve">Koordinavimo grupei vykdyti 2 dalies e punkte nurodytas užduotis padeda Informacijos saugumo komitetas. Tą komitetą sudaro po vieną kiekvienos nacionalinės saugumo institucijos atstovą, o jam pirmininkauja 5 dalyje nurodytas Koordinavimo grupės sekretoriatas. </w:t>
            </w:r>
            <w:r>
              <w:rPr>
                <w:b/>
                <w:i/>
              </w:rPr>
              <w:t>Europos Parlamento atstovas dalyvauja kaip stebėtojas.</w:t>
            </w:r>
            <w:r>
              <w:t xml:space="preserve"> Informacijos saugumo komitetas atlieka patariamąjį vaidmenį.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1 dalies e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administracinių susitarimų su trečiosiomis valstybėmis ir tarptautinėmis organizacijomis pogrupį.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Kiekviena Sąjungos institucija ir įstaiga paskiria saugumo instituciją, kuri prisiima šiuo reglamentu </w:t>
            </w:r>
            <w:r>
              <w:rPr>
                <w:b/>
                <w:i/>
              </w:rPr>
              <w:t>ir, kai taikytina, jos vidaus saugumo taisyklėmis pavestas pareigas</w:t>
            </w:r>
            <w:r>
              <w:t>. Vykdydama savo užduotis, kiekviena saugumo institucija naudojasi departamento arba pareigūno, kuriems pavestos informacijos saugumo užduotys, pagalba.</w:t>
            </w:r>
          </w:p>
        </w:tc>
        <w:tc>
          <w:tcPr>
            <w:tcW w:w="4876" w:type="dxa"/>
          </w:tcPr>
          <w:p>
            <w:pPr>
              <w:pStyle w:val="Normal6a"/>
            </w:pPr>
            <w:r>
              <w:t>1.</w:t>
            </w:r>
            <w:r>
              <w:tab/>
            </w:r>
            <w:r>
              <w:t xml:space="preserve">Kiekviena Sąjungos institucija ir įstaiga paskiria saugumo instituciją, kuri prisiima šiuo reglamentu </w:t>
            </w:r>
            <w:r>
              <w:rPr>
                <w:b/>
                <w:i/>
              </w:rPr>
              <w:t>pavestas pareigas ir stebi, kaip kiekviena atitinkama Sąjungos institucija ar įstaiga laikosi Koordinavimo grupės priimtų rekomendacinių dokumentų, bei užtikrina, kad jų būtų laikomasi</w:t>
            </w:r>
            <w:r>
              <w:t>. Vykdydama savo užduotis, kiekviena saugumo institucija naudojasi departamento arba pareigūno, kuriems pavestos informacijos saugumo užduotys, pagalba.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informacijos šifravimą </w:t>
            </w:r>
            <w:r>
              <w:rPr>
                <w:b/>
                <w:i/>
              </w:rPr>
              <w:t>nenaudojimo ir perdavimo metu</w:t>
            </w:r>
            <w:r>
              <w:t>;</w:t>
            </w:r>
          </w:p>
        </w:tc>
        <w:tc>
          <w:tcPr>
            <w:tcW w:w="4876" w:type="dxa"/>
          </w:tcPr>
          <w:p>
            <w:pPr>
              <w:pStyle w:val="Normal6a"/>
            </w:pPr>
            <w:r>
              <w:t>d)</w:t>
            </w:r>
            <w:r>
              <w:tab/>
            </w:r>
            <w:r>
              <w:rPr>
                <w:b/>
                <w:i/>
              </w:rPr>
              <w:t>ištisinį</w:t>
            </w:r>
            <w:r>
              <w:t xml:space="preserve"> informacijos šifravimą </w:t>
            </w:r>
            <w:r>
              <w:rPr>
                <w:b/>
                <w:i/>
              </w:rPr>
              <w:t>visais atitinkamų procesų etapais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Sąjungos institucijos ir įstaigos 1 dalyje nurodytą informaciją gali žymėti žyma PUBLIC USE.</w:t>
            </w:r>
          </w:p>
        </w:tc>
        <w:tc>
          <w:tcPr>
            <w:tcW w:w="4876" w:type="dxa"/>
          </w:tcPr>
          <w:p>
            <w:pPr>
              <w:pStyle w:val="Normal6a"/>
            </w:pPr>
            <w:r>
              <w:t>2.</w:t>
            </w:r>
            <w:r>
              <w:tab/>
            </w:r>
            <w:r>
              <w:t xml:space="preserve">Sąjungos institucijos ir įstaigos 1 dalyje nurodytą informaciją gali žymėti žyma PUBLIC USE. </w:t>
            </w:r>
            <w:r>
              <w:rPr>
                <w:b/>
                <w:i/>
              </w:rPr>
              <w:t>Jei tokios žymos nėra, negalima preziumuoti, kad informacija galėtų būti įslaptinta.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Sąjungos institucijos ir įstaigos 1 dalyje nurodytą informaciją </w:t>
            </w:r>
            <w:r>
              <w:rPr>
                <w:b/>
                <w:i/>
              </w:rPr>
              <w:t>gali žymėti</w:t>
            </w:r>
            <w:r>
              <w:t xml:space="preserve"> žyma PUBLIC USE.</w:t>
            </w:r>
          </w:p>
        </w:tc>
        <w:tc>
          <w:tcPr>
            <w:tcW w:w="4876" w:type="dxa"/>
          </w:tcPr>
          <w:p>
            <w:pPr>
              <w:pStyle w:val="Normal6a"/>
            </w:pPr>
            <w:r>
              <w:t>2.</w:t>
            </w:r>
            <w:r>
              <w:tab/>
            </w:r>
            <w:r>
              <w:t xml:space="preserve">Sąjungos institucijos ir įstaigos 1 dalyje nurodytą informaciją </w:t>
            </w:r>
            <w:r>
              <w:rPr>
                <w:b/>
                <w:i/>
              </w:rPr>
              <w:t>žymi</w:t>
            </w:r>
            <w:r>
              <w:t xml:space="preserve"> žyma PUBLIC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Visos Sąjungos institucijos ir įstaigos tinkamomis priemonėmis, pagrįstomis jų saugumo poreikiais, užtikrina informacijos vientisumą ir prieinamumą viešo naudojimo reikmėms.</w:t>
            </w:r>
          </w:p>
        </w:tc>
        <w:tc>
          <w:tcPr>
            <w:tcW w:w="4876" w:type="dxa"/>
          </w:tcPr>
          <w:p>
            <w:pPr>
              <w:pStyle w:val="Normal6a"/>
            </w:pPr>
            <w:r>
              <w:t>3.</w:t>
            </w:r>
            <w:r>
              <w:tab/>
            </w:r>
            <w:r>
              <w:t xml:space="preserve">Visos Sąjungos institucijos ir įstaigos tinkamomis priemonėmis, pagrįstomis jų saugumo poreikiais, </w:t>
            </w:r>
            <w:r>
              <w:rPr>
                <w:b/>
                <w:i/>
              </w:rPr>
              <w:t>ir atsižvelgdamos į teisę į informaciją</w:t>
            </w:r>
            <w:r>
              <w:t xml:space="preserve"> užtikrina informacijos vientisumą ir prieinamumą viešo naudojimo reikmėms.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Įprasta informacija gali būti žymima vizualiai arba metaduomenimis, kai tai būtina jos saugumui užtikrinti, ypač kai ja dalijamasi už Sąjungos institucijų ir įstaigų ribų. Tokiu atveju naudojama žyma EU NORMAL arba „[Sąjungos institucijos arba įstaigos pavadinimas arba santrumpa] NORMAL“ (priklausomai nuo atvejo).</w:t>
            </w:r>
          </w:p>
        </w:tc>
        <w:tc>
          <w:tcPr>
            <w:tcW w:w="4876" w:type="dxa"/>
          </w:tcPr>
          <w:p>
            <w:pPr>
              <w:pStyle w:val="Normal6a"/>
            </w:pPr>
            <w:r>
              <w:t>2.</w:t>
            </w:r>
            <w:r>
              <w:tab/>
            </w:r>
            <w:r>
              <w:t xml:space="preserve">Įprasta informacija gali būti žymima vizualiai arba metaduomenimis, kai tai būtina jos saugumui užtikrinti, ypač kai ja dalijamasi už Sąjungos institucijų ir įstaigų ribų. Tokiu atveju naudojama žyma EU NORMAL arba „[Sąjungos institucijos arba įstaigos pavadinimas arba santrumpa] NORMAL“ (priklausomai nuo atvejo). </w:t>
            </w:r>
            <w:r>
              <w:rPr>
                <w:b/>
                <w:i/>
              </w:rPr>
              <w:t>Jei tokios žymos nėra, negalima preziumuoti, kad informacija galėtų būti įslaptinta.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Už Sąjungos institucijų ir įstaigų ribų įprasta informacija keičiamasi tik su fiziniais ar juridiniais asmenimis, kuriems būtina su ja susipažinti.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Už Sąjungos institucijų ir įstaigų ribų įprasta informacija keičiamasi tik su fiziniais ar juridiniais asmenimis, kuriems būtina su ja susipažinti.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Sąjungos institucijos ir įstaigos visą informaciją, kuri nėra įslaptinta, tačiau kurią jos privalo apsaugoti vykdydamos teisines pareigas arba nuo žalos, kuri dėl neteisėto jos atskleidimo gali būti padaryta teisėtiems </w:t>
            </w:r>
            <w:r>
              <w:rPr>
                <w:b/>
                <w:i/>
              </w:rPr>
              <w:t>privatiesiems ir</w:t>
            </w:r>
            <w:r>
              <w:t xml:space="preserve"> viešiesiems interesams, įskaitant Sąjungos institucijų ir įstaigų</w:t>
            </w:r>
            <w:r>
              <w:rPr>
                <w:b/>
                <w:i/>
              </w:rPr>
              <w:t>,</w:t>
            </w:r>
            <w:r>
              <w:t xml:space="preserve"> valstybių narių </w:t>
            </w:r>
            <w:r>
              <w:rPr>
                <w:b/>
                <w:i/>
              </w:rPr>
              <w:t>ar asmenų</w:t>
            </w:r>
            <w:r>
              <w:t xml:space="preserve"> interesus, suskirsto į kategorijas, tvarko ir saugo kaip neskelbtiną neįslaptintą informaciją.</w:t>
            </w:r>
          </w:p>
        </w:tc>
        <w:tc>
          <w:tcPr>
            <w:tcW w:w="4876" w:type="dxa"/>
          </w:tcPr>
          <w:p>
            <w:pPr>
              <w:pStyle w:val="Normal6a"/>
            </w:pPr>
            <w:r>
              <w:t>1.</w:t>
            </w:r>
            <w:r>
              <w:tab/>
            </w:r>
            <w:r>
              <w:t xml:space="preserve">Sąjungos institucijos ir įstaigos visą informaciją, kuri nėra įslaptinta, tačiau kurią jos privalo apsaugoti vykdydamos teisines pareigas arba nuo žalos, kuri dėl neteisėto jos atskleidimo gali būti padaryta teisėtiems viešiesiems interesams, įskaitant Sąjungos institucijų ir įstaigų </w:t>
            </w:r>
            <w:r>
              <w:rPr>
                <w:b/>
                <w:i/>
              </w:rPr>
              <w:t>arba</w:t>
            </w:r>
            <w:r>
              <w:t xml:space="preserve"> valstybių narių interesus, suskirsto į kategorijas, tvarko ir saugo kaip neskelbtiną neįslaptintą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Už Sąjungos institucijų ir įstaigų ribų neskelbtina neįslaptinta informacija keičiamasi tik su fiziniais ar juridiniais asmenimis, kuriems būtina su ja susipažinti, laikantis kartu su informacija pateiktų tvarkymo nurodymų. Apie atitinkamus tvarkymo nurodymus informuojamos visos susijusios šalys.</w:t>
            </w:r>
          </w:p>
        </w:tc>
        <w:tc>
          <w:tcPr>
            <w:tcW w:w="4876" w:type="dxa"/>
          </w:tcPr>
          <w:p>
            <w:pPr>
              <w:pStyle w:val="Normal6a"/>
            </w:pPr>
            <w:r>
              <w:t>4.</w:t>
            </w:r>
            <w:r>
              <w:tab/>
            </w:r>
            <w:r>
              <w:t xml:space="preserve">Už Sąjungos institucijų ir įstaigų ribų neskelbtina neįslaptinta informacija keičiamasi tik su fiziniais ar juridiniais asmenimis, kuriems būtina su ja susipažinti, laikantis kartu su informacija pateiktų tvarkymo nurodymų </w:t>
            </w:r>
            <w:r>
              <w:rPr>
                <w:b/>
                <w:i/>
              </w:rPr>
              <w:t>ir reikalavimų, susijusių su teisine apsauga, kuri gali būti taikoma pagal 1 dalį</w:t>
            </w:r>
            <w:r>
              <w:t>. Apie atitinkamus tvarkymo nurodymus informuojamos visos susijusios šalys.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Sąjungos institucijos ir įstaigos nustato pranešimo apie bet kokį incidentą arba įtariamą incidentą, dėl kurio gali kilti pavojus neįslaptintos informacijos saugumui, ir jo valdymo procedūras.</w:t>
            </w:r>
          </w:p>
        </w:tc>
        <w:tc>
          <w:tcPr>
            <w:tcW w:w="4876" w:type="dxa"/>
          </w:tcPr>
          <w:p>
            <w:pPr>
              <w:pStyle w:val="Normal6a"/>
            </w:pPr>
            <w:r>
              <w:t>1.</w:t>
            </w:r>
            <w:r>
              <w:tab/>
            </w:r>
            <w:r>
              <w:t xml:space="preserve">Sąjungos institucijos ir įstaigos nustato </w:t>
            </w:r>
            <w:r>
              <w:rPr>
                <w:b/>
                <w:i/>
              </w:rPr>
              <w:t>vienodas</w:t>
            </w:r>
            <w:r>
              <w:t xml:space="preserve"> pranešimo apie bet kokį incidentą arba įtariamą incidentą, dėl kurio gali kilti pavojus neįslaptintos informacijos saugumui, ir jo valdymo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Prireikus Sąjungos institucijos ir įstaigos naudoja 12, 13 ir 14 straipsniuose numatytas žymas. </w:t>
            </w:r>
            <w:r>
              <w:rPr>
                <w:b/>
                <w:i/>
              </w:rPr>
              <w:t>Išimtiniais atvejais, kai visos šalys sutinka, viduje ir kitų konkrečių Sąjungos institucijų ir įstaigų arba valstybių narių partnerių atžvilgiu gali būti naudojamos kitos lygiavertės žymos.</w:t>
            </w:r>
            <w:r>
              <w:t xml:space="preserve"> </w:t>
            </w:r>
            <w:r>
              <w:rPr>
                <w:b/>
                <w:i/>
              </w:rPr>
              <w:t>Apie tokią išimtį pranešama 7 straipsnio 1 dalies b punkte nurodytam neįslaptintos informacijos pogrupiui.</w:t>
            </w:r>
          </w:p>
        </w:tc>
        <w:tc>
          <w:tcPr>
            <w:tcW w:w="4876" w:type="dxa"/>
          </w:tcPr>
          <w:p>
            <w:pPr>
              <w:pStyle w:val="Normal6a"/>
            </w:pPr>
            <w:r>
              <w:t>2.</w:t>
            </w:r>
            <w:r>
              <w:tab/>
            </w:r>
            <w:r>
              <w:t>Prireikus Sąjungos institucijos ir įstaigos naudoja 12, 13 ir 14 straipsniuose numatytas žymas.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dalies e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stebėti, kaip Sąjungos institucijos ir įstaigos laikosi atitinkamų šio reglamento nuostatų ir Koordinavimo grupės priimtų rekomendacinių dokumentų.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informacija ir medžiaga, kurios neteisėtas atskleidimas galėtų būti nepalankus Sąjungos arba vienos ar kelių valstybių narių interesams.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Koordinavimo grupė priima rekomendacinius dokumentus dėl ESĮI rengimo ir įslaptinimo.</w:t>
            </w:r>
          </w:p>
        </w:tc>
        <w:tc>
          <w:tcPr>
            <w:tcW w:w="4876" w:type="dxa"/>
          </w:tcPr>
          <w:p>
            <w:pPr>
              <w:pStyle w:val="Normal6a"/>
            </w:pPr>
            <w:r>
              <w:t>2.</w:t>
            </w:r>
            <w:r>
              <w:tab/>
            </w:r>
            <w:r>
              <w:t xml:space="preserve">Koordinavimo grupė priima rekomendacinius dokumentus dėl ESĮI rengimo ir įslaptinimo. </w:t>
            </w:r>
            <w:r>
              <w:rPr>
                <w:b/>
                <w:i/>
              </w:rPr>
              <w:t>Tokiuose dokumentuose atsižvelgiama tiek į įslaptintos informacijos naudojimo mažinimo principą, tiek į tam tikrų dokumentų perteklinio įslaptinimo riziką, ir į juos įtraukiamos informacijos ir medžiagos įslaptinimo vertinimo ir pagrindimo taisyklės, kuriomis siekiama padidinti skaidrumą ir išvengti nepagrįsto susaistymo poveikio.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Kilus abejonių dėl tam tikros informacijos konfidencialumo ar slaptumo žymos lygio arba kilus nesutarimams tarp ES institucijų, institucijos nedelsdamos ir prieš perduodamos šią informaciją konsultuojasi tarpusavyje.</w:t>
            </w:r>
            <w:r>
              <w:t xml:space="preserve"> </w:t>
            </w:r>
            <w:r>
              <w:rPr>
                <w:b/>
                <w:i/>
              </w:rPr>
              <w:t>Šiose konsultacijose institucijoms atstovauja atitinkamo organo pirmininkas arba už saugumo klausimus atsakingas asmuo.</w:t>
            </w:r>
            <w:r>
              <w:t xml:space="preserve"> </w:t>
            </w:r>
            <w:r>
              <w:rPr>
                <w:b/>
                <w:i/>
              </w:rPr>
              <w:t>Jei nepavyksta susitarti, klausimas perduodamas institucijų pirmininkams, kad jie galėtų išspręsti ginčą.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Šiuo straipsniu nedaromas poveikis Reglamentui (EB) Nr.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Saugumo pažeidimu laikomas Sąjungos institucijos arba įstaigos ar asmens veiksmas ar neveikimas, kuriuo pažeidžiamas šis reglamentas.</w:t>
            </w:r>
          </w:p>
        </w:tc>
        <w:tc>
          <w:tcPr>
            <w:tcW w:w="4876" w:type="dxa"/>
          </w:tcPr>
          <w:p>
            <w:pPr>
              <w:pStyle w:val="Normal6a"/>
            </w:pPr>
            <w:r>
              <w:t>1.</w:t>
            </w:r>
            <w:r>
              <w:tab/>
            </w:r>
            <w:r>
              <w:t xml:space="preserve">Saugumo pažeidimu laikomas </w:t>
            </w:r>
            <w:r>
              <w:rPr>
                <w:b/>
                <w:i/>
              </w:rPr>
              <w:t>bet koks</w:t>
            </w:r>
            <w:r>
              <w:t xml:space="preserve"> Sąjungos institucijos arba įstaigos ar asmens veiksmas ar neveikimas, kuriuo pažeidžiamas šis reglamentas.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informuoja įslaptintos informacijos rengėją;</w:t>
            </w:r>
          </w:p>
        </w:tc>
        <w:tc>
          <w:tcPr>
            <w:tcW w:w="4876" w:type="dxa"/>
          </w:tcPr>
          <w:p>
            <w:pPr>
              <w:pStyle w:val="Normal6a"/>
            </w:pPr>
            <w:r>
              <w:t>a)</w:t>
            </w:r>
            <w:r>
              <w:tab/>
            </w:r>
            <w:r>
              <w:rPr>
                <w:b/>
                <w:i/>
              </w:rPr>
              <w:t>nepagrįstai nedelsdama ir bet kuriuo atveju ne vėliau kaip per tris dienas po to, kai saugumo institucija informuojama apie pažeidimą,</w:t>
            </w:r>
            <w:r>
              <w:t xml:space="preserve"> informuoja įslaptintos informacijos rengėją;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užtikrina, kad siekiant nustatyti faktus tokį atvejį </w:t>
            </w:r>
            <w:r>
              <w:rPr>
                <w:b/>
                <w:i/>
              </w:rPr>
              <w:t>nagrinėtų</w:t>
            </w:r>
            <w:r>
              <w:t xml:space="preserve"> su pažeidimu tiesiogiai nesusijęs personalas;</w:t>
            </w:r>
          </w:p>
        </w:tc>
        <w:tc>
          <w:tcPr>
            <w:tcW w:w="4876" w:type="dxa"/>
          </w:tcPr>
          <w:p>
            <w:pPr>
              <w:pStyle w:val="Normal6a"/>
            </w:pPr>
            <w:r>
              <w:t>b)</w:t>
            </w:r>
            <w:r>
              <w:tab/>
            </w:r>
            <w:r>
              <w:t xml:space="preserve">užtikrina, kad siekiant nustatyti faktus tokį atvejį </w:t>
            </w:r>
            <w:r>
              <w:rPr>
                <w:b/>
                <w:i/>
              </w:rPr>
              <w:t>kruopščiai išnagrinėtų</w:t>
            </w:r>
            <w:r>
              <w:t xml:space="preserve"> su pažeidimu tiesiogiai nesusijęs personalas;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e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praneša kompetentingoms institucijoms apie faktinį ar įtariamą neteisėtą informacijos atskleidimą ir veiksmus, kurių imtasi</w:t>
            </w:r>
            <w:r>
              <w:rPr>
                <w:b/>
                <w:i/>
              </w:rPr>
              <w:t>.</w:t>
            </w:r>
          </w:p>
        </w:tc>
        <w:tc>
          <w:tcPr>
            <w:tcW w:w="4876" w:type="dxa"/>
          </w:tcPr>
          <w:p>
            <w:pPr>
              <w:pStyle w:val="Normal6a"/>
            </w:pPr>
            <w:r>
              <w:t>e)</w:t>
            </w:r>
            <w:r>
              <w:tab/>
            </w:r>
            <w:r>
              <w:rPr>
                <w:b/>
                <w:i/>
              </w:rPr>
              <w:t>nepagrįstai nedelsdama ir bet kuriuo atveju ne vėliau kaip per tris dienas po to, kai saugumo institucija informuojama apie pažeidimą,</w:t>
            </w:r>
            <w:r>
              <w:t xml:space="preserve"> praneša kompetentingoms institucijoms apie faktinį ar įtariamą neteisėtą informacijos atskleidimą ir veiksmus, kurių imtasi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Sąjungos institucijos ir įstaigos atsižvelgia į asmens lojalumą ir patikimumą, nustatytą </w:t>
            </w:r>
            <w:r>
              <w:rPr>
                <w:b/>
                <w:i/>
              </w:rPr>
              <w:t>valstybės narės, kurios pilietis yra prašytojas, kompetentingoms institucijoms</w:t>
            </w:r>
            <w:r>
              <w:t xml:space="preserve"> atlikus jo patikimumo patikrinimą.</w:t>
            </w:r>
          </w:p>
        </w:tc>
        <w:tc>
          <w:tcPr>
            <w:tcW w:w="4876" w:type="dxa"/>
          </w:tcPr>
          <w:p>
            <w:pPr>
              <w:pStyle w:val="Normal6a"/>
            </w:pPr>
            <w:r>
              <w:t>2.</w:t>
            </w:r>
            <w:r>
              <w:tab/>
            </w:r>
            <w:r>
              <w:t xml:space="preserve">Sąjungos institucijos ir įstaigos atsižvelgia į asmens lojalumą ir patikimumą, nustatytą </w:t>
            </w:r>
            <w:r>
              <w:rPr>
                <w:b/>
                <w:i/>
              </w:rPr>
              <w:t>Komisijos kompetentingoms institucijoms, bendradarbiaujant su atitinkamos valstybės narės kompetetingomis institucijomis,</w:t>
            </w:r>
            <w:r>
              <w:t xml:space="preserve"> atlikus jo patikimumo patikrinimą. </w:t>
            </w:r>
            <w:r>
              <w:rPr>
                <w:b/>
                <w:i/>
              </w:rPr>
              <w:t>Komisija taip pat gali bendradarbiauti su trečiosiomis valstybėmis ir tarptautinėmis organizacijomis, su kuriomis Sąjunga yra sudariusi susitarimus dėl informacijos saugumo.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Sąjungos institucijos ir įstaigos gali pripažinti trečiųjų valstybių ir tarptautinių organizacijų, su kuriomis Sąjunga yra sudariusi susitarimą dėl informacijos saugumo, patikimumo pažymėjimus.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Sąjungos institucijos ir įstaigos gali pripažinti trečiųjų valstybių ir tarptautinių organizacijų, su kuriomis Sąjunga yra sudariusi </w:t>
            </w:r>
            <w:r>
              <w:rPr>
                <w:b/>
                <w:i/>
              </w:rPr>
              <w:t>susitarimą</w:t>
            </w:r>
            <w:r>
              <w:t xml:space="preserve"> dėl informacijos saugumo, patikimumo pažymėjimus.</w:t>
            </w:r>
          </w:p>
        </w:tc>
        <w:tc>
          <w:tcPr>
            <w:tcW w:w="4876" w:type="dxa"/>
          </w:tcPr>
          <w:p>
            <w:pPr>
              <w:pStyle w:val="Normal6a"/>
            </w:pPr>
            <w:r>
              <w:t>3.</w:t>
            </w:r>
            <w:r>
              <w:tab/>
            </w:r>
            <w:r>
              <w:t xml:space="preserve">Sąjungos institucijos ir įstaigos gali pripažinti trečiųjų valstybių ir tarptautinių organizacijų, su kuriomis Sąjunga yra sudariusi </w:t>
            </w:r>
            <w:r>
              <w:rPr>
                <w:b/>
                <w:i/>
              </w:rPr>
              <w:t>susitarimus</w:t>
            </w:r>
            <w:r>
              <w:t xml:space="preserve"> dėl informacijos saugumo, patikimumo pažymėjimus. </w:t>
            </w:r>
            <w:r>
              <w:rPr>
                <w:b/>
                <w:i/>
              </w:rPr>
              <w:t>Jos bet kuriuo atveju užtikrina, kad būtų laikomasi 1 ir 2 dalyse nustatytų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4 dalies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Kai sudaromas susitarimas dėl paslaugų lygio, Komisijos saugumo institucija yra atitinkamos Sąjungos institucijos ir įstaigos saugumo tarnybų ir valstybių narių nacionalinių kompetentingų institucijų kontaktinis asmuo patikimumo patikrinimo klausimais.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Išskirtinėmis aplinkybėmis, kai tai tinkamai pagrindžiama tarnybos interesais ir kai laukiama išsamaus patikimumo patikrinimo pabaigos, Sąjungos institucijos arba įstaigos saugumo institucija, nepažeisdama leidimo susipažinti su ESĮI atnaujinimo nuostatų </w:t>
            </w:r>
            <w:r>
              <w:rPr>
                <w:b/>
                <w:i/>
              </w:rPr>
              <w:t>ir atsižvelgdama į atitinkamos nacionalinės saugumo institucijos atliktą patikrą</w:t>
            </w:r>
            <w:r>
              <w:t>, gali išduoti asmenims laikiną leidimą susipažinti su ESĮI konkrečioms pareigoms atlikti.</w:t>
            </w:r>
          </w:p>
        </w:tc>
        <w:tc>
          <w:tcPr>
            <w:tcW w:w="4876" w:type="dxa"/>
          </w:tcPr>
          <w:p>
            <w:pPr>
              <w:pStyle w:val="Normal6a"/>
            </w:pPr>
            <w:r>
              <w:t>4.</w:t>
            </w:r>
            <w:r>
              <w:tab/>
            </w:r>
            <w:r>
              <w:t>Išskirtinėmis aplinkybėmis, kai tai tinkamai pagrindžiama tarnybos interesais ir kai laukiama išsamaus patikimumo patikrinimo pabaigos, Sąjungos institucijos arba įstaigos saugumo institucija, nepažeisdama leidimo susipažinti su ESĮI atnaujinimo nuostatų, gali išduoti asmenims laikiną leidimą susipažinti su ESĮI konkrečioms pareigoms atlikti.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Jei leidimo susipažinti su ESĮI turėtojas pradeda dirbti kitoje Sąjungos institucijoje arba įstaigoje, ta Sąjungos institucija arba įstaiga per kompetentingą saugumo instituciją praneša atitinkamai NSI apie darbdavio pasikeitimą.</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Jei leidimo susipažinti su ESĮI turėtojas pradeda dirbti kitoje Sąjungos institucijoje arba įstaigoje, ta Sąjungos institucija arba įstaiga per kompetentingą saugumo instituciją praneša atitinkamai NSI apie darbdavio pasikeitimą.</w:t>
            </w:r>
          </w:p>
        </w:tc>
        <w:tc>
          <w:tcPr>
            <w:tcW w:w="4876" w:type="dxa"/>
          </w:tcPr>
          <w:p>
            <w:pPr>
              <w:pStyle w:val="Normal6a"/>
            </w:pPr>
            <w:r>
              <w:t>3.</w:t>
            </w:r>
            <w:r>
              <w:tab/>
            </w:r>
            <w:r>
              <w:t xml:space="preserve">Jei leidimo susipažinti su ESĮI turėtojas pradeda dirbti kitoje Sąjungos institucijoje arba įstaigoje, ta Sąjungos institucija arba įstaiga </w:t>
            </w:r>
            <w:r>
              <w:rPr>
                <w:b/>
                <w:i/>
              </w:rPr>
              <w:t>nepagrįstai nedelsdama</w:t>
            </w:r>
            <w:r>
              <w:t xml:space="preserve"> per kompetentingą saugumo instituciją praneša atitinkamai NSI apie darbdavio pasikeitimą.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d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stebėti, kaip Sąjungos institucijos ir įstaigos laikosi atitinkamų šio reglamento nuostatų ir Koordinavimo grupės priimtų rekomendacinių dokumentų.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Sąjungos institucija ir įstaiga, kuri yra ESĮI rengėja, ją parengusi, nustato tos informacijos slaptumo žymą pagal 18 straipsnio 1 dalį.</w:t>
            </w:r>
          </w:p>
        </w:tc>
        <w:tc>
          <w:tcPr>
            <w:tcW w:w="4876" w:type="dxa"/>
          </w:tcPr>
          <w:p>
            <w:pPr>
              <w:pStyle w:val="Normal6a"/>
            </w:pPr>
            <w:r>
              <w:t>2.</w:t>
            </w:r>
            <w:r>
              <w:tab/>
            </w:r>
            <w:r>
              <w:t xml:space="preserve">Sąjungos institucija ir įstaiga, kuri yra ESĮI rengėja, ją parengusi, nustato </w:t>
            </w:r>
            <w:r>
              <w:rPr>
                <w:b/>
                <w:i/>
              </w:rPr>
              <w:t>pradinę</w:t>
            </w:r>
            <w:r>
              <w:t xml:space="preserve"> tos informacijos slaptumo žymą pagal 18 straipsnio 1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straipsnio 1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kiekvienas puslapis aiškiai pažymimas tam tikro lygio slaptumo žyma;</w:t>
            </w:r>
          </w:p>
        </w:tc>
        <w:tc>
          <w:tcPr>
            <w:tcW w:w="4876" w:type="dxa"/>
          </w:tcPr>
          <w:p>
            <w:pPr>
              <w:pStyle w:val="Normal6a"/>
            </w:pPr>
            <w:r>
              <w:t>a)</w:t>
            </w:r>
            <w:r>
              <w:tab/>
            </w:r>
            <w:r>
              <w:t xml:space="preserve">kiekvienas puslapis aiškiai pažymimas tam tikro lygio slaptumo žyma </w:t>
            </w:r>
            <w:r>
              <w:rPr>
                <w:b/>
                <w:i/>
              </w:rPr>
              <w:t>ir jame nurodoma slaptumo žymos galiojimo trukmė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Rengėjo </w:t>
            </w:r>
            <w:r>
              <w:rPr>
                <w:b/>
                <w:i/>
              </w:rPr>
              <w:t>vykdoma kontrolė</w:t>
            </w:r>
          </w:p>
        </w:tc>
        <w:tc>
          <w:tcPr>
            <w:tcW w:w="4876" w:type="dxa"/>
          </w:tcPr>
          <w:p>
            <w:pPr>
              <w:pStyle w:val="Normal6a"/>
            </w:pPr>
            <w:r>
              <w:t xml:space="preserve">Rengėjo </w:t>
            </w:r>
            <w:r>
              <w:rPr>
                <w:b/>
                <w:i/>
              </w:rPr>
              <w:t>sutikimas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Sąjungos institucija arba įstaiga, kurios atsakomybe rengiamas ESĮI dokumentas, atlieka to dokumento </w:t>
            </w:r>
            <w:r>
              <w:rPr>
                <w:b/>
                <w:i/>
              </w:rPr>
              <w:t>rengėjo kontrolę</w:t>
            </w:r>
            <w:r>
              <w:t>. Rengėjas nustato dokumento slaptumo žymos lygį ir atsako už jo pirminį platinimą. Nedarant poveikio Reglamentui 1049/2001, išankstinis raštiškas rengėjo sutikimas gaunamas prieš informaciją:</w:t>
            </w:r>
          </w:p>
        </w:tc>
        <w:tc>
          <w:tcPr>
            <w:tcW w:w="4876" w:type="dxa"/>
          </w:tcPr>
          <w:p>
            <w:pPr>
              <w:pStyle w:val="Normal6a"/>
            </w:pPr>
            <w:r>
              <w:t>1.</w:t>
            </w:r>
            <w:r>
              <w:tab/>
            </w:r>
            <w:r>
              <w:t xml:space="preserve">Sąjungos institucija arba įstaiga, kurios atsakomybe rengiamas ESĮI dokumentas, atlieka to dokumento </w:t>
            </w:r>
            <w:r>
              <w:rPr>
                <w:b/>
                <w:i/>
              </w:rPr>
              <w:t>kontrolę kaip rengėjas</w:t>
            </w:r>
            <w:r>
              <w:t>. Rengėjas nustato dokumento slaptumo žymos lygį ir atsako už jo pirminį platinimą</w:t>
            </w:r>
            <w:r>
              <w:rPr>
                <w:b/>
                <w:i/>
              </w:rPr>
              <w:t>.</w:t>
            </w:r>
            <w:r>
              <w:t xml:space="preserve"> </w:t>
            </w:r>
            <w:r>
              <w:rPr>
                <w:b/>
                <w:i/>
              </w:rPr>
              <w:t>Rengėjas gali konsultuotis su numatomais gavėjais dėl ESĮI dokumento slaptumo žymos lygio, visų pirma kilus abejonių dėl informacijos konfidencialumo ir jo tinkamo slaptumo lygio, ir siekdamas užkirsti kelią pertekliniam tokių dokumentų įslaptinimui.</w:t>
            </w:r>
            <w:r>
              <w:t xml:space="preserve"> </w:t>
            </w:r>
            <w:r>
              <w:rPr>
                <w:b/>
                <w:i/>
              </w:rPr>
              <w:t>Pirminio ESĮI dokumento platinimo tikslais rengėjas atsižvelgia į informacijos gavėjų teises ir pareigas, numatytas Sutartyse</w:t>
            </w:r>
            <w:r>
              <w:t>. Nedarant poveikio Reglamentui 1049/2001, išankstinis raštiškas rengėjo sutikimas gaunamas prieš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Sąjungos institucija arba įstaiga, kurios atsakomybe rengiamas ESĮI dokumentas, </w:t>
            </w:r>
            <w:r>
              <w:rPr>
                <w:b/>
                <w:i/>
              </w:rPr>
              <w:t>atlieka</w:t>
            </w:r>
            <w:r>
              <w:t xml:space="preserve"> to dokumento </w:t>
            </w:r>
            <w:r>
              <w:rPr>
                <w:b/>
                <w:i/>
              </w:rPr>
              <w:t>rengėjo kontrolę</w:t>
            </w:r>
            <w:r>
              <w:t xml:space="preserve">. Rengėjas nustato dokumento slaptumo žymos lygį ir atsako už jo pirminį platinimą. </w:t>
            </w:r>
            <w:r>
              <w:rPr>
                <w:b/>
                <w:i/>
              </w:rPr>
              <w:t>Nedarant poveikio Reglamentui 1049/2001</w:t>
            </w:r>
            <w:r>
              <w:t>, išankstinis raštiškas rengėjo sutikimas gaunamas prieš informaciją:</w:t>
            </w:r>
          </w:p>
        </w:tc>
        <w:tc>
          <w:tcPr>
            <w:tcW w:w="4876" w:type="dxa"/>
          </w:tcPr>
          <w:p>
            <w:pPr>
              <w:pStyle w:val="Normal6a"/>
            </w:pPr>
            <w:r>
              <w:t>1.</w:t>
            </w:r>
            <w:r>
              <w:tab/>
            </w:r>
            <w:r>
              <w:t xml:space="preserve">Sąjungos institucija arba įstaiga, kurios atsakomybe rengiamas </w:t>
            </w:r>
            <w:r>
              <w:rPr>
                <w:b/>
                <w:i/>
              </w:rPr>
              <w:t>CONFIDENTIEL UE/EU-CONFIDENTIAL arba aukštesnio lygio slaptumo žyma pažymėtas</w:t>
            </w:r>
            <w:r>
              <w:t xml:space="preserve"> ESĮI dokumentas, </w:t>
            </w:r>
            <w:r>
              <w:rPr>
                <w:b/>
                <w:i/>
              </w:rPr>
              <w:t>dėl</w:t>
            </w:r>
            <w:r>
              <w:t xml:space="preserve"> to dokumento </w:t>
            </w:r>
            <w:r>
              <w:rPr>
                <w:b/>
                <w:i/>
              </w:rPr>
              <w:t>turi sutikimo teisę kaip rengėjas</w:t>
            </w:r>
            <w:r>
              <w:t xml:space="preserve">. Rengėjas nustato </w:t>
            </w:r>
            <w:r>
              <w:rPr>
                <w:b/>
                <w:i/>
              </w:rPr>
              <w:t>pradinį</w:t>
            </w:r>
            <w:r>
              <w:t xml:space="preserve"> dokumento slaptumo žymos lygį ir atsako už jo pirminį platinimą. </w:t>
            </w:r>
            <w:r>
              <w:rPr>
                <w:b/>
                <w:i/>
              </w:rPr>
              <w:t>Jei tai būtina siekiant apsaugoti Europos Sąjungos arba vienos ar kelių jos valstybių narių esminius interesus visuomenės saugumo, gynybos ir karinių reikalų, tarptautinių santykių arba finansų, pinigų ar ekonominės politikos srityse</w:t>
            </w:r>
            <w:r>
              <w:t>, išankstinis raštiškas rengėjo sutikimas gaunamas prieš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kopijuojant ir verčiant, jei slaptumo žymos lygis yra TRES SECRET-UE/EU-TOP SECRET.</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Jei ESĮI dokumento rengėjo neįmanoma nustatyti, tą įslaptintą informaciją turinti Sąjungos institucija arba įstaiga </w:t>
            </w:r>
            <w:r>
              <w:rPr>
                <w:b/>
                <w:i/>
              </w:rPr>
              <w:t>atlieka rengėjo kontrolę</w:t>
            </w:r>
            <w:r>
              <w:t>.</w:t>
            </w:r>
          </w:p>
        </w:tc>
        <w:tc>
          <w:tcPr>
            <w:tcW w:w="4876" w:type="dxa"/>
          </w:tcPr>
          <w:p>
            <w:pPr>
              <w:pStyle w:val="Normal6a"/>
            </w:pPr>
            <w:r>
              <w:t>2.</w:t>
            </w:r>
            <w:r>
              <w:tab/>
            </w:r>
            <w:r>
              <w:t xml:space="preserve">Jei ESĮI dokumento rengėjo neįmanoma nustatyti, tą įslaptintą informaciją turinti Sąjungos institucija arba įstaiga </w:t>
            </w:r>
            <w:r>
              <w:rPr>
                <w:b/>
                <w:i/>
              </w:rPr>
              <w:t>duoda sutikimą kaip rengėjas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Informacija lieka įslaptinta tik tol, kol ją būtina apsaugoti. ESĮI, kuriai nebereikia pirminės slaptumo žymos, slaptumo lygis sumažinamas iki žemesnio lygio. ESĮI, kurios nebereikia laikyti įslaptinta, išslaptinama.</w:t>
            </w:r>
          </w:p>
        </w:tc>
        <w:tc>
          <w:tcPr>
            <w:tcW w:w="4876" w:type="dxa"/>
          </w:tcPr>
          <w:p>
            <w:pPr>
              <w:pStyle w:val="Normal6a"/>
            </w:pPr>
            <w:r>
              <w:t>1.</w:t>
            </w:r>
            <w:r>
              <w:tab/>
            </w:r>
            <w:r>
              <w:t xml:space="preserve">Informacija lieka įslaptinta tik tol, kol ją būtina apsaugoti. ESĮI, kuriai nebereikia pirminės slaptumo žymos, slaptumo lygis sumažinamas iki žemesnio lygio. ESĮI, kurios nebereikia laikyti įslaptinta, išslaptinama. </w:t>
            </w:r>
            <w:r>
              <w:rPr>
                <w:b/>
                <w:i/>
              </w:rPr>
              <w:t>Bet kuris slaptumo lygis peržiūrimas ne vėliau kaip per vienus metus nuo dokumento parengimo, o vėliau – kiekvienais metais.</w:t>
            </w:r>
            <w:r>
              <w:t xml:space="preserve"> </w:t>
            </w:r>
            <w:r>
              <w:rPr>
                <w:b/>
                <w:i/>
              </w:rPr>
              <w:t>Dokumentų, susijusių su vykstančiu teisėkūros procesu, atveju ši peržiūra atliekama ne vėliau kaip per du mėnesius nuo dokumento parengimo, o vėliau – kas du mėnesius.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ESĮI</w:t>
            </w:r>
            <w:r>
              <w:t xml:space="preserve"> rengėjas, </w:t>
            </w:r>
            <w:r>
              <w:rPr>
                <w:b/>
                <w:i/>
              </w:rPr>
              <w:t>kai įmanoma,</w:t>
            </w:r>
            <w:r>
              <w:t xml:space="preserve"> rengdamas ESĮI</w:t>
            </w:r>
            <w:r>
              <w:rPr>
                <w:b/>
                <w:i/>
              </w:rPr>
              <w:t>, ypač RESTREINT UE/EU RESTRICTED slaptumo žyma žymimą informaciją</w:t>
            </w:r>
            <w:r>
              <w:t>, nurodo, ar tam tikrą dieną arba po tam tikro įvykio galima sumažinti ESĮI slaptumo lygį arba ją išslaptinti.</w:t>
            </w:r>
          </w:p>
        </w:tc>
        <w:tc>
          <w:tcPr>
            <w:tcW w:w="4876" w:type="dxa"/>
          </w:tcPr>
          <w:p>
            <w:pPr>
              <w:pStyle w:val="Normal6a"/>
            </w:pPr>
            <w:r>
              <w:t>2.</w:t>
            </w:r>
            <w:r>
              <w:tab/>
            </w:r>
            <w:r>
              <w:rPr>
                <w:b/>
                <w:i/>
              </w:rPr>
              <w:t>Įslaptintos informacijos</w:t>
            </w:r>
            <w:r>
              <w:t xml:space="preserve"> rengėjas, rengdamas ESĮI, nurodo, ar tam tikrą dieną arba po tam tikro įvykio galima sumažinti ESĮI slaptumo lygį arba ją išslaptinti.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ESĮI</w:t>
            </w:r>
            <w:r>
              <w:t xml:space="preserve"> rengėjas, kai įmanoma, rengdamas ESĮI</w:t>
            </w:r>
            <w:r>
              <w:rPr>
                <w:b/>
                <w:i/>
              </w:rPr>
              <w:t>, ypač RESTREINT UE/EU RESTRICTED slaptumo žyma žymimą informaciją,</w:t>
            </w:r>
            <w:r>
              <w:t xml:space="preserve"> nurodo, ar tam tikrą dieną arba po tam tikro įvykio galima sumažinti ESĮI slaptumo lygį arba ją išslaptinti.</w:t>
            </w:r>
          </w:p>
        </w:tc>
        <w:tc>
          <w:tcPr>
            <w:tcW w:w="4876" w:type="dxa"/>
          </w:tcPr>
          <w:p>
            <w:pPr>
              <w:pStyle w:val="Normal6a"/>
            </w:pPr>
            <w:r>
              <w:t>2.</w:t>
            </w:r>
            <w:r>
              <w:tab/>
            </w:r>
            <w:r>
              <w:rPr>
                <w:b/>
                <w:i/>
              </w:rPr>
              <w:t>Įslaptintos informacijos</w:t>
            </w:r>
            <w:r>
              <w:t xml:space="preserve"> rengėjas, kai įmanoma, rengdamas ESĮI nurodo, ar tam tikrą dieną arba po tam tikro įvykio galima sumažinti ESĮI slaptumo lygį arba ją išslaptinti.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Dokumentą parengusi</w:t>
            </w:r>
            <w:r>
              <w:t xml:space="preserve"> Sąjungos institucija arba įstaiga atsako už sprendimą, ar ESĮI dokumento slaptumo lygis gali būti sumažintas arba dokumentas gali būti išslaptintas. </w:t>
            </w:r>
            <w:r>
              <w:rPr>
                <w:b/>
                <w:i/>
              </w:rPr>
              <w:t>Ji reguliariai ir bent kas penkerius metus peržiūri informaciją ir įvertina riziką, kad nustatytų, ar pradinės slaptumo žymos lygis tebėra pagrįstas.</w:t>
            </w:r>
          </w:p>
        </w:tc>
        <w:tc>
          <w:tcPr>
            <w:tcW w:w="4876" w:type="dxa"/>
          </w:tcPr>
          <w:p>
            <w:pPr>
              <w:pStyle w:val="Normal6a"/>
            </w:pPr>
            <w:r>
              <w:t>3.</w:t>
            </w:r>
            <w:r>
              <w:tab/>
            </w:r>
            <w:r>
              <w:rPr>
                <w:b/>
                <w:i/>
              </w:rPr>
              <w:t>Kiekviena</w:t>
            </w:r>
            <w:r>
              <w:t xml:space="preserve"> Sąjungos institucija arba įstaiga atsako už sprendimą, ar ESĮI dokumento slaptumo lygis gali būti sumažintas arba dokumentas gali būti išslaptintas.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38 straipsnio 1 dalies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Patys operatyviniai duomenys apie evakuacijos ir sunaikinimo ekstremaliosios padėties atveju planus įslaptinami </w:t>
            </w:r>
            <w:r>
              <w:rPr>
                <w:b/>
                <w:i/>
              </w:rPr>
              <w:t>kaip RESTREINT UE/EU RESTRICTED</w:t>
            </w:r>
            <w:r>
              <w:t>.</w:t>
            </w:r>
          </w:p>
        </w:tc>
        <w:tc>
          <w:tcPr>
            <w:tcW w:w="4876" w:type="dxa"/>
          </w:tcPr>
          <w:p>
            <w:pPr>
              <w:pStyle w:val="Normal6a"/>
            </w:pPr>
            <w:r>
              <w:t>Patys operatyviniai duomenys apie evakuacijos ir sunaikinimo ekstremaliosios padėties atveju planus įslaptinami.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Laikydamosi dokumentų tvarkymo politikos,</w:t>
            </w:r>
            <w:r>
              <w:t xml:space="preserve"> Sąjungos institucijos ir įstaigos sprendžia, ar ir kada archyvuoti ESĮI ir kokių praktinių priemonių imtis.</w:t>
            </w:r>
          </w:p>
        </w:tc>
        <w:tc>
          <w:tcPr>
            <w:tcW w:w="4876" w:type="dxa"/>
          </w:tcPr>
          <w:p>
            <w:pPr>
              <w:pStyle w:val="Normal6a"/>
            </w:pPr>
            <w:r>
              <w:t>1.</w:t>
            </w:r>
            <w:r>
              <w:tab/>
            </w:r>
            <w:r>
              <w:t xml:space="preserve">Sąjungos institucijos ir įstaigos sprendžia, ar ir kada archyvuoti ESĮI ir kokių </w:t>
            </w:r>
            <w:r>
              <w:rPr>
                <w:b/>
                <w:i/>
              </w:rPr>
              <w:t>vienodų</w:t>
            </w:r>
            <w:r>
              <w:t xml:space="preserve"> praktinių priemonių imtis.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ESĮI dokumentai į Europos Sąjungos istorinį archyvą neperduodami.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39a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Ginčai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Kilus abejonių dėl informacijos apsaugos pobūdžio arba atitinkamo slaptumo žymos lygio, Sąjungos institucijos ir įstaigos nedelsdamos ir prieš perduodamos informaciją konsultuojasi tarpusavyje.</w:t>
            </w:r>
            <w:r>
              <w:t xml:space="preserve"> </w:t>
            </w:r>
            <w:r>
              <w:rPr>
                <w:b/>
                <w:i/>
              </w:rPr>
              <w:t>Esant nesusitarimų, klausimas perduodamas institucijų ar įstaigų pirmininkams, kad jie išspręstų ginčą.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Jei pasibaigus 1 dalyje nurodytai procedūrai susitarimas nepasiekiamas, atsisakymui peržiūrėti informacijos apsaugos pobūdį arba atitinkamą jos slaptumo žymos lygį taikoma jos teisėtumo peržiūra pagal SESV 263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40 straipsnio 1 dalies c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stebėti, kaip Sąjungos institucijos ir įstaigos laikosi atitinkamų šio reglamento nuostatų ir Koordinavimo grupės priimtų rekomendacinių dokumentų.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siekiant užtikrinti informacijos saugumo rizikos valdymą ir atsižvelgiant į būtinybės žinoti, minimalaus funkcionalumo, pakopinės apsaugos, būtinųjų privilegijų, pareigų atskyrimo ir keturių akių principus, nuo pat projekto pradžios ryšių ir informacinės sistemos, kuriose bus tvarkoma ir saugoma ESĮI, kuriamos vadovaujantis </w:t>
            </w:r>
            <w:r>
              <w:rPr>
                <w:b/>
                <w:i/>
              </w:rPr>
              <w:t>pagrindiniais</w:t>
            </w:r>
            <w:r>
              <w:t xml:space="preserve"> saugumo principais;</w:t>
            </w:r>
          </w:p>
        </w:tc>
        <w:tc>
          <w:tcPr>
            <w:tcW w:w="4876" w:type="dxa"/>
          </w:tcPr>
          <w:p>
            <w:pPr>
              <w:pStyle w:val="Normal6a"/>
            </w:pPr>
            <w:r>
              <w:t>b)</w:t>
            </w:r>
            <w:r>
              <w:tab/>
            </w:r>
            <w:r>
              <w:t xml:space="preserve">siekiant užtikrinti informacijos saugumo rizikos valdymą ir atsižvelgiant į būtinybės žinoti, minimalaus funkcionalumo, pakopinės apsaugos, būtinųjų privilegijų, pareigų atskyrimo ir keturių akių principus, nuo pat projekto pradžios ryšių ir informacinės sistemos, kuriose bus tvarkoma ir saugoma ESĮI, kuriamos vadovaujantis </w:t>
            </w:r>
            <w:r>
              <w:rPr>
                <w:b/>
                <w:i/>
              </w:rPr>
              <w:t>esminiais</w:t>
            </w:r>
            <w:r>
              <w:t xml:space="preserve"> saugumo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dalies f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sistemos savininkas arba informacijos saugumo užtikrinimo operacinė institucija užtikrina, kad būtų įdiegtas pažeidžiamumo nustatymo ir pranešimo apie jį procesas;</w:t>
            </w:r>
            <w:r>
              <w:t xml:space="preserve"> </w:t>
            </w:r>
            <w:r>
              <w:rPr>
                <w:b/>
                <w:i/>
              </w:rPr>
              <w:t>šį procesą prireikus papildo reguliarūs auditai ir skverbties testai;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42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Visos ESĮI slaptumo žyma pažymėtos informacijos ir medžiagos atveju patvirtintų kriptografinių priemonių sąrašą tvarko Taryba, remdamasi nacionalinių saugumo institucijų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42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Informacijos ir medžiagos, pažymėtos slaptumo žyma RESTREINT UE/EU RESTRICTED, atveju papildomų patvirtintų kriptografinių priemonių sąrašą nustato ENISA/EU-CERT per 18 mėnesių nuo reglamento paskelbimo Europos Sąjungos oficialiajame.</w:t>
            </w:r>
            <w:r>
              <w:t xml:space="preserve"> </w:t>
            </w:r>
            <w:r>
              <w:rPr>
                <w:b/>
                <w:i/>
              </w:rPr>
              <w:t>Sąrašas turėtų būti peržiūrimas siekiant atsižvelgus į technologijų ir rinkos pokyčius kiekvienais paskesniais metais jį atnaujinti.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42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Koordinavimo grupė kasmet informuoja Tarybą apie visas kriptografines priemones, kurias, remdamasi Sąjungos institucijose ir įstaigose atlikta apklausa, ji rekomenduoja valstybės narės kriptografijos patvirtinimo institucijai įvertinti.</w:t>
            </w:r>
          </w:p>
        </w:tc>
        <w:tc>
          <w:tcPr>
            <w:tcW w:w="4876" w:type="dxa"/>
          </w:tcPr>
          <w:p>
            <w:pPr>
              <w:pStyle w:val="Normal6a"/>
            </w:pPr>
            <w:r>
              <w:t>5.</w:t>
            </w:r>
            <w:r>
              <w:tab/>
            </w:r>
            <w:r>
              <w:t xml:space="preserve">Koordinavimo grupė kasmet informuoja Tarybą apie visas kriptografines priemones, kurias, remdamasi Sąjungos institucijose ir įstaigose atlikta apklausa, ji rekomenduoja valstybės narės kriptografijos patvirtinimo institucijai </w:t>
            </w:r>
            <w:r>
              <w:rPr>
                <w:b/>
                <w:i/>
              </w:rPr>
              <w:t>arba ENISA / CERT-EU</w:t>
            </w:r>
            <w:r>
              <w:t xml:space="preserve"> įvertinti.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Visos Sąjungos institucijos ir įstaigos </w:t>
            </w:r>
            <w:r>
              <w:rPr>
                <w:b/>
                <w:i/>
              </w:rPr>
              <w:t>gali</w:t>
            </w:r>
            <w:r>
              <w:t xml:space="preserve"> viena su kita </w:t>
            </w:r>
            <w:r>
              <w:rPr>
                <w:b/>
                <w:i/>
              </w:rPr>
              <w:t>dalytis</w:t>
            </w:r>
            <w:r>
              <w:t xml:space="preserve"> ESĮI 54 straipsnyje nustatytomis sąlygomis.</w:t>
            </w:r>
          </w:p>
        </w:tc>
        <w:tc>
          <w:tcPr>
            <w:tcW w:w="4876" w:type="dxa"/>
          </w:tcPr>
          <w:p>
            <w:pPr>
              <w:pStyle w:val="Normal6a"/>
            </w:pPr>
            <w:r>
              <w:t>1.</w:t>
            </w:r>
            <w:r>
              <w:tab/>
            </w:r>
            <w:r>
              <w:t xml:space="preserve">Visos Sąjungos institucijos ir įstaigos viena su kita </w:t>
            </w:r>
            <w:r>
              <w:rPr>
                <w:b/>
                <w:i/>
              </w:rPr>
              <w:t>dalijasi</w:t>
            </w:r>
            <w:r>
              <w:t xml:space="preserve"> ESĮI 54 straipsnyje nustatytomis sąlygomis.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Dalijimosi ESĮI ir keitimosi įslaptinta informacija pogrupį sudaro Komisijos, Tarybos ir Europos išorės veiksmų tarnybos atstovai ir jis dirba bendru sutarimu.</w:t>
            </w:r>
          </w:p>
        </w:tc>
        <w:tc>
          <w:tcPr>
            <w:tcW w:w="4876" w:type="dxa"/>
          </w:tcPr>
          <w:p>
            <w:pPr>
              <w:pStyle w:val="Normal6a"/>
            </w:pPr>
            <w:r>
              <w:t>2.</w:t>
            </w:r>
            <w:r>
              <w:tab/>
            </w:r>
            <w:r>
              <w:t xml:space="preserve">Dalijimosi ESĮI ir keitimosi įslaptinta informacija pogrupį sudaro </w:t>
            </w:r>
            <w:r>
              <w:rPr>
                <w:b/>
                <w:i/>
              </w:rPr>
              <w:t>Europos Parlamento,</w:t>
            </w:r>
            <w:r>
              <w:t xml:space="preserve"> Komisijos, Tarybos ir Europos išorės veiksmų tarnybos atstovai ir jis dirba bendru sutarimu. </w:t>
            </w:r>
            <w:r>
              <w:rPr>
                <w:b/>
                <w:i/>
              </w:rPr>
              <w:t>Šis pogrupis siekia tinkamos pusiausvyros tarp būtinybės apsaugoti ESĮI ir Reglamento (EB) Nr. 1049/2001 ir užtikrina, kad slaptumo žyma savaime netrukdytų atskleisti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Dalijimosi ESĮI ir keitimosi įslaptinta informacija pogrupį sudaro Komisijos, Tarybos ir Europos išorės veiksmų tarnybos atstovai ir jis dirba bendru sutarimu.</w:t>
            </w:r>
          </w:p>
        </w:tc>
        <w:tc>
          <w:tcPr>
            <w:tcW w:w="4876" w:type="dxa"/>
          </w:tcPr>
          <w:p>
            <w:pPr>
              <w:pStyle w:val="Normal6a"/>
            </w:pPr>
            <w:r>
              <w:t>2.</w:t>
            </w:r>
            <w:r>
              <w:tab/>
            </w:r>
            <w:r>
              <w:t xml:space="preserve">Dalijimosi ESĮI ir keitimosi įslaptinta informacija pogrupį sudaro </w:t>
            </w:r>
            <w:r>
              <w:rPr>
                <w:b/>
                <w:i/>
              </w:rPr>
              <w:t>Europos Parlamento,</w:t>
            </w:r>
            <w:r>
              <w:t xml:space="preserve"> Komisijos, Tarybos ir Europos išorės veiksmų tarnybos atstovai ir jis dirba bendru sutarimu.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Dalijimosi ESĮI ir keitimosi įslaptinta informacija pogrupį sudaro Komisijos, Tarybos ir Europos išorės veiksmų tarnybos atstovai ir jis dirba bendru sutarimu.</w:t>
            </w:r>
          </w:p>
        </w:tc>
        <w:tc>
          <w:tcPr>
            <w:tcW w:w="4876" w:type="dxa"/>
          </w:tcPr>
          <w:p>
            <w:pPr>
              <w:pStyle w:val="Normal6a"/>
            </w:pPr>
            <w:r>
              <w:t>2.</w:t>
            </w:r>
            <w:r>
              <w:tab/>
            </w:r>
            <w:r>
              <w:t xml:space="preserve">Dalijimosi ESĮI ir keitimosi įslaptinta informacija pogrupį sudaro </w:t>
            </w:r>
            <w:r>
              <w:rPr>
                <w:b/>
                <w:i/>
              </w:rPr>
              <w:t>Europos Parlamento,</w:t>
            </w:r>
            <w:r>
              <w:t xml:space="preserve"> Komisijos, Tarybos ir Europos išorės veiksmų tarnybos atstovai ir jis dirba bendru sutarimu.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yra </w:t>
            </w:r>
            <w:r>
              <w:rPr>
                <w:b/>
                <w:i/>
              </w:rPr>
              <w:t>įrodytas mainų poreikis;</w:t>
            </w:r>
          </w:p>
        </w:tc>
        <w:tc>
          <w:tcPr>
            <w:tcW w:w="4876" w:type="dxa"/>
          </w:tcPr>
          <w:p>
            <w:pPr>
              <w:pStyle w:val="Normal6a"/>
            </w:pPr>
            <w:r>
              <w:t>a)</w:t>
            </w:r>
            <w:r>
              <w:tab/>
            </w:r>
            <w:r>
              <w:t>yra</w:t>
            </w:r>
            <w:r>
              <w:rPr>
                <w:b/>
                <w:i/>
              </w:rPr>
              <w:t>Sąjungos teisėje arba Sąjungos institucijų sudarytame tarpinstituciniame susitarime nustatyta teisinė pareiga</w:t>
            </w:r>
            <w:r>
              <w:rPr>
                <w:b/>
                <w:i/>
              </w:rPr>
              <w:t>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yra įrodytas mainų poreikis;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yra Sutartyse, antrinėje teisėja arba Sąjungos institucijų sudarytame tarpinstituciniame susitarime nustatyta teisinė pareiga;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atitinkamos Sąjungos institucijos arba įstaigos saugumo institucija nusprendžia, kad su kitomis tokiomis sertifikuotomis Sąjungos institucijomis ir įstaigomis ji gali dalytis tik tam tikro lygio neviršijančia įslaptinta informacija.</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56 straipsnio 1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atitinkamai Sąjungos institucijai arba įstaigai būtina ilgą laiką keistis su partneriu trečiojoje valstybėje arba tarptautinėje organizacijoje įslaptinta informacija, kuri paprastai būna ne aukštesnio lygio kaip </w:t>
            </w:r>
            <w:r>
              <w:rPr>
                <w:b/>
                <w:i/>
              </w:rPr>
              <w:t>RESTREINT UE/EU RESTRICTED</w:t>
            </w:r>
            <w:r>
              <w:t>;</w:t>
            </w:r>
          </w:p>
        </w:tc>
        <w:tc>
          <w:tcPr>
            <w:tcW w:w="4876" w:type="dxa"/>
          </w:tcPr>
          <w:p>
            <w:pPr>
              <w:pStyle w:val="Normal6a"/>
            </w:pPr>
            <w:r>
              <w:t>a)</w:t>
            </w:r>
            <w:r>
              <w:tab/>
            </w:r>
            <w:r>
              <w:t xml:space="preserve">atitinkamai Sąjungos institucijai arba įstaigai būtina ilgą laiką keistis su partneriu trečiojoje valstybėje arba tarptautinėje organizacijoje įslaptinta informacija, kuri paprastai būna ne aukštesnio lygio kaip </w:t>
            </w:r>
            <w:r>
              <w:rPr>
                <w:b/>
                <w:i/>
              </w:rPr>
              <w:t>CONFIDENTIEL UE/EU CONFIDENTIAL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60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Laikoma, kad visos Sąjungos institucijos ir įstaigos, kurias Komisija, Taryba arba EIVT iki [metai, mėnuo, diena, taikymo pradžios diena] įvertino kaip tinkamas ESĮI tvarkyti ir saugoti, atitinka 19 straipsnio 1 dalyje nurodytas sąlygas.</w:t>
            </w:r>
          </w:p>
        </w:tc>
        <w:tc>
          <w:tcPr>
            <w:tcW w:w="4876" w:type="dxa"/>
          </w:tcPr>
          <w:p>
            <w:pPr>
              <w:pStyle w:val="Normal6a"/>
            </w:pPr>
            <w:r>
              <w:t>2.</w:t>
            </w:r>
            <w:r>
              <w:tab/>
            </w:r>
            <w:r>
              <w:t xml:space="preserve">Laikoma, kad visos Sąjungos institucijos ir įstaigos, kurias Komisija, </w:t>
            </w:r>
            <w:r>
              <w:rPr>
                <w:b/>
                <w:i/>
              </w:rPr>
              <w:t>Europos Parlamentas,</w:t>
            </w:r>
            <w:r>
              <w:t xml:space="preserve"> Taryba arba EIVT iki [metai, mėnuo, diena, taikymo pradžios diena] įvertino kaip tinkamas ESĮI tvarkyti ir saugoti, atitinka 19 straipsnio 1 dalyje nurodytas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60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Laikoma, kad visos Sąjungos institucijos ir įstaigos, kurias Komisija, Taryba arba EIVT iki [metai, mėnuo, diena, taikymo pradžios diena] įvertino kaip tinkamas ESĮI tvarkyti ir saugoti, atitinka 19 straipsnio 1 dalyje nurodytas sąlygas.</w:t>
            </w:r>
          </w:p>
        </w:tc>
        <w:tc>
          <w:tcPr>
            <w:tcW w:w="4876" w:type="dxa"/>
          </w:tcPr>
          <w:p>
            <w:pPr>
              <w:pStyle w:val="Normal6a"/>
            </w:pPr>
            <w:r>
              <w:t>2.</w:t>
            </w:r>
            <w:r>
              <w:tab/>
            </w:r>
            <w:r>
              <w:t xml:space="preserve">Laikoma, kad visos Sąjungos institucijos ir įstaigos, kurias </w:t>
            </w:r>
            <w:r>
              <w:rPr>
                <w:b/>
                <w:i/>
              </w:rPr>
              <w:t>Parlamentas,</w:t>
            </w:r>
            <w:r>
              <w:t xml:space="preserve"> Komisija, Taryba arba EIVT iki [metai, mėnuo, diena, taikymo pradžios diena] įvertino kaip tinkamas ESĮI tvarkyti ir saugoti, atitinka 19 straipsnio 1 dalyje nurodytas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Ne vėliau kaip [metai, mėnuo, diena, per </w:t>
            </w:r>
            <w:r>
              <w:rPr>
                <w:b/>
                <w:i/>
              </w:rPr>
              <w:t>trejus</w:t>
            </w:r>
            <w:r>
              <w:t xml:space="preserve"> metus nuo taikymo pradžios dienos] Komisija pateikia Europos Parlamentui ir Tarybai šio reglamento įgyvendinimo ataskaitą.</w:t>
            </w:r>
          </w:p>
        </w:tc>
        <w:tc>
          <w:tcPr>
            <w:tcW w:w="4876" w:type="dxa"/>
          </w:tcPr>
          <w:p>
            <w:pPr>
              <w:pStyle w:val="Normal6a"/>
            </w:pPr>
            <w:r>
              <w:t>1.</w:t>
            </w:r>
            <w:r>
              <w:tab/>
            </w:r>
            <w:r>
              <w:t xml:space="preserve">Ne vėliau kaip [metai, mėnuo, diena, per </w:t>
            </w:r>
            <w:r>
              <w:rPr>
                <w:b/>
                <w:i/>
              </w:rPr>
              <w:t>dvejus</w:t>
            </w:r>
            <w:r>
              <w:t xml:space="preserve"> metus nuo taikymo pradžios dienos] Komisija pateikia Europos Parlamentui ir Tarybai šio reglamento įgyvendinimo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61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Praėjus ne mažiau kaip [</w:t>
            </w:r>
            <w:r>
              <w:rPr>
                <w:b/>
                <w:i/>
              </w:rPr>
              <w:t>penkeriems</w:t>
            </w:r>
            <w:r>
              <w:t xml:space="preserve"> metams po šio reglamento taikymo pradžios] ir vėliau kas penkerius metus Komisija atlieka jo vertinimą ir Europos Parlamentui ir Tarybai pateikia pagrindinių išvadų ataskaitą.</w:t>
            </w:r>
          </w:p>
        </w:tc>
        <w:tc>
          <w:tcPr>
            <w:tcW w:w="4876" w:type="dxa"/>
          </w:tcPr>
          <w:p>
            <w:pPr>
              <w:pStyle w:val="Normal6a"/>
            </w:pPr>
            <w:r>
              <w:t>2.</w:t>
            </w:r>
            <w:r>
              <w:tab/>
            </w:r>
            <w:r>
              <w:t>Praėjus ne mažiau kaip [</w:t>
            </w:r>
            <w:r>
              <w:rPr>
                <w:b/>
                <w:i/>
              </w:rPr>
              <w:t>trejiems</w:t>
            </w:r>
            <w:r>
              <w:t xml:space="preserve"> metams po šio reglamento taikymo pradžios] ir vėliau kas penkerius metus Komisija atlieka jo vertinimą ir Europos Parlamentui ir Tarybai pateikia pagrindinių išvadų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1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Dokumentai, kuriuose yra neskelbtinos neįslaptintos informacijos, turi būti žymimi saugumo žyma ir, jei reikia, viena ar keliomis platinimo žymomis, kuriomis nurodomi atitinkami tiksliniai adresatai. Išskyrus 15 straipsnio 2 dalyje nurodytus atvejus, standartinė saugumo žyma yra žodis „</w:t>
            </w:r>
            <w:r>
              <w:rPr>
                <w:b/>
                <w:i/>
              </w:rPr>
              <w:t>SENSITIVE</w:t>
            </w:r>
            <w:r>
              <w:t>“ didžiosiomis raidėmis.</w:t>
            </w:r>
          </w:p>
        </w:tc>
        <w:tc>
          <w:tcPr>
            <w:tcW w:w="4876" w:type="dxa"/>
          </w:tcPr>
          <w:p>
            <w:pPr>
              <w:pStyle w:val="Normal6a"/>
            </w:pPr>
            <w:r>
              <w:t>1.</w:t>
            </w:r>
            <w:r>
              <w:tab/>
            </w:r>
            <w:r>
              <w:t>Dokumentai, kuriuose yra neskelbtinos neįslaptintos informacijos, turi būti žymimi saugumo žyma ir, jei reikia, viena ar keliomis platinimo žymomis, kuriomis nurodomi atitinkami tiksliniai adresatai. Išskyrus 15 straipsnio 2 dalyje nurodytus atvejus, standartinė saugumo žyma yra žodis „</w:t>
            </w:r>
            <w:r>
              <w:rPr>
                <w:b/>
                <w:i/>
              </w:rPr>
              <w:t>PROTECTED</w:t>
            </w:r>
            <w:r>
              <w:t>“ didžiosiomis raidėmis.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4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Žyma </w:t>
            </w:r>
            <w:r>
              <w:rPr>
                <w:b/>
                <w:i/>
              </w:rPr>
              <w:t>SENSITIVE</w:t>
            </w:r>
            <w:r>
              <w:t xml:space="preserve"> pažymėtų dokumentų slaptumo žymų lygis sumažinamas iki EU NORMAL arba PUBLIC USE, žymas pašalinant arba išbraukiant.</w:t>
            </w:r>
          </w:p>
        </w:tc>
        <w:tc>
          <w:tcPr>
            <w:tcW w:w="4876" w:type="dxa"/>
          </w:tcPr>
          <w:p>
            <w:pPr>
              <w:pStyle w:val="Normal6a"/>
            </w:pPr>
            <w:r>
              <w:t>4.</w:t>
            </w:r>
            <w:r>
              <w:tab/>
            </w:r>
            <w:r>
              <w:t xml:space="preserve">Žyma </w:t>
            </w:r>
            <w:r>
              <w:rPr>
                <w:b/>
                <w:i/>
              </w:rPr>
              <w:t>PROTECTED</w:t>
            </w:r>
            <w:r>
              <w:t xml:space="preserve"> pažymėtų dokumentų slaptumo žymų lygis sumažinamas iki EU NORMAL arba PUBLIC USE, žymas pašalinant arba išbraukiant.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 dalies 1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asmens patikimumo pažymėjimas (APP) – </w:t>
            </w:r>
            <w:r>
              <w:rPr>
                <w:b/>
                <w:i/>
              </w:rPr>
              <w:t>valstybės narės atitinkamos institucijos</w:t>
            </w:r>
            <w:r>
              <w:t xml:space="preserve"> pareiškimas, kuris pateikiamas </w:t>
            </w:r>
            <w:r>
              <w:rPr>
                <w:b/>
                <w:i/>
              </w:rPr>
              <w:t>kompetentingai institucijai</w:t>
            </w:r>
            <w:r>
              <w:t xml:space="preserve"> atlikus patikimumo patikrinimą ir kuriuo patvirtinama, kad asmeniui tam tikrą laikotarpį gali būti leidžiama susipažinti su tam tikro lygio slaptumo žyma (CONFIDENTIEL UE/EU CONFIDENTIAL arba aukštesnio laipsnio slaptumo žyma) pažymėta ESĮI;</w:t>
            </w:r>
          </w:p>
        </w:tc>
        <w:tc>
          <w:tcPr>
            <w:tcW w:w="4876" w:type="dxa"/>
          </w:tcPr>
          <w:p>
            <w:pPr>
              <w:pStyle w:val="Normal6a"/>
            </w:pPr>
            <w:r>
              <w:t>1)</w:t>
            </w:r>
            <w:r>
              <w:tab/>
            </w:r>
            <w:r>
              <w:t xml:space="preserve">asmens patikimumo pažymėjimas (APP) – </w:t>
            </w:r>
            <w:r>
              <w:rPr>
                <w:b/>
                <w:i/>
              </w:rPr>
              <w:t>Komisijos</w:t>
            </w:r>
            <w:r>
              <w:t xml:space="preserve"> pareiškimas, kuris pateikiamas </w:t>
            </w:r>
            <w:r>
              <w:rPr>
                <w:b/>
                <w:i/>
              </w:rPr>
              <w:t>Komisijai, bendradarbiaujant su atitinkamų valstybių narių kompetentingomis institucijomis,</w:t>
            </w:r>
            <w:r>
              <w:t xml:space="preserve"> atlikus patikimumo patikrinimą ir kuriuo patvirtinama, kad asmeniui tam tikrą laikotarpį gali būti leidžiama susipažinti su tam tikro lygio slaptumo žyma (CONFIDENTIEL UE/EU CONFIDENTIAL arba aukštesnio laipsnio slaptumo žyma) pažymėta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 dalies 2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asmens patikimumo pažymėjimą patvirtinanti pažyma – </w:t>
            </w:r>
            <w:r>
              <w:rPr>
                <w:b/>
                <w:i/>
              </w:rPr>
              <w:t>kompetentingos institucijos</w:t>
            </w:r>
            <w:r>
              <w:t xml:space="preserve"> išduota pažyma, kuria patvirtinama, kad asmuo turi galiojantį patikimumo pažymėjimą ar lygiavertį dokumentą arba saugumo leidimą, ir kurioje nurodomas ESĮI, su kuria tam asmeniui gali būti leidžiama susipažinti, slaptumo žymos lygis (CONFIDENTIEL UE/ES CONFIDENTIAL arba aukštesnis), to asmens patikimumo pažymėjimo arba leidimo galiojimo laikotarpis ir pačios pažymos galiojimo laikotarpio pabaigos data.</w:t>
            </w:r>
          </w:p>
        </w:tc>
        <w:tc>
          <w:tcPr>
            <w:tcW w:w="4876" w:type="dxa"/>
          </w:tcPr>
          <w:p>
            <w:pPr>
              <w:pStyle w:val="Normal6a"/>
            </w:pPr>
            <w:r>
              <w:t>2)</w:t>
            </w:r>
            <w:r>
              <w:tab/>
            </w:r>
            <w:r>
              <w:t xml:space="preserve">asmens patikimumo pažymėjimą patvirtinanti pažyma – </w:t>
            </w:r>
            <w:r>
              <w:rPr>
                <w:b/>
                <w:i/>
              </w:rPr>
              <w:t>Komisijos</w:t>
            </w:r>
            <w:r>
              <w:t xml:space="preserve"> išduota pažyma, kuria patvirtinama, kad asmuo turi galiojantį patikimumo pažymėjimą ar lygiavertį dokumentą arba saugumo leidimą, ir kurioje nurodomas ESĮI, su kuria tam asmeniui gali būti leidžiama susipažinti, slaptumo žymos lygis (CONFIDENTIEL UE/ES CONFIDENTIAL arba aukštesnis), to asmens patikimumo pažymėjimo arba leidimo galiojimo laikotarpis ir pačios pažymos galiojimo laikotarpio pabaigos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Prieš išsiųsdama užpildytą asmens patikimumo tikrinimo klausimyną </w:t>
            </w:r>
            <w:r>
              <w:rPr>
                <w:b/>
                <w:i/>
              </w:rPr>
              <w:t>valstybės narės, kurios pilietybę turi asmuo, nacionalinei saugumo institucijai</w:t>
            </w:r>
            <w:r>
              <w:t>, atitinkamos Sąjungos institucijos ir įstaigos saugumo tarnyba turi gauti raštišką asmens sutikimą dėl patikimumo tikrinimo tvarkos.</w:t>
            </w:r>
          </w:p>
        </w:tc>
        <w:tc>
          <w:tcPr>
            <w:tcW w:w="4876" w:type="dxa"/>
          </w:tcPr>
          <w:p>
            <w:pPr>
              <w:pStyle w:val="Normal6a"/>
            </w:pPr>
            <w:r>
              <w:t>1.</w:t>
            </w:r>
            <w:r>
              <w:tab/>
            </w:r>
            <w:r>
              <w:t xml:space="preserve">Prieš išsiųsdama užpildytą asmens patikimumo tikrinimo klausimyną </w:t>
            </w:r>
            <w:r>
              <w:rPr>
                <w:b/>
                <w:i/>
              </w:rPr>
              <w:t>Komisijai</w:t>
            </w:r>
            <w:r>
              <w:t>, atitinkamos Sąjungos institucijos ir įstaigos saugumo tarnyba turi gauti raštišką asmens sutikimą dėl patikimumo tikrinimo tvarkos.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2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Kai Sąjungos institucija ar įstaiga sužino apie asmens, kuris pateikė prašymą išduoti patikimumo pažymėjimą, kad galėtų susipažinti su ESĮI, patikimumo patikrinimą, kompetentinga saugumo institucija, veikdama pagal šį reglamentą, turi apie tai pranešti </w:t>
            </w:r>
            <w:r>
              <w:rPr>
                <w:b/>
                <w:i/>
              </w:rPr>
              <w:t>atitinkamai to asmens valstybės narės nacionalinei saugumo institucijai</w:t>
            </w:r>
            <w:r>
              <w:t>.</w:t>
            </w:r>
          </w:p>
        </w:tc>
        <w:tc>
          <w:tcPr>
            <w:tcW w:w="4876" w:type="dxa"/>
          </w:tcPr>
          <w:p>
            <w:pPr>
              <w:pStyle w:val="Normal6a"/>
            </w:pPr>
            <w:r>
              <w:t>2.</w:t>
            </w:r>
            <w:r>
              <w:tab/>
            </w:r>
            <w:r>
              <w:t xml:space="preserve">Kai Sąjungos institucija ar įstaiga sužino apie asmens, kuris pateikė prašymą išduoti patikimumo pažymėjimą, kad galėtų susipažinti su ESĮI, patikimumo patikrinimą, kompetentinga saugumo institucija, veikdama pagal šį reglamentą, turi apie tai pranešti </w:t>
            </w:r>
            <w:r>
              <w:rPr>
                <w:b/>
                <w:i/>
              </w:rPr>
              <w:t>Komisijai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3 punkto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Gavusi </w:t>
            </w:r>
            <w:r>
              <w:rPr>
                <w:b/>
                <w:i/>
              </w:rPr>
              <w:t>atitinkamos nacionalinės saugumo institucijos</w:t>
            </w:r>
            <w:r>
              <w:t xml:space="preserve"> pranešimą apie bendrą patikimumo patikrinimo rezultatų įvertinimą, kompetentinga saugumo institucija:</w:t>
            </w:r>
          </w:p>
        </w:tc>
        <w:tc>
          <w:tcPr>
            <w:tcW w:w="4876" w:type="dxa"/>
          </w:tcPr>
          <w:p>
            <w:pPr>
              <w:pStyle w:val="Normal6a"/>
            </w:pPr>
            <w:r>
              <w:t>3.</w:t>
            </w:r>
            <w:r>
              <w:tab/>
            </w:r>
            <w:r>
              <w:t xml:space="preserve">Gavusi </w:t>
            </w:r>
            <w:r>
              <w:rPr>
                <w:b/>
                <w:i/>
              </w:rPr>
              <w:t>Komisijos</w:t>
            </w:r>
            <w:r>
              <w:t xml:space="preserve"> pranešimą apie bendrą patikimumo patikrinimo rezultatų įvertinimą, kompetentinga saugumo institucija: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4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Kai asmuo tarnybą pradeda praėjus 12 mėnesių ar ilgesniam laikotarpiui nuo pranešimo apie patikimumo patikrinimo rezultatus dienos arba kai tarnyboje asmuo daro 12 mėnesių pertrauką, kompetentinga saugumo institucija turi kreiptis į </w:t>
            </w:r>
            <w:r>
              <w:rPr>
                <w:b/>
                <w:i/>
              </w:rPr>
              <w:t>atitinkamą nacionalinę saugumo instituciją</w:t>
            </w:r>
            <w:r>
              <w:t>, kad ši patvirtintų, ar patikimumo pažymėjimas galioja.</w:t>
            </w:r>
          </w:p>
        </w:tc>
        <w:tc>
          <w:tcPr>
            <w:tcW w:w="4876" w:type="dxa"/>
          </w:tcPr>
          <w:p>
            <w:pPr>
              <w:pStyle w:val="Normal6a"/>
            </w:pPr>
            <w:r>
              <w:t>4.</w:t>
            </w:r>
            <w:r>
              <w:tab/>
            </w:r>
            <w:r>
              <w:t xml:space="preserve">Kai asmuo tarnybą pradeda praėjus 12 mėnesių ar ilgesniam laikotarpiui nuo pranešimo apie patikimumo patikrinimo rezultatus dienos arba kai tarnyboje asmuo daro 12 mėnesių pertrauką, kompetentinga saugumo institucija turi kreiptis į </w:t>
            </w:r>
            <w:r>
              <w:rPr>
                <w:b/>
                <w:i/>
              </w:rPr>
              <w:t>Komisiją</w:t>
            </w:r>
            <w:r>
              <w:t>, kad ši patvirtintų, ar patikimumo pažymėjimas galioja.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5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Kai atitinkama Sąjungos institucija ar įstaiga sužino apie asmens, turinčio leidimą susipažinti su ESĮI, keliamą riziką saugumui, tos Sąjungos institucijos ar įstaigos saugumo tarnyba turi apie tai pranešti </w:t>
            </w:r>
            <w:r>
              <w:rPr>
                <w:b/>
                <w:i/>
              </w:rPr>
              <w:t>atitinkamai nacionalinei saugumo institucijai</w:t>
            </w:r>
            <w:r>
              <w:t xml:space="preserve"> ir gali sustabdyti asmens prieigą prie ESĮI arba panaikinti leidimą susipažinti su ESĮI.</w:t>
            </w:r>
          </w:p>
        </w:tc>
        <w:tc>
          <w:tcPr>
            <w:tcW w:w="4876" w:type="dxa"/>
          </w:tcPr>
          <w:p>
            <w:pPr>
              <w:pStyle w:val="Normal6a"/>
            </w:pPr>
            <w:r>
              <w:t>5.</w:t>
            </w:r>
            <w:r>
              <w:tab/>
            </w:r>
            <w:r>
              <w:t xml:space="preserve">Kai atitinkama Sąjungos institucija ar įstaiga sužino apie asmens, turinčio leidimą susipažinti su ESĮI, keliamą riziką saugumui, tos Sąjungos institucijos ar įstaigos saugumo tarnyba turi apie tai pranešti </w:t>
            </w:r>
            <w:r>
              <w:rPr>
                <w:b/>
                <w:i/>
              </w:rPr>
              <w:t>Komisijai</w:t>
            </w:r>
            <w:r>
              <w:t xml:space="preserve"> ir gali sustabdyti asmens prieigą prie ESĮI arba panaikinti leidimą susipažinti su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6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Kai </w:t>
            </w:r>
            <w:r>
              <w:rPr>
                <w:b/>
                <w:i/>
              </w:rPr>
              <w:t>nacionalinė saugumo institucija</w:t>
            </w:r>
            <w:r>
              <w:t xml:space="preserve"> atitinkamai Sąjungos institucijai ar įstaigai praneša, kad garantijos dėl asmens, kuris gali susipažinti su ESĮI, nebėra, atitinkamos Sąjungos institucijos ar įstaigos saugumo tarnyba pagal savo atitinkamas vidaus taisykles turi panaikinti asmeniui išduotą saugumo leidimą ir jam neleisti susipažinti su ESĮI.</w:t>
            </w:r>
          </w:p>
        </w:tc>
        <w:tc>
          <w:tcPr>
            <w:tcW w:w="4876" w:type="dxa"/>
          </w:tcPr>
          <w:p>
            <w:pPr>
              <w:pStyle w:val="Normal6a"/>
            </w:pPr>
            <w:r>
              <w:t>6.</w:t>
            </w:r>
            <w:r>
              <w:tab/>
            </w:r>
            <w:r>
              <w:t xml:space="preserve">Kai </w:t>
            </w:r>
            <w:r>
              <w:rPr>
                <w:b/>
                <w:i/>
              </w:rPr>
              <w:t>Komisija</w:t>
            </w:r>
            <w:r>
              <w:t xml:space="preserve"> atitinkamai Sąjungos institucijai ar įstaigai praneša, kad garantijos dėl asmens, kuris gali susipažinti su ESĮI, nebėra, atitinkamos Sąjungos institucijos ar įstaigos saugumo tarnyba pagal savo atitinkamas vidaus taisykles turi panaikinti asmeniui išduotą saugumo leidimą ir jam neleisti susipažinti su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8 punkto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Atitinkamos Sąjungos institucijos ir įstaigos saugumo tarnyba gali pratęsti leidimo susipažinti su ESĮI galiojimą ne ilgesniam kaip 12 mėnesių laikotarpiui, jei per 2 mėnesius nuo prašymo pratęsti galiojimą ir atitinkamo patikimumo tikrinimo klausimyno perdavimo dienos iš </w:t>
            </w:r>
            <w:r>
              <w:rPr>
                <w:b/>
                <w:i/>
              </w:rPr>
              <w:t>atitinkamos nacionalinės saugumo institucijos ar kitos kompetentingos nacionalinės institucijos</w:t>
            </w:r>
            <w:r>
              <w:t xml:space="preserve"> negaunama nepalankios informacijos.</w:t>
            </w:r>
          </w:p>
        </w:tc>
        <w:tc>
          <w:tcPr>
            <w:tcW w:w="4876" w:type="dxa"/>
          </w:tcPr>
          <w:p>
            <w:pPr>
              <w:pStyle w:val="Normal6a"/>
            </w:pPr>
            <w:r>
              <w:t xml:space="preserve">Atitinkamos Sąjungos institucijos ir įstaigos saugumo tarnyba gali pratęsti leidimo susipažinti su ESĮI galiojimą ne ilgesniam kaip 12 mėnesių laikotarpiui, jei per 2 mėnesius nuo prašymo pratęsti galiojimą ir atitinkamo patikimumo tikrinimo klausimyno perdavimo dienos iš </w:t>
            </w:r>
            <w:r>
              <w:rPr>
                <w:b/>
                <w:i/>
              </w:rPr>
              <w:t>Komisijos</w:t>
            </w:r>
            <w:r>
              <w:t xml:space="preserve"> negaunama nepalankios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10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Atitinkamos Sąjungos institucijos ar įstaigos saugumo tarnyba išimties tvarka gali išduoti laikiną leidimą susipažinti su ESĮI, jei </w:t>
            </w:r>
            <w:r>
              <w:rPr>
                <w:b/>
                <w:i/>
              </w:rPr>
              <w:t>kompetentinga nacionalinė saugumo institucija</w:t>
            </w:r>
            <w:r>
              <w:t>, remdamasi užpildytu ir persiųstu patikimumo tikrinimo klausimynu, atliko preliminarų patikrinimą, kad įsitikintų, jog nėra žinoma svarbios nepalankios informacijos.</w:t>
            </w:r>
          </w:p>
        </w:tc>
        <w:tc>
          <w:tcPr>
            <w:tcW w:w="4876" w:type="dxa"/>
          </w:tcPr>
          <w:p>
            <w:pPr>
              <w:pStyle w:val="Normal6a"/>
            </w:pPr>
            <w:r>
              <w:t>10.</w:t>
            </w:r>
            <w:r>
              <w:tab/>
            </w:r>
            <w:r>
              <w:t xml:space="preserve">Atitinkamos Sąjungos institucijos ar įstaigos saugumo tarnyba išimties tvarka gali išduoti laikiną leidimą susipažinti su ESĮI, jei </w:t>
            </w:r>
            <w:r>
              <w:rPr>
                <w:b/>
                <w:i/>
              </w:rPr>
              <w:t>Komisija</w:t>
            </w:r>
            <w:r>
              <w:t>, remdamasi užpildytu ir persiųstu patikimumo tikrinimo klausimynu, atliko preliminarų patikrinimą, kad įsitikintų, jog nėra žinoma svarbios nepalankios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13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Visos Sąjungos institucijos ir įstaigos privalo užtikrinti, kad nacionaliniai ekspertai, komandiruoti į pareigas, kurioms eiti reikalingas asmens patikimumo pažymėjimas, prieš pradėdami eiti pareigas kompetentingai saugumo institucijai pateiktų pagal nacionalinius įstatymus ir kitus teisės aktus išduotą galiojantį </w:t>
            </w:r>
            <w:r>
              <w:rPr>
                <w:b/>
                <w:i/>
              </w:rPr>
              <w:t>asmens patikimumo pažymėjimą arba</w:t>
            </w:r>
            <w:r>
              <w:t xml:space="preserve"> asmens patikimumo pažymėjimą </w:t>
            </w:r>
            <w:r>
              <w:rPr>
                <w:b/>
                <w:i/>
              </w:rPr>
              <w:t>patvirtinančią pažymą</w:t>
            </w:r>
            <w:r>
              <w:t>. Jei įvykdomi 23 straipsnio 1 dalyje nurodyti reikalavimai, saugumo institucija gali išduoti leidimą susipažinti su ESĮI, kurios slaptumo žymos lygis yra lygiavertis tam, kuris yra nurodytas nacionaliniame patikimumo pažymėjime; leidimo ilgiausias galiojimo laikotarpis neviršija paskyrimo trukmės.</w:t>
            </w:r>
          </w:p>
        </w:tc>
        <w:tc>
          <w:tcPr>
            <w:tcW w:w="4876" w:type="dxa"/>
          </w:tcPr>
          <w:p>
            <w:pPr>
              <w:pStyle w:val="Normal6a"/>
            </w:pPr>
            <w:r>
              <w:t>13.</w:t>
            </w:r>
            <w:r>
              <w:tab/>
            </w:r>
            <w:r>
              <w:t xml:space="preserve">Visos Sąjungos institucijos ir įstaigos privalo užtikrinti, kad nacionaliniai ekspertai, komandiruoti į pareigas, kurioms eiti reikalingas asmens patikimumo pažymėjimas, prieš pradėdami eiti pareigas kompetentingai saugumo institucijai pateiktų pagal nacionalinius įstatymus ir kitus teisės aktus išduotą galiojantį </w:t>
            </w:r>
            <w:r>
              <w:rPr>
                <w:b/>
                <w:i/>
              </w:rPr>
              <w:t>nacionalinį</w:t>
            </w:r>
            <w:r>
              <w:t xml:space="preserve"> asmens patikimumo pažymėjimą. Jei įvykdomi 23 straipsnio 1 dalyje nurodyti reikalavimai, saugumo institucija gali išduoti leidimą susipažinti su ESĮI, kurios slaptumo žymos lygis yra lygiavertis tam, kuris yra nurodytas nacionaliniame patikimumo pažymėjime; leidimo ilgiausias galiojimo laikotarpis neviršija paskyrimo trukmės.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8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Slaptumo žyma RESTREINT UE/EU RESTRICTED pažymėta ESĮI turi būti tvarkoma ir saugoma bet kurioje iš šių zonų:</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saugumo zonoje;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administracinėje zonoje, jeigu ESĮI yra apsaugota taip, kad su ja negalėtų susipažinti leidimo neturintys asmenys;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už saugumo zonos ar administracinės zonos ribų, jei turėtojas įsipareigojo laikytis kompensacinių priemonių, dėl kurių sprendimą priėmė kiekvienos Sąjungos institucijos ir įstaigos saugumo tarnyba.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9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Slaptumo žyma RESTREINT UE/EU RESTRICTED pažymėta ESĮI turi būti saugoma rakinamuose biuro balduose administracinėje zonoje arba saugumo zonoje.</w:t>
            </w:r>
            <w:r>
              <w:t xml:space="preserve"> </w:t>
            </w:r>
            <w:r>
              <w:rPr>
                <w:b/>
                <w:i/>
              </w:rPr>
              <w:t>Ji gali būti laikinai saugoma už saugumo zonos arba administracinės zonos ribų, jei turėtojas įsipareigojo atitinkamus dokumentus saugoti tinkamai rakinamuose biuro balduose, kai jie nėra skaitomi ar aptariami.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10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Sąjungos institucijos ir įstaigos gali tvarkyti ir saugoti slaptumo žyma RESTREINT UE/EU RESTRICTED pažymėtą informaciją už savo vietų ribų, jei atitinkama informacija yra tinkamai apsaugota.</w:t>
            </w:r>
            <w:r>
              <w:t xml:space="preserve"> </w:t>
            </w:r>
            <w:r>
              <w:rPr>
                <w:b/>
                <w:i/>
              </w:rPr>
              <w:t>Šiuo tikslu Sąjungos institucijos ir įstaigos turi laikytis 8 punkto c papunktyje nustatytų priemonių.</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IV priedo 8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rPr>
                <w:b/>
                <w:i/>
              </w:rPr>
              <w:t>Slaptumo žyma RESTREINT UE/EU RESTRICTED pažymėta informacija turi būti gabenama bent vieno sluoksnio nepermatomoje pakuotėje, pvz., vokuose, nepermatomuose aplankuose arba portfelyje.</w:t>
            </w:r>
            <w:r>
              <w:t xml:space="preserve"> CONFIDENTIEL UE/EU CONFIDENTIAL arba aukštesnio lygio slaptumo žyma pažymėta informacija turi būti gabenama dviejų sluoksnių nepermatomoje pakuotėje.</w:t>
            </w:r>
          </w:p>
        </w:tc>
        <w:tc>
          <w:tcPr>
            <w:tcW w:w="4876" w:type="dxa"/>
          </w:tcPr>
          <w:p>
            <w:pPr>
              <w:pStyle w:val="Normal6a"/>
            </w:pPr>
            <w:r>
              <w:t>8.</w:t>
            </w:r>
            <w:r>
              <w:tab/>
            </w:r>
            <w:r>
              <w:t>CONFIDENTIEL UE/EU CONFIDENTIAL arba aukštesnio lygio slaptumo žyma pažymėta informacija turi būti gabenama dviejų sluoksnių nepermatomoje pakuotėje.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IV priedo 10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Komerciniai kurjeriai gali perduoti slaptumo žyma </w:t>
            </w:r>
            <w:r>
              <w:rPr>
                <w:b/>
                <w:i/>
              </w:rPr>
              <w:t>RESTREINT UE/EU RESTRICTED ir</w:t>
            </w:r>
            <w:r>
              <w:t xml:space="preserve"> CONFIDENTIEL UE/EU CONFIDENTIAL pažymėtą informaciją valstybėje narėje ir iš vienos valstybės narės į kitą. Komerciniai kurjeriai gali pristatyti slaptumo žyma SECRET UE/EU SECRET pažymėtą informaciją tik valstybėje narėje ir tik tuo atveju, jei juos patvirtina atitinkama nacionalinė saugumo institucija. Komerciniam kurjeriui negalima patikėti jokios slaptumo žyma TRES SECRET UE/EU TOP SECRET pažymėtos ESĮI.</w:t>
            </w:r>
          </w:p>
        </w:tc>
        <w:tc>
          <w:tcPr>
            <w:tcW w:w="4876" w:type="dxa"/>
          </w:tcPr>
          <w:p>
            <w:pPr>
              <w:pStyle w:val="Normal6a"/>
            </w:pPr>
            <w:r>
              <w:t>10.</w:t>
            </w:r>
            <w:r>
              <w:tab/>
            </w:r>
            <w:r>
              <w:t>Komerciniai kurjeriai gali perduoti slaptumo žyma CONFIDENTIEL UE/EU CONFIDENTIAL pažymėtą informaciją valstybėje narėje ir iš vienos valstybės narės į kitą. Komerciniai kurjeriai gali pristatyti slaptumo žyma SECRET UE/EU SECRET pažymėtą informaciją tik valstybėje narėje ir tik tuo atveju, jei juos patvirtina atitinkama nacionalinė saugumo institucija. Komerciniam kurjeriui negalima patikėti jokios slaptumo žyma TRES SECRET UE/EU TOP SECRET pažymėtos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18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Kai valstybės narės pagal savo nacionalinius įstatymus ir kitus teisės aktus reikalauja, kad dėl RESTREINT UE/EU RESTRICTED lygio sutarčių, dotacijų susitarimų arba subrangos sutarčių būtų išduotas ĮPPP arba asmens patikimumo pažymėjimas, Sąjungos institucijos ir įstaigos, kaip perkančiosios arba dotaciją skiriančios organizacijos, negali tais nacionaliniais reikalavimais remtis, kad kitoms valstybėms narėms nustatytų papildomas prievoles arba iš sutarčių, dotacijos susitarimų ar subrangos sutarčių arba jų skyrimo konkurso pašalintų konkurso dalyvius, pareiškėjus, rangovus, gavėjus ar subrangovus, kurie yra iš valstybių narių, kuriose tam, kad būtų galima susipažinti su slaptumo žyma RESTREINT UE/EU RESTRICTED pažymėta informacija, tokie reikalavimai dėl ĮPPP ar asmens patikimumo pažymėjimo nėra taikomi.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22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Dėl vizitų, per kuriuos suteikiama galimybė susipažinti su slaptumo žyma RESTREINT UE/EU RESTRICTED pažymėta informacija, turi tiesiogiai susitarti lankytojus siunčiantis ir juos priimantis subjektai.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24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Rangovo arba gavėjo RIS, kuriose tvarkoma slaptumo žyma RESTREINT UE/EU RESTRICTED pažymėta ESĮI, saugumo akreditavimo ir jų tarpusavio sujungimo užduotys gali būti perduodamos vykdyti rangovo arba gavėjo saugumo pareigūnui, jei tai leidžiama pagal nacionalinius įstatymus ir kitus teisės aktus.</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Kai saugumo akreditavimo užduotis perduodama, rangovas arba gavėjas, tvarkydamas savo RIS slaptumo žyma RESTREINT UE/EU RESTRICTED pažymėtą informaciją, turi būti atsakingas už saugumo aspektų paaiškinime aprašytų saugumo reikalavimų įgyvendinimą.</w:t>
            </w:r>
            <w:r>
              <w:rPr>
                <w:b/>
                <w:i/>
              </w:rPr>
              <w:t xml:space="preserve"> </w:t>
            </w:r>
            <w:r>
              <w:rPr>
                <w:b/>
                <w:i/>
              </w:rPr>
              <w:t>Atitinkamos nacionalinės saugumo institucijos arba nacionalinės saugumo institucijos ir SAI lieka atsakingos už slaptumo žyma RESTREINT UE/EU RESTRICTED pažymėtos informacijos, kurią tvarko arba saugo rangovas arba gavėjas, apsaugą ir turi teisę tikrinti saugumo priemones, kurių ėmėsi rangovas arba gavėjas.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Be to, rangovas arba gavėjas turi pateikti Sąjungos institucijai ir įstaigai, kaip perkančiajai arba dotaciją skiriančiai organizacijai, ir, kai to reikalaujama pagal nacionalinius įstatymus ir kitus teisės aktus, kompetentingai nacionalinei SAI atitikties pareiškimą, kuriuo patvirtinama, kad rangovo arba gavėjo RIS ir susijusios jungtys yra akredituotos tvarkyti ir saugoti slaptumo žyma RESTREINT UE/EU RESTRICTED pažymėtą ESĮI.</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26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Slaptumo žyma RESTREINT UE/EU RESTRICTED pažymėta informacija Europos Sąjungoje gali būti gabenama kaip kurjerį pasitelkiant rangovo arba gavėjo darbuotojus, jei laikomasi šių reikalavimų:</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naudojamas vokas arba pakuotė yra nepermatomi ir iš jų nematyti jų turinio slaptumo žymos;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įslaptintą informaciją gabenantis asmuo visą laiką ją turi su savimi;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vokas arba pakuotė neatidaromi tol, kol pasiekiama galutinė paskirties vieta.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68</w:t>
    </w:r>
    <w:r>
      <w:fldChar w:fldCharType="end"/>
    </w:r>
    <w:r>
      <w:t>/</w:t>
    </w:r>
    <w:r>
      <w:fldChar w:fldCharType="begin"/>
    </w:r>
    <w:r>
      <w:instrText xml:space="preserve"> NUMPAGES </w:instrText>
    </w:r>
    <w:r>
      <w:fldChar w:fldCharType="separate"/>
    </w:r>
    <w:r>
      <w:t>69</w:t>
    </w:r>
    <w:r>
      <w:fldChar w:fldCharType="end"/>
    </w:r>
    <w:r>
      <w:tab/>
    </w:r>
    <w:r>
      <w:rPr>
        <w:rStyle w:val="HideTWBExt"/>
      </w:rPr>
      <w:t>&lt;PathFdR&gt;</w:t>
    </w:r>
    <w:r>
      <w:t>AM\1285361LT.docx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AM\1285361LT.docx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69</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AM\1285361LT.docx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69</Pages>
  <Words>11906</Words>
  <Characters>82786</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26075</vt:lpwstr>
  </property>
  <property fmtid="{D5CDD505-2E9C-101B-9397-08002B2CF9AE}" pid="7" name="dmxml.render.traceId">
    <vt:lpwstr>651441d503ddd735375ac051b7ed860e</vt:lpwstr>
  </property>
  <property fmtid="{D5CDD505-2E9C-101B-9397-08002B2CF9AE}" pid="8" name="FooterPath">
    <vt:lpwstr>AM\1285361LT.docx</vt:lpwstr>
  </property>
  <property fmtid="{D5CDD505-2E9C-101B-9397-08002B2CF9AE}" pid="9" name="PE Number">
    <vt:lpwstr>752.883</vt:lpwstr>
  </property>
  <property fmtid="{D5CDD505-2E9C-101B-9397-08002B2CF9AE}" pid="10" name="UID">
    <vt:lpwstr>eu.europa.europarl-DIN1-2023-0000116548_01.00-lt-01.00_text-xml</vt:lpwstr>
  </property>
</Properties>
</file>