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3.6.0 -->
  <w:body>
    <w:tbl>
      <w:tblPr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jc w:val="left"/>
            </w:pPr>
            <w:r>
              <w:t>2019-2024</w:t>
            </w:r>
          </w:p>
        </w:tc>
        <w:tc>
          <w:tcPr>
            <w:tcW w:w="2268" w:type="dxa"/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Výbor pre občianske slobody, spravodlivosť a vnútorné veci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2022/0084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{07/09/2023}</w:t>
      </w:r>
      <w:r>
        <w:t>7.9.2023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POZMEŇUJÚCE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34</w:t>
      </w:r>
      <w:r>
        <w:t xml:space="preserve"> - </w:t>
      </w:r>
      <w:r>
        <w:t>181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správy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Vladimír Bilčík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(PE751.547v01-00)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Bezpečnosť informácií v inštitúciách, orgánoch, úradoch a agentúrach Únie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(COM(2022)0119 – C9-0121/2022 – 2022/0084(COD))</w:t>
      </w:r>
      <w:r>
        <w:rPr>
          <w:rStyle w:val="HideTWBExt"/>
        </w:rPr>
        <w:t>&lt;/DocRef&gt;</w:t>
      </w:r>
    </w:p>
    <w:p>
      <w:r>
        <w:br w:type="page"/>
      </w:r>
      <w:r>
        <w:t>AM_Com_LegReport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1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vzhľadom na to, že poslanci Parlamentu majú na účely účinného výkonu svojho mandátu v súlade so zmluvami prístup ku všetkým druhom informácií na základe potreby poznať;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Citácia 1 b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vzhľadom na špecifickosť mandátu poslancov Európskeho parlamentu zvolených v členských štátoch EÚ a na ďeľbu moci medzi výkonnu a zákonodarnu moc a v vzhľadom na to, že poslanci sú oslobodení od postupu bezpečnostných previerok zo strany vnútroštátnych bezpečnostných orgánov;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V súčasnosti majú inštitúcie a orgány Únie buď vlastné predpisy v oblasti bezpečnosti informácií vychádzajúce z ich rokovacieho poriadku alebo zakladajúceho aktu, alebo nemajú vôbec žiadne takéto predpisy. V uvedenej súvislosti všetky inštitúcie a orgány Únie vynakladajú značné úsilie na prijatie odlišných prístupov, čo vedie k tomu, že výmena informácií nie je vždy spoľahlivá. Nedostatočný spoločný prístup bráni nasadzovaniu spoločných nástrojov vychádzajúcich z dohodnutého súboru predpisov na základe bezpečnostných potrieb informácií, ktoré sa majú chrániť.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V súčasnosti majú inštitúcie a orgány Únie buď vlastné predpisy v oblasti bezpečnosti informácií vychádzajúce z ich rokovacieho poriadku alebo zakladajúceho aktu, alebo nemajú vôbec žiadne takéto predpisy. V uvedenej súvislosti všetky inštitúcie a orgány Únie vynakladajú značné úsilie na prijatie odlišných prístupov, čo vedie k tomu, že výmena informácií nie je vždy spoľahlivá </w:t>
            </w:r>
            <w:r>
              <w:rPr>
                <w:b/>
                <w:i/>
              </w:rPr>
              <w:t>alebo nepreniknuteľná</w:t>
            </w:r>
            <w:r>
              <w:t>. Nedostatočný spoločný prístup bráni nasadzovaniu spoločných nástrojov vychádzajúcich z dohodnutého súboru predpisov na základe bezpečnostných potrieb informácií, ktoré sa majú chrániť</w:t>
            </w:r>
            <w:r>
              <w:rPr>
                <w:b/>
                <w:i/>
              </w:rPr>
              <w:t>, ako aj na interoperabilite týchto nástrojov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1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(1a)</w:t>
            </w:r>
            <w:r>
              <w:tab/>
            </w:r>
            <w:r>
              <w:rPr>
                <w:b/>
                <w:i/>
              </w:rPr>
              <w:t>vzhľadom na to, že inštitúcie Únie sú povinné uplatňovať článok 15 ods. 3 ZFEÚ v súlade s demokratickými zásadami, najmä zásadami stanovenými v článku 10 ods. 3 ZEÚ a v článku 42 Charty základných práv Európskej únie (ďalej len „Charta"), systém utajovaných skutočností Európskej únie by mal dodržiavať zásady minimalizácie utajovania údajov a časového obmedzenia pre každé takéto utajenie.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Annika Bruna, Jean-Paul Garraud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1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(1a)</w:t>
            </w:r>
            <w:r>
              <w:tab/>
            </w:r>
            <w:r>
              <w:rPr>
                <w:b/>
                <w:i/>
              </w:rPr>
              <w:t>vyjadruje znepokojenie nad tým, že Komisia a Európska služba pre vonkajšiu činnosť (ESVČ) zavádzajú dve súbežné iniciatívy zahŕňajúce spoluprácu so súkromnými spoločnosťami v oblasti kybernetických bezpečnostných hrozieb.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Nils Ušakovs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>Hoci sa dosiahol pokrok pri zavádzaní konzistentnejších predpisov na ochranu utajovaných skutočností Európskej únie a neutajovaných skutočností, interoperabilita príslušných systémov je naďalej obmedzená, čo bráni hladkému prenosu informácií medzi jednotlivými inštitúciami a orgánmi Únie. Je preto potrebné vyvinúť ďalšie úsilie na to, aby sa umožnil medziinštitucionálny prístup k spoločnému využívaniu utajovaných skutočností EÚ a citlivých neutajovaných skutočností, a to určením spoločných kategórií informácií a spoločných kľúčových zásad manipulácie s informáciami. Takisto by sa mal stanoviť základ na zjednodušenie postupov spoločného využívania utajovaných skutočností EÚ a citlivých neutajovaných skutočností medzi inštitúciami a orgánmi Únie a s členskými štátmi.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Hoci sa dosiahol pokrok pri zavádzaní konzistentnejších predpisov na ochranu utajovaných skutočností Európskej únie a neutajovaných skutočností, interoperabilita príslušných systémov je naďalej obmedzená, čo bráni hladkému prenosu informácií medzi jednotlivými inštitúciami a orgánmi Únie. </w:t>
            </w:r>
            <w:r>
              <w:rPr>
                <w:b/>
                <w:i/>
              </w:rPr>
              <w:t>Medziinštitucionálna spolupráca a dôvera sú kľúčom k účinnej a efektívnej ochrane prostredia informačnej bezpečnosti Únie.</w:t>
            </w:r>
            <w:r>
              <w:t xml:space="preserve"> Je preto potrebné vyvinúť ďalšie úsilie na to, aby sa umožnil medziinštitucionálny prístup </w:t>
            </w:r>
            <w:r>
              <w:rPr>
                <w:b/>
                <w:i/>
              </w:rPr>
              <w:t>založený na zvýšených synergiách</w:t>
            </w:r>
            <w:r>
              <w:t> k spoločnému využívaniu utajovaných skutočností EÚ a citlivých neutajovaných skutočností, a to určením spoločných kategórií informácií a spoločných kľúčových zásad manipulácie s informáciami. Takisto by sa mal stanoviť základ na zjednodušenie postupov spoločného využívania utajovaných skutočností EÚ a citlivých neutajovaných skutočností medzi inštitúciami a orgánmi Únie a s členskými štátmi.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Hoci sa dosiahol pokrok pri zavádzaní konzistentnejších predpisov na ochranu utajovaných skutočností Európskej únie a neutajovaných skutočností, interoperabilita príslušných systémov je naďalej obmedzená, čo bráni hladkému prenosu informácií medzi jednotlivými inštitúciami a orgánmi Únie. </w:t>
            </w:r>
            <w:r>
              <w:rPr>
                <w:b/>
                <w:i/>
              </w:rPr>
              <w:t>Je preto potrebné vyvinúť ďalšie úsilie na to, aby sa umožnil</w:t>
            </w:r>
            <w:r>
              <w:t xml:space="preserve"> medziinštitucionálny prístup k spoločnému využívaniu utajovaných skutočností EÚ a citlivých neutajovaných skutočností, a to určením spoločných kategórií informácií a spoločných kľúčových zásad manipulácie s informáciami. </w:t>
            </w:r>
            <w:r>
              <w:rPr>
                <w:b/>
                <w:i/>
              </w:rPr>
              <w:t>Takisto</w:t>
            </w:r>
            <w:r>
              <w:t xml:space="preserve"> by sa </w:t>
            </w:r>
            <w:r>
              <w:rPr>
                <w:b/>
                <w:i/>
              </w:rPr>
              <w:t>mal stanoviť základ na zjednodušenie postupov</w:t>
            </w:r>
            <w:r>
              <w:t xml:space="preserve"> spoločného využívania utajovaných skutočností EÚ a citlivých neutajovaných skutočností medzi inštitúciami a orgánmi Únie a s členskými štátmi.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Hoci sa dosiahol pokrok pri zavádzaní konzistentnejších predpisov na ochranu utajovaných skutočností Európskej únie a neutajovaných skutočností, interoperabilita príslušných systémov je naďalej obmedzená, čo bráni hladkému prenosu informácií medzi jednotlivými inštitúciami a orgánmi Únie. </w:t>
            </w:r>
            <w:r>
              <w:rPr>
                <w:b/>
                <w:i/>
              </w:rPr>
              <w:t>Mal by sa zaviesť</w:t>
            </w:r>
            <w:r>
              <w:t xml:space="preserve"> medziinštitucionálny prístup k spoločnému využívaniu utajovaných skutočností EÚ a citlivých neutajovaných skutočností, a to určením spoločných kategórií informácií a spoločných kľúčových zásad manipulácie s informáciami. </w:t>
            </w:r>
            <w:r>
              <w:rPr>
                <w:b/>
                <w:i/>
              </w:rPr>
              <w:t>Mali</w:t>
            </w:r>
            <w:r>
              <w:t xml:space="preserve"> by sa </w:t>
            </w:r>
            <w:r>
              <w:rPr>
                <w:b/>
                <w:i/>
              </w:rPr>
              <w:t>zjednodušiť postupy</w:t>
            </w:r>
            <w:r>
              <w:t xml:space="preserve"> spoločného využívania utajovaných skutočností EÚ a citlivých neutajovaných skutočností medzi inštitúciami a orgánmi Únie a s členskými štátmi.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Annika Bruna, Jean-Paul Garraud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>Preto by sa mali stanoviť príslušné predpisy na zabezpečenie spoločnej úrovne bezpečnosti informácií vo všetkých inštitúciách a orgánoch Únie. Mali by predstavovať komplexný a súdržný všeobecný rámec ochrany utajovaných skutočností EÚ a neutajovaných skutočností a zabezpečovať rovnocennosť základných zásad a minimálnych noriem.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>Preto by sa mali stanoviť príslušné predpisy na zabezpečenie spoločnej úrovne bezpečnosti informácií vo všetkých inštitúciách a orgánoch Únie</w:t>
            </w:r>
            <w:r>
              <w:rPr>
                <w:b/>
                <w:i/>
              </w:rPr>
              <w:t>, najmä vzhľadom na to, že hrozby v oblasti kybernetickej bezpečnosti sa zvyšujú a mnohé vnútroštátne orgány boli napadnuté</w:t>
            </w:r>
            <w:r>
              <w:t>. Mali by predstavovať komplexný a súdržný všeobecný rámec ochrany utajovaných skutočností EÚ a neutajovaných skutočností a zabezpečovať rovnocennosť základných zásad a minimálnych noriem.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>Preto by sa mali stanoviť príslušné predpisy na zabezpečenie spoločnej úrovne bezpečnosti informácií vo všetkých inštitúciách a orgánoch Únie. Mali by predstavovať komplexný a súdržný všeobecný rámec ochrany utajovaných skutočností EÚ a neutajovaných skutočností a zabezpečovať rovnocennosť základných zásad a minimálnych noriem.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 xml:space="preserve">Preto by sa mali stanoviť príslušné predpisy na zabezpečenie spoločnej úrovne bezpečnosti informácií vo všetkých inštitúciách a orgánoch Únie. Mali by predstavovať komplexný a súdržný všeobecný rámec ochrany utajovaných skutočností EÚ a neutajovaných skutočností a zabezpečovať rovnocennosť základných zásad a </w:t>
            </w:r>
            <w:r>
              <w:rPr>
                <w:b/>
                <w:i/>
              </w:rPr>
              <w:t>spoločných </w:t>
            </w:r>
            <w:r>
              <w:t>minimálnych noriem.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3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(3a)</w:t>
            </w:r>
            <w:r>
              <w:tab/>
            </w:r>
            <w:r>
              <w:rPr>
                <w:b/>
                <w:i/>
              </w:rPr>
              <w:t>Toto nariadenie stanovuje pravidlá platné pre správu všetkých inštitúcií a orgánov Únie, ale nezahŕňa komisárov, zástupcov členských štátov pôsobiacich v Rade, poslancov Európskeho parlamentu, sudcov súdov Únie ani členov Európskeho dvora audítorov, ktorí podliehajú ich vnútorným predpisom.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3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(3a)</w:t>
            </w:r>
            <w:r>
              <w:tab/>
            </w:r>
            <w:r>
              <w:rPr>
                <w:b/>
                <w:i/>
              </w:rPr>
              <w:t>V článku 15 ZFEÚ sa uvádza, že inštitúcie, orgány, úrady a agentúry Únie majú v čo najväčšej možnej miere dodržiavať zásadu otvorenosti a že každý občan Únie má právo na prístup k dokumentom.</w:t>
            </w:r>
            <w:r>
              <w:t xml:space="preserve"> </w:t>
            </w:r>
            <w:r>
              <w:rPr>
                <w:b/>
                <w:i/>
              </w:rPr>
              <w:t>Každé utajenie dokumentov sa preto uskutočňuje s ohľadom na tieto hlavné zásady.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3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(3a)</w:t>
            </w:r>
            <w:r>
              <w:tab/>
            </w:r>
            <w:r>
              <w:rPr>
                <w:b/>
                <w:i/>
              </w:rPr>
              <w:t>Vzhľadom na to, že v zmluvách sa udeľujú právomoci jednotlivým inštitúciám Únie.</w:t>
            </w:r>
            <w:r>
              <w:t xml:space="preserve"> </w:t>
            </w:r>
            <w:r>
              <w:rPr>
                <w:b/>
                <w:i/>
              </w:rPr>
              <w:t>Aby sa tieto právomoci mohli účinne vykonávať, poslanci by mali mať na základe svojho mandátu prístup ku všetkým potrebným informáciám na základe potreby poznať.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Nils Ušakovs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3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(3a)</w:t>
            </w:r>
            <w:r>
              <w:tab/>
            </w:r>
            <w:r>
              <w:rPr>
                <w:b/>
                <w:i/>
              </w:rPr>
              <w:t>Členovia inštitúcií Únie by mali mať vzhľadom na svoj mandát prístup ku všetkým potrebným informáciám na základe zásady potreby poznať, aby mohli vykonávať právomoci, ktoré im boli zverené zmluvami.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Annika Bruna, Jean-Paul Garraud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3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(3a)</w:t>
            </w:r>
            <w:r>
              <w:tab/>
            </w:r>
            <w:r>
              <w:rPr>
                <w:b/>
                <w:i/>
              </w:rPr>
              <w:t>Pripomína, že vlády EÚ si musia zachovať kontrolu nad citlivými informáciami;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3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(3b)</w:t>
            </w:r>
            <w:r>
              <w:tab/>
            </w:r>
            <w:r>
              <w:rPr>
                <w:b/>
                <w:i/>
              </w:rPr>
              <w:t>S cieľom zabezpečiť účinnosť tohto nariadenia by bolo vhodné posúdiť, či sú vnútorné predpisy, ktoré sa vzťahujú na komisárov, zástupcov členských štátov pôsobiacich v Rade, poslancov Európskeho parlamentu, sudcov súdov Únie alebo členov Európskeho dvora audítorov v súlade so spoločnou minimálnou úrovňou ochrany stanovenou týmto nariadením, a v opačnom prípade vykonať potrebné zmeny.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3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(3b)</w:t>
            </w:r>
            <w:r>
              <w:tab/>
            </w:r>
            <w:r>
              <w:rPr>
                <w:b/>
                <w:i/>
              </w:rPr>
              <w:t>V súvislosti s bezpečnosťou informácií by inštitúcie a orgány Únie mali zvýšiť organizačnú interoperabilitu a prijať spoločné opatrenia s cieľom zabezpečiť, aby siete, informačné systémy, údaje a všetky hmotné aktíva používané na získavanie, uchovávanie, spracovanie a prenos informácií boli riadne chránené.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3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(3c)</w:t>
            </w:r>
            <w:r>
              <w:tab/>
            </w:r>
            <w:r>
              <w:rPr>
                <w:b/>
                <w:i/>
              </w:rPr>
              <w:t>Bezpečný prístup k informáciám v kontexte vzájomnej dôvery je nevyhnutný na to, aby európski spoluzákonodarcovia mohli vykonávať svoje funkcie a aby neboli obmedzovaní pri výkone svojich demokratických funkcií;</w:t>
            </w:r>
            <w:r>
              <w:t xml:space="preserve"> </w:t>
            </w:r>
            <w:r>
              <w:rPr>
                <w:b/>
                <w:i/>
              </w:rPr>
              <w:t>Poslanci Európskeho parlamentu vykonávajú túto legislatívnu funkciu, a preto by sa ich prístup k informáciám mal riadiť pravidlami, ktorých požiadavky sú porovnateľné so spoločnými minimálnymi normami stanovenými týmto nariadením.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Nedávna pandémia </w:t>
            </w:r>
            <w:r>
              <w:rPr>
                <w:b/>
                <w:i/>
              </w:rPr>
              <w:t>viedla k významnej zmene</w:t>
            </w:r>
            <w:r>
              <w:t xml:space="preserve"> pracovných postupov, ktorá spočívala v tom, že nástroje diaľkovej komunikácie sa stali normou. Preto bolo množstvo postupov, ktoré boli ešte stále do istej miery papierové, rýchlo upravených tak, aby sa umožnilo elektronické spracovanie a výmena informácií. Tento vývoj si vyžaduje zmeny v oblasti manipulácie s informáciami a ochrany informácií. V tomto nariadení sa nové pracovné postupy zohľadňujú.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Nedávna pandémia </w:t>
            </w:r>
            <w:r>
              <w:rPr>
                <w:b/>
                <w:i/>
              </w:rPr>
              <w:t>urýchlila významnú základnú transformáciu</w:t>
            </w:r>
            <w:r>
              <w:t xml:space="preserve"> pracovných postupov, ktorá spočívala v tom, že nástroje diaľkovej komunikácie sa stali normou. Preto bolo množstvo postupov, ktoré boli ešte stále do istej miery papierové, rýchlo upravených tak, aby sa umožnilo elektronické spracovanie a výmena informácií. Tento vývoj si vyžaduje zmeny v oblasti manipulácie s informáciami a ochrany informácií. V tomto nariadení sa nové pracovné postupy zohľadňujú.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Annika Bruna, Jean-Paul Garraud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>V tomto nariadení sa vytvorením minimálnej spoločnej úrovne ochrany utajovaných skutočností EÚ a neutajovaných skutočností zabezpečuje, aby mali inštitúcie a orgány Únie pri vykonávaní svojho poslania podporu efektívnej a nezávislej administratívy. Zároveň si všetky inštitúcie a orgány Únie ponechávajú nezávislosť pri určovaní spôsobu vykonávania predpisov stanovených v tomto nariadení v súlade s vlastnými bezpečnostnými potrebami. Toto nariadenie v žiadnom prípade nebráni inštitúciám a orgánom Únie v plnení ich poslania, ktorým ich poverili právne predpisy EÚ, ani nezasahuje do ich inštitucionálnej autonómie.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 xml:space="preserve">V tomto nariadení sa vytvorením minimálnej spoločnej úrovne ochrany utajovaných skutočností EÚ a neutajovaných skutočností zabezpečuje, aby mali inštitúcie a orgány Únie pri vykonávaní svojho poslania podporu efektívnej a nezávislej administratívy. Zároveň si všetky inštitúcie a orgány Únie ponechávajú nezávislosť pri určovaní spôsobu vykonávania predpisov stanovených v tomto nariadení v súlade s vlastnými bezpečnostnými potrebami. Toto nariadenie v žiadnom prípade nebráni inštitúciám a orgánom Únie v plnení ich poslania, ktorým ich poverili právne predpisy EÚ, ani nezasahuje do ich inštitucionálnej autonómie. </w:t>
            </w:r>
            <w:r>
              <w:rPr>
                <w:b/>
                <w:i/>
              </w:rPr>
              <w:t>táto minimálna spoločná úroveň ochrany utajovaných skutočností EÚ zabezpečí správnu rovnováhu medzi transparentnosťou a používaním utajovaných skutočností spôsobom, ktorý bráni orgánom EÚ v plnení ich úloh;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>V tomto nariadení sa vytvorením minimálnej spoločnej úrovne ochrany utajovaných skutočností EÚ a neutajovaných skutočností zabezpečuje, aby mali inštitúcie a orgány Únie pri vykonávaní svojho poslania podporu efektívnej a nezávislej administratívy. Zároveň si všetky inštitúcie a orgány Únie ponechávajú nezávislosť pri určovaní spôsobu vykonávania predpisov stanovených v tomto nariadení v súlade s vlastnými bezpečnostnými potrebami. Toto nariadenie v žiadnom prípade nebráni inštitúciám a orgánom Únie v plnení ich poslania, ktorým ich poverili právne predpisy EÚ, ani nezasahuje do ich inštitucionálnej autonómie.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 xml:space="preserve">V tomto nariadení sa vytvorením minimálnej spoločnej úrovne ochrany utajovaných skutočností EÚ a neutajovaných skutočností zabezpečuje, aby mali inštitúcie a orgány Únie pri vykonávaní svojho poslania podporu efektívnej a nezávislej administratívy. Zároveň si všetky inštitúcie a orgány Únie ponechávajú nezávislosť pri určovaní spôsobu vykonávania predpisov stanovených v tomto nariadení v súlade s vlastnými bezpečnostnými potrebami. Toto nariadenie v žiadnom prípade nebráni inštitúciám a orgánom Únie v plnení ich poslania, ktorým ich poverili právne predpisy EÚ, ani nezasahuje do ich inštitucionálnej autonómie. </w:t>
            </w:r>
            <w:r>
              <w:rPr>
                <w:b/>
                <w:i/>
              </w:rPr>
              <w:t>Náležitá pozornosť by sa mala venovať aj tomu, aby opatrenia nemali negatívny vplyv na efektívnu výmenu informácií a operácie subjektov Únie s inými subjektmi Únie a príslušnými vnútroštátnymi orgánmi.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5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(5a)</w:t>
            </w:r>
            <w:r>
              <w:tab/>
            </w:r>
            <w:r>
              <w:rPr>
                <w:b/>
                <w:i/>
              </w:rPr>
              <w:t>Transparentná a včasná výmena utajovaných skutočností EÚ je mimoriadne dôležitá pre riadne fungovanie inštitúcií a orgánov Únie.</w:t>
            </w:r>
            <w:r>
              <w:t xml:space="preserve"> </w:t>
            </w:r>
            <w:r>
              <w:rPr>
                <w:b/>
                <w:i/>
              </w:rPr>
              <w:t>Pri vykonávaní tohto nariadenia by sa inštitúcie a orgány Únie mali usilovať o to, aby zvýšili transparentnosť, minimalizovali a časovo obmedzili používanie dôverných dokumentov a poskytovali záruky proti používaniu utajenia spôsobom, ktorý by subjektom Únie bránil v plnení ich poslania, pričom by mali zaistiť primeranú ochranu oznamovateľov a vysokú úroveň ochrany informácií v súlade s právom Únie a najlepšími postupmi.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Nils Ušakovs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5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(5a)</w:t>
            </w:r>
            <w:r>
              <w:tab/>
            </w:r>
            <w:r>
              <w:rPr>
                <w:b/>
                <w:i/>
              </w:rPr>
              <w:t>Toto nariadenie by malo zabezpečiť, aby každé obmedzenie práva na ochranu osobných údajov a súkromia bolo nevyhnutné a primerané a aby rešpektovalo podstatu tohto práva v súlade s článkom 52 ods. 1 Charty základných práv Európskej únie.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Nils Ušakovs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5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(5b)</w:t>
            </w:r>
            <w:r>
              <w:tab/>
            </w:r>
            <w:r>
              <w:rPr>
                <w:b/>
                <w:i/>
              </w:rPr>
              <w:t>Všetky opatrenia na zabezpečenie informácií zahŕňajúce spracovanie osobných údajov by mali byť v súlade s príslušnými právnymi predpismi Únie o ochrane údajov a súkromia.</w:t>
            </w:r>
            <w:r>
              <w:t xml:space="preserve"> </w:t>
            </w:r>
            <w:r>
              <w:rPr>
                <w:b/>
                <w:i/>
              </w:rPr>
              <w:t>Inštitúcie a orgány Únie by mali poskytnúť príslušné technické a organizačné záruky na zabezpečenie dodržiavania predpisov zodpovedným, transparentným a odôvodneným spôsobom.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Annika Bruna, Jean-Paul Garraud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6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(6a)</w:t>
            </w:r>
            <w:r>
              <w:tab/>
            </w:r>
            <w:r>
              <w:rPr>
                <w:b/>
                <w:i/>
              </w:rPr>
              <w:t>Väčšina informácií o kybernetických hrozbách sa týka zneužívaných zraniteľností, inými slovami slabých miest, ktoré hackeri využívajú na získanie neoprávneného prístupu.</w:t>
            </w:r>
            <w:r>
              <w:t xml:space="preserve"> </w:t>
            </w:r>
            <w:r>
              <w:rPr>
                <w:b/>
                <w:i/>
              </w:rPr>
              <w:t>Agentúra Európskej únie pre kybernetickú bezpečnosť (ENISA) nemusí mať dostatočné kapacity na to, aby zvládla množstvo hlásení o týchto zraniteľnostiach, ktoré dostáva od výrobcov výrobkov.</w:t>
            </w:r>
            <w:r>
              <w:t xml:space="preserve"> </w:t>
            </w:r>
            <w:r>
              <w:rPr>
                <w:b/>
                <w:i/>
              </w:rPr>
              <w:t>Členské štáty by uprednostnili zasielanie týchto oznámení národným jednotkám pre riešenie počítačových bezpečnostných incidentov (CSIRT);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7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(7a)</w:t>
            </w:r>
            <w:r>
              <w:tab/>
            </w:r>
            <w:r>
              <w:rPr>
                <w:b/>
                <w:i/>
              </w:rPr>
              <w:t>S cieľom zachovať osobitnú povahu úloh a činností Európskej centrálnej banky (ECB) ako súčasti Európskeho systému centrálnych bánk (ESCB) a jednotného mechanizmu dohľadu (SSM), ktoré sa vykonávajú v spolupráci s národnými centrálnymi bankami a príslušnými vnútroštátnymi orgánmi, by sa toto nariadenie nemalo vzťahovať na informácie ESCB a SSM.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>S cieľom zaviesť formálnu štruktúru spolupráce medzi inštitúciami a orgánmi Únie v oblasti bezpečnosti informácií je potrebné zriadiť medziinštitucionálnu koordinačnú skupinu (ďalej len „koordinačná skupina“), v ktorej budú zastúpené bezpečnostné orgány všetkých inštitúcií a orgánov Únie. Koordinačná skupina nemá rozhodovacie právomoci a mala by zabezpečovať posilňovanie súdržnosti politík v oblasti bezpečnosti informácií a podieľať sa na harmonizácii postupov a nástrojov v rámci informačnej bezpečnosti vo všetkých inštitúciách a orgánoch Únie.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 xml:space="preserve">S cieľom zaviesť formálnu </w:t>
            </w:r>
            <w:r>
              <w:rPr>
                <w:b/>
                <w:i/>
              </w:rPr>
              <w:t>spoločnú a jednotnú </w:t>
            </w:r>
            <w:r>
              <w:t>štruktúru spolupráce medzi inštitúciami a orgánmi Únie v oblasti bezpečnosti informácií je potrebné zriadiť medziinštitucionálnu koordinačnú skupinu (ďalej len „koordinačná skupina“), v ktorej budú zastúpené bezpečnostné orgány všetkých inštitúcií a orgánov Únie. Koordinačná skupina nemá rozhodovacie právomoci a mala by zabezpečovať posilňovanie súdržnosti politík v oblasti bezpečnosti informácií a podieľať sa na harmonizácii postupov a nástrojov v rámci informačnej bezpečnosti vo všetkých inštitúciách a orgánoch Únie.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Nils Ušakovs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t xml:space="preserve">Úsilie koordinačnej skupiny musia podporovať experti z rôznych oblastí bezpečnosti informácií: kategorizácie a označovania, komunikačných a informačných systémov, certifikácie, fyzickej bezpečnosti a spoločného využívania utajovaných skutočností EÚ a výmeny utajovaných skutočností. </w:t>
            </w:r>
            <w:r>
              <w:rPr>
                <w:b/>
                <w:i/>
              </w:rPr>
              <w:t>S cieľom zabrániť duplicite úsilia v inštitúciách a orgánoch Únie by sa mali zriadiť tematické podskupiny</w:t>
            </w:r>
            <w:r>
              <w:t>. Okrem toho by mala byť koordinačná skupina v prípade potreby schopná zriaďovať ďalšie podskupiny poverené špecifickými úlohami.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t xml:space="preserve">Úsilie koordinačnej skupiny musia podporovať experti z rôznych oblastí bezpečnosti informácií: kategorizácie a označovania, komunikačných a informačných systémov, certifikácie, fyzickej bezpečnosti a spoločného využívania utajovaných skutočností EÚ a výmeny utajovaných skutočností. </w:t>
            </w:r>
            <w:r>
              <w:rPr>
                <w:b/>
                <w:i/>
              </w:rPr>
              <w:t>kategorizácie a označovania, komunikačných a informačných systémov, certifikácie, fyzickej bezpečnosti a spoločného využívania utajovaných skutočností EÚ a výmeny utajovaných skutočností</w:t>
            </w:r>
            <w:r>
              <w:t>. Okrem toho by mala byť koordinačná skupina v prípade potreby schopná zriaďovať ďalšie podskupiny poverené špecifickými úlohami.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Annika Bruna, Jean-Paul Garraud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>Koordinačná skupina by mala úzko spolupracovať s národnými bezpečnostnými orgánmi členských štátov na posilňovaní bezpečnosti informácií v Únii. Preto by sa mal na účely poskytovania poradenstva koordinačnej skupine zriadiť Výbor pre bezpečnosť informácií.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>Koordinačná skupina by mala úzko spolupracovať s národnými bezpečnostnými orgánmi členských štátov na posilňovaní bezpečnosti informácií v Únii. Preto by sa mal na účely poskytovania poradenstva koordinačnej skupine zriadiť Výbor pre bezpečnosť informácií</w:t>
            </w:r>
            <w:r>
              <w:rPr>
                <w:b/>
                <w:i/>
              </w:rPr>
              <w:t>, ktorý by zároveň rešpektoval výsady členských štátov v súvislosti s dôvernými bezpečnostnými údajmi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Koordinačná skupina by mala úzko spolupracovať s </w:t>
            </w:r>
            <w:r>
              <w:rPr>
                <w:b/>
                <w:i/>
              </w:rPr>
              <w:t>národnými bezpečnostnými orgánmi</w:t>
            </w:r>
            <w:r>
              <w:t xml:space="preserve"> členských štátov na posilňovaní bezpečnosti informácií v Únii. Preto by sa mal na účely poskytovania poradenstva koordinačnej skupine zriadiť Výbor pre bezpečnosť informácií.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Koordinačná skupina by mala úzko spolupracovať s </w:t>
            </w:r>
            <w:r>
              <w:rPr>
                <w:b/>
                <w:i/>
              </w:rPr>
              <w:t>orgánom pre utajovanie</w:t>
            </w:r>
            <w:r>
              <w:t xml:space="preserve"> členských štátov na posilňovaní bezpečnosti informácií v Únii. Preto by sa mal na účely poskytovania poradenstva koordinačnej skupine zriadiť Výbor pre bezpečnosť informácií.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Odôvodnenie</w:t>
      </w:r>
      <w:r>
        <w:rPr>
          <w:rStyle w:val="HideTWBExt"/>
        </w:rPr>
        <w:t>&lt;/TitreJust&gt;</w:t>
      </w:r>
    </w:p>
    <w:p>
      <w:pPr>
        <w:pStyle w:val="AmJustText"/>
      </w:pPr>
      <w:r>
        <w:t>Tento pozmeňujúci návrh sa uplatňuje horizontálne.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(12)</w:t>
            </w:r>
            <w:r>
              <w:tab/>
            </w:r>
            <w:r>
              <w:t xml:space="preserve">Zásada riadenia rizík v oblasti bezpečnosti informácií by mala byť jadrom politiky, ktorú má v tejto oblasti vypracovať každá inštitúcia a orgán Únie. Keďže musia byť splnené minimálne požiadavky stanovené v tomto nariadení, všetky inštitúcie a orgány Únie by mali prijať osobitné bezpečnostné opatrenia na ochranu informácií vyplývajúce z výsledkov interného posúdenia rizík. Rovnako by sa mali technické prostriedky na ochranu informácií prispôsobiť </w:t>
            </w:r>
            <w:r>
              <w:rPr>
                <w:b/>
                <w:i/>
              </w:rPr>
              <w:t>konkrétnej situácii</w:t>
            </w:r>
            <w:r>
              <w:t xml:space="preserve"> jednotlivých inštitúcií a orgánov.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(12)</w:t>
            </w:r>
            <w:r>
              <w:tab/>
            </w:r>
            <w:r>
              <w:t xml:space="preserve">Zásada riadenia rizík v oblasti bezpečnosti informácií by mala byť jadrom politiky, ktorú má v tejto oblasti vypracovať každá inštitúcia a orgán Únie. Keďže musia byť splnené </w:t>
            </w:r>
            <w:r>
              <w:rPr>
                <w:b/>
                <w:i/>
              </w:rPr>
              <w:t>spoločné </w:t>
            </w:r>
            <w:r>
              <w:t xml:space="preserve">minimálne požiadavky stanovené v tomto nariadení, všetky inštitúcie a orgány Únie by mali prijať osobitné bezpečnostné opatrenia na ochranu informácií vyplývajúce z výsledkov interného posúdenia rizík. Rovnako by sa mali technické prostriedky na ochranu informácií prispôsobiť </w:t>
            </w:r>
            <w:r>
              <w:rPr>
                <w:b/>
                <w:i/>
              </w:rPr>
              <w:t>potrebám a špecifikám</w:t>
            </w:r>
            <w:r>
              <w:t xml:space="preserve"> jednotlivých inštitúcií a orgánov.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(13)</w:t>
            </w:r>
            <w:r>
              <w:tab/>
            </w:r>
            <w:r>
              <w:rPr>
                <w:b/>
                <w:i/>
              </w:rPr>
              <w:t>Vzhľadom na rozmanitosť kategórií neutajovaných skutočností, ktoré inštitúcie a orgány Únie vypracovali na základe vlastných predpisov v oblasti bezpečnosti informácií, a s cieľom zabrániť oneskorenému vykonávaniu tohto nariadenia by mali mať inštitúcie a orgány Únie možnosť ponechať si na interné účely alebo pri výmene informácií s konkrétnymi partnermi z iných inštitúcií a orgánov alebo z členských štátov vlastný systém označovania.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(14)</w:t>
            </w:r>
            <w:r>
              <w:tab/>
            </w:r>
            <w:r>
              <w:t xml:space="preserve">Na účely prispôsobenia sa novým postupom telepráce by sa mali </w:t>
            </w:r>
            <w:r>
              <w:rPr>
                <w:b/>
                <w:i/>
              </w:rPr>
              <w:t>siete</w:t>
            </w:r>
            <w:r>
              <w:t xml:space="preserve"> používané na prepájanie služieb vzdialeného prístupu v rámci inštitúcie alebo orgánu Únie chrániť </w:t>
            </w:r>
            <w:r>
              <w:rPr>
                <w:b/>
                <w:i/>
              </w:rPr>
              <w:t>primeranými</w:t>
            </w:r>
            <w:r>
              <w:t xml:space="preserve"> bezpečnostnými opatreniami.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(14)</w:t>
            </w:r>
            <w:r>
              <w:tab/>
            </w:r>
            <w:r>
              <w:t xml:space="preserve">Na účely prispôsobenia sa novým postupom telepráce by sa mali </w:t>
            </w:r>
            <w:r>
              <w:rPr>
                <w:b/>
                <w:i/>
              </w:rPr>
              <w:t>sieťové informačné systémy, digitálna infraštruktúra a koncové zariadenia</w:t>
            </w:r>
            <w:r>
              <w:t xml:space="preserve"> používané na prepájanie služieb vzdialeného prístupu v rámci inštitúcie alebo orgánu Únie chrániť </w:t>
            </w:r>
            <w:r>
              <w:rPr>
                <w:b/>
                <w:i/>
              </w:rPr>
              <w:t>najmodernejšími</w:t>
            </w:r>
            <w:r>
              <w:t xml:space="preserve"> bezpečnostnými opatreniami.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Annika Bruna, Jean-Paul Garraud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(14)</w:t>
            </w:r>
            <w:r>
              <w:tab/>
            </w:r>
            <w:r>
              <w:t>Na účely prispôsobenia sa novým postupom telepráce by sa mali siete používané na prepájanie služieb vzdialeného prístupu v rámci inštitúcie alebo orgánu Únie chrániť primeranými bezpečnostnými opatreniami.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(14)</w:t>
            </w:r>
            <w:r>
              <w:tab/>
            </w:r>
            <w:r>
              <w:t xml:space="preserve">Na účely prispôsobenia sa novým postupom telepráce by sa mali siete používané na prepájanie služieb vzdialeného prístupu v rámci inštitúcie alebo orgánu Únie chrániť primeranými bezpečnostnými opatreniami </w:t>
            </w:r>
            <w:r>
              <w:rPr>
                <w:b/>
                <w:i/>
              </w:rPr>
              <w:t>prostredníctvom investícií do bezpečných koncových sietí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>Keďže inštitúcie a orgány Únie často využívajú dodávateľov a externé zdroje, je dôležité zaviesť spoločné ustanovenia týkajúce sa zamestnancov dodávateľov vykonávajúcich úlohy v súvislosti s bezpečnosťou informácií.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Keďže inštitúcie a orgány Únie často využívajú dodávateľov a externé zdroje, je dôležité zaviesť spoločné ustanovenia týkajúce sa zamestnancov dodávateľov vykonávajúcich úlohy v súvislosti s bezpečnosťou informácií. </w:t>
            </w:r>
            <w:r>
              <w:rPr>
                <w:b/>
                <w:i/>
              </w:rPr>
              <w:t>Takéto ustanovenia by mali okrem iného zahŕňať požiadavku, aby sa výberové konania podrobili dôkladnému prevereniu, pričom sa zohľadní celý rozsah dodávateľského reťazca a hospodárske a politické prostredie, v ktorom tretie strany pôsobia.</w:t>
            </w:r>
            <w:r>
              <w:t xml:space="preserve"> </w:t>
            </w:r>
            <w:r>
              <w:rPr>
                <w:b/>
                <w:i/>
              </w:rPr>
              <w:t>Ak vzťahy s tretími stranami predstavujú riziko pre integritu demokratických procesov v EÚ, mali by sa bezodkladne ukončiť.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Annika Bruna, Jean-Paul Garraud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>Keďže inštitúcie a orgány Únie často využívajú dodávateľov a externé zdroje, je dôležité zaviesť spoločné ustanovenia týkajúce sa zamestnancov dodávateľov vykonávajúcich úlohy v súvislosti s bezpečnosťou informácií.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Keďže inštitúcie a orgány Únie často využívajú dodávateľov a externé zdroje, je dôležité zaviesť spoločné ustanovenia týkajúce sa zamestnancov dodávateľov vykonávajúcich úlohy v súvislosti s bezpečnosťou informácií </w:t>
            </w:r>
            <w:r>
              <w:rPr>
                <w:b/>
                <w:i/>
              </w:rPr>
              <w:t>a overovať kvalitu a dôvernosť externých dodávateľov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t xml:space="preserve">Hmotnoprávne pravidlá prístupu k utajovaným skutočnostiam EÚ v interných predpisoch rôznych inštitúcií a orgánov Únie sú v súčasnosti zosúladené, stále však panujú značné rozdiely, pokiaľ ide o názvy a požadované postupy. </w:t>
            </w:r>
            <w:r>
              <w:rPr>
                <w:b/>
                <w:i/>
              </w:rPr>
              <w:t>Tým sa zaťažujú národné bezpečnostné orgány členských štátov, ktoré sa musia prispôsobovať rôznym požiadavkám.</w:t>
            </w:r>
            <w:r>
              <w:t xml:space="preserve"> Preto je potrebné </w:t>
            </w:r>
            <w:r>
              <w:rPr>
                <w:b/>
                <w:i/>
              </w:rPr>
              <w:t>vypracovať</w:t>
            </w:r>
            <w:r>
              <w:t xml:space="preserve"> spoločný </w:t>
            </w:r>
            <w:r>
              <w:rPr>
                <w:b/>
                <w:i/>
              </w:rPr>
              <w:t>slovník pojmov</w:t>
            </w:r>
            <w:r>
              <w:t xml:space="preserve"> a spoločné postupy v oblasti personálnej bezpečnosti, čím sa </w:t>
            </w:r>
            <w:r>
              <w:rPr>
                <w:b/>
                <w:i/>
              </w:rPr>
              <w:t>zjednoduší spolupráca s národnými bezpečnostnými orgánmi členských štátov a</w:t>
            </w:r>
            <w:r>
              <w:t xml:space="preserve"> obmedzí riziko </w:t>
            </w:r>
            <w:r>
              <w:rPr>
                <w:b/>
                <w:i/>
              </w:rPr>
              <w:t>prezradenia</w:t>
            </w:r>
            <w:r>
              <w:t xml:space="preserve"> utajovaných skutočností EÚ.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t xml:space="preserve">Hmotnoprávne pravidlá prístupu k utajovaným skutočnostiam EÚ v interných predpisoch rôznych inštitúcií a orgánov Únie sú v súčasnosti zosúladené, stále však panujú značné rozdiely, pokiaľ ide o názvy a požadované postupy. Preto je potrebné </w:t>
            </w:r>
            <w:r>
              <w:rPr>
                <w:b/>
                <w:i/>
              </w:rPr>
              <w:t>stanoviť</w:t>
            </w:r>
            <w:r>
              <w:t xml:space="preserve"> spoločný </w:t>
            </w:r>
            <w:r>
              <w:rPr>
                <w:b/>
                <w:i/>
              </w:rPr>
              <w:t>glosár</w:t>
            </w:r>
            <w:r>
              <w:t xml:space="preserve"> a spoločné postupy v oblasti personálnej bezpečnosti, čím sa obmedzí riziko </w:t>
            </w:r>
            <w:r>
              <w:rPr>
                <w:b/>
                <w:i/>
              </w:rPr>
              <w:t>ohrozenia</w:t>
            </w:r>
            <w:r>
              <w:t xml:space="preserve"> utajovaných skutočností EÚ.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(18)</w:t>
            </w:r>
            <w:r>
              <w:tab/>
            </w:r>
            <w:r>
              <w:t>Ochrana utajovaných skutočností EÚ sa zabezpečuje aj technickými a organizačnými opatreniami, ktoré sa uplatňujú na priestory, budovy, miestnosti, kancelárie alebo zariadenia inštitúcií a orgánov Únie, v ktorých sa o utajovaných skutočnostiach EÚ diskutuje, s týmito skutočnosťami manipuluje alebo sa tieto skutočnosti uchovávajú. V tomto nariadení sa stanovuje vykonávanie procesu riadenia rizika bezpečnosti informácií v oblasti fyzickej bezpečnosti, na základe ktorého sa inštitúciám a orgánom Únie umožní vybrať si vhodné bezpečnostné opatrenia pre svoje pracoviská.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(18)</w:t>
            </w:r>
            <w:r>
              <w:tab/>
            </w:r>
            <w:r>
              <w:t xml:space="preserve">Ochrana utajovaných skutočností EÚ sa zabezpečuje aj technickými a organizačnými opatreniami, ktoré sa uplatňujú na priestory, budovy, miestnosti, kancelárie alebo zariadenia inštitúcií a orgánov Únie, v ktorých sa o utajovaných skutočnostiach EÚ diskutuje, s týmito skutočnosťami manipuluje alebo sa tieto skutočnosti uchovávajú. V tomto nariadení sa stanovuje vykonávanie procesu riadenia rizika bezpečnosti informácií v oblasti fyzickej bezpečnosti, na základe ktorého sa inštitúciám a orgánom Únie umožní vybrať si vhodné bezpečnostné opatrenia pre svoje pracoviská. </w:t>
            </w:r>
            <w:r>
              <w:rPr>
                <w:b/>
                <w:i/>
              </w:rPr>
              <w:t>Malo by sa vykonať dôkladné hodnotenie bezpečnostnej infraštruktúry vrátane služieb, ktoré by zahŕňalo všetky aspekty prevádzkového reťazca a prostredia.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(20)</w:t>
            </w:r>
            <w:r>
              <w:tab/>
            </w:r>
            <w:r>
              <w:rPr>
                <w:b/>
                <w:i/>
              </w:rPr>
              <w:t>Pôvodcovská kontrola predstavuje dôležitú zásadu správy</w:t>
            </w:r>
            <w:r>
              <w:t xml:space="preserve"> utajovaných skutočností EÚ</w:t>
            </w:r>
            <w:r>
              <w:rPr>
                <w:b/>
                <w:i/>
              </w:rPr>
              <w:t>,</w:t>
            </w:r>
            <w:r>
              <w:t xml:space="preserve"> preto je potrebné ju </w:t>
            </w:r>
            <w:r>
              <w:rPr>
                <w:b/>
                <w:i/>
              </w:rPr>
              <w:t>jednoznačne stanoviť a vypracovať</w:t>
            </w:r>
            <w:r>
              <w:t>. V tomto zmysle sa vytvorením utajovaných skutočností EÚ zveruje pôvodcovi zodpovednosť</w:t>
            </w:r>
            <w:r>
              <w:rPr>
                <w:b/>
                <w:i/>
              </w:rPr>
              <w:t>, ktorá by sa mala vzťahovať na celý životný cyklus</w:t>
            </w:r>
            <w:r>
              <w:t xml:space="preserve"> príslušného dokumentu s utajovanými skutočnosťami EÚ.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(20)</w:t>
            </w:r>
            <w:r>
              <w:tab/>
            </w:r>
            <w:r>
              <w:rPr>
                <w:b/>
                <w:i/>
              </w:rPr>
              <w:t>Jednou zo zásad pri správe</w:t>
            </w:r>
            <w:r>
              <w:t xml:space="preserve"> utajovaných skutočností EÚ </w:t>
            </w:r>
            <w:r>
              <w:rPr>
                <w:b/>
                <w:i/>
              </w:rPr>
              <w:t>je pôvodcovská kontrola, a</w:t>
            </w:r>
            <w:r>
              <w:t xml:space="preserve"> preto je potrebné ju </w:t>
            </w:r>
            <w:r>
              <w:rPr>
                <w:b/>
                <w:i/>
              </w:rPr>
              <w:t>zohľadniť</w:t>
            </w:r>
            <w:r>
              <w:t xml:space="preserve">. V tomto zmysle sa vytvorením utajovaných skutočností EÚ zveruje pôvodcovi zodpovednosť </w:t>
            </w:r>
            <w:r>
              <w:rPr>
                <w:b/>
                <w:i/>
              </w:rPr>
              <w:t>na začiatku životného cyklu</w:t>
            </w:r>
            <w:r>
              <w:t xml:space="preserve"> príslušného dokumentu s utajovanými skutočnosťami EÚ.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(21)</w:t>
            </w:r>
            <w:r>
              <w:tab/>
            </w:r>
            <w:r>
              <w:t>Inštitúcie a orgány Únie tradične vyvíjajú svoje komunikačné a informačné systémy nezávisle, pričom nevenujú dostatočnú pozornosť ich interoperabilite medzi všetkými inštitúciami a orgánmi Únie. Preto je potrebné zaviesť minimálne bezpečnostné požiadavky na komunikačné a informačné systémy, v ktorých sa manipuluje s utajovanými skutočnosťami EÚ aj s neutajovanými skutočnosťami a v ktorých sa tieto skutočnosti uchovávajú, aby sa zaručila hladká výmena informácií s príslušnými zainteresovanými stranami.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(21)</w:t>
            </w:r>
            <w:r>
              <w:tab/>
            </w:r>
            <w:r>
              <w:t xml:space="preserve">Inštitúcie a orgány Únie tradične vyvíjajú svoje komunikačné a informačné systémy nezávisle, pričom nevenujú dostatočnú pozornosť ich interoperabilite medzi všetkými inštitúciami a orgánmi Únie. Preto je potrebné zaviesť minimálne bezpečnostné požiadavky na komunikačné a informačné systémy, v ktorých sa manipuluje s utajovanými skutočnosťami EÚ aj s neutajovanými skutočnosťami a v ktorých sa tieto skutočnosti uchovávajú </w:t>
            </w:r>
            <w:r>
              <w:rPr>
                <w:b/>
                <w:i/>
              </w:rPr>
              <w:t>a prenášajú</w:t>
            </w:r>
            <w:r>
              <w:t>, aby sa zaručila hladká výmena informácií s príslušnými zainteresovanými stranami.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21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(21a)</w:t>
            </w:r>
            <w:r>
              <w:tab/>
            </w:r>
            <w:r>
              <w:rPr>
                <w:b/>
                <w:i/>
              </w:rPr>
              <w:t>Informácie, ktorými disponujú subjekty Únie, sa vymieňajú aj prostredníctvom prostredia IKT, v daných priestoroch alebo pomocou virtuálnych aktív, produktov IKT, služieb IKT a procesov IKT, ako aj sietí a informačných systémov bez ohľadu na to, či ich vlastní a prevádzkuje subjekt Únie, alebo im poskytuje hosting či ich prevádzkuje tretia strana, vrátane mobilných zariadení, podnikových sietí a obchodných sietí, ktoré nie sú pripojené na internet, a akýchkoľvek zariadení pripojených k prostrediu IKT.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1 – 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V tomto nariadení sa </w:t>
            </w:r>
            <w:r>
              <w:rPr>
                <w:b/>
                <w:i/>
              </w:rPr>
              <w:t>stanovujú predpisy v oblasti</w:t>
            </w:r>
            <w:r>
              <w:t xml:space="preserve"> bezpečnosti informácií pre všetky inštitúcie a orgány Únie.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V tomto nariadení sa </w:t>
            </w:r>
            <w:r>
              <w:rPr>
                <w:b/>
                <w:i/>
              </w:rPr>
              <w:t>stanovuje minimálny súbor spoločných a jednotných pravidiel</w:t>
            </w:r>
            <w:r>
              <w:t> bezpečnosti informácií pre všetky inštitúcie a orgány Únie.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1 – 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V tomto nariadení sa stanovujú predpisy v oblasti bezpečnosti informácií pre všetky inštitúcie a orgány Únie.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V tomto nariadení sa stanovujú </w:t>
            </w:r>
            <w:r>
              <w:rPr>
                <w:b/>
                <w:i/>
              </w:rPr>
              <w:t>spoločné minimálne</w:t>
            </w:r>
            <w:r>
              <w:t xml:space="preserve"> predpisy v oblasti bezpečnosti informácií pre všetky inštitúcie a orgány Únie.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1 – odsek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Týmto nariadením nie je dotknuté nariadenie Európskeho parlamentu a Rady (ES) č. 1049/2001.</w:t>
            </w:r>
            <w:r>
              <w:t xml:space="preserve"> </w:t>
            </w:r>
            <w:r>
              <w:rPr>
                <w:b/>
                <w:i/>
              </w:rPr>
              <w:t>Žiadne ustanovenie tohto nariadenia, najmä ustanovenia o utajovaných skutočnostiach EÚ, nemožno použiť na obmedzenie práva na prístup k dokumentom inštitúcií, orgánov, úradov a agentúr Únie nad rámec platných právnych predpisov o takomto prístupe.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 – 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Toto nariadenie sa uplatňuje na všetky informácie, s ktorými manipulujú a ktoré uchovávajú inštitúcie a orgány Únie, vrátane informácií súvisiacich s činnosťami Európskeho spoločenstva pre atómovú energiu, s výnimkou utajovaných skutočností Euratomu.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Toto nariadenie sa uplatňuje na všetky informácie, s ktorými manipulujú a ktoré uchovávajú inštitúcie a orgány Únie, vrátane informácií súvisiacich s činnosťami Európskeho spoločenstva pre atómovú energiu, s výnimkou utajovaných skutočností Euratomu </w:t>
            </w:r>
            <w:r>
              <w:rPr>
                <w:b/>
                <w:i/>
              </w:rPr>
              <w:t>a s výnimkou informácií týkajúcich sa úloh a činností ECB v rámci ESCB a SSM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 – odsek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Týmto nariadením nie sú dotknuté nariadenie (Euratom) č. 3/1958[1], nariadenie č. 31 (EHS), 11 (ESAE), ktorým sa ustanovuje Služobný poriadok úradníkov a Podmienky zamestnávania ostatných zamestnancov Európskeho hospodárskeho spoločenstva a Európskeho spoločenstva pre atómovú energiu[2], nariadenie Európskeho parlamentu a Rady (ES) č. 1049/2001[3], nariadenie Európskeho parlamentu a Rady (EÚ) 2018/1725[4], nariadenie Rady (EHS, EURATOM) č. 354/83[5], nariadenie Európskeho parlamentu a Rady (EÚ, Euratom) 2018/1046[6], nariadenie Európskeho parlamentu a Rady (EÚ) 2021/697[7], nariadenie Európskeho parlamentu a Rady (EÚ) [. ...] Európskeho parlamentu a Rady[8], ktorým sa stanovujú opatrenia na zabezpečenie vysokej spoločnej úrovne kybernetickej bezpečnosti v inštitúciách, orgánoch, úradoch a agentúrach Únie [KL1] [1] Nariadenie (Euratom) č. 3/1958, ktorým sa vykonáva článok 24 Zmluvy o založení Európskeho spoločenstva pre atómovú energiu (Ú. v. ES 17, 6.10.1958, s.</w:t>
            </w:r>
            <w:r>
              <w:t xml:space="preserve"> </w:t>
            </w:r>
            <w:r>
              <w:rPr>
                <w:b/>
                <w:i/>
              </w:rPr>
              <w:t>406). [2] Ú. v. ES 45, 14.6.1962, s.</w:t>
            </w:r>
            <w:r>
              <w:t xml:space="preserve"> </w:t>
            </w:r>
            <w:r>
              <w:rPr>
                <w:b/>
                <w:i/>
              </w:rPr>
              <w:t>1385. [3] Nariadenie Európskeho parlamentu a Rady (ES) č. 1049/2001 z 30. mája 2001 o prístupe verejnosti k dokumentom Európskeho parlamentu, Rady a Komisie (Ú. v. ES L 145, 31.5.2001, s.</w:t>
            </w:r>
            <w:r>
              <w:t xml:space="preserve"> </w:t>
            </w:r>
            <w:r>
              <w:rPr>
                <w:b/>
                <w:i/>
              </w:rPr>
              <w:t>43). [4] Nariadenie Európskeho parlamentu a Rady (EÚ) 2018/1725 z 23. októbra 2018 o ochrane fyzických osôb pri spracúvaní osobných údajov inštitúciami, orgánmi, úradmi a agentúrami Únie a o voľnom pohybe takýchto údajov, ktorým sa zrušuje nariadenie (ES) č. 45/2001 a rozhodnutie č. 1247/2002/ES (Ú. v. EÚ L 295, 21.11.2018, s.</w:t>
            </w:r>
            <w:r>
              <w:t xml:space="preserve"> </w:t>
            </w:r>
            <w:r>
              <w:rPr>
                <w:b/>
                <w:i/>
              </w:rPr>
              <w:t>39). [5] Nariadenie Rady (EHS, EURATOM) č. 354/83 z 1. februára 1983 o otvorení historických archívov Európskeho hospodárskeho spoločenstva a Európskeho spoločenstva pre atómovú energiu pre verejnosť (Ú. v. ES L 43, 15.2.1983, s.</w:t>
            </w:r>
            <w:r>
              <w:t xml:space="preserve"> </w:t>
            </w:r>
            <w:r>
              <w:rPr>
                <w:b/>
                <w:i/>
              </w:rPr>
              <w:t>1). [6] Nariadenie Európskeho parlamentu a Rady (EÚ, Euratom) 2018/1046 z 18. júla 2018 o rozpočtových pravidlách, ktoré sa vzťahujú na všeobecný rozpočet Únie, o zmene nariadení (EÚ) č. 1296/2013, (EÚ) č. 1301/2013, (EÚ) č. 1303/2013, (EÚ) č. 1304/2013, (EÚ) č. 1309/2013, (EÚ) č. 1316/2013, (EÚ) č. 223/2014, (EÚ) č. 283/2014 a rozhodnutia č. 541/2014/EÚ a o zrušení nariadenia (EÚ, Euratom) č. 966/2012 (Ú. v. EÚ L 193, 30.7.2018, s.</w:t>
            </w:r>
            <w:r>
              <w:t xml:space="preserve"> </w:t>
            </w:r>
            <w:r>
              <w:rPr>
                <w:b/>
                <w:i/>
              </w:rPr>
              <w:t>1). [7] Nariadenie Európskeho parlamentu a Rady (EÚ) 2021/697 z 29. apríla 2021, ktorým sa zriaďuje Európsky obranný fond a zrušuje nariadenie (EÚ) 2018/1092 (Ú. v. EÚ L 170, 12.5.2021, s. 149). [8] Nariadenie [...] Európskeho parlamentu a Rady, ktorým sa stanovujú opatrenia na zaistenie vysokej spoločnej úrovne kybernetickej bezpečnosti v inštitúciách, orgánoch, úradoch a agentúrach Únie.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 – odsek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Toto nariadenie sa nevzťahuje na komisárov, zástupcov členských štátov pôsobiacich v Rade, poslancov Európskeho parlamentu, sudcov súdov Únie ani na členov Európskeho dvora audítorov.</w:t>
            </w:r>
            <w:r>
              <w:t xml:space="preserve"> </w:t>
            </w:r>
            <w:r>
              <w:rPr>
                <w:b/>
                <w:i/>
              </w:rPr>
              <w:t>Aby sa zabezpečila účinnosť tohto nariadenia a aby nevznikli žiadne medzery v systéme bezpečnosti informácií ani žiadne rozpory medzi osobami v rámci tej istej inštitúcie, tieto inštitúcie a orgány prijmú vnútorné, ktoré sú v súlade s týmto nariadením.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 – odsek 2 – písmeno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tri stupne neutajovaných skutočností: verejné použitie, bežné použitie a </w:t>
            </w:r>
            <w:r>
              <w:rPr>
                <w:b/>
                <w:i/>
              </w:rPr>
              <w:t>citlivé</w:t>
            </w:r>
            <w:r>
              <w:t xml:space="preserve"> neutajované skutočnosti;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tri stupne neutajovaných skutočností: verejné použitie, bežné použitie a </w:t>
            </w:r>
            <w:r>
              <w:rPr>
                <w:b/>
                <w:i/>
              </w:rPr>
              <w:t>chránené</w:t>
            </w:r>
            <w:r>
              <w:t> neutajované skutočnosti;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/>
        </w:tc>
        <w:tc>
          <w:tcPr>
            <w:tcW w:w="4876" w:type="dxa"/>
          </w:tcPr>
          <w:p>
            <w:pPr>
              <w:pStyle w:val="Normal6a"/>
            </w:pPr>
            <w:r>
              <w:rPr>
                <w:i/>
              </w:rPr>
              <w:t>(Tento pozmeňujúci návrh sa týka celého textu. Prijatie tohto pozmeňujúceho návrhu bude vyžadovať príslušné zmeny v celom texte.)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Odôvodnenie</w:t>
      </w:r>
      <w:r>
        <w:rPr>
          <w:rStyle w:val="HideTWBExt"/>
        </w:rPr>
        <w:t>&lt;/TitreJust&gt;</w:t>
      </w:r>
    </w:p>
    <w:p>
      <w:pPr>
        <w:pStyle w:val="AmJustText"/>
      </w:pPr>
      <w:r>
        <w:t>V článku 9 nariadenia č. 1049/2001 sa ako „citlivé" označujú len údaje CONFIDENTIEL UE/EU CONFIDENTIAL, SECRET UE/EU SECRET, TRES SECRET UE/EU TOP SECRET.</w:t>
      </w:r>
      <w:r>
        <w:t xml:space="preserve"> </w:t>
      </w:r>
      <w:r>
        <w:t>Aby sa predišlo nedorozumeniam, mala by sa používať odlišná terminológia.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 – odsek 2 – písmeno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štyri</w:t>
            </w:r>
            <w:r>
              <w:t xml:space="preserve"> stupne utajovaných skutočností EÚ: </w:t>
            </w:r>
            <w:r>
              <w:rPr>
                <w:b/>
                <w:i/>
              </w:rPr>
              <w:t>RESTREINT UE/EU RESTRICTED,</w:t>
            </w:r>
            <w:r>
              <w:t xml:space="preserve"> CONFIDENTIEL UE/EU CONFIDENTIAL, SECRET UE/EU SECRET, TRES SECRET UE/EU TOP SECRET.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tri</w:t>
            </w:r>
            <w:r>
              <w:t xml:space="preserve"> stupne utajovaných skutočností EÚ: CONFIDENTIEL UE/EU CONFIDENTIAL, SECRET UE/EU SECRET, TRES SECRET UE/EU TOP SECRET.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/>
        </w:tc>
        <w:tc>
          <w:tcPr>
            <w:tcW w:w="4876" w:type="dxa"/>
          </w:tcPr>
          <w:p>
            <w:pPr>
              <w:pStyle w:val="Normal6a"/>
            </w:pPr>
            <w:r>
              <w:rPr>
                <w:i/>
              </w:rPr>
              <w:t>(Tento pozmeňujúci návrh sa týka celého textu. Prijatie tohto pozmeňujúceho návrhu bude vyžadovať príslušné zmeny v celom texte.)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 – odsek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Tieto stupne sa určujú na základe škôd, ktoré by mohli vzniknúť po neoprávnenom zverejnení oprávneným </w:t>
            </w:r>
            <w:r>
              <w:rPr>
                <w:b/>
                <w:i/>
              </w:rPr>
              <w:t>súkromným aj</w:t>
            </w:r>
            <w:r>
              <w:t xml:space="preserve"> verejným záujmom vrátane záujmov Únie, inštitúcií a orgánov Únie a členských štátov alebo iných zainteresovaných strán, pričom podľa uvedených stupňov sa uplatňujú primerané ochranné opatrenia.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Tieto stupne sa určujú na základe škôd, ktoré by mohli vzniknúť po neoprávnenom zverejnení oprávneným verejným záujmom vrátane záujmov Únie, inštitúcií a orgánov Únie a členských štátov alebo iných zainteresovaných strán, pričom podľa uvedených stupňov sa uplatňujú primerané ochranné opatrenia.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4 – odsek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Členovia inštitúcií Únie majú prístup ku všetkým druhom informácií na základe potreby poznať, aby mohli účinne vykonávať svoj mandát v súlade so zmluvami.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4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Nedodržiavanie tohto nariadenia, najmä neoprávnené zverejňovanie informácií so stupňami dôvernosti uvedenými v článku 2 ods. 2, s výnimkou informácií určených na verejné použitie, podlieha vyšetrovaniu a môže viesť k zodpovednosti zamestnancov v súlade so zmluvami alebo príslušnými služobnými predpismi.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Nedodržiavanie tohto nariadenia, najmä neoprávnené zverejňovanie informácií so stupňami dôvernosti uvedenými v článku 2 ods. 2, s výnimkou informácií určených na verejné použitie, podlieha vyšetrovaniu a môže viesť k zodpovednosti zamestnancov v súlade so zmluvami alebo príslušnými služobnými predpismi </w:t>
            </w:r>
            <w:r>
              <w:rPr>
                <w:b/>
                <w:i/>
              </w:rPr>
              <w:t>s náležitým zreteľom na ustanovenia o zverejňovaní skutočností, ktoré zakladajú domnienku existencie možnej nezákonnej činnosti, vrátane podvodu alebo korupcie, poškodzujúcej záujmy Únie, alebo konania súvisiaceho s výkonom služobných povinností, ktoré môže predstavovať závažné porušenie služobných povinností, ako aj ochranu osôb, ktoré oznámia porušenie práva Únie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4 – odsek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Inštitúcie a orgány Únie posudzujú všetky informácie, s ktorými manipulujú a ktoré uchovávajú, aby ich mohli kategorizovať v súlade so stupňami dôvernosti uvedenými v článku 2 ods. 2.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Bez toho, aby bol dotknutý článok 15 ZFEÚ,</w:t>
            </w:r>
            <w:r>
              <w:t xml:space="preserve"> inštitúcie a orgány Únie posudzujú všetky informácie, s ktorými manipulujú a ktoré uchovávajú, aby ich mohli kategorizovať v súlade so stupňami dôvernosti uvedenými v článku 2 ods. 2.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4 – odsek 4 – písmeno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integrita; skutočnosť, že informácie sú úplné a úplnosť informácií nebola upravená;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integrita; skutočnosť, že informácie sú úplné a úplnosť informácií nebola upravená </w:t>
            </w:r>
            <w:r>
              <w:rPr>
                <w:b/>
                <w:i/>
              </w:rPr>
              <w:t>a skutočnosť, že technická infraštruktúra používaná na zdieľanie informácií je chránená pred akýmkoľvek cudzím zásahom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4 - odsek 6 - pododsek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Inštitúcie a orgány Únie, ktoré manipulujú s utajovanými skutočnosťami EÚ a uchovávajú ich, organizujú pre všetkých jednotlivcov oprávnených na prístup k utajovaným skutočnostiam EÚ povinnú odbornú prípravu aspoň každých päť rokov. Príslušné inštitúcie a orgány Únie organizujú osobitnú odbornú prípravu týkajúcu sa špecifických funkcií vykonávaných v rámci úloh v oblasti bezpečnosti informácií.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Inštitúcie a orgány Únie, ktoré manipulujú s utajovanými skutočnosťami EÚ a uchovávajú ich, organizujú pre všetkých jednotlivcov oprávnených na prístup k utajovaným skutočnostiam EÚ povinnú odbornú prípravu aspoň každých päť rokov. Príslušné inštitúcie a orgány Únie organizujú osobitnú odbornú prípravu týkajúcu sa špecifických funkcií vykonávaných v rámci úloh v oblasti bezpečnosti informácií. </w:t>
            </w:r>
            <w:r>
              <w:rPr>
                <w:b/>
                <w:i/>
              </w:rPr>
              <w:t>Subjekty Únie najneskôr do šiestich mesiacov odo dňa nadobudnutia účinnosti tohto nariadenia navrhnú a zavedú účinné a vhodné kurzy odbornej prípravy pre všetky osoby oprávnené na prístup k utajovaným skutočnostiam EÚ, primerané rizikám identifikovaným v súlade s článkom 5.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5 – odsek 3 – písmeno a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aa)</w:t>
            </w:r>
            <w:r>
              <w:tab/>
            </w:r>
            <w:r>
              <w:rPr>
                <w:b/>
                <w:i/>
              </w:rPr>
              <w:t>riziká pre práva a slobody fyzických osôb;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5 – odsek 3 – písmeno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kontinuitu prevádzky a obnovu systému po havárii;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kontinuitu prevádzky</w:t>
            </w:r>
            <w:r>
              <w:rPr>
                <w:b/>
                <w:i/>
              </w:rPr>
              <w:t>, krízové riadenie</w:t>
            </w:r>
            <w:r>
              <w:t xml:space="preserve"> a obnovu systému po havárii;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6 - odsek 1 - pododsek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Pri menovaní členov koordinačnej skupiny sa musí zohľadniť primeraná rodová a geografická rovnováha.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6 – odsek 2 – písmeno a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aa)</w:t>
            </w:r>
            <w:r>
              <w:tab/>
            </w:r>
            <w:r>
              <w:rPr>
                <w:b/>
                <w:i/>
              </w:rPr>
              <w:t>prijíma rozhodnutia o zriadení tematických podskupín, ich mandáte a pravidelnosti ich zasadnutí;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6 – odsek 2 – písmeno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monitoruje súlad inštitúcií a orgánov Únie s týmto nariadením, ako aj s usmerňovacími dokumentmi vypracovanými podľa písmena c) a na tento účel prijme výročnú hodnotiacu správu, v ktorej sú zhromaždené príspevky príslušných podskupín.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6 – odsek 2 – písmeno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monitoruje súlad inštitúcií a orgánov Únie s týmto nariadením, ako aj s usmerňovacími dokumentmi vypracovanými podľa písmena c) a na tento účel prijme výročnú hodnotiacu správu;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6 – odsek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Všetky inštitúcie alebo orgány Únie sú primerane zastúpené v koordinačnej skupine </w:t>
            </w:r>
            <w:r>
              <w:rPr>
                <w:b/>
                <w:i/>
              </w:rPr>
              <w:t>a prípadne v</w:t>
            </w:r>
            <w:r>
              <w:t xml:space="preserve"> tematických podskupinách.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Všetky inštitúcie alebo orgány Únie sú primerane zastúpené v koordinačnej skupine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Parlament, Komisia a Rada sú zastúpené vo všetkých</w:t>
            </w:r>
            <w:r>
              <w:t xml:space="preserve"> tematických podskupinách. </w:t>
            </w:r>
            <w:r>
              <w:rPr>
                <w:b/>
                <w:i/>
              </w:rPr>
              <w:t>V náležitých prípadoch iné inštitúcie a orgány.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6 – odsek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Inštitúcie a orgány Únie upozornia koordinačnú skupinu na každý významný vývoj politiky v oblasti bezpečnosti informácií v rámci svojej organizácie.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Inštitúcie a orgány Únie </w:t>
            </w:r>
            <w:r>
              <w:rPr>
                <w:b/>
                <w:i/>
              </w:rPr>
              <w:t>bez zbytočného odkladu </w:t>
            </w:r>
            <w:r>
              <w:t>upozornia koordinačnú skupinu na každý významný vývoj politiky v oblasti bezpečnosti informácií v rámci svojej organizácie.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6 – odsek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Koordinačnej skupine pri plnení úloh uvedených v odseku 2 písm. e) pomáha výbor pre bezpečnosť informácií. Tento výbor tvorí jeden zástupca z každého národného bezpečnostného orgánu a predsedá mu sekretariát koordinačnej skupiny uvedený v odseku 5. Výbor pre bezpečnosť informácií má poradnú úlohu.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Koordinačnej skupine pri plnení úloh uvedených v odseku 2 písm. e) pomáha výbor pre bezpečnosť informácií. Tento výbor tvorí jeden zástupca z každého národného bezpečnostného orgánu a predsedá mu sekretariát koordinačnej skupiny uvedený v odseku 5. </w:t>
            </w:r>
            <w:r>
              <w:rPr>
                <w:b/>
                <w:i/>
              </w:rPr>
              <w:t>Zástupca Parlamentu sa zúčastňuje ako pozorovateľ.</w:t>
            </w:r>
            <w:r>
              <w:t xml:space="preserve"> Výbor pre bezpečnosť informácií má poradnú úlohu.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7 – odsek 1 – písmeno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podskupina pre správne dojednania s tretími krajinami a medzinárodnými organizáciami.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8 – 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Každá inštitúcia a každý orgán Únie určí bezpečnostný orgán, ktorý prevezme povinnosti pridelené týmto nariadením a </w:t>
            </w:r>
            <w:r>
              <w:rPr>
                <w:b/>
                <w:i/>
              </w:rPr>
              <w:t>prípadne jeho vnútornými bezpečnostnými predpismi</w:t>
            </w:r>
            <w:r>
              <w:t>. Pri vykonávaní svojich úloh má každý bezpečnostný orgán podporu oddelenia alebo úradníka povereného úlohami v oblasti bezpečnosti informácií.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Každá inštitúcia a každý orgán Únie určí bezpečnostný orgán, ktorý prevezme povinnosti pridelené týmto nariadením a </w:t>
            </w:r>
            <w:r>
              <w:rPr>
                <w:b/>
                <w:i/>
              </w:rPr>
              <w:t>bude monitorovať a zabezpečovať dodržiavanie usmerňovacích dokumentov prijatých koordinačnou skupinou každou dotknutou inštitúciou alebo orgánom Únie</w:t>
            </w:r>
            <w:r>
              <w:t>. Pri vykonávaní svojich úloh má každý bezpečnostný orgán podporu oddelenia alebo úradníka povereného úlohami v oblasti bezpečnosti informácií.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11 – odsek 4 – písmeno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šifrovanie </w:t>
            </w:r>
            <w:r>
              <w:rPr>
                <w:b/>
                <w:i/>
              </w:rPr>
              <w:t>neaktívnych a prenášaných informácií</w:t>
            </w:r>
            <w:r>
              <w:t>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šifrovanie </w:t>
            </w:r>
            <w:r>
              <w:rPr>
                <w:b/>
                <w:i/>
              </w:rPr>
              <w:t>informácií medzi koncovými zariadeniami vo všetkých fázach príslušných procesov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12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Inštitúcie a orgány Únie môžu informácie uvedené v odseku 1 označiť textom „PUBLIC USE“.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Inštitúcie a orgány Únie môžu informácie uvedené v odseku 1 označiť textom „PUBLIC USE“. </w:t>
            </w:r>
            <w:r>
              <w:rPr>
                <w:b/>
                <w:i/>
              </w:rPr>
              <w:t>Absencia takéhoto označenia nezakladá domnienku, že by informácia mohla byť utajovaná.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12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Inštitúcie a orgány Únie </w:t>
            </w:r>
            <w:r>
              <w:rPr>
                <w:b/>
                <w:i/>
              </w:rPr>
              <w:t>môžu</w:t>
            </w:r>
            <w:r>
              <w:t xml:space="preserve"> informácie uvedené v odseku 1 </w:t>
            </w:r>
            <w:r>
              <w:rPr>
                <w:b/>
                <w:i/>
              </w:rPr>
              <w:t>označiť</w:t>
            </w:r>
            <w:r>
              <w:t xml:space="preserve"> textom „PUBLIC USE“.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Inštitúcie a orgány Únie </w:t>
            </w:r>
            <w:r>
              <w:rPr>
                <w:b/>
                <w:i/>
              </w:rPr>
              <w:t>označia</w:t>
            </w:r>
            <w:r>
              <w:t xml:space="preserve"> informácie uvedené v odseku 1 textom „PUBLIC USE“.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12 – odsek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Všetky inštitúcie a orgány Únie zabezpečia integritu a dostupnosť informácií na verejné použitie vhodnými opatreniami </w:t>
            </w:r>
            <w:r>
              <w:rPr>
                <w:b/>
                <w:i/>
              </w:rPr>
              <w:t>na základe</w:t>
            </w:r>
            <w:r>
              <w:t xml:space="preserve"> bezpečnostných potrieb.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Všetky inštitúcie a orgány Únie zabezpečia integritu a dostupnosť informácií na verejné použitie vhodnými opatreniami</w:t>
            </w:r>
            <w:r>
              <w:rPr>
                <w:b/>
                <w:i/>
              </w:rPr>
              <w:t>, ktoré vychádzajú z ich</w:t>
            </w:r>
            <w:r>
              <w:t xml:space="preserve"> bezpečnostných potrieb </w:t>
            </w:r>
            <w:r>
              <w:rPr>
                <w:b/>
                <w:i/>
              </w:rPr>
              <w:t>a zohľadňujú právo na informácie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13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Bežné informácie môžu byť označené vizuálne alebo v metaúdajoch, ak je to potrebné na zabezpečenie ich ochrany, najmä ak sa spoločne využívajú mimo inštitúcií a orgánov Únie. V takom prípade sa použije označenie „EU NORMAL“ alebo „názov alebo skratka inštitúcie alebo orgánu Únie NORMAL“ (podľa individuálneho prípadu).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Bežné informácie môžu byť označené vizuálne alebo v metaúdajoch, ak je to potrebné na zabezpečenie ich ochrany, najmä ak sa spoločne využívajú mimo inštitúcií a orgánov Únie. V takom prípade sa použije označenie „EU NORMAL“ alebo „názov alebo skratka inštitúcie alebo orgánu Únie NORMAL“ (podľa individuálneho prípadu). </w:t>
            </w:r>
            <w:r>
              <w:rPr>
                <w:b/>
                <w:i/>
              </w:rPr>
              <w:t>Absencia takéhoto označenia nezakladá domnienku, že by informácia mohla byť utajovaná.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13 – odsek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Bežné informácie sa mimo inštitúcií a orgánov Únie poskytujú iba fyzickým alebo právnickým osobám s potrebou poznať.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13 – odsek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Bežné informácie sa mimo inštitúcií a orgánov Únie poskytujú iba fyzickým alebo právnickým osobám s potrebou poznať.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14 – 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Inštitúcie a orgány Únie kategorizujú ako citlivé neutajované skutočnosti všetky informácie, ktoré nie sú utajené, ale ktoré musia chrániť z dôvodu zákonných povinností alebo z dôvodu škody, ktorá môže vzniknúť ich neoprávneným zverejnením pre oprávnené </w:t>
            </w:r>
            <w:r>
              <w:rPr>
                <w:b/>
                <w:i/>
              </w:rPr>
              <w:t>súkromné a</w:t>
            </w:r>
            <w:r>
              <w:t xml:space="preserve"> verejné záujmy vrátane záujmov inštitúcií a orgánov Únie</w:t>
            </w:r>
            <w:r>
              <w:rPr>
                <w:b/>
                <w:i/>
              </w:rPr>
              <w:t>,</w:t>
            </w:r>
            <w:r>
              <w:t xml:space="preserve"> členských štátov </w:t>
            </w:r>
            <w:r>
              <w:rPr>
                <w:b/>
                <w:i/>
              </w:rPr>
              <w:t>alebo jednotlivcov</w:t>
            </w:r>
            <w:r>
              <w:t>, pričom s týmito informáciami manipulujú ako s citlivými neutajovanými skutočnosťami a uchovávajú ich tak.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Inštitúcie a orgány Únie kategorizujú ako citlivé neutajované skutočnosti všetky informácie, ktoré nie sú utajené, ale ktoré musia chrániť z dôvodu zákonných povinností alebo z dôvodu škody, ktorá môže vzniknúť ich neoprávneným zverejnením pre oprávnené verejné záujmy vrátane záujmov inštitúcií a orgánov Únie </w:t>
            </w:r>
            <w:r>
              <w:rPr>
                <w:b/>
                <w:i/>
              </w:rPr>
              <w:t>alebo</w:t>
            </w:r>
            <w:r>
              <w:t xml:space="preserve"> členských štátov, pričom s týmito informáciami manipulujú ako s citlivými neutajovanými skutočnosťami a uchovávajú ich tak.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14 – odsek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Citlivé neutajované skutočnosti sa mimo inštitúcií a orgánov Únie vymieňajú iba s fyzickými a právnickými osobami, ktoré majú potrebu poznať a zároveň dodržiavajú pokyny na manipuláciu priložené k informáciám. Všetky zúčastnené strany musia byť oboznámené s príslušnými pokynmi na manipuláciu s informáciami.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Citlivé neutajované skutočnosti sa mimo inštitúcií a orgánov Únie vymieňajú iba s fyzickými a právnickými osobami, ktoré majú potrebu poznať a zároveň dodržiavajú pokyny na manipuláciu priložené k informáciám </w:t>
            </w:r>
            <w:r>
              <w:rPr>
                <w:b/>
                <w:i/>
              </w:rPr>
              <w:t>a požiadavky vyplývajúce z právnej ochrany, ktoré sa môžu uplatňovať podľa odseku 1</w:t>
            </w:r>
            <w:r>
              <w:t>. Všetky zúčastnené strany musia byť oboznámené s príslušnými pokynmi na manipuláciu s informáciami.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15 – 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Inštitúcie a orgány Únie zavedú postupy na nahlasovanie a riadenie akéhokoľvek incidentu alebo podozrenia na incident, ktorý by mohol viesť k ohrozeniu bezpečnosti neutajovaných skutočností.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Inštitúcie a orgány Únie zavedú </w:t>
            </w:r>
            <w:r>
              <w:rPr>
                <w:b/>
                <w:i/>
              </w:rPr>
              <w:t>jednotné</w:t>
            </w:r>
            <w:r>
              <w:t xml:space="preserve"> postupy na nahlasovanie a riadenie akéhokoľvek incidentu alebo podozrenia na incident, ktorý by mohol viesť k ohrozeniu bezpečnosti neutajovaných skutočností.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15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Inštitúcie a orgány Únie v prípade potreby použijú označenia uvedené v článkoch 12, 13 a 14. </w:t>
            </w:r>
            <w:r>
              <w:rPr>
                <w:b/>
                <w:i/>
              </w:rPr>
              <w:t>Výnimočne sa môžu interne použiť iné ekvivalentné označenia, a to aj vo vzťahu s ich konkrétnymi náprotivkami z iných inštitúcií a orgánov Únie alebo z členských štátov, ak s tým súhlasia všetky strany.</w:t>
            </w:r>
            <w:r>
              <w:t xml:space="preserve"> </w:t>
            </w:r>
            <w:r>
              <w:rPr>
                <w:b/>
                <w:i/>
              </w:rPr>
              <w:t>Takáto výnimka sa oznámi podskupine pre neutajované skutočnosti, ako sa uvádza v článku 7 ods. 1 písm. b).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Inštitúcie a orgány Únie v prípade potreby použijú označenia uvedené v článkoch 12, 13 a 14.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16 – odsek 1 – písmeno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monitorovanie súladu inštitúcií a orgánov Únie s príslušnými ustanoveniami tohto nariadenia, ako aj s usmerneniami prijatými koordinačnou skupinou.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18 – odsek 1 – písmeno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d)</w:t>
            </w:r>
            <w:r>
              <w:tab/>
            </w:r>
            <w:r>
              <w:rPr>
                <w:b/>
                <w:i/>
              </w:rPr>
              <w:t>RESTREINT UE/EU RESTRICTED:</w:t>
            </w:r>
            <w:r>
              <w:t xml:space="preserve"> </w:t>
            </w:r>
            <w:r>
              <w:rPr>
                <w:b/>
                <w:i/>
              </w:rPr>
              <w:t>informácia alebo vec, ktorej neoprávnené sprístupnenie by mohlo byť nevýhodné pre záujmy Únie alebo jedného alebo viacerých jej členských štátov.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18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Koordinačná skupina prijme usmerňovacie dokumenty o vytváraní a utajovaní utajovaných skutočností EÚ.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Koordinačná skupina prijme usmerňovacie dokumenty o vytváraní a utajovaní utajovaných skutočností EÚ. </w:t>
            </w:r>
            <w:r>
              <w:rPr>
                <w:b/>
                <w:i/>
              </w:rPr>
              <w:t>Tieto dokumenty zohľadňujú zásadu minimalizácie používania utajovaných skutočností, ako aj riziko nadmerného utajenia niektorých dokumentov, a obsahujú pravidlá posudzovania a odôvodňovania utajovania informácií a materiálov, ktorých cieľom je zvýšiť transparentnosť a zabrániť neodôvodneným účinkom uzamknutia.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18 – odsek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V prípade akýchkoľvek pochybností o dôvernej povahe informácie alebo o stupni jej utajenia alebo v prípade nezhody medzi európskymi inštitúciami, tieto inštutúcie bezodkladne a pred odovzdaním tejto informácie navzájom konzultujú.</w:t>
            </w:r>
            <w:r>
              <w:t xml:space="preserve"> </w:t>
            </w:r>
            <w:r>
              <w:rPr>
                <w:b/>
                <w:i/>
              </w:rPr>
              <w:t>Na týchto konzultáciách zastupuje inštitúcie predseda príslušného subjektu alebo osoba zodpovedná za bezpečnostné otázky.</w:t>
            </w:r>
            <w:r>
              <w:t xml:space="preserve"> </w:t>
            </w:r>
            <w:r>
              <w:rPr>
                <w:b/>
                <w:i/>
              </w:rPr>
              <w:t>V prípade nezhody sa záležitosť postúpi predsedom inštitúcií, aby mohli spor vyriešiť.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20 – odsek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Týmto článkom nie je dotknuté nariadenie (ES) č. 1049/2001.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22 – 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Konanie alebo opomenutie zo strany inštitúcie alebo orgánu Únie alebo osoby, ktoré je v rozpore s týmto nariadením, sa považuje za narušenie bezpečnosti.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Akékoľvek</w:t>
            </w:r>
            <w:r>
              <w:t xml:space="preserve"> konanie alebo opomenutie zo strany inštitúcie alebo orgánu Únie alebo osoby, ktoré je v rozpore s týmto nariadením, sa považuje za narušenie bezpečnosti.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22 – odsek 3 – písmeno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informuje pôvodcu;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informuje pôvodcu </w:t>
            </w:r>
            <w:r>
              <w:rPr>
                <w:b/>
                <w:i/>
              </w:rPr>
              <w:t>bez zbytočného odkladu a v každom prípade najneskôr do troch dní po tom, ako bol o porušení informovaný bezpečnostný orgán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22 – odsek 3 – písmeno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zabezpečí, že na účely zistenia skutočností prípad vyšetria členovia personálu, ktorých sa narušenie bezpečnosti netýka bezprostredne;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zabezpečí, že na účely zistenia skutočností prípad </w:t>
            </w:r>
            <w:r>
              <w:rPr>
                <w:b/>
                <w:i/>
              </w:rPr>
              <w:t>dôkladne </w:t>
            </w:r>
            <w:r>
              <w:t>vyšetria členovia personálu, ktorých sa narušenie bezpečnosti netýka bezprostredne;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22 – odsek 3 – písmeno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informuje príslušné orgány o skutočnom vyzradení alebo podozrení z vyzradenia a prijatých opatreniach.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informuje príslušné orgány o skutočnom vyzradení alebo podozrení z vyzradenia a prijatých opatreniach </w:t>
            </w:r>
            <w:r>
              <w:rPr>
                <w:b/>
                <w:i/>
              </w:rPr>
              <w:t>bez zbytočného odkladu a v každom prípade najneskôr do troch dní po tom, ako bol o porušení informovaný bezpečnostný orgán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23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Inštitúcie a orgány Únie zohľadnia lojalitu, dôveryhodnosť a spoľahlivosť osoby na základe bezpečnostného vyšetrovania</w:t>
            </w:r>
            <w:r>
              <w:rPr>
                <w:b/>
                <w:i/>
              </w:rPr>
              <w:t>, ktoré vykonali príslušné orgány členského štátu, ktorého je žiadateľ občanom alebo štátnym príslušníkom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Inštitúcie a orgány Únie zohľadnia lojalitu, dôveryhodnosť a spoľahlivosť osoby na základe bezpečnostného vyšetrovania </w:t>
            </w:r>
            <w:r>
              <w:rPr>
                <w:b/>
                <w:i/>
              </w:rPr>
              <w:t>vykonaného Komisiou v spolupráci s príslušnými orgánmi príslušných členských štátov. Komisia môže spolupracovať aj s tretími krajinami a medzinárodnými organizáciami, s ktorými má Únia uzavretú dohodu o bezpečnosti utajovaných skutočností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23 – odsek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Inštitúcie a orgány Únie môžu akceptovať bezpečnostné previerky tretích krajín a medzinárodných organizácií, s ktorými má Únia uzatvorenú dohodu o bezpečnosti utajovaných skutočností.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23 – odsek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Inštitúcie a orgány Únie môžu akceptovať bezpečnostné previerky tretích krajín a medzinárodných organizácií, s ktorými má Únia uzatvorenú dohodu o bezpečnosti utajovaných skutočností.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Inštitúcie a orgány Únie môžu akceptovať bezpečnostné previerky tretích krajín a medzinárodných organizácií, s ktorými má Únia uzatvorenú dohodu o bezpečnosti utajovaných skutočností. </w:t>
            </w:r>
            <w:r>
              <w:rPr>
                <w:b/>
                <w:i/>
              </w:rPr>
              <w:t>V každom prípade zabezpečia dodržiavanie zásad uvedených v odsekoch 1 a 2.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23 – odsek 4 – pododsek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Ak sa uzatvorí dohoda o úrovni poskytovaných služieb, bezpečnostný orgán Komisie je v súvislosti s otázkami bezpečnostnej previerky kontaktným miestom medzi bezpečnostnými úradmi príslušnej inštitúcie a príslušného orgánu Únie a príslušnými vnútroštátnymi orgánmi členských štátov.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24 – odsek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Za výnimočných okolností, ktoré sú riadne odôvodnené v záujme služby a vykonania úplného bezpečnostného vyšetrovania, môže bezpečnostný orgán inštitúcie alebo orgánu Únie udeliť osobám dočasné povolenie na prístup k utajovaným skutočnostiam EÚ pre konkrétnu pozíciu bez toho, aby boli dotknuté ustanovenia o obnovení povolenia na prístup k utajovaným skutočnostiam EÚ </w:t>
            </w:r>
            <w:r>
              <w:rPr>
                <w:b/>
                <w:i/>
              </w:rPr>
              <w:t>a po overení príslušným národným bezpečnostným orgánom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Za výnimočných okolností, ktoré sú riadne odôvodnené v záujme služby a vykonania úplného bezpečnostného vyšetrovania, môže bezpečnostný orgán inštitúcie alebo orgánu Únie udeliť osobám dočasné povolenie na prístup k utajovaným skutočnostiam EÚ pre konkrétnu pozíciu bez toho, aby boli dotknuté ustanovenia o obnovení povolenia na prístup k utajovaným skutočnostiam EÚ.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25 – odsek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Ak držiteľ povolenia na prístup k utajovaným skutočnostiam EÚ začne pracovať v inej inštitúcii alebo inom orgáne Únie, táto inštitúcia alebo tento orgán Únie oznámi zmenu zamestnávateľa príslušnému národnému bezpečnostnému orgánu prostredníctvom príslušného bezpečnostného orgánu.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25 – odsek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Ak držiteľ povolenia na prístup k utajovaným skutočnostiam EÚ začne pracovať v inej inštitúcii alebo inom orgáne Únie, táto inštitúcia alebo tento orgán Únie oznámi zmenu zamestnávateľa príslušnému národnému bezpečnostnému orgánu prostredníctvom príslušného bezpečnostného orgánu.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Ak držiteľ povolenia na prístup k utajovaným skutočnostiam EÚ začne pracovať v inej inštitúcii alebo inom orgáne Únie, táto inštitúcia alebo tento orgán Únie </w:t>
            </w:r>
            <w:r>
              <w:rPr>
                <w:b/>
                <w:i/>
              </w:rPr>
              <w:t>bez zbytočného odkladu </w:t>
            </w:r>
            <w:r>
              <w:t>oznámi zmenu zamestnávateľa príslušnému národnému bezpečnostnému orgánu prostredníctvom príslušného bezpečnostného orgánu.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28 – odsek 1 – písmeno d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da)</w:t>
            </w:r>
            <w:r>
              <w:tab/>
            </w:r>
            <w:r>
              <w:rPr>
                <w:b/>
                <w:i/>
              </w:rPr>
              <w:t>monitorovanie súladu inštitúcií a orgánov Únie s príslušnými ustanoveniami tohto nariadenia, ako aj s usmerneniami prijatými koordinačnou skupinou.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30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Všetky inštitúcie a orgány Únie, ktoré sú pôvodcom utajovaných skutočností EÚ, určia stupeň utajenia týchto skutočností pri ich vytvorení a v súlade s článkom 18 ods. 1.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Všetky inštitúcie a orgány Únie, ktoré sú pôvodcom utajovaných skutočností EÚ, určia </w:t>
            </w:r>
            <w:r>
              <w:rPr>
                <w:b/>
                <w:i/>
              </w:rPr>
              <w:t>počiatočný</w:t>
            </w:r>
            <w:r>
              <w:t xml:space="preserve"> stupeň utajenia týchto skutočností pri ich vytvorení a v súlade s článkom 18 ods. 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31 – odsek 1 – písmeno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každá strana sa zreteľne označí stupňom utajenia;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každá strana sa zreteľne označí stupňom utajenia </w:t>
            </w:r>
            <w:r>
              <w:rPr>
                <w:b/>
                <w:i/>
              </w:rPr>
              <w:t>a trvaním utajenia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32 – nadpis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Pôvodcovská kontrola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Súhlas pôvodcu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32 – odsek 1 – úvodná časť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Inštitúcia alebo orgán Únie, v ktorej právomoci sa dokument s utajovanými skutočnosťami EÚ vytvára, má pôvodcovskú kontrolu nad týmto dokumentom. Pôvodca určí stupeň utajenia dokumentu a je zodpovedný za jeho počiatočnú distribúciu. Bez toho, aby bolo dotknuté nariadenie 1049/2001, je potrebné získať predchádzajúci písomný súhlas pôvodcu predtým, ako sa skutočnosti: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Inštitúcia alebo orgán Únie, v ktorej právomoci sa dokument s utajovanými skutočnosťami EÚ vytvára, má pôvodcovskú kontrolu nad týmto dokumentom. Pôvodca určí stupeň utajenia dokumentu a je zodpovedný za jeho počiatočnú distribúciu. </w:t>
            </w:r>
            <w:r>
              <w:rPr>
                <w:b/>
                <w:i/>
              </w:rPr>
              <w:t>Pôvodca sa môže o stupni utajenia dokumentu s utajovanými skutočnosťami EÚ poradiť s určenými príjemcami, najmä v prípade akýchkoľvek pochybností o dôvernej povahe určitej informácie a jej primeranom stupni utajenia, aby sa tak zabránilo nadmernému utajeniu takýchto dokumentov.</w:t>
            </w:r>
            <w:r>
              <w:t xml:space="preserve"> </w:t>
            </w:r>
            <w:r>
              <w:rPr>
                <w:b/>
                <w:i/>
              </w:rPr>
              <w:t>Na účely počiatočnej distribúcie dokumentu s utajovanými skutočnosťami EÚ pôvodca zohľadní práva a povinnosti príjemcov informácií vyplývajúce zo zmlúv.</w:t>
            </w:r>
            <w:r>
              <w:t xml:space="preserve"> Bez toho, aby bolo dotknuté nariadenie 1049/2001, je potrebné získať predchádzajúci písomný súhlas pôvodcu predtým, ako sa skutočnosti: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32 – odsek 1 – úvodná časť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Inštitúcia alebo orgán Únie, v ktorej právomoci sa dokument s utajovanými skutočnosťami EÚ </w:t>
            </w:r>
            <w:r>
              <w:rPr>
                <w:b/>
                <w:i/>
              </w:rPr>
              <w:t>vytvára, má pôvodcovskú kontrolu nad týmto dokumentom</w:t>
            </w:r>
            <w:r>
              <w:t xml:space="preserve">. Pôvodca určí stupeň utajenia dokumentu a je zodpovedný za jeho počiatočnú distribúciu. </w:t>
            </w:r>
            <w:r>
              <w:rPr>
                <w:b/>
                <w:i/>
              </w:rPr>
              <w:t>Bez toho, aby bolo dotknuté nariadenie 1049/2001</w:t>
            </w:r>
            <w:r>
              <w:t>, je potrebné získať predchádzajúci písomný súhlas pôvodcu predtým, ako sa skutočnosti: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Inštitúcia alebo orgán Únie, v ktorej právomoci sa </w:t>
            </w:r>
            <w:r>
              <w:rPr>
                <w:b/>
                <w:i/>
              </w:rPr>
              <w:t>vytvára</w:t>
            </w:r>
            <w:r>
              <w:t xml:space="preserve"> dokument s utajovanými skutočnosťami EÚ </w:t>
            </w:r>
            <w:r>
              <w:rPr>
                <w:b/>
                <w:i/>
              </w:rPr>
              <w:t>so stupňom utajenia CONFIDENTIEL UE/EU-CONFIDENTIAL alebo vyšším, má právo súhlasu pôvodcu k tomuto dokumentu</w:t>
            </w:r>
            <w:r>
              <w:t xml:space="preserve">. Pôvodca určí </w:t>
            </w:r>
            <w:r>
              <w:rPr>
                <w:b/>
                <w:i/>
              </w:rPr>
              <w:t>počiatočný</w:t>
            </w:r>
            <w:r>
              <w:t xml:space="preserve"> stupeň utajenia dokumentu a je zodpovedný za jeho počiatočnú distribúciu. </w:t>
            </w:r>
            <w:r>
              <w:rPr>
                <w:b/>
                <w:i/>
              </w:rPr>
              <w:t>Ak je to potrebné na ochranu základných záujmov Európskej únie alebo jedného alebo viacerých jej členských štátov v oblasti verejnej bezpečnosti, obrany a vojenských záležitostí, medzinárodných vzťahov alebo finančnej, menovej alebo hospodárskej politiky</w:t>
            </w:r>
            <w:r>
              <w:t>, je potrebné získať predchádzajúci písomný súhlas pôvodcu predtým, ako sa skutočnosti: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32 – odsek 1 – písmeno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d)</w:t>
            </w:r>
            <w:r>
              <w:tab/>
            </w:r>
            <w:r>
              <w:rPr>
                <w:b/>
                <w:i/>
              </w:rPr>
              <w:t>skopírujú a preložia v prípade stupňa utajenia TRES SECRET-UE/EU-TOP SECRET.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32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Ak pôvodcu dokumentu s utajovanými skutočnosťami EÚ nemožno identifikovať, </w:t>
            </w:r>
            <w:r>
              <w:rPr>
                <w:b/>
                <w:i/>
              </w:rPr>
              <w:t>pôvodcovskú kontrolu</w:t>
            </w:r>
            <w:r>
              <w:t xml:space="preserve"> uplatňuje inštitúcia alebo orgán Únie, ktorý je držiteľom danej utajovanej skutočnosti.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Ak pôvodcu dokumentu s utajovanými skutočnosťami EÚ nemožno identifikovať, </w:t>
            </w:r>
            <w:r>
              <w:rPr>
                <w:b/>
                <w:i/>
              </w:rPr>
              <w:t>súhlas pôvodcu</w:t>
            </w:r>
            <w:r>
              <w:t xml:space="preserve"> uplatňuje inštitúcia alebo orgán Únie, ktorý je držiteľom danej utajovanej skutočnosti.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35 – 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Skutočnosti sú utajené, iba pokým sa vyžaduje, aby boli chránené. V prípade utajovaných skutočností EÚ, ktoré už nepotrebujú pôvodný stupeň utajenia, sa ich stupeň utajenia zníži na nižší stupeň. V prípade utajovaných skutočností EÚ, ktoré už nie je potrebné považovať za utajované, sa ich utajenie zruší.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Skutočnosti sú utajené, iba pokým sa vyžaduje, aby boli chránené. V prípade utajovaných skutočností EÚ, ktoré už nepotrebujú pôvodný stupeň utajenia, sa ich stupeň utajenia zníži na nižší stupeň. V prípade utajovaných skutočností EÚ, ktoré už nie je potrebné považovať za utajované, sa ich utajenie zruší. </w:t>
            </w:r>
            <w:r>
              <w:rPr>
                <w:b/>
                <w:i/>
              </w:rPr>
              <w:t>Každé utajenie sa preskúma najneskôr jeden rok po vytvorení dokumentu a potom každý rok.</w:t>
            </w:r>
            <w:r>
              <w:t xml:space="preserve"> </w:t>
            </w:r>
            <w:r>
              <w:rPr>
                <w:b/>
                <w:i/>
              </w:rPr>
              <w:t>V prípade dokumentov, ktoré sa týkajú prebiehajúceho legislatívneho procesu, sa toto preskúmanie vykoná najneskôr dva mesiace po vytvorení dokumentu a potom každé dva mesiace.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35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Ak je to možné, predovšetkým v prípade utajovaných skutočností EÚ so stupňom utajenia RESTREINT UE/EU RESTRICTED, pôvodca</w:t>
            </w:r>
            <w:r>
              <w:t xml:space="preserve"> v čase vytvorenia utajovanej skutočnosti EÚ uvedie, či je možné znížiť jej stupeň utajenia alebo utajenie zrušiť k určitému dátumu alebo po istej udalosti.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V čase vytvorenia utajovanej skutočnosti EÚ </w:t>
            </w:r>
            <w:r>
              <w:rPr>
                <w:b/>
                <w:i/>
              </w:rPr>
              <w:t>pôvodca</w:t>
            </w:r>
            <w:r>
              <w:t> uvedie, či je možné znížiť jej stupeň utajenia alebo utajenie zrušiť k určitému dátumu alebo po istej udalosti.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35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Ak je to možné, </w:t>
            </w:r>
            <w:r>
              <w:rPr>
                <w:b/>
                <w:i/>
              </w:rPr>
              <w:t>predovšetkým v prípade utajovaných skutočností EÚ so stupňom utajenia RESTREINT UE/EU RESTRICTED,</w:t>
            </w:r>
            <w:r>
              <w:t xml:space="preserve"> pôvodca v čase vytvorenia utajovanej skutočnosti EÚ uvedie, či je možné znížiť jej stupeň utajenia alebo utajenie zrušiť k určitému dátumu alebo po istej udalosti.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Ak je to možné, pôvodca v čase vytvorenia utajovanej skutočnosti EÚ uvedie, či je možné znížiť jej stupeň utajenia alebo utajenie zrušiť k určitému dátumu alebo po istej udalosti.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35 – odsek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Inštitúcie</w:t>
            </w:r>
            <w:r>
              <w:t xml:space="preserve"> alebo </w:t>
            </w:r>
            <w:r>
              <w:rPr>
                <w:b/>
                <w:i/>
              </w:rPr>
              <w:t>orgány Únie, ktoré sú pôvodcom, sú zodpovedné</w:t>
            </w:r>
            <w:r>
              <w:t xml:space="preserve"> za rozhodnutie, či možno stupeň utajenia dokumentu s utajovanými skutočnosťami EÚ znížiť alebo zrušiť utajenie. </w:t>
            </w:r>
            <w:r>
              <w:rPr>
                <w:b/>
                <w:i/>
              </w:rPr>
              <w:t>Pravidelne preskúmajú danú skutočnosť a posúdia riziká, a to aspoň raz za päť rokov, aby rozhodli, či je pôvodný stupeň utajenia stále primeraný.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Každá inštitúcia</w:t>
            </w:r>
            <w:r>
              <w:t xml:space="preserve"> alebo </w:t>
            </w:r>
            <w:r>
              <w:rPr>
                <w:b/>
                <w:i/>
              </w:rPr>
              <w:t>orgán Únie je zodpovedná</w:t>
            </w:r>
            <w:r>
              <w:t xml:space="preserve"> za rozhodnutie, či možno stupeň utajenia dokumentu s utajovanými skutočnosťami EÚ znížiť alebo zrušiť utajenie.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38 – odsek 1 – pododsek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Prevádzkové podrobnosti núdzových plánov evakuácie a zničenia sú samy osebe </w:t>
            </w:r>
            <w:r>
              <w:rPr>
                <w:b/>
                <w:i/>
              </w:rPr>
              <w:t>utajované na stupni</w:t>
            </w:r>
            <w:r>
              <w:t xml:space="preserve"> utajenia </w:t>
            </w:r>
            <w:r>
              <w:rPr>
                <w:b/>
                <w:i/>
              </w:rPr>
              <w:t>RESTREINT UE/EU RESTRICTED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Prevádzkové podrobnosti núdzových plánov evakuácie a zničenia sú samy osebe </w:t>
            </w:r>
            <w:r>
              <w:rPr>
                <w:b/>
                <w:i/>
              </w:rPr>
              <w:t>označované stupňom</w:t>
            </w:r>
            <w:r>
              <w:t xml:space="preserve"> utajenia.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39 – 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Inštitúcie a orgány Únie rozhodnú, či a kedy budú archivovať utajované skutočnosti EÚ, a o príslušných praktických opatreniach </w:t>
            </w:r>
            <w:r>
              <w:rPr>
                <w:b/>
                <w:i/>
              </w:rPr>
              <w:t>v súlade so svojou politikou správy dokumentov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Inštitúcie a orgány Únie rozhodnú, či a kedy budú archivovať utajované skutočnosti EÚ, a o príslušných praktických opatreniach.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39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Dokumenty s utajovanými skutočnosťami EÚ sa neprenášajú do historických archívov Európskej únie.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39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Článok 39 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Spory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V prípade akýchkoľvek pochybností o chránenej povahe informácií alebo o vhodnom stupni utajenia inštitúcie a orgány Únie bezodkladne a pred odovzdaním informácií navzájom konzultujú.</w:t>
            </w:r>
            <w:r>
              <w:t xml:space="preserve"> </w:t>
            </w:r>
            <w:r>
              <w:rPr>
                <w:b/>
                <w:i/>
              </w:rPr>
              <w:t>V prípade nezhody sa vec postúpi predsedom inštitúcií alebo orgánov, aby mohli spor vyriešiť.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Ak sa na konci postupu uvedeného v odseku 1 nedosiahne dohoda, odmietnutie prehodnotiť chránenú povahu informácií alebo ich príslušný stupeň utajenia podlieha preskúmaniu zákonnosti v súlade s článkom 263 ZFEÚ.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40 – odsek 1 – písmeno c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</w:rPr>
              <w:t>monitorovanie súladu inštitúcií a orgánov Únie s príslušnými ustanoveniami tohto nariadenia, ako aj s usmerneniami prijatými koordinačnou skupinou.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41 – odsek 1 – písmeno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kľúčové</w:t>
            </w:r>
            <w:r>
              <w:t xml:space="preserve"> bezpečnostné zásady pre návrh CIS, v ktorom sa manipuluje s utajovanými skutočnosťami EÚ a v ktorom sa takéto skutočnosti uchovávajú, sa uplatňujú na začiatku projektu ako súčasť procesu riadenia rizík v oblasti bezpečnosti informácií, pričom sa zohľadní potreba poznať, minimálna funkčnosť, hĺbková ochrana, princíp minimálneho privilégia, oddelenie povinností a zásada štyroch očí;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hlavné</w:t>
            </w:r>
            <w:r>
              <w:t xml:space="preserve"> bezpečnostné zásady pre návrh CIS, v ktorom sa manipuluje s utajovanými skutočnosťami EÚ a v ktorom sa takéto skutočnosti uchovávajú, sa uplatňujú na začiatku projektu ako súčasť procesu riadenia rizík v oblasti bezpečnosti informácií, pričom sa zohľadní potreba poznať, minimálna funkčnosť, hĺbková ochrana, princíp minimálneho privilégia, oddelenie povinností a zásada štyroch očí;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41 – odsek 1 – písmeno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vlastník systému alebo operačný orgán pre informačnú bezpečnosť zabezpečí, aby bol zavedený proces identifikácie a nahlasovania zraniteľností;</w:t>
            </w:r>
            <w:r>
              <w:t xml:space="preserve"> </w:t>
            </w:r>
            <w:r>
              <w:rPr>
                <w:b/>
                <w:i/>
              </w:rPr>
              <w:t>tento proces by mal byť v náležitých prípadoch doplnený pravidelnými auditmi a penetračnými testami.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42 – odsek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Pre všetky informácie a materiály klasifikované ako utajované skutočnosti EÚ vedie Rada na základe informácií od národných bezpečnostných orgánov zoznam schválených kryptografických produktov.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42 – odsek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Pre informácie a materiál klasifikované ako RESTREINT UE/EU RESTRICTED vypracuje agentúra ENISA/EU-CERT do 18 mesiacov od uverejnenia nariadenia v Úradnom vestníku Európskej únie zoznam ďalších schválených kryptografických produktov.</w:t>
            </w:r>
            <w:r>
              <w:t xml:space="preserve"> </w:t>
            </w:r>
            <w:r>
              <w:rPr>
                <w:b/>
                <w:i/>
              </w:rPr>
              <w:t>Zoznam by sa mal každý nasledujúci rok revidovať s cieľom aktualizovať ho podľa technologického a trhového vývoja.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42 – odsek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Koordinačná skupina bude každoročne informovať Radu o všetkých kryptografických produktoch, ktoré odporúča na hodnotenie zo strany kryptografického schvaľovacieho orgánu členského štátu na základe prieskumu vykonaného v inštitúciách a orgánoch Únie.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Koordinačná skupina bude každoročne informovať Radu o všetkých kryptografických produktoch, ktoré odporúča na hodnotenie zo strany kryptografického schvaľovacieho orgánu členského štátu </w:t>
            </w:r>
            <w:r>
              <w:rPr>
                <w:b/>
                <w:i/>
              </w:rPr>
              <w:t>alebo agentúry ENISA/EU-CERT</w:t>
            </w:r>
            <w:r>
              <w:t xml:space="preserve"> na základe prieskumu vykonaného v inštitúciách a orgánoch Únie.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51 – 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Všetky inštitúcie a orgány Únie </w:t>
            </w:r>
            <w:r>
              <w:rPr>
                <w:b/>
                <w:i/>
              </w:rPr>
              <w:t>môžu zdieľať</w:t>
            </w:r>
            <w:r>
              <w:t xml:space="preserve"> utajované skutočnosti EÚ s inými inštitúciami alebo orgánmi Únie za podmienok stanovených v článku 54.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Všetky inštitúcie a orgány Únie </w:t>
            </w:r>
            <w:r>
              <w:rPr>
                <w:b/>
                <w:i/>
              </w:rPr>
              <w:t>zdieľajú</w:t>
            </w:r>
            <w:r>
              <w:t> utajované skutočnosti EÚ s inými inštitúciami alebo orgánmi Únie za podmienok stanovených v článku 54.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52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Podskupina pre zdieľanie a výmenu utajovaných skutočností EÚ sa skladá zo zástupcov Komisie, Rady a Európskej služby pre vonkajšiu činnosť a pracuje na základe konsenzu.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Podskupina pre zdieľanie a výmenu utajovaných skutočností EÚ sa skladá zo zástupcov </w:t>
            </w:r>
            <w:r>
              <w:rPr>
                <w:b/>
                <w:i/>
              </w:rPr>
              <w:t>Európskeho parlamentu,</w:t>
            </w:r>
            <w:r>
              <w:t xml:space="preserve"> Komisie, Rady a Európskej služby pre vonkajšiu činnosť a pracuje na základe konsenzu. </w:t>
            </w:r>
            <w:r>
              <w:rPr>
                <w:b/>
                <w:i/>
              </w:rPr>
              <w:t>Táto podskupina sa usiluje o spravodlivú rovnováhu medzi potrebou chrániť utajované skutočnosti EÚ a nariadením (ES) č. 1049/2001 a zabezpečuje, aby utajenie samo osebe nebránilo ich zverejneniu.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52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Podskupina pre zdieľanie a výmenu utajovaných skutočností EÚ sa skladá zo zástupcov Komisie, Rady a Európskej služby pre vonkajšiu činnosť a pracuje na základe konsenzu.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Podskupina pre zdieľanie a výmenu utajovaných skutočností EÚ sa skladá zo zástupcov </w:t>
            </w:r>
            <w:r>
              <w:rPr>
                <w:b/>
                <w:i/>
              </w:rPr>
              <w:t>Európskeho parlamentu,</w:t>
            </w:r>
            <w:r>
              <w:t xml:space="preserve"> Komisie, Rady a Európskej služby pre vonkajšiu činnosť a pracuje na základe konsenzu.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52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Podskupina pre zdieľanie a výmenu utajovaných skutočností EÚ sa skladá zo zástupcov Komisie, Rady a Európskej služby pre vonkajšiu činnosť a pracuje na základe konsenzu.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Podskupina pre zdieľanie a výmenu utajovaných skutočností EÚ sa skladá zo zástupcov </w:t>
            </w:r>
            <w:r>
              <w:rPr>
                <w:b/>
                <w:i/>
              </w:rPr>
              <w:t>Európskeho parlamentu,</w:t>
            </w:r>
            <w:r>
              <w:t xml:space="preserve"> Komisie, Rady a Európskej služby pre vonkajšiu činnosť a pracuje na základe konsenzu.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54 – odsek 1 – písmeno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rPr>
                <w:b/>
                <w:i/>
              </w:rPr>
              <w:t>je preukázaná potreba výmeny</w:t>
            </w:r>
            <w:r>
              <w:t>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rPr>
                <w:b/>
                <w:i/>
              </w:rPr>
              <w:t>existuje právna povinnosť podľa práva Únie alebo dohody uzavretej medzi inštitúciami Únie</w:t>
            </w:r>
            <w:r>
              <w:t>;</w:t>
            </w:r>
            <w:r>
              <w:rPr>
                <w:b/>
                <w:i/>
              </w:rPr>
              <w:t>alebo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a) je preukázaná potreba výmeny;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54 – odsek 1 – písmeno a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aa)</w:t>
            </w:r>
            <w:r>
              <w:tab/>
            </w:r>
            <w:r>
              <w:rPr>
                <w:b/>
                <w:i/>
              </w:rPr>
              <w:t>existuje právna povinnosť vyplývajúca zo zmlúv, sekundárneho práva alebo medziinštitucionálnej dohody uzavretej medzi inštitúciami Únie;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54 – odsek 1 – písmeno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c)</w:t>
            </w:r>
            <w:r>
              <w:tab/>
            </w:r>
            <w:r>
              <w:rPr>
                <w:b/>
                <w:i/>
              </w:rPr>
              <w:t>bezpečnostný orgán dotknutej inštitúcie alebo dotknutého orgánu Únie rozhodne, že môže zdieľať utajené skutočnosti do určitého stupňa utajenia s inými takto certifikovanými inštitúciami a orgánmi Únie.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56 – odsek 1 – písmeno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dotknutá inštitúcia alebo dotknutý orgán Únie potrebuje z dlhodobého hľadiska vymieňať utajované skutočnosti so stupňom utajenia spravidla najviac </w:t>
            </w:r>
            <w:r>
              <w:rPr>
                <w:b/>
                <w:i/>
              </w:rPr>
              <w:t>RESTREINT UE/EU RESTRICTED</w:t>
            </w:r>
            <w:r>
              <w:t xml:space="preserve"> so svojou protistranou v tretej krajine alebo medzinárodnej organizácii;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dotknutá inštitúcia alebo dotknutý orgán Únie potrebuje z dlhodobého hľadiska vymieňať utajované skutočnosti so stupňom utajenia spravidla najviac </w:t>
            </w:r>
            <w:r>
              <w:rPr>
                <w:b/>
                <w:i/>
              </w:rPr>
              <w:t>CONFIDENTIEL UE/EU CONFIDENTIAL</w:t>
            </w:r>
            <w:r>
              <w:t xml:space="preserve"> so svojou protistranou v tretej krajine alebo medzinárodnej organizácii;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60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Všetky inštitúcie a orgány Únie, ktoré Komisia </w:t>
            </w:r>
            <w:r>
              <w:rPr>
                <w:b/>
                <w:i/>
              </w:rPr>
              <w:t>alebo</w:t>
            </w:r>
            <w:r>
              <w:t xml:space="preserve"> Rada alebo ESVČ posúdili pred [dd/mm/rrrr dátum začiatku uplatňovania] ako vhodné na manipuláciu s utajovanými skutočnosťami EÚ a ich uchovávanie, sa považujú za spĺňajúce podmienky uvedené v článku 19 ods. 1.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Všetky inštitúcie a orgány Únie, ktoré Komisia</w:t>
            </w:r>
            <w:r>
              <w:rPr>
                <w:b/>
                <w:i/>
              </w:rPr>
              <w:t>, Európsky parlament,</w:t>
            </w:r>
            <w:r>
              <w:t xml:space="preserve"> Rada alebo ESVČ posúdili pred [dd/mm/rrrr dátum začiatku uplatňovania] ako vhodné na manipuláciu s utajovanými skutočnosťami EÚ a ich uchovávanie, sa považujú za spĺňajúce podmienky uvedené v článku 19 ods. 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60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Všetky inštitúcie a orgány Únie, ktoré </w:t>
            </w:r>
            <w:r>
              <w:rPr>
                <w:b/>
                <w:i/>
              </w:rPr>
              <w:t>Komisia alebo</w:t>
            </w:r>
            <w:r>
              <w:t xml:space="preserve"> Rada alebo ESVČ posúdili pred [dd/mm/rrrr dátum začiatku uplatňovania] ako vhodné na manipuláciu s utajovanými skutočnosťami EÚ a ich uchovávanie, sa považujú za spĺňajúce podmienky uvedené v článku 19 ods. 1.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Všetky inštitúcie a orgány Únie, ktoré </w:t>
            </w:r>
            <w:r>
              <w:rPr>
                <w:b/>
                <w:i/>
              </w:rPr>
              <w:t>Parlament, Komisia,</w:t>
            </w:r>
            <w:r>
              <w:t xml:space="preserve"> Rada alebo ESVČ posúdili pred [dd/mm/rrrr dátum začiatku uplatňovania] ako vhodné na manipuláciu s utajovanými skutočnosťami EÚ a ich uchovávanie, sa považujú za spĺňajúce podmienky uvedené v článku 19 ods. 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61 – 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Komisia najneskôr do [dd/mm/rrrr </w:t>
            </w:r>
            <w:r>
              <w:rPr>
                <w:b/>
                <w:i/>
              </w:rPr>
              <w:t>3</w:t>
            </w:r>
            <w:r>
              <w:t xml:space="preserve"> roky od dátumu začiatku uplatňovania] predloží Európskemu parlamentu a Rade správu o vykonávaní tohto nariadenia.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Komisia najneskôr do [dd/mm/rrrr </w:t>
            </w:r>
            <w:r>
              <w:rPr>
                <w:b/>
                <w:i/>
              </w:rPr>
              <w:t>2</w:t>
            </w:r>
            <w:r>
              <w:t xml:space="preserve"> roky od dátumu začiatku uplatňovania] predloží Európskemu parlamentu a Rade správu o vykonávaní tohto nariadenia.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61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Komisia najskôr [</w:t>
            </w:r>
            <w:r>
              <w:rPr>
                <w:b/>
                <w:i/>
              </w:rPr>
              <w:t>5 rokov</w:t>
            </w:r>
            <w:r>
              <w:t xml:space="preserve"> po dátume začiatku uplatňovania] a následne každých 5 rokov vyhodnotí toto nariadenie a správu s hlavnými zisteniami predloží Európskemu parlamentu a Rade.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Komisia najskôr [</w:t>
            </w:r>
            <w:r>
              <w:rPr>
                <w:b/>
                <w:i/>
              </w:rPr>
              <w:t>3 roky</w:t>
            </w:r>
            <w:r>
              <w:t xml:space="preserve"> po dátume začiatku uplatňovania] a následne každých 5 rokov vyhodnotí toto nariadenie a správu s hlavnými zisteniami predloží Európskemu parlamentu a Rade.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 – 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Dokumenty obsahujúce citlivé neutajované skutočnosti musia byť označené použitím bezpečnostného označenia, a v prípade potreby jedným alebo viacerými označeniami distribúcie alebo označeniami, ktoré špecifikujú cieľovú skupinu podľa vhodnosti. Štandardné bezpečnostné označenie je slovo „</w:t>
            </w:r>
            <w:r>
              <w:rPr>
                <w:b/>
                <w:i/>
              </w:rPr>
              <w:t>SENSITIVE</w:t>
            </w:r>
            <w:r>
              <w:t>“ veľkými písmenami, okrem prípadov uvedených v článku 15 ods. 2.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Dokumenty obsahujúce citlivé neutajované skutočnosti musia byť označené použitím bezpečnostného označenia, a v prípade potreby jedným alebo viacerými označeniami distribúcie alebo označeniami, ktoré špecifikujú cieľovú skupinu podľa vhodnosti. Štandardné bezpečnostné označenie je slovo „</w:t>
            </w:r>
            <w:r>
              <w:rPr>
                <w:b/>
                <w:i/>
              </w:rPr>
              <w:t>PROTECTED</w:t>
            </w:r>
            <w:r>
              <w:t>“ veľkými písmenami, okrem prípadov uvedených v článku 15 ods. 2.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 – 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Odstránením či preškrtnutím označenia sa dokumenty označené ako </w:t>
            </w:r>
            <w:r>
              <w:rPr>
                <w:b/>
                <w:i/>
              </w:rPr>
              <w:t>SENSITIVE</w:t>
            </w:r>
            <w:r>
              <w:t xml:space="preserve"> zaradia do nižšej kategórie EU NORMAL alebo PUBLIC USE.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Odstránením či preškrtnutím označenia sa dokumenty označené ako </w:t>
            </w:r>
            <w:r>
              <w:rPr>
                <w:b/>
                <w:i/>
              </w:rPr>
              <w:t>PROTECTED</w:t>
            </w:r>
            <w:r>
              <w:t xml:space="preserve"> zaradia do nižšej kategórie EU NORMAL alebo PUBLIC USE.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II – odsek 1 - 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</w:t>
            </w:r>
            <w:r>
              <w:rPr>
                <w:b/>
                <w:i/>
              </w:rPr>
              <w:t>.</w:t>
            </w:r>
            <w:r>
              <w:tab/>
            </w:r>
            <w:r>
              <w:t xml:space="preserve">„previerka personálnej bezpečnosti“ alebo „PSC“ je vyhlásenie </w:t>
            </w:r>
            <w:r>
              <w:rPr>
                <w:b/>
                <w:i/>
              </w:rPr>
              <w:t>príslušného orgánu členského štátu</w:t>
            </w:r>
            <w:r>
              <w:t xml:space="preserve">, ktoré sa vydáva po ukončení bezpečnostného vyšetrovania vykonaného </w:t>
            </w:r>
            <w:r>
              <w:rPr>
                <w:b/>
                <w:i/>
              </w:rPr>
              <w:t>príslušným orgánom</w:t>
            </w:r>
            <w:r>
              <w:t xml:space="preserve"> a ktorým sa potvrdzuje, že sa osobe môže udeliť prístup k utajovaným skutočnostiam EÚ do určeného stupňa utajenia (CONFIDENTIEL UE/EU CONFIDENTIAL alebo vyššieho) a na stanovený čas;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</w:t>
            </w:r>
            <w:r>
              <w:rPr>
                <w:b/>
                <w:i/>
              </w:rPr>
              <w:t>)</w:t>
            </w:r>
            <w:r>
              <w:tab/>
            </w:r>
            <w:r>
              <w:rPr>
                <w:b/>
                <w:i/>
              </w:rPr>
              <w:t>1)</w:t>
            </w:r>
            <w:r>
              <w:t xml:space="preserve"> „previerka personálnej bezpečnosti“ alebo „PSC“ je vyhlásenie </w:t>
            </w:r>
            <w:r>
              <w:rPr>
                <w:b/>
                <w:i/>
              </w:rPr>
              <w:t>Komisie</w:t>
            </w:r>
            <w:r>
              <w:t xml:space="preserve">, ktoré sa vydáva po ukončení bezpečnostného vyšetrovania vykonaného </w:t>
            </w:r>
            <w:r>
              <w:rPr>
                <w:b/>
                <w:i/>
              </w:rPr>
              <w:t>Komisiou v spolupráci s príslušnými orgánmi príslušných členských štátov</w:t>
            </w:r>
            <w:r>
              <w:t> a ktorým sa potvrdzuje, že sa osobe môže udeliť prístup k utajovaným skutočnostiam EÚ do určeného stupňa utajenia (CONFIDENTIEL UE/EU CONFIDENTIAL alebo vyššieho) a na stanovený čas;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II – odsek 1 - 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</w:t>
            </w:r>
            <w:r>
              <w:rPr>
                <w:b/>
                <w:i/>
              </w:rPr>
              <w:t>.</w:t>
            </w:r>
            <w:r>
              <w:tab/>
            </w:r>
            <w:r>
              <w:t xml:space="preserve">„certifikát o previerke personálnej bezpečnosti“ je osvedčenie vydané </w:t>
            </w:r>
            <w:r>
              <w:rPr>
                <w:b/>
                <w:i/>
              </w:rPr>
              <w:t>príslušným orgánom</w:t>
            </w:r>
            <w:r>
              <w:t>, ktorým sa potvrdzuje, že osoba je držiteľom platnej bezpečnostnej previerky, jej ekvivalentu alebo bezpečnostného oprávnenia a v ktorom sa uvádza stupeň utajenia utajovaných skutočností EÚ. do akého sa môže tejto osobe udeliť prístup (CONFIDENTIEL UE/EU CONFIDENTIAL alebo vyšší), obdobie platnosti príslušnej bezpečnostnej previerky alebo oprávnenia a dátum skončenia platnosti samotného certifikátu.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</w:t>
            </w:r>
            <w:r>
              <w:rPr>
                <w:b/>
                <w:i/>
              </w:rPr>
              <w:t>)</w:t>
            </w:r>
            <w:r>
              <w:tab/>
            </w:r>
            <w:r>
              <w:t xml:space="preserve">„certifikát o previerke personálnej bezpečnosti“ je osvedčenie vydané </w:t>
            </w:r>
            <w:r>
              <w:rPr>
                <w:b/>
                <w:i/>
              </w:rPr>
              <w:t>Komisiou,</w:t>
            </w:r>
            <w:r>
              <w:t>, ktorým sa potvrdzuje, že osoba je držiteľom platnej bezpečnostnej previerky, jej ekvivalentu alebo bezpečnostného oprávnenia a v ktorom sa uvádza stupeň utajenia utajovaných skutočností EÚ. do akého sa môže tejto osobe udeliť prístup (CONFIDENTIEL UE/EU CONFIDENTIAL alebo vyšší), obdobie platnosti príslušnej bezpečnostnej previerky alebo oprávnenia a dátum skončenia platnosti samotného certifikátu.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II – 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Bezpečnostný orgán príslušnej inštitúcie a orgánu Únie musí požadovať písomný súhlas osoby na postup bezpečnostnej previerky pred zaslaním vyplneného dotazníka bezpečnostnej previerky </w:t>
            </w:r>
            <w:r>
              <w:rPr>
                <w:b/>
                <w:i/>
              </w:rPr>
              <w:t>národnému bezpečnostnému orgánu členského štátu podľa štátnej príslušnosti uchádzača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Bezpečnostný orgán príslušnej inštitúcie a orgánu Únie musí požadovať písomný súhlas osoby na postup bezpečnostnej previerky pred zaslaním vyplneného dotazníka bezpečnostnej previerky </w:t>
            </w:r>
            <w:r>
              <w:rPr>
                <w:b/>
                <w:i/>
              </w:rPr>
              <w:t>Komisii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II – 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Keď inštitúcia alebo orgán Únie zistí v súvislosti s osobou, ktorá požiadala o bezpečnostnú previerku s cieľom získať prístup k utajovaným skutočnostiam EÚ, informácie významné pre začatie bezpečnostného vyšetrovania, musí to príslušný bezpečnostný orgán v súlade s týmto nariadením oznámiť </w:t>
            </w:r>
            <w:r>
              <w:rPr>
                <w:b/>
                <w:i/>
              </w:rPr>
              <w:t>príslušnému národnému bezpečnostnému orgánu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Keď inštitúcia alebo orgán Únie zistí v súvislosti s osobou, ktorá požiadala o bezpečnostnú previerku s cieľom získať prístup k utajovaným skutočnostiam EÚ, informácie významné pre začatie bezpečnostného vyšetrovania, musí to príslušný bezpečnostný orgán v súlade s týmto nariadením oznámiť </w:t>
            </w:r>
            <w:r>
              <w:rPr>
                <w:b/>
                <w:i/>
              </w:rPr>
              <w:t>Komisii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II – bod 3 – úvodná časť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Po oznámení celkového hodnotenia zo strany </w:t>
            </w:r>
            <w:r>
              <w:rPr>
                <w:b/>
                <w:i/>
              </w:rPr>
              <w:t>príslušného národného bezpečnostného orgánu</w:t>
            </w:r>
            <w:r>
              <w:t xml:space="preserve"> o zisteniach bezpečnostného vyšetrovania, príslušný bezpečnostný orgán: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Po oznámení celkového hodnotenia zo strany </w:t>
            </w:r>
            <w:r>
              <w:rPr>
                <w:b/>
                <w:i/>
              </w:rPr>
              <w:t>Komisie</w:t>
            </w:r>
            <w:r>
              <w:t> o zisteniach bezpečnostného vyšetrovania, príslušný bezpečnostný orgán: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II – 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Keď osoba začne službu 12 mesiacov alebo viac po dátume oznámenia výsledku bezpečnostného vyšetrovania alebo je jej služba prerušená na 12 mesiacov, príslušný bezpečnostný orgán musí požadovať potvrdenie </w:t>
            </w:r>
            <w:r>
              <w:rPr>
                <w:b/>
                <w:i/>
              </w:rPr>
              <w:t>príslušného národného bezpečnostného orgánu</w:t>
            </w:r>
            <w:r>
              <w:t xml:space="preserve"> o platnosti bezpečnostnej previerky.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Keď osoba začne službu 12 mesiacov alebo viac po dátume oznámenia výsledku bezpečnostného vyšetrovania alebo je jej služba prerušená na 12 mesiacov, príslušný bezpečnostný orgán musí požadovať potvrdenie </w:t>
            </w:r>
            <w:r>
              <w:rPr>
                <w:b/>
                <w:i/>
              </w:rPr>
              <w:t>Komisie</w:t>
            </w:r>
            <w:r>
              <w:t> o platnosti bezpečnostnej previerky.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II – 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Ak sa príslušná inštitúcia alebo príslušný orgán Únie dozvie, že osoba s oprávnením na prístup k utajovaným skutočnostiam EÚ predstavuje bezpečnostné riziko, bezpečnostný orgán danej inštitúcie alebo orgánu Únie to musí oznámiť </w:t>
            </w:r>
            <w:r>
              <w:rPr>
                <w:b/>
                <w:i/>
              </w:rPr>
              <w:t>príslušnému národnému bezpečnostnému orgánu</w:t>
            </w:r>
            <w:r>
              <w:t xml:space="preserve"> a môže pozastaviť prístup osoby k utajovaným skutočnostiam EÚ alebo zrušiť jej povolenie na prístup k utajovaným skutočnostiam EÚ.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Ak sa príslušná inštitúcia alebo príslušný orgán Únie dozvie, že osoba s oprávnením na prístup k utajovaným skutočnostiam EÚ predstavuje bezpečnostné riziko, bezpečnostný orgán danej inštitúcie alebo orgánu Únie to musí oznámiť </w:t>
            </w:r>
            <w:r>
              <w:rPr>
                <w:b/>
                <w:i/>
              </w:rPr>
              <w:t>Komisii</w:t>
            </w:r>
            <w:r>
              <w:t> a môže pozastaviť prístup osoby k utajovaným skutočnostiam EÚ alebo zrušiť jej povolenie na prístup k utajovaným skutočnostiam EÚ.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II – 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Keď </w:t>
            </w:r>
            <w:r>
              <w:rPr>
                <w:b/>
                <w:i/>
              </w:rPr>
              <w:t>národný bezpečnostný orgán</w:t>
            </w:r>
            <w:r>
              <w:t xml:space="preserve"> oznámi príslušnej inštitúcii alebo orgánu Únie, že osoba s prístupom k utajovaným skutočnostiam EÚ už nie je spoľahlivá, bezpečnostný orgán príslušnej inštitúcie alebo príslušného orgánu Únie musí zrušiť jej bezpečnostné oprávnenie a vylúčiť túto osobu z prístupu k utajovaným skutočnostiam EÚ v súlade s príslušnými vnútornými pravidlami.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Keď </w:t>
            </w:r>
            <w:r>
              <w:rPr>
                <w:b/>
                <w:i/>
              </w:rPr>
              <w:t>Komisia</w:t>
            </w:r>
            <w:r>
              <w:t xml:space="preserve"> oznámi príslušnej inštitúcii alebo orgánu Únie, že osoba s prístupom k utajovaným skutočnostiam EÚ už nie je spoľahlivá, bezpečnostný orgán príslušnej inštitúcie alebo príslušného orgánu Únie musí zrušiť jej bezpečnostné oprávnenie a vylúčiť túto osobu z prístupu k utajovaným skutočnostiam EÚ v súlade s príslušnými vnútornými pravidlami.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II – bod 8 – 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Bezpečnostný orgán príslušnej inštitúcie alebo orgánu Únie môže predĺžiť platnosť povolenia na prístup k utajovaným skutočnostiam EÚ na obdobie najviac 12 mesiacov, ak neboli doručené žiadne nepriaznivé informácie od </w:t>
            </w:r>
            <w:r>
              <w:rPr>
                <w:b/>
                <w:i/>
              </w:rPr>
              <w:t>príslušného národného bezpečnostného orgánu alebo iného kompetentného vnútroštátneho orgánu</w:t>
            </w:r>
            <w:r>
              <w:t xml:space="preserve"> v lehote dvoch mesiacov od dátumu predloženia žiadosti o predĺženie a zodpovedajúceho dotazníka bezpečnostnej previerky.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Bezpečnostný orgán príslušnej inštitúcie alebo orgánu Únie môže predĺžiť platnosť povolenia na prístup k utajovaným skutočnostiam EÚ na obdobie najviac 12 mesiacov, ak neboli doručené žiadne nepriaznivé informácie od </w:t>
            </w:r>
            <w:r>
              <w:rPr>
                <w:b/>
                <w:i/>
              </w:rPr>
              <w:t>Komisie</w:t>
            </w:r>
            <w:r>
              <w:t xml:space="preserve"> v lehote dvoch mesiacov od dátumu predloženia žiadosti o predĺženie a zodpovedajúceho dotazníka bezpečnostnej previerky.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II – 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Bezpečnostný orgán príslušnej inštitúcie alebo orgánu Únie môže výnimočne udeliť dočasné povolenie na prístup k utajovaným skutočnostiam EÚ za predpokladu, že </w:t>
            </w:r>
            <w:r>
              <w:rPr>
                <w:b/>
                <w:i/>
              </w:rPr>
              <w:t>príslušný národný bezpečnostný orgán vykonal</w:t>
            </w:r>
            <w:r>
              <w:t xml:space="preserve"> predbežnú kontrolu na základe vyplneného a zaslaného bezpečnostného dotazníka, aby si </w:t>
            </w:r>
            <w:r>
              <w:rPr>
                <w:b/>
                <w:i/>
              </w:rPr>
              <w:t>overil</w:t>
            </w:r>
            <w:r>
              <w:t>, že nie sú známe žiadne dôležité nepriaznivé informácie.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Bezpečnostný orgán príslušnej inštitúcie alebo orgánu Únie môže výnimočne udeliť dočasné povolenie na prístup k utajovaným skutočnostiam EÚ za predpokladu, že </w:t>
            </w:r>
            <w:r>
              <w:rPr>
                <w:b/>
                <w:i/>
              </w:rPr>
              <w:t>Komisia vykonala</w:t>
            </w:r>
            <w:r>
              <w:t xml:space="preserve"> predbežnú kontrolu na základe vyplneného a zaslaného bezpečnostného dotazníka, aby si </w:t>
            </w:r>
            <w:r>
              <w:rPr>
                <w:b/>
                <w:i/>
              </w:rPr>
              <w:t>overila</w:t>
            </w:r>
            <w:r>
              <w:t>, že nie sú známe žiadne dôležité nepriaznivé informácie.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II – 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Všetky inštitúcie a orgány Únie musia zabezpečiť, že vyslaní národní experti, pokiaľ ich pozícia vyžaduje bezpečnostnú previerku, pred začatím svojej úlohy predložia príslušnému bezpečnostnému orgánu platnú </w:t>
            </w:r>
            <w:r>
              <w:rPr>
                <w:b/>
                <w:i/>
              </w:rPr>
              <w:t>previerku personálnej bezpečnosti alebo certifikát o previerke personálnej bezpečnosti</w:t>
            </w:r>
            <w:r>
              <w:t xml:space="preserve"> v súlade s vnútroštátnym právom a nariadeniami. Za predpokladu, že sú splnené požiadavky uvedené v článku 23 ods. 1, bezpečnostný orgán môže udeliť povolenie na prístup k utajovaným skutočnostiam EÚ až do úrovne rovnocennej s tou, ktorá je uvedená v národnej bezpečnostnej previerke s maximálnou platnosťou nie dlhšou ako trvanie úlohy.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Všetky inštitúcie a orgány Únie musia zabezpečiť, že vyslaní národní experti, pokiaľ ich pozícia vyžaduje bezpečnostnú previerku, pred začatím svojej úlohy predložia príslušnému bezpečnostnému orgánu platnú </w:t>
            </w:r>
            <w:r>
              <w:rPr>
                <w:b/>
                <w:i/>
              </w:rPr>
              <w:t>národnú bezpečnostnú previerku</w:t>
            </w:r>
            <w:r>
              <w:t xml:space="preserve"> v súlade s vnútroštátnym právom a nariadeniami. Za predpokladu, že sú splnené požiadavky uvedené v článku 23 ods. 1, bezpečnostný orgán môže udeliť povolenie na prístup k utajovaným skutočnostiam EÚ až do úrovne rovnocennej s tou, ktorá je uvedená v národnej bezpečnostnej previerke s maximálnou platnosťou nie dlhšou ako trvanie úlohy.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III – 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S utajovanými skutočnosťami EÚ so stupňom utajenia RESTREINT UE/EU RESTRICTED sa musí manipulovať a musia sa uchovávať v niektorom z týchto priestorov: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a) v zabezpečenom priestore;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b) v administratívnom priestore za predpokladu, že utajované skutočnosti EÚ sú chránené pred prístupom neoprávnených osôb;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c) mimo zabezpečeného alebo administratívneho priestoru pri dodržaní podmienky, že držiteľ podnikol kroky na splnenie kompenzačných opatrení, o ktorých rozhodol bezpečnostný orgán jednotlivých inštitúcií a orgánov Únie.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III – 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Utajované skutočnosti EÚ so stupňom utajenia RESTREINT UE/EU RESTRICTED sa musia uchovávať v uzamknutom kancelárskom nábytku v administratívnom alebo zabezpečenom priestore.</w:t>
            </w:r>
            <w:r>
              <w:t xml:space="preserve"> </w:t>
            </w:r>
            <w:r>
              <w:rPr>
                <w:b/>
                <w:i/>
              </w:rPr>
              <w:t>Dočasne sa môžu uchovávať mimo administratívneho alebo zabezpečeného priestoru za predpokladu, že držiteľ podnikol kroky na uloženie dotknutých dokumentov vo vhodnom uzamknutom kancelárskom nábytku v čase, keď sa nečítajú a nerokuje sa o nich.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III – 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10.</w:t>
            </w:r>
            <w:r>
              <w:tab/>
            </w:r>
            <w:r>
              <w:rPr>
                <w:b/>
                <w:i/>
              </w:rPr>
              <w:t>Inštitúcie a orgány Únie môžu manipulovať s informáciami so stupňom utajenia RESTREINT UE/EU RESTRICTED a uchovávať ich mimo svojich pracovísk za predpokladu, že príslušné informácie sú vhodne chránené.</w:t>
            </w:r>
            <w:r>
              <w:t xml:space="preserve"> </w:t>
            </w:r>
            <w:r>
              <w:rPr>
                <w:b/>
                <w:i/>
              </w:rPr>
              <w:t>Na tento účel musia inštitúcie a orgány Únie spĺňať opatrenia uvedené v bode 8 písm. c).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IV – 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Informácie so stupňom utajenia </w:t>
            </w:r>
            <w:r>
              <w:rPr>
                <w:b/>
                <w:i/>
              </w:rPr>
              <w:t>RESTREINT UE/EU RESTRICTED sa musia prepravovať v minimálne jednej vrstve nepriehľadného obalu, ako sú obálky, nepriehľadné zložky alebo aktovka.</w:t>
            </w:r>
            <w:r>
              <w:t xml:space="preserve"> </w:t>
            </w:r>
            <w:r>
              <w:rPr>
                <w:b/>
                <w:i/>
              </w:rPr>
              <w:t>Informácie so stupňom utajenia</w:t>
            </w:r>
            <w:r>
              <w:t xml:space="preserve"> CONFIDENTIEL UE/EU CONFIDENTIAL alebo vyšším sa musia prepravovať v dvoch vrstvách nepriehľadného obalu.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Informácie so stupňom utajenia CONFIDENTIEL UE/EU CONFIDENTIAL alebo vyšším sa musia prepravovať v dvoch vrstvách nepriehľadného obalu.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IV – 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Komerčné kuriérske služby môžu </w:t>
            </w:r>
            <w:r>
              <w:rPr>
                <w:b/>
                <w:i/>
              </w:rPr>
              <w:t>prepravovať</w:t>
            </w:r>
            <w:r>
              <w:t xml:space="preserve"> informácie so stupňom utajenia </w:t>
            </w:r>
            <w:r>
              <w:rPr>
                <w:b/>
                <w:i/>
              </w:rPr>
              <w:t>RESTREINT UE/EU RESTRICTED a CONFIDENTIEL UE/EU CONFIDENTIAL</w:t>
            </w:r>
            <w:r>
              <w:t xml:space="preserve"> v rámci členského štátu a </w:t>
            </w:r>
            <w:r>
              <w:rPr>
                <w:b/>
                <w:i/>
              </w:rPr>
              <w:t>z jedného členského štátu do druhého</w:t>
            </w:r>
            <w:r>
              <w:t>. Komerčné kuriérske služby môžu doručovať informácie so stupňom utajenia SECRET UE/EU SECRET len v rámci členského štátu a pri dodržaní podmienky, že ich schválil príslušný národný bezpečnostný orgán. Utajované skutočnosti EÚ so stupňom utajenia TRES SECRET UE/EU TOP SECRET sa nemôžu zveriť komerčnej kuriérskej službe.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Komerčné kuriérske služby môžu </w:t>
            </w:r>
            <w:r>
              <w:rPr>
                <w:b/>
                <w:i/>
              </w:rPr>
              <w:t>doručovať</w:t>
            </w:r>
            <w:r>
              <w:t xml:space="preserve"> informácie so stupňom utajenia </w:t>
            </w:r>
            <w:r>
              <w:rPr>
                <w:b/>
                <w:i/>
              </w:rPr>
              <w:t>SECRET UE/EU SECRET len</w:t>
            </w:r>
            <w:r>
              <w:t xml:space="preserve"> v rámci členského štátu a </w:t>
            </w:r>
            <w:r>
              <w:rPr>
                <w:b/>
                <w:i/>
              </w:rPr>
              <w:t>pri dodržaní podmienky, že ich schválil príslušný národný bezpečnostný orgán</w:t>
            </w:r>
            <w:r>
              <w:t>. Komerčné kuriérske služby môžu doručovať informácie so stupňom utajenia SECRET UE/EU SECRET len v rámci členského štátu a pri dodržaní podmienky, že ich schválil príslušný národný bezpečnostný orgán. Utajované skutočnosti EÚ so stupňom utajenia TRES SECRET UE/EU TOP SECRET sa nemôžu zveriť komerčnej kuriérskej službe.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V – 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18.</w:t>
            </w:r>
            <w:r>
              <w:tab/>
            </w:r>
            <w:r>
              <w:rPr>
                <w:b/>
                <w:i/>
              </w:rPr>
              <w:t>Ak členské štáty v zmysle vnútroštátnych právnych predpisov vyžadujú FSC alebo previerku personálnej bezpečnosti pre zmluvy, dohody o grantoch alebo subdodávateľské zmluvy so stupňom utajenia RESTREINT UE/EU RESTRICTED, inštitúcie a orgány Únie ako verejní obstarávatelia alebo orgány poskytujúce grant nesmú týmito vnútroštátnymi požiadavkami ukladať žiadne dodatočné povinnosti ostatným členským štátom alebo vylúčiť uchádzačov, žiadateľov, dodávateľov, prijímateľov alebo subdodávateľov z členských štátov, ktoré takéto požiadavky mať previerku FSC alebo previerku personálnej bezpečnosti na prístup k informáciám so stupňom utajenia RESTREINT UE/EU RESTRICTED nemajú, zo súvisiacich zmlúv, dohôd o grantoch alebo subdodávateľských zmlúv, alebo zo súťaže o ne.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V – 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22.</w:t>
            </w:r>
            <w:r>
              <w:tab/>
            </w:r>
            <w:r>
              <w:rPr>
                <w:b/>
                <w:i/>
              </w:rPr>
              <w:t>Návštevy, ktorých súčasťou je prístup k informáciám so stupňom utajenia RESTREINT UE/EU RESTRICTED, musia byť zabezpečené priamo medzi vysielajúcim a prijímajúcim subjektom.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V – 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24.</w:t>
            </w:r>
            <w:r>
              <w:tab/>
            </w:r>
            <w:r>
              <w:rPr>
                <w:b/>
                <w:i/>
              </w:rPr>
              <w:t>Bezpečnostnú certifikáciu komunikačných a informačných systémov dodávateľov alebo prijímateľov, ktoré manipulujú s utajovanými skutočnosťami so stupňom utajenia RESTREINT UE/EU RESTRICTED, a všetkých jeho prepojení možno delegovať na bezpečnostného úradníka dodávateľa alebo prijímateľa, ak to povoľujú vnútroštátne právne predpisy.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Ak sa bezpečnostná certifikácia deleguje, dodávateľ alebo prijímateľ musí pri manipulácii s informáciami so stupňom utajenia RESTREINT UE/EU RESTRICTED vo svojom komunikačnom a informačnom systéme zodpovedať za vykonávanie bezpečnostných požiadaviek uvedených v zozname bezpečnostných požiadaviek.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Príslušné národné bezpečnostné orgány alebo určené bezpečnostné orgány a orgány bezpečnostnej certifikácie sú však aj naďalej zodpovedné za ochranu informácií so stupňom utajenia RESTREINT UE/EU RESTRICTED, s ktorými dodávateľ alebo prijímateľ manipuluje alebo ich uchováva, a majú právo preveriť bezpečnostné opatrenia prijaté dodávateľom alebo prijímateľom.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Okrem toho musí dodávateľ alebo prijímateľ poskytnúť inštitúcii alebo orgánu Únie ako verejnému obstarávateľovi alebo orgánu poskytujúcemu grant, a ak to vyžadujú vnútroštátne právne predpisy, aj príslušnému národnému orgánu bezpečnostnej certifikácie, vyhlásenie o zhode, ktorým potvrdzuje, že komunikačný a informačný systém dodávateľa alebo prijímateľa a súvisiace prepojenia boli certifikované na manipuláciu s utajovanými skutočnosťami EÚ so stupňom utajenia RESTREINT UE/EU RESTRICTED a ich uchovávanie.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V – 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26.</w:t>
            </w:r>
            <w:r>
              <w:tab/>
            </w:r>
            <w:r>
              <w:rPr>
                <w:b/>
                <w:i/>
              </w:rPr>
              <w:t>Informácie so stupňom utajenia RESTREINT UE/EU RESTRICTED môžu prepravovať osobne zamestnanci dodávateľa alebo prijímateľa v rámci Európskej únie, pokiaľ sú splnené tieto požiadavky: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a) použije sa nepriehľadná obálka alebo obal, na ktorých nie je vyznačený stupeň utajenia obsahu;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b) osoba, ktorá utajované informácie prenáša, ich má celý čas vo svojej držbe;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c) obálka alebo obal sa neotvorí, až kým nedosiahne miesto konečného určenia.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752.883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70</w:t>
    </w:r>
    <w:r>
      <w:fldChar w:fldCharType="end"/>
    </w:r>
    <w:r>
      <w:tab/>
    </w:r>
    <w:r>
      <w:rPr>
        <w:rStyle w:val="HideTWBExt"/>
      </w:rPr>
      <w:t>&lt;PathFdR&gt;</w:t>
    </w:r>
    <w:r>
      <w:t>AM\1285361SK.docx</w:t>
    </w:r>
    <w:r>
      <w:rPr>
        <w:rStyle w:val="HideTWBExt"/>
      </w:rPr>
      <w:t>&lt;/PathFdR&gt;</w:t>
    </w:r>
  </w:p>
  <w:p>
    <w:pPr>
      <w:pStyle w:val="EPFooter2"/>
    </w:pPr>
    <w:r>
      <w:t>SK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AM\1285361SK.docx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69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70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752.883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SK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AM\1285361SK.docx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752.883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SK</w:t>
    </w:r>
    <w:r>
      <w:tab/>
    </w:r>
    <w:r>
      <w:rPr>
        <w:rStyle w:val="EPFooter2Motto"/>
      </w:rPr>
      <w:t>Zjednotení v rozmanitosti</w:t>
    </w:r>
    <w:r>
      <w:tab/>
    </w:r>
    <w:r>
      <w:t>SK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00"/>
    </w:pPr>
  </w:style>
  <w:style w:type="paragraph" w:customStyle="1" w:styleId="CoverNormal">
    <w:name w:val="CoverNormal"/>
    <w:basedOn w:val="Normal"/>
    <w:pPr>
      <w:widowControl w:val="0"/>
      <w:ind w:left="1400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00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00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00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20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60"/>
        <w:tab w:val="left" w:pos="920"/>
        <w:tab w:val="left" w:pos="1020"/>
        <w:tab w:val="left" w:pos="1060"/>
        <w:tab w:val="left" w:pos="1120"/>
        <w:tab w:val="left" w:pos="1180"/>
        <w:tab w:val="left" w:pos="1240"/>
        <w:tab w:val="left" w:pos="1300"/>
        <w:tab w:val="left" w:pos="1360"/>
        <w:tab w:val="left" w:pos="1400"/>
        <w:tab w:val="left" w:pos="1460"/>
        <w:tab w:val="left" w:pos="1520"/>
        <w:tab w:val="left" w:pos="1580"/>
        <w:tab w:val="left" w:pos="1640"/>
        <w:tab w:val="left" w:pos="1700"/>
        <w:tab w:val="left" w:pos="1740"/>
        <w:tab w:val="left" w:pos="1800"/>
        <w:tab w:val="left" w:pos="1860"/>
        <w:tab w:val="left" w:pos="2060"/>
        <w:tab w:val="left" w:pos="2120"/>
        <w:tab w:val="left" w:pos="3360"/>
        <w:tab w:val="left" w:pos="342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20"/>
        <w:tab w:val="right" w:pos="9060"/>
      </w:tabs>
      <w:spacing w:before="240" w:after="240"/>
    </w:pPr>
    <w:rPr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clear" w:color="0000BF" w:fill="0000BF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70</Pages>
  <Words>13164</Words>
  <Characters>83220</Characters>
  <Application>Microsoft Office Word</Application>
  <DocSecurity>0</DocSecurity>
  <Lines>1</Lines>
  <Paragraphs>1326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1285361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25763</vt:lpwstr>
  </property>
  <property fmtid="{D5CDD505-2E9C-101B-9397-08002B2CF9AE}" pid="7" name="dmxml.render.traceId">
    <vt:lpwstr>6512efd7a179223b1fb866d488c6b6aa</vt:lpwstr>
  </property>
  <property fmtid="{D5CDD505-2E9C-101B-9397-08002B2CF9AE}" pid="8" name="FooterPath">
    <vt:lpwstr>AM\1285361SK.docx</vt:lpwstr>
  </property>
  <property fmtid="{D5CDD505-2E9C-101B-9397-08002B2CF9AE}" pid="9" name="PE Number">
    <vt:lpwstr>752.883</vt:lpwstr>
  </property>
  <property fmtid="{D5CDD505-2E9C-101B-9397-08002B2CF9AE}" pid="10" name="UID">
    <vt:lpwstr>eu.europa.europarl-DIN1-2023-0000116548_01.00-sk-01.00_text-xml</vt:lpwstr>
  </property>
</Properties>
</file>