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Europaparlamentet</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Utskottet för medborgerliga fri- och rättigheter samt rättsliga och inrikes frågor</w:t>
      </w:r>
      <w:r>
        <w:rPr>
          <w:rStyle w:val="HideTWBExt"/>
        </w:rPr>
        <w:t>&lt;/Commission&gt;</w:t>
      </w:r>
    </w:p>
    <w:p>
      <w:pPr>
        <w:pStyle w:val="LineBottom"/>
      </w:pPr>
      <w:r>
        <w:t xml:space="preserve"> </w:t>
      </w:r>
    </w:p>
    <w:p>
      <w:pPr>
        <w:pStyle w:val="CoverReference"/>
      </w:pPr>
      <w:r>
        <w:rPr>
          <w:rStyle w:val="HideTWBExt"/>
        </w:rPr>
        <w:t>&lt;RefProc&gt;</w:t>
      </w:r>
      <w:r>
        <w:t>2022/0084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{07/09/2023}</w:t>
      </w:r>
      <w:r>
        <w:t>7.9.2023</w:t>
      </w:r>
      <w:r>
        <w:rPr>
          <w:rStyle w:val="HideTWBExt"/>
        </w:rPr>
        <w:t>&lt;/Date&gt;</w:t>
      </w:r>
    </w:p>
    <w:p>
      <w:pPr>
        <w:pStyle w:val="CoverDocType"/>
      </w:pPr>
      <w:r>
        <w:rPr>
          <w:rStyle w:val="HideTWBExt"/>
        </w:rPr>
        <w:t>&lt;TypeAM&gt;</w:t>
      </w:r>
      <w:r>
        <w:t>ÄNDRINGSFÖRSLAG</w:t>
      </w:r>
      <w:r>
        <w:rPr>
          <w:rStyle w:val="HideTWBExt"/>
        </w:rPr>
        <w:t>&lt;/TypeAM&gt;</w:t>
      </w:r>
    </w:p>
    <w:p>
      <w:pPr>
        <w:pStyle w:val="CoverDocType24a"/>
      </w:pPr>
      <w:r>
        <w:rPr>
          <w:rStyle w:val="HideTWBExt"/>
        </w:rPr>
        <w:t>&lt;RangeAM&gt;</w:t>
      </w:r>
      <w:r>
        <w:t>34</w:t>
      </w:r>
      <w:r>
        <w:t xml:space="preserve"> - </w:t>
      </w:r>
      <w:r>
        <w:t>181</w:t>
      </w:r>
      <w:r>
        <w:rPr>
          <w:rStyle w:val="HideTWBExt"/>
        </w:rPr>
        <w:t>&lt;/RangeAM&gt;</w:t>
      </w:r>
    </w:p>
    <w:p>
      <w:pPr>
        <w:pStyle w:val="CoverBold"/>
      </w:pPr>
      <w:r>
        <w:rPr>
          <w:rStyle w:val="HideTWBExt"/>
        </w:rPr>
        <w:t>&lt;TitreType&gt;</w:t>
      </w:r>
      <w:r>
        <w:t>Förslag till betänkande</w:t>
      </w:r>
      <w:r>
        <w:rPr>
          <w:rStyle w:val="HideTWBExt"/>
        </w:rPr>
        <w:t>&lt;/TitreType&gt;</w:t>
      </w:r>
    </w:p>
    <w:p>
      <w:pPr>
        <w:pStyle w:val="CoverBold"/>
      </w:pPr>
      <w:r>
        <w:rPr>
          <w:rStyle w:val="HideTWBExt"/>
        </w:rPr>
        <w:t>&lt;Rapporteur&gt;</w:t>
      </w:r>
      <w:r>
        <w:t>Vladimír Bilčík</w:t>
      </w:r>
      <w:r>
        <w:rPr>
          <w:rStyle w:val="HideTWBExt"/>
        </w:rPr>
        <w:t>&lt;/Rapporteur&gt;</w:t>
      </w:r>
    </w:p>
    <w:p>
      <w:pPr>
        <w:pStyle w:val="CoverNormal24a"/>
      </w:pPr>
      <w:r>
        <w:rPr>
          <w:rStyle w:val="HideTWBExt"/>
        </w:rPr>
        <w:t>&lt;DocRefPE&gt;</w:t>
      </w:r>
      <w:r>
        <w:t>(PE751.547v01-00)</w:t>
      </w:r>
      <w:r>
        <w:rPr>
          <w:rStyle w:val="HideTWBExt"/>
        </w:rPr>
        <w:t>&lt;/DocRefPE&gt;</w:t>
      </w:r>
    </w:p>
    <w:p>
      <w:pPr>
        <w:pStyle w:val="CoverNormal24a"/>
      </w:pPr>
      <w:r>
        <w:rPr>
          <w:rStyle w:val="HideTWBExt"/>
        </w:rPr>
        <w:t>&lt;Titre&gt;</w:t>
      </w:r>
      <w:r>
        <w:t>Informationssäkerhet i unionens institutioner, organ och byråer</w:t>
      </w:r>
      <w:r>
        <w:rPr>
          <w:rStyle w:val="HideTWBExt"/>
        </w:rPr>
        <w:t>&lt;/Titre&gt;</w:t>
      </w:r>
    </w:p>
    <w:p>
      <w:pPr>
        <w:pStyle w:val="CoverNormal"/>
      </w:pPr>
      <w:r>
        <w:rPr>
          <w:rStyle w:val="HideTWBExt"/>
        </w:rPr>
        <w:t>&lt;DocAmend&gt;</w:t>
      </w:r>
      <w:r>
        <w:t>Förslag till förordning</w:t>
      </w:r>
      <w:r>
        <w:rPr>
          <w:rStyle w:val="HideTWBExt"/>
        </w:rPr>
        <w:t>&lt;/DocAmend&gt;</w:t>
      </w:r>
    </w:p>
    <w:p>
      <w:pPr>
        <w:pStyle w:val="CoverNormal24a"/>
      </w:pPr>
      <w:r>
        <w:rPr>
          <w:rStyle w:val="HideTWBExt"/>
        </w:rPr>
        <w:t>&lt;DocRef&gt;</w:t>
      </w:r>
      <w:r>
        <w:t>(COM(2022)0119 – C9-0121/2022 – 2022/0084(COD))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Ändringsförslag</w:t>
      </w:r>
      <w:r>
        <w:tab/>
      </w:r>
      <w:r>
        <w:tab/>
      </w:r>
      <w:r>
        <w:rPr>
          <w:rStyle w:val="HideTWBExt"/>
        </w:rPr>
        <w:t>&lt;NumAm&gt;</w:t>
      </w:r>
      <w:r>
        <w:t>34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Beaktandeled 1a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Med beaktande av att parlamentets ledamöter, för att effektivt kunna utöva sitt mandat i enlighet med fördragen, bör ha tillgång till alla typer av information på grundval av behovsenlig behörighet,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Beaktandeled 1b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med beaktande av det specifika mandatet för parlamentsledamöter som valts i EU:s medlemsstater och maktfördelningen mellan den verkställande och den lagstiftande makten, och att ledamöterna följaktligen bör undantas från nationella säkerhetsmyndigheters förfaranden för säkerhetsprövningar,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36</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Unionens institutioner och organ har för närvarande sina egna informationssäkerhetsregler, på grundval av sin arbetsordning eller sin inrättandeakt, eller har inga sådana regler alls. I detta sammanhang gör varje EU-institution och EU-organ betydande ansträngningar för att anta sina olika strategier, vilket leder till en situation där informationsutbytet inte alltid är tillförlitligt. Avsaknaden av en gemensam strategi hindrar användningen av gemensamma verktyg som bygger på en överenskommen uppsättning regler beroende på säkerhetsbehoven för de uppgifter som ska skyddas.</w:t>
            </w:r>
          </w:p>
        </w:tc>
        <w:tc>
          <w:tcPr>
            <w:tcW w:w="4876" w:type="dxa"/>
          </w:tcPr>
          <w:p>
            <w:pPr>
              <w:pStyle w:val="Normal6a"/>
            </w:pPr>
            <w:r>
              <w:t>(1)</w:t>
            </w:r>
            <w:r>
              <w:tab/>
            </w:r>
            <w:r>
              <w:t xml:space="preserve">Unionens institutioner och organ har för närvarande sina egna informationssäkerhetsregler, på grundval av sin arbetsordning eller sin inrättandeakt, eller har inga sådana regler alls. I detta sammanhang gör varje EU-institution och EU-organ betydande ansträngningar för att anta sina olika strategier, vilket leder till en situation där informationsutbytet inte alltid är tillförlitligt </w:t>
            </w:r>
            <w:r>
              <w:rPr>
                <w:b/>
                <w:i/>
              </w:rPr>
              <w:t>eller säkert</w:t>
            </w:r>
            <w:r>
              <w:t xml:space="preserve">. Avsaknaden av en gemensam strategi hindrar användningen av gemensamma verktyg som bygger på en överenskommen uppsättning regler beroende på säkerhetsbehoven för de uppgifter som ska skyddas </w:t>
            </w:r>
            <w:r>
              <w:rPr>
                <w:b/>
                <w:i/>
              </w:rPr>
              <w:t>samt interoperabiliteten mellan sådana verktyg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Med tanke på att unionens institutioner är skyldiga att tillämpa artikel 15.3 i EUF-fördraget i enlighet med demokratiska principer, särskilt de som fastställs i artikel 10.3 i EU-fördraget och artikel 42 i Europeiska unionens stadga om de grundläggande rättigheterna (stadgan), bör systemet för säkerhetsskyddsklassificerade EU-uppgifter följa principerna om minimerad klassificering av uppgifter och tidsbegränsning för varje sådan klassificering.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Europaparlamentet är bekymrat över att kommissionen och Europeiska utrikestjänsten håller på att inrätta två konkurrerande initiativ för att samarbeta med privata företag om cybersäkerhetshot.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Framsteg har gjorts mot mer enhetliga regler för skydd av säkerhetsskyddsklassificerade EU-uppgifter och icke-säkerhetsskyddsklassificerade uppgifter, men interoperabiliteten mellan de relevanta systemen är fortfarande begränsad, vilket förhindrar en smidig överföring av uppgifter mellan unionens olika institutioner och organ. Ytterligare ansträngningar bör därför göras för att möjliggöra en interinstitutionell strategi för utbyte av säkerhetsskyddsklassificerade EU-uppgifter och känsliga icke-säkerhetsskyddsklassificerade uppgifter, med gemensamma uppgiftskategorier och gemensamma centrala hanteringsprinciper. En baslinje bör också införas för att förenkla förfarandena för utbyte av säkerhetsskyddsklassificerade EU-uppgifter och känsliga icke-säkerhetsskyddsklassificerade uppgifter mellan unionens institutioner och organ och med medlemsstaterna.</w:t>
            </w:r>
          </w:p>
        </w:tc>
        <w:tc>
          <w:tcPr>
            <w:tcW w:w="4876" w:type="dxa"/>
          </w:tcPr>
          <w:p>
            <w:pPr>
              <w:pStyle w:val="Normal6a"/>
            </w:pPr>
            <w:r>
              <w:t>(2)</w:t>
            </w:r>
            <w:r>
              <w:tab/>
            </w:r>
            <w:r>
              <w:t xml:space="preserve">Framsteg har gjorts mot mer enhetliga regler för skydd av säkerhetsskyddsklassificerade EU-uppgifter och icke-säkerhetsskyddsklassificerade uppgifter, men interoperabiliteten mellan de relevanta systemen är fortfarande begränsad, vilket förhindrar en smidig överföring av uppgifter mellan unionens olika institutioner och organ. </w:t>
            </w:r>
            <w:r>
              <w:rPr>
                <w:b/>
                <w:i/>
              </w:rPr>
              <w:t>Interinstitutionellt samarbete och förtroende är avgörande för att på ett effektivt och ändamålsenligt sätt skydda unionens informationssäkerhetsmiljö.</w:t>
            </w:r>
            <w:r>
              <w:t xml:space="preserve"> Ytterligare ansträngningar bör därför göras för att möjliggöra en interinstitutionell strategi </w:t>
            </w:r>
            <w:r>
              <w:rPr>
                <w:b/>
                <w:i/>
              </w:rPr>
              <w:t>som bygger på ökade synergier</w:t>
            </w:r>
            <w:r>
              <w:t xml:space="preserve"> för utbyte av säkerhetsskyddsklassificerade EU-uppgifter och känsliga icke-säkerhetsskyddsklassificerade uppgifter, med gemensamma uppgiftskategorier och gemensamma centrala hanteringsprinciper. En baslinje bör också införas för att förenkla förfarandena för utbyte av säkerhetsskyddsklassificerade EU-uppgifter och känsliga icke-säkerhetsskyddsklassificerade uppgifter mellan unionens institutioner och organ och med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Framsteg har gjorts mot mer enhetliga regler för skydd av säkerhetsskyddsklassificerade EU-uppgifter och icke-säkerhetsskyddsklassificerade uppgifter, men interoperabiliteten mellan de relevanta systemen är fortfarande begränsad, vilket förhindrar en smidig överföring av uppgifter mellan unionens olika institutioner och organ. </w:t>
            </w:r>
            <w:r>
              <w:rPr>
                <w:b/>
                <w:i/>
              </w:rPr>
              <w:t>Ytterligare ansträngningar bör därför göras för att möjliggöra</w:t>
            </w:r>
            <w:r>
              <w:t xml:space="preserve"> en interinstitutionell strategi för utbyte av säkerhetsskyddsklassificerade EU-uppgifter och känsliga icke-säkerhetsskyddsklassificerade uppgifter, med gemensamma uppgiftskategorier och gemensamma centrala hanteringsprinciper. </w:t>
            </w:r>
            <w:r>
              <w:rPr>
                <w:b/>
                <w:i/>
              </w:rPr>
              <w:t>En baslinje bör också införas för att förenkla</w:t>
            </w:r>
            <w:r>
              <w:t xml:space="preserve"> förfarandena för utbyte av säkerhetsskyddsklassificerade EU-uppgifter och känsliga icke-säkerhetsskyddsklassificerade uppgifter mellan unionens institutioner och organ och med medlemsstaterna.</w:t>
            </w:r>
          </w:p>
        </w:tc>
        <w:tc>
          <w:tcPr>
            <w:tcW w:w="4876" w:type="dxa"/>
          </w:tcPr>
          <w:p>
            <w:pPr>
              <w:pStyle w:val="Normal6a"/>
            </w:pPr>
            <w:r>
              <w:t>(2)</w:t>
            </w:r>
            <w:r>
              <w:tab/>
            </w:r>
            <w:r>
              <w:t xml:space="preserve">Framsteg har gjorts mot mer enhetliga regler för skydd av säkerhetsskyddsklassificerade EU-uppgifter och icke-säkerhetsskyddsklassificerade uppgifter, men interoperabiliteten mellan de relevanta systemen är fortfarande begränsad, vilket förhindrar en smidig överföring av uppgifter mellan unionens olika institutioner och organ. En interinstitutionell strategi för utbyte av säkerhetsskyddsklassificerade EU-uppgifter och känsliga icke-säkerhetsskyddsklassificerade uppgifter </w:t>
            </w:r>
            <w:r>
              <w:rPr>
                <w:b/>
                <w:i/>
              </w:rPr>
              <w:t>bör tas fram</w:t>
            </w:r>
            <w:r>
              <w:t xml:space="preserve">, med gemensamma uppgiftskategorier och gemensamma centrala hanteringsprinciper. Förfarandena för utbyte av säkerhetsskyddsklassificerade EU-uppgifter och känsliga icke-säkerhetsskyddsklassificerade uppgifter mellan unionens institutioner och organ och med medlemsstaterna </w:t>
            </w:r>
            <w:r>
              <w:rPr>
                <w:b/>
                <w:i/>
              </w:rPr>
              <w:t>bör förenklas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Därför bör relevanta bestämmelser som säkerställer en gemensam nivå av informationssäkerhet i alla unionens institutioner och organ fastställas. De bör utgöra en heltäckande och sammanhängande allmän ram för skydd av säkerhetsskyddsklassificerade EU-uppgifter och icke-säkerhetsskyddsklassificerade uppgifter och bör säkerställa likvärdighet mellan grundläggande principer och miniminormer.</w:t>
            </w:r>
          </w:p>
        </w:tc>
        <w:tc>
          <w:tcPr>
            <w:tcW w:w="4876" w:type="dxa"/>
          </w:tcPr>
          <w:p>
            <w:pPr>
              <w:pStyle w:val="Normal6a"/>
            </w:pPr>
            <w:r>
              <w:t>(3)</w:t>
            </w:r>
            <w:r>
              <w:tab/>
            </w:r>
            <w:r>
              <w:t>Därför bör relevanta bestämmelser som säkerställer en gemensam nivå av informationssäkerhet i alla unionens institutioner och organ fastställas</w:t>
            </w:r>
            <w:r>
              <w:rPr>
                <w:b/>
                <w:i/>
              </w:rPr>
              <w:t>, särskilt med tanke på det växande cybersäkerhetshotet och de många nationella enheter som är föremål för attacker</w:t>
            </w:r>
            <w:r>
              <w:t>. De bör utgöra en heltäckande och sammanhängande allmän ram för skydd av säkerhetsskyddsklassificerade EU-uppgifter och icke-säkerhetsskyddsklassificerade uppgifter och bör säkerställa likvärdighet mellan grundläggande principer och miniminormer.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Därför bör relevanta bestämmelser som säkerställer en gemensam nivå av informationssäkerhet i alla unionens institutioner och organ fastställas. De bör utgöra en heltäckande och sammanhängande allmän ram för skydd av säkerhetsskyddsklassificerade EU-uppgifter och icke-säkerhetsskyddsklassificerade uppgifter och bör säkerställa likvärdighet mellan grundläggande principer och miniminormer.</w:t>
            </w:r>
          </w:p>
        </w:tc>
        <w:tc>
          <w:tcPr>
            <w:tcW w:w="4876" w:type="dxa"/>
          </w:tcPr>
          <w:p>
            <w:pPr>
              <w:pStyle w:val="Normal6a"/>
            </w:pPr>
            <w:r>
              <w:t>(3)</w:t>
            </w:r>
            <w:r>
              <w:tab/>
            </w:r>
            <w:r>
              <w:t xml:space="preserve">Därför bör relevanta bestämmelser som säkerställer en gemensam nivå av informationssäkerhet i alla unionens institutioner och organ fastställas. De bör utgöra en heltäckande och sammanhängande allmän ram för skydd av säkerhetsskyddsklassificerade EU-uppgifter och icke-säkerhetsskyddsklassificerade uppgifter och bör säkerställa likvärdighet mellan grundläggande principer och </w:t>
            </w:r>
            <w:r>
              <w:rPr>
                <w:b/>
                <w:i/>
              </w:rPr>
              <w:t>gemensamma</w:t>
            </w:r>
            <w:r>
              <w:t xml:space="preserve"> miniminormer.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I denna förordning fastställs regler för administrationen av unionens alla institutioner och organ, men den inkluderar inte kommissionsledamöter, medlemsstaternas företrädare i rådet, ledamöter av Europaparlamentet, domarna vid unionsdomstolarna eller ledamöter av Europeiska revisionsrätten som omfattas av egna interna regler.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Enligt artikel 15 i EUF-fördraget bör unionens institutioner, organ och byråer utföra sitt arbete så öppet som möjligt och varje unionsmedborgare bör ha rätt att få tillgång till handlingar.</w:t>
            </w:r>
            <w:r>
              <w:t xml:space="preserve"> </w:t>
            </w:r>
            <w:r>
              <w:rPr>
                <w:b/>
                <w:i/>
              </w:rPr>
              <w:t>Följaktligen bör varje klassificering av handlingar ske mot bakgrund av dessa övergripande principer.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Fördragen ger befogenheter till unionens olika institutioner.</w:t>
            </w:r>
            <w:r>
              <w:t xml:space="preserve"> </w:t>
            </w:r>
            <w:r>
              <w:rPr>
                <w:b/>
                <w:i/>
              </w:rPr>
              <w:t>För att dessa befogenheter ska kunna utövas effektivt bör deras ledamöter i kraft av sitt mandat ha tillgång till all nödvändig information på grundval av behovsenlig behörighet.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Ledamöterna vid unionens institutioner bör i kraft av sitt mandat ha tillgång till all nödvändig information på grundval av principen om behovsenlig behörighet i syfte att kunna utöva de befogenheter som de tilldelats enligt fördragen.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Parlamentet påminner om att EU:s regeringar måste behålla kontrollen över känsliga uppgifter.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3b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(3b)</w:t>
            </w:r>
            <w:r>
              <w:tab/>
            </w:r>
            <w:r>
              <w:rPr>
                <w:b/>
                <w:i/>
              </w:rPr>
              <w:t>För att säkerställa denna förordnings effektivitet är det lämpligt att bedöma om de interna regler som gäller för kommissionsledamöter, medlemsstaternas företrädare i rådet, ledamöterna av Europaparlamentet, domarna vid unionsdomstolarna eller ledamöterna av Europeiska revisionsrätten är förenliga med den gemensamma lägsta skyddsnivå som fastställs i denna förordning, och göra de ändringar som krävs om så inte är fallet.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3b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(3b)</w:t>
            </w:r>
            <w:r>
              <w:tab/>
            </w:r>
            <w:r>
              <w:rPr>
                <w:b/>
                <w:i/>
              </w:rPr>
              <w:t>När det gäller informationssäkerhet bör unionens institutioner och organ öka den organisatoriska interoperabiliteten och samarbeta för att säkerställa att de nätverk, informationssystem, uppgifter och alla materiella tillgångar som används för att inhämta, lagra, behandla och överföra informationen skyddas.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3c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(3c)</w:t>
            </w:r>
            <w:r>
              <w:tab/>
            </w:r>
            <w:r>
              <w:rPr>
                <w:b/>
                <w:i/>
              </w:rPr>
              <w:t>Tillgång till uppgifter på ett säkert sätt och i en anda av ömsesidigt förtroende är avgörande för att de europeiska medlagstiftarna ska kunna utföra sina uppgifter och inte begränsas i utövandet av sina demokratiska funktioner.</w:t>
            </w:r>
            <w:r>
              <w:t xml:space="preserve"> </w:t>
            </w:r>
            <w:r>
              <w:rPr>
                <w:b/>
                <w:i/>
              </w:rPr>
              <w:t>Europaparlamentets ledamöter har denna lagstiftande funktion och deras tillgång till uppgifter bör därför styras av regler som är jämförbara med de gemensamma miniminormer som fastställs i denna förordning.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51</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Den senaste tidens pandemi har </w:t>
            </w:r>
            <w:r>
              <w:rPr>
                <w:b/>
                <w:i/>
              </w:rPr>
              <w:t>lett till en betydande förändring</w:t>
            </w:r>
            <w:r>
              <w:t xml:space="preserve"> av arbetsmetoderna</w:t>
            </w:r>
            <w:r>
              <w:rPr>
                <w:b/>
                <w:i/>
              </w:rPr>
              <w:t>,</w:t>
            </w:r>
            <w:r>
              <w:t xml:space="preserve"> då verktyg för distanskommunikation har blivit regel. Därför anpassades många förfaranden som fortfarande åtminstone delvis var pappersbaserade skyndsamt för att möjliggöra elektronisk behandling och delning av uppgifter. Denna utveckling kräver förändringar i hanteringen och skyddet av uppgifter. Denna förordning tar hänsyn till de nya arbetsmetoderna.</w:t>
            </w:r>
          </w:p>
        </w:tc>
        <w:tc>
          <w:tcPr>
            <w:tcW w:w="4876" w:type="dxa"/>
          </w:tcPr>
          <w:p>
            <w:pPr>
              <w:pStyle w:val="Normal6a"/>
            </w:pPr>
            <w:r>
              <w:t>(4)</w:t>
            </w:r>
            <w:r>
              <w:tab/>
            </w:r>
            <w:r>
              <w:t xml:space="preserve">Den senaste tidens pandemi har </w:t>
            </w:r>
            <w:r>
              <w:rPr>
                <w:b/>
                <w:i/>
              </w:rPr>
              <w:t>påskyndat en stor underliggande omställning</w:t>
            </w:r>
            <w:r>
              <w:t xml:space="preserve"> av arbetsmetoderna då verktyg för distanskommunikation har blivit regel. Därför anpassades många förfaranden som fortfarande åtminstone delvis var pappersbaserade skyndsamt för att möjliggöra elektronisk behandling och delning av uppgifter. Denna utveckling kräver förändringar i hanteringen och skyddet av uppgifter. Denna förordning tar hänsyn till de nya arbetsmetoderna.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52</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Genom att skapa en gemensam lägsta skyddsnivå för säkerhetsskyddsklassificerade EU-uppgifter och icke-säkerhetsskyddsklassificerade uppgifter bidrar denna förordning till att säkerställa att unionens institutioner och organ stöds av en effektiv och oberoende administration när de fullgör sina uppgifter. Samtidigt behåller varje institution och organ sin självständighet när det gäller att fastställa hur bestämmelserna i denna förordning ska genomföras, i enlighet med sina egna säkerhetsbehov. Denna förordning ska under inga omständigheter hindra unionens institutioner och organ från att fullgöra sitt uppdrag enligt EU-lagstiftningen eller inkräkta på deras institutionella oberoende.</w:t>
            </w:r>
          </w:p>
        </w:tc>
        <w:tc>
          <w:tcPr>
            <w:tcW w:w="4876" w:type="dxa"/>
          </w:tcPr>
          <w:p>
            <w:pPr>
              <w:pStyle w:val="Normal6a"/>
            </w:pPr>
            <w:r>
              <w:t>(5)</w:t>
            </w:r>
            <w:r>
              <w:tab/>
            </w:r>
            <w:r>
              <w:t xml:space="preserve">Genom att skapa en gemensam lägsta skyddsnivå för säkerhetsskyddsklassificerade EU-uppgifter och icke-säkerhetsskyddsklassificerade uppgifter bidrar denna förordning till att säkerställa att unionens institutioner och organ stöds av en effektiv och oberoende administration när de fullgör sina uppgifter. Samtidigt behåller varje institution och organ sin självständighet när det gäller att fastställa hur bestämmelserna i denna förordning ska genomföras, i enlighet med sina egna säkerhetsbehov. Denna förordning ska under inga omständigheter hindra unionens institutioner och organ från att fullgöra sitt uppdrag enligt EU-lagstiftningen eller inkräkta på deras institutionella oberoende. </w:t>
            </w:r>
            <w:r>
              <w:rPr>
                <w:b/>
                <w:i/>
              </w:rPr>
              <w:t>Denna gemensamma lägsta skyddsnivå för säkerhetsskyddsklassificerade EU-uppgifter bör säkerställa att en noggrann avvägning görs mellan öppenhet och användning av klassificering på ett sätt som hindrar EU:s organ från att fullgöra sitt uppdrag.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Genom att skapa en gemensam lägsta skyddsnivå för säkerhetsskyddsklassificerade EU-uppgifter och icke-säkerhetsskyddsklassificerade uppgifter bidrar denna förordning till att säkerställa att unionens institutioner och organ stöds av en effektiv och oberoende administration när de fullgör sina uppgifter. Samtidigt behåller varje institution och organ sin självständighet när det gäller att fastställa hur bestämmelserna i denna förordning ska genomföras, i enlighet med sina egna säkerhetsbehov. Denna förordning </w:t>
            </w:r>
            <w:r>
              <w:rPr>
                <w:b/>
                <w:i/>
              </w:rPr>
              <w:t>ska</w:t>
            </w:r>
            <w:r>
              <w:t xml:space="preserve"> under inga omständigheter hindra unionens institutioner och organ från att fullgöra sitt uppdrag enligt EU-lagstiftningen eller inkräkta på deras institutionella oberoende.</w:t>
            </w:r>
          </w:p>
        </w:tc>
        <w:tc>
          <w:tcPr>
            <w:tcW w:w="4876" w:type="dxa"/>
          </w:tcPr>
          <w:p>
            <w:pPr>
              <w:pStyle w:val="Normal6a"/>
            </w:pPr>
            <w:r>
              <w:t>(5)</w:t>
            </w:r>
            <w:r>
              <w:tab/>
            </w:r>
            <w:r>
              <w:t xml:space="preserve">Genom att skapa en gemensam lägsta skyddsnivå för säkerhetsskyddsklassificerade EU-uppgifter och icke-säkerhetsskyddsklassificerade uppgifter bidrar denna förordning till att säkerställa att unionens institutioner och organ stöds av en effektiv och oberoende administration när de fullgör sina uppgifter. Samtidigt behåller varje institution och organ sin självständighet när det gäller att fastställa hur bestämmelserna i denna förordning ska genomföras, i enlighet med sina egna säkerhetsbehov. Denna förordning </w:t>
            </w:r>
            <w:r>
              <w:rPr>
                <w:b/>
                <w:i/>
              </w:rPr>
              <w:t>bör</w:t>
            </w:r>
            <w:r>
              <w:t xml:space="preserve"> under inga omständigheter hindra unionens institutioner och organ från att fullgöra sitt uppdrag enligt EU-lagstiftningen eller inkräkta på deras institutionella oberoende. </w:t>
            </w:r>
            <w:r>
              <w:rPr>
                <w:b/>
                <w:i/>
              </w:rPr>
              <w:t>Man bör också se till att åtgärderna inte inverkar negativt på unionsenheternas effektiva informationsutbyte och samverkan med andra unionsenheter och nationella behöriga myndigheter.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5a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Det är avgörande att delningen av säkerhetsskyddsklassificerade EU-uppgifter är transparent och sker inom rimliga tidsramar för att unionens institutioner och organ ska fungera väl.</w:t>
            </w:r>
            <w:r>
              <w:t xml:space="preserve"> </w:t>
            </w:r>
            <w:r>
              <w:rPr>
                <w:b/>
                <w:i/>
              </w:rPr>
              <w:t>Vid genomförandet av denna förordning bör unionens institutioner och organ sträva efter att öka transparensen, minimera och tidsbegränsa användningen av sekretessbelagda handlingar, införa skyddsåtgärder mot att säkerhetsskyddsklassificering används på ett sätt som hindrar unionens enheter från att fullgöra sitt uppdrag samt säkerställa att visselblåsare skyddas på lämpligt sätt och att finns en hög skyddsnivå för uppgifter i enlighet med unionsrätten och bästa praxis.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55</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5a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Denna förordning bör säkerställa att varje begränsning av rätten till skydd av personuppgifter och integritet är nödvändig och proportionell och förenlig med det väsentliga innehållet i denna rättighet, i enlighet med artikel 52.1 i Europeiska unionens stadga om de grundläggande rättigheterna.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56</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5b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(5b)</w:t>
            </w:r>
            <w:r>
              <w:tab/>
            </w:r>
            <w:r>
              <w:rPr>
                <w:b/>
                <w:i/>
              </w:rPr>
              <w:t>Alla informationssäkerhetsåtgärder som inbegriper behandling av personuppgifter bör vara förenliga med relevant unionsrätt om dataskydd och integritet.</w:t>
            </w:r>
            <w:r>
              <w:t xml:space="preserve"> </w:t>
            </w:r>
            <w:r>
              <w:rPr>
                <w:b/>
                <w:i/>
              </w:rPr>
              <w:t>Unionens institutioner och organ bör införa relevanta tekniska och organisatoriska skyddsåtgärder för att säkerställa förenlighet på ett ansvarsfullt, transparent och motiverat sätt.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57</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6a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(6a)</w:t>
            </w:r>
            <w:r>
              <w:tab/>
            </w:r>
            <w:r>
              <w:rPr>
                <w:b/>
                <w:i/>
              </w:rPr>
              <w:t>En väsentlig del av underrättelserna om cyberhot rör utnyttjande av sårbarheter, dvs. de svagheter som hackare utnyttjar för att få obehörig tillgång.</w:t>
            </w:r>
            <w:r>
              <w:t xml:space="preserve"> </w:t>
            </w:r>
            <w:r>
              <w:rPr>
                <w:b/>
                <w:i/>
              </w:rPr>
              <w:t>Parlamentet ifrågasätter Europeiska unionens cybersäkerhetsbyrås (Enisa) förmåga att hantera mängden rapporter från produkttillverkarna.</w:t>
            </w:r>
            <w:r>
              <w:t xml:space="preserve"> </w:t>
            </w:r>
            <w:r>
              <w:rPr>
                <w:b/>
                <w:i/>
              </w:rPr>
              <w:t>Parlamentet noterar att EU:s medlemsstater skulle föredra att dessa underrättelser skickas till de nationella centrumen för hantering av it-säkerhetsincidenter (CSIRT).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58</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7a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För att slå vakt om den specifika karaktären hos Europeiska centralbankens (ECB) uppdrag och verksamhet som en del av Europeiska centralbankssystemet (ECBS) och den gemensamma tillsynsmekanismen (SSM) och som utövas i samarbete med de nationella centralbankerna och de nationella behöriga myndigheterna, bör denna förordning inte gälla uppgifter från ECBS och SSM.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I syfte att inrätta en formell struktur för samarbete mellan unionens institutioner och organ på informationssäkerhetsområdet är det nödvändigt att inrätta en interinstitutionell samordningsgrupp (samordningsgruppen) där säkerhetsmyndigheterna vid alla unionens institutioner och organ är representerade. Utan befogenhet att fatta beslut bör samordningsgruppen öka samstämmigheten i politiken på informationssäkerhetsområdet och bidra till harmoniseringen av förfarandena och verktygen för informationssäkerhet inom unionens institutioner och organ.</w:t>
            </w:r>
          </w:p>
        </w:tc>
        <w:tc>
          <w:tcPr>
            <w:tcW w:w="4876" w:type="dxa"/>
          </w:tcPr>
          <w:p>
            <w:pPr>
              <w:pStyle w:val="Normal6a"/>
            </w:pPr>
            <w:r>
              <w:t>(8)</w:t>
            </w:r>
            <w:r>
              <w:tab/>
            </w:r>
            <w:r>
              <w:t>I syfte att inrätta en formell </w:t>
            </w:r>
            <w:r>
              <w:rPr>
                <w:b/>
                <w:i/>
              </w:rPr>
              <w:t>gemensam och enhetlig</w:t>
            </w:r>
            <w:r>
              <w:t xml:space="preserve"> struktur för samarbete mellan unionens institutioner och organ på informationssäkerhetsområdet är det nödvändigt att inrätta en interinstitutionell samordningsgrupp (samordningsgruppen) där säkerhetsmyndigheterna vid alla unionens institutioner och organ är representerade. Utan befogenhet att fatta beslut bör samordningsgruppen öka samstämmigheten i politiken på informationssäkerhetsområdet och bidra till harmoniseringen av förfarandena och verktygen för informationssäkerhet inom unionens institutioner och organ.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60</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Samordningsgruppens arbete behöver stöd från experter på olika informationssäkerhetsområden: kategorisering och märkning, kommunikations- och informationssystem, ackreditering, fysisk säkerhet och utbyte av säkerhetsskyddsklassificerade EU-uppgifter och säkerhetsskyddsklassificerade uppgifter. För att undvika dubbelarbete inom unionens institutioner och organ bör därför tematiska undergrupper inrättas. Vid behov bör samordningsgruppen dessutom kunna inrätta andra undergrupper med särskilda arbetsuppgifter.</w:t>
            </w:r>
          </w:p>
        </w:tc>
        <w:tc>
          <w:tcPr>
            <w:tcW w:w="4876" w:type="dxa"/>
          </w:tcPr>
          <w:p>
            <w:pPr>
              <w:pStyle w:val="Normal6a"/>
            </w:pPr>
            <w:r>
              <w:t>(9)</w:t>
            </w:r>
            <w:r>
              <w:tab/>
            </w:r>
            <w:r>
              <w:t xml:space="preserve">Samordningsgruppens arbete behöver stöd från experter på olika informationssäkerhetsområden: kategorisering och märkning, kommunikations- och informationssystem, ackreditering, fysisk säkerhet och utbyte av säkerhetsskyddsklassificerade EU-uppgifter och säkerhetsskyddsklassificerade uppgifter. För att </w:t>
            </w:r>
            <w:r>
              <w:rPr>
                <w:b/>
                <w:i/>
              </w:rPr>
              <w:t>minska den administrativa bördan och</w:t>
            </w:r>
            <w:r>
              <w:t xml:space="preserve"> undvika dubbelarbete inom unionens institutioner och organ bör därför tematiska undergrupper inrättas. Vid behov bör samordningsgruppen dessutom kunna inrätta andra undergrupper med särskilda arbetsuppgifter.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61</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Samordningsgruppen bör ha ett nära samarbete med medlemsstaternas nationella säkerhetsmyndigheter i syfte att förbättra informationssäkerheten i unionen. En kommitté för informationssäkerhet i medlemsstaterna bör därför inrättas för att ge råd till samordningsgruppen.</w:t>
            </w:r>
          </w:p>
        </w:tc>
        <w:tc>
          <w:tcPr>
            <w:tcW w:w="4876" w:type="dxa"/>
          </w:tcPr>
          <w:p>
            <w:pPr>
              <w:pStyle w:val="Normal6a"/>
            </w:pPr>
            <w:r>
              <w:t>(10)</w:t>
            </w:r>
            <w:r>
              <w:tab/>
            </w:r>
            <w:r>
              <w:t>Samordningsgruppen bör ha ett nära samarbete med medlemsstaternas nationella säkerhetsmyndigheter i syfte att förbättra informationssäkerheten i unionen. En kommitté för informationssäkerhet i medlemsstaterna bör därför inrättas för att ge råd till samordningsgruppen</w:t>
            </w:r>
            <w:r>
              <w:rPr>
                <w:b/>
                <w:i/>
              </w:rPr>
              <w:t>, samtidigt som medlemsstaternas befogenheter i fråga om sekretessbelagda säkerhetsuppgifter respekteras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Samordningsgruppen bör ha ett nära samarbete med medlemsstaternas nationella </w:t>
            </w:r>
            <w:r>
              <w:rPr>
                <w:b/>
                <w:i/>
              </w:rPr>
              <w:t>säkerhetsmyndigheter</w:t>
            </w:r>
            <w:r>
              <w:t xml:space="preserve"> i syfte att förbättra informationssäkerheten i unionen. En kommitté för informationssäkerhet i medlemsstaterna bör därför inrättas för att ge råd till samordningsgruppen.</w:t>
            </w:r>
          </w:p>
        </w:tc>
        <w:tc>
          <w:tcPr>
            <w:tcW w:w="4876" w:type="dxa"/>
          </w:tcPr>
          <w:p>
            <w:pPr>
              <w:pStyle w:val="Normal6a"/>
            </w:pPr>
            <w:r>
              <w:t>(10)</w:t>
            </w:r>
            <w:r>
              <w:tab/>
            </w:r>
            <w:r>
              <w:t xml:space="preserve">Samordningsgruppen bör ha ett nära samarbete med medlemsstaternas nationella </w:t>
            </w:r>
            <w:r>
              <w:rPr>
                <w:b/>
                <w:i/>
              </w:rPr>
              <w:t>klassificeringsmyndigheter</w:t>
            </w:r>
            <w:r>
              <w:t xml:space="preserve"> i syfte att förbättra informationssäkerheten i unionen. En kommitté för informationssäkerhet i medlemsstaterna bör därför inrättas för att ge råd till samordningsgruppen.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This should apply horizontally</w:t>
      </w:r>
    </w:p>
    <w:p>
      <w:r>
        <w:rPr>
          <w:rStyle w:val="HideTWBExt"/>
        </w:rPr>
        <w:t>&lt;/Amend&gt;</w:t>
      </w:r>
    </w:p>
    <w:p>
      <w:pPr>
        <w:pStyle w:val="AmNumberTabs"/>
      </w:pPr>
      <w:r>
        <w:rPr>
          <w:rStyle w:val="HideTWBExt"/>
        </w:rPr>
        <w:t>&lt;Amend&gt;</w:t>
      </w:r>
      <w:r>
        <w:t>Ändringsförslag</w:t>
      </w:r>
      <w:r>
        <w:tab/>
      </w:r>
      <w:r>
        <w:tab/>
      </w:r>
      <w:r>
        <w:rPr>
          <w:rStyle w:val="HideTWBExt"/>
        </w:rPr>
        <w:t>&lt;NumAm&gt;</w:t>
      </w:r>
      <w:r>
        <w:t>63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(12)</w:t>
            </w:r>
            <w:r>
              <w:tab/>
            </w:r>
            <w:r>
              <w:t xml:space="preserve">Principen om riskhantering för informationssäkerhet bör stå i centrum för den politik som ska utarbetas på fältet av varje EU-institution och EU-organ. De minimikrav som fastställs i denna förordning måste uppfyllas, men varje EU-institution och EU-organ bör anta särskilda säkerhetsåtgärder för att skydda uppgifter i enlighet med resultaten av en intern riskbedömning. På samma sätt bör de tekniska medlen för att skydda uppgifterna anpassas till </w:t>
            </w:r>
            <w:r>
              <w:rPr>
                <w:b/>
                <w:i/>
              </w:rPr>
              <w:t>den specifika situationen vid varje institution och organ</w:t>
            </w:r>
            <w:r>
              <w:t>.</w:t>
            </w:r>
          </w:p>
        </w:tc>
        <w:tc>
          <w:tcPr>
            <w:tcW w:w="4876" w:type="dxa"/>
          </w:tcPr>
          <w:p>
            <w:pPr>
              <w:pStyle w:val="Normal6a"/>
            </w:pPr>
            <w:r>
              <w:t>(12)</w:t>
            </w:r>
            <w:r>
              <w:tab/>
            </w:r>
            <w:r>
              <w:t xml:space="preserve">Principen om riskhantering för informationssäkerhet bör stå i centrum för den politik som ska utarbetas på fältet av varje EU-institution och EU-organ. De </w:t>
            </w:r>
            <w:r>
              <w:rPr>
                <w:b/>
                <w:i/>
              </w:rPr>
              <w:t>gemensamma</w:t>
            </w:r>
            <w:r>
              <w:t xml:space="preserve"> minimikrav som fastställs i denna förordning måste uppfyllas, men varje EU-institution och EU-organ bör anta särskilda säkerhetsåtgärder för att skydda uppgifter i enlighet med resultaten av en intern riskbedömning. På samma sätt bör de tekniska medlen för att skydda uppgifterna anpassas till </w:t>
            </w:r>
            <w:r>
              <w:rPr>
                <w:b/>
                <w:i/>
              </w:rPr>
              <w:t>varje institutions och organs behov och särdrag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(13)</w:t>
            </w:r>
            <w:r>
              <w:tab/>
            </w:r>
            <w:r>
              <w:rPr>
                <w:b/>
                <w:i/>
              </w:rPr>
              <w:t>Med tanke på den mångfald av kategorier av icke-säkerhetsskyddsklassificerade uppgifter som unionens institutioner och organ har utvecklat på grundval av sina egna bestämmelser om säkerhetsinformation, och för att undvika förseningar i genomförandet av denna förordning, bör unionens institutioner och organ kunna behålla sina egna märkningssystem för interna ändamål eller för utbyte av uppgifter med sina särskilda motsvarigheter från andra institutioner och organ, eller från medlemsstaterna.</w:t>
            </w:r>
          </w:p>
        </w:tc>
        <w:tc>
          <w:tcPr>
            <w:tcW w:w="4876" w:type="dxa"/>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 xml:space="preserve">För anpassning till de nya distansarbetsmetoderna bör de </w:t>
            </w:r>
            <w:r>
              <w:rPr>
                <w:b/>
                <w:i/>
              </w:rPr>
              <w:t>nätverk</w:t>
            </w:r>
            <w:r>
              <w:t xml:space="preserve"> som används för anslutning till EU-institutionens eller EU-organets fjärråtkomsttjänster skyddas genom </w:t>
            </w:r>
            <w:r>
              <w:rPr>
                <w:b/>
                <w:i/>
              </w:rPr>
              <w:t>lämpliga</w:t>
            </w:r>
            <w:r>
              <w:t xml:space="preserve"> säkerhetsåtgärder.</w:t>
            </w:r>
          </w:p>
        </w:tc>
        <w:tc>
          <w:tcPr>
            <w:tcW w:w="4876" w:type="dxa"/>
          </w:tcPr>
          <w:p>
            <w:pPr>
              <w:pStyle w:val="Normal6a"/>
            </w:pPr>
            <w:r>
              <w:t>(14)</w:t>
            </w:r>
            <w:r>
              <w:tab/>
            </w:r>
            <w:r>
              <w:t xml:space="preserve">För anpassning till de nya distansarbetsmetoderna bör de </w:t>
            </w:r>
            <w:r>
              <w:rPr>
                <w:b/>
                <w:i/>
              </w:rPr>
              <w:t>nätverks- och informationssystem, den digitala infrastruktur och den terminalutrustning</w:t>
            </w:r>
            <w:r>
              <w:t xml:space="preserve"> som används för anslutning till EU-institutionens eller EU-organets fjärråtkomsttjänster skyddas genom </w:t>
            </w:r>
            <w:r>
              <w:rPr>
                <w:b/>
                <w:i/>
              </w:rPr>
              <w:t>toppmoderna</w:t>
            </w:r>
            <w:r>
              <w:t xml:space="preserve"> säkerhetsåtgärder.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66</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För anpassning till de nya distansarbetsmetoderna bör de nätverk som används för anslutning till EU-institutionens eller EU-organets fjärråtkomsttjänster skyddas genom lämpliga säkerhetsåtgärder.</w:t>
            </w:r>
          </w:p>
        </w:tc>
        <w:tc>
          <w:tcPr>
            <w:tcW w:w="4876" w:type="dxa"/>
          </w:tcPr>
          <w:p>
            <w:pPr>
              <w:pStyle w:val="Normal6a"/>
            </w:pPr>
            <w:r>
              <w:t>(14)</w:t>
            </w:r>
            <w:r>
              <w:tab/>
            </w:r>
            <w:r>
              <w:t xml:space="preserve">För anpassning till de nya distansarbetsmetoderna bör de nätverk som används för anslutning till EU-institutionens eller EU-organets fjärråtkomsttjänster skyddas genom lämpliga säkerhetsåtgärder </w:t>
            </w:r>
            <w:r>
              <w:rPr>
                <w:b/>
                <w:i/>
              </w:rPr>
              <w:t>med hjälp av investeringar i genomgående säkrade nätverk</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67</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Eftersom unionens institutioner och organ ofta använder sig av entreprenörer och utkontraktering är det viktigt att fastställa gemensamma bestämmelser för entreprenörers personal som utför arbetsuppgifter som rör informationssäkerhet.</w:t>
            </w:r>
          </w:p>
        </w:tc>
        <w:tc>
          <w:tcPr>
            <w:tcW w:w="4876" w:type="dxa"/>
          </w:tcPr>
          <w:p>
            <w:pPr>
              <w:pStyle w:val="Normal6a"/>
            </w:pPr>
            <w:r>
              <w:t>(15)</w:t>
            </w:r>
            <w:r>
              <w:tab/>
            </w:r>
            <w:r>
              <w:t xml:space="preserve">Eftersom unionens institutioner och organ ofta använder sig av entreprenörer och utkontraktering är det viktigt att fastställa gemensamma bestämmelser för entreprenörers personal som utför arbetsuppgifter som rör informationssäkerhet. </w:t>
            </w:r>
            <w:r>
              <w:rPr>
                <w:b/>
                <w:i/>
              </w:rPr>
              <w:t>Sådana bestämmelser bör bland annat innehålla ett krav i upphandlingsförfarandena på grundliga bakgrundkontroller som beaktar hela den leveranskedja och den ekonomiska och politiska miljö där tredje part verkar.</w:t>
            </w:r>
            <w:r>
              <w:t xml:space="preserve"> </w:t>
            </w:r>
            <w:r>
              <w:rPr>
                <w:b/>
                <w:i/>
              </w:rPr>
              <w:t>Om förbindelserna med tredje part utgör en risk för integriteten i EU:s demokratiska processer bör de brytas utan onödigt dröjsmål.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68</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Eftersom unionens institutioner och organ ofta använder sig av entreprenörer och utkontraktering är det viktigt att fastställa gemensamma bestämmelser för entreprenörers personal som utför arbetsuppgifter som rör informationssäkerhet.</w:t>
            </w:r>
          </w:p>
        </w:tc>
        <w:tc>
          <w:tcPr>
            <w:tcW w:w="4876" w:type="dxa"/>
          </w:tcPr>
          <w:p>
            <w:pPr>
              <w:pStyle w:val="Normal6a"/>
            </w:pPr>
            <w:r>
              <w:t>(15)</w:t>
            </w:r>
            <w:r>
              <w:tab/>
            </w:r>
            <w:r>
              <w:t xml:space="preserve">Eftersom unionens institutioner och organ ofta använder sig av entreprenörer och utkontraktering är det viktigt att fastställa gemensamma bestämmelser för entreprenörers personal som utför arbetsuppgifter som rör informationssäkerhet </w:t>
            </w:r>
            <w:r>
              <w:rPr>
                <w:b/>
                <w:i/>
              </w:rPr>
              <w:t>och kontollera de externa entreprenörernas kvalitet och sekretess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(16)</w:t>
            </w:r>
            <w:r>
              <w:tab/>
            </w:r>
            <w:r>
              <w:t xml:space="preserve">De materiella reglerna om tillgång till säkerhetsskyddsklassificerade EU-uppgifter i de interna bestämmelserna för olika EU-institutioner och EU-organ är för närvarande samordnade, men det finns betydande skillnader när det gäller benämningar och nödvändiga förfaranden. </w:t>
            </w:r>
            <w:r>
              <w:rPr>
                <w:b/>
                <w:i/>
              </w:rPr>
              <w:t>Detta skapar en börda för medlemsstaternas nationella säkerhetsmyndigheter, som måste anpassa sig till olika krav.</w:t>
            </w:r>
            <w:r>
              <w:t xml:space="preserve"> Det är därför nödvändigt att föreskriva en gemensam ordlista och gemensamma förfaranden på personalsäkerhetsområdet</w:t>
            </w:r>
            <w:r>
              <w:rPr>
                <w:b/>
                <w:i/>
              </w:rPr>
              <w:t>,</w:t>
            </w:r>
            <w:r>
              <w:t xml:space="preserve"> för att på så sätt </w:t>
            </w:r>
            <w:r>
              <w:rPr>
                <w:b/>
                <w:i/>
              </w:rPr>
              <w:t>förenkla samarbetet med medlemsstaternas nationella säkerhetsmyndigheter och</w:t>
            </w:r>
            <w:r>
              <w:t xml:space="preserve"> begränsa risken för att säkerhetsskyddsklassificerade EU-uppgifter röjs.</w:t>
            </w:r>
          </w:p>
        </w:tc>
        <w:tc>
          <w:tcPr>
            <w:tcW w:w="4876" w:type="dxa"/>
          </w:tcPr>
          <w:p>
            <w:pPr>
              <w:pStyle w:val="Normal6a"/>
            </w:pPr>
            <w:r>
              <w:t>(16)</w:t>
            </w:r>
            <w:r>
              <w:tab/>
            </w:r>
            <w:r>
              <w:t>De materiella reglerna om tillgång till säkerhetsskyddsklassificerade EU-uppgifter i de interna bestämmelserna för olika EU-institutioner och EU-organ är för närvarande samordnade, men det finns betydande skillnader när det gäller benämningar och nödvändiga förfaranden. Det är därför nödvändigt att föreskriva en gemensam ordlista och gemensamma förfaranden på personalsäkerhetsområdet för att på så sätt begränsa risken för att säkerhetsskyddsklassificerade EU-uppgifter röjs.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(18)</w:t>
            </w:r>
            <w:r>
              <w:tab/>
            </w:r>
            <w:r>
              <w:t>Skyddet av säkerhetsskyddsklassificerade EU-uppgifter säkerställs också genom tekniska och organisatoriska åtgärder som är tillämpliga på EU-institutionernas och EU-organens lokaler, byggnader, rum, kontor eller verksamhetsställen där säkerhetsskyddsklassificerade EU-uppgifter diskuteras, hanteras eller lagras. I denna förordning föreskrivs genomförandet av en process för hantering av informationssäkerhet på området fysisk säkerhet som skulle göra det möjligt för unionens institutioner och organ att välja lämpliga säkerhetsåtgärder för sina anläggningar.</w:t>
            </w:r>
          </w:p>
        </w:tc>
        <w:tc>
          <w:tcPr>
            <w:tcW w:w="4876" w:type="dxa"/>
          </w:tcPr>
          <w:p>
            <w:pPr>
              <w:pStyle w:val="Normal6a"/>
            </w:pPr>
            <w:r>
              <w:t>(18)</w:t>
            </w:r>
            <w:r>
              <w:tab/>
            </w:r>
            <w:r>
              <w:t xml:space="preserve">Skyddet av säkerhetsskyddsklassificerade EU-uppgifter säkerställs också genom tekniska och organisatoriska åtgärder som är tillämpliga på EU-institutionernas och EU-organens lokaler, byggnader, rum, kontor eller verksamhetsställen där säkerhetsskyddsklassificerade EU-uppgifter diskuteras, hanteras eller lagras. I denna förordning föreskrivs genomförandet av en process för hantering av informationssäkerhet på området fysisk säkerhet som skulle göra det möjligt för unionens institutioner och organ att välja lämpliga säkerhetsåtgärder för sina anläggningar. </w:t>
            </w:r>
            <w:r>
              <w:rPr>
                <w:b/>
                <w:i/>
              </w:rPr>
              <w:t>En grundlig utvärdering bör göras av säkerhetsinfrastrukturen, däribland tjänster, som omfattar alla aspekter av den operativa kedjan och miljön.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(20)</w:t>
            </w:r>
            <w:r>
              <w:tab/>
            </w:r>
            <w:r>
              <w:t xml:space="preserve">Upphovsmannens kontroll är en </w:t>
            </w:r>
            <w:r>
              <w:rPr>
                <w:b/>
                <w:i/>
              </w:rPr>
              <w:t>viktig</w:t>
            </w:r>
            <w:r>
              <w:t xml:space="preserve"> princip i hanteringen av säkerhetsskyddsklassificerade EU-uppgifter, och måste därför </w:t>
            </w:r>
            <w:r>
              <w:rPr>
                <w:b/>
                <w:i/>
              </w:rPr>
              <w:t>tydligt fastställas och utvecklas</w:t>
            </w:r>
            <w:r>
              <w:t xml:space="preserve">. I detta avseende ger skapandet av säkerhetsskyddsklassificerade EU-uppgifter upphovsmannen ett ansvar </w:t>
            </w:r>
            <w:r>
              <w:rPr>
                <w:b/>
                <w:i/>
              </w:rPr>
              <w:t>som bör omfatta hela</w:t>
            </w:r>
            <w:r>
              <w:t xml:space="preserve"> livscykeln för den berörda handlingen.</w:t>
            </w:r>
          </w:p>
        </w:tc>
        <w:tc>
          <w:tcPr>
            <w:tcW w:w="4876" w:type="dxa"/>
          </w:tcPr>
          <w:p>
            <w:pPr>
              <w:pStyle w:val="Normal6a"/>
            </w:pPr>
            <w:r>
              <w:t>(20)</w:t>
            </w:r>
            <w:r>
              <w:tab/>
            </w:r>
            <w:r>
              <w:t xml:space="preserve">Upphovsmannens kontroll är en princip i hanteringen av säkerhetsskyddsklassificerade EU-uppgifter, och måste därför </w:t>
            </w:r>
            <w:r>
              <w:rPr>
                <w:b/>
                <w:i/>
              </w:rPr>
              <w:t>beaktas</w:t>
            </w:r>
            <w:r>
              <w:t xml:space="preserve">. I detta avseende ger skapandet av säkerhetsskyddsklassificerade EU-uppgifter upphovsmannen ett ansvar </w:t>
            </w:r>
            <w:r>
              <w:rPr>
                <w:b/>
                <w:i/>
              </w:rPr>
              <w:t>i början av</w:t>
            </w:r>
            <w:r>
              <w:t xml:space="preserve"> livscykeln för den berörda handlingen.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(21)</w:t>
            </w:r>
            <w:r>
              <w:tab/>
            </w:r>
            <w:r>
              <w:t xml:space="preserve">Unionens institutioner och organ har traditionellt sett utvecklat sina kommunikations- och informationssystem självständigt, och inte fokuserat tillräckligt på deras interoperabilitet inom alla unionens institutioner och organ. Det är därför nödvändigt att fastställa minimikrav gällande säkerheten för de kommunikations- och informationssystem som hanterar </w:t>
            </w:r>
            <w:r>
              <w:rPr>
                <w:b/>
                <w:i/>
              </w:rPr>
              <w:t>och lagrar</w:t>
            </w:r>
            <w:r>
              <w:t xml:space="preserve"> både säkerhetsskyddsklassificerade EU-uppgifter och icke-säkerhetsskyddsklassificerade uppgifter i syfte att garantera ett smidigt informationsutbyte med berörda intressenter.</w:t>
            </w:r>
          </w:p>
        </w:tc>
        <w:tc>
          <w:tcPr>
            <w:tcW w:w="4876" w:type="dxa"/>
          </w:tcPr>
          <w:p>
            <w:pPr>
              <w:pStyle w:val="Normal6a"/>
            </w:pPr>
            <w:r>
              <w:t>(21)</w:t>
            </w:r>
            <w:r>
              <w:tab/>
            </w:r>
            <w:r>
              <w:t>Unionens institutioner och organ har traditionellt sett utvecklat sina kommunikations- och informationssystem självständigt, och inte fokuserat tillräckligt på deras interoperabilitet inom alla unionens institutioner och organ. Det är därför nödvändigt att fastställa minimikrav gällande säkerheten för de kommunikations- och informationssystem som hanterar</w:t>
            </w:r>
            <w:r>
              <w:rPr>
                <w:b/>
                <w:i/>
              </w:rPr>
              <w:t>, lagrar och överför</w:t>
            </w:r>
            <w:r>
              <w:t xml:space="preserve"> både säkerhetsskyddsklassificerade EU-uppgifter och icke-säkerhetsskyddsklassificerade uppgifter i syfte att garantera ett smidigt informationsutbyte med berörda intressenter.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21a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(21a)</w:t>
            </w:r>
            <w:r>
              <w:tab/>
            </w:r>
            <w:r>
              <w:rPr>
                <w:b/>
                <w:i/>
              </w:rPr>
              <w:t>Information som innehas av unionens enheter utbyts också genom IKT-miljön, på plats eller genom virtuella tillgångar, IKT-produkter, IKT-tjänster eller IKT-processer samt nätverk och informationssystem som ägs eller drivs av en unionsenhet, eller som förvaltas eller drivs av tredje part, inbegripet mobila enheter, intranät och företagsnätverk som inte är anslutna till internet och enheter som är anslutna till IKT-miljön.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I denna förordning fastställs informationssäkerhetsregler för alla unionens institutioner och organ.</w:t>
            </w:r>
          </w:p>
        </w:tc>
        <w:tc>
          <w:tcPr>
            <w:tcW w:w="4876" w:type="dxa"/>
          </w:tcPr>
          <w:p>
            <w:pPr>
              <w:pStyle w:val="Normal6a"/>
            </w:pPr>
            <w:r>
              <w:t>1.</w:t>
            </w:r>
            <w:r>
              <w:tab/>
            </w:r>
            <w:r>
              <w:t xml:space="preserve">I denna förordning fastställs </w:t>
            </w:r>
            <w:r>
              <w:rPr>
                <w:b/>
                <w:i/>
              </w:rPr>
              <w:t>en minimiuppsättning gemensamma och enhetliga</w:t>
            </w:r>
            <w:r>
              <w:t xml:space="preserve"> informationssäkerhetsregler för alla unionens institutioner och organ.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75</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I denna förordning fastställs </w:t>
            </w:r>
            <w:r>
              <w:rPr>
                <w:b/>
                <w:i/>
              </w:rPr>
              <w:t>informationssäkerhetsregler</w:t>
            </w:r>
            <w:r>
              <w:t xml:space="preserve"> för alla unionens institutioner och organ.</w:t>
            </w:r>
          </w:p>
        </w:tc>
        <w:tc>
          <w:tcPr>
            <w:tcW w:w="4876" w:type="dxa"/>
          </w:tcPr>
          <w:p>
            <w:pPr>
              <w:pStyle w:val="Normal6a"/>
            </w:pPr>
            <w:r>
              <w:t>1.</w:t>
            </w:r>
            <w:r>
              <w:tab/>
            </w:r>
            <w:r>
              <w:t xml:space="preserve">I denna förordning fastställs </w:t>
            </w:r>
            <w:r>
              <w:rPr>
                <w:b/>
                <w:i/>
              </w:rPr>
              <w:t>gemensamma minimiregler för informationssäkerhet</w:t>
            </w:r>
            <w:r>
              <w:t xml:space="preserve"> för alla unionens institutioner och organ.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 – stycke 1a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Denna förordning påverkar inte tillämpningen av Europaparlamentets och rådets förordning (EG) 1049/2001.</w:t>
            </w:r>
            <w:r>
              <w:t xml:space="preserve"> </w:t>
            </w:r>
            <w:r>
              <w:rPr>
                <w:b/>
                <w:i/>
              </w:rPr>
              <w:t>Ingenting i denna förordning, särskilt bestämmelserna om säkerhetsskyddsklassificerade EU-uppgifter, får användas för att begränsa tillgången till handlingar inom unionens institutioner, organ och byråer på ett sätt som går utöver gällande lagstiftning om sådan tillgång.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Denna förordning ska tillämpas på alla uppgifter som hanteras och lagras av unionens institutioner och organ, inbegripet uppgifter som rör Europeiska atomenergigemenskapens verksamhet, med undantag för säkerhetsskyddsklassificerade Euratomuppgifter.</w:t>
            </w:r>
          </w:p>
        </w:tc>
        <w:tc>
          <w:tcPr>
            <w:tcW w:w="4876" w:type="dxa"/>
          </w:tcPr>
          <w:p>
            <w:pPr>
              <w:pStyle w:val="Normal6a"/>
            </w:pPr>
            <w:r>
              <w:t>1.</w:t>
            </w:r>
            <w:r>
              <w:tab/>
            </w:r>
            <w:r>
              <w:t xml:space="preserve">Denna förordning ska tillämpas på alla uppgifter som hanteras och lagras av unionens institutioner och organ, inbegripet uppgifter som rör Europeiska atomenergigemenskapens verksamhet, med undantag för säkerhetsskyddsklassificerade Euratomuppgifter </w:t>
            </w:r>
            <w:r>
              <w:rPr>
                <w:b/>
                <w:i/>
              </w:rPr>
              <w:t>och uppgifter som rör ECB:s uppdrag och verksamhet inom ECBS och SSM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stycke 1a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Denna förordning påverkar inte tillämpningen av förordning (Euratom) nr 3/1958[1], förordning nr 31 (EEG), nr 11 (EKSG) om tjänsteföreskrifter för tjänstemän och anställningsvillkor för övriga anställda i Europeiska ekonomiska gemenskapen och Europeiska atomenergigemenskapen[2], Europaparlamentets och rådets förordning (EG) nr 1049/2001[3], Europaparlamentets och rådets förordning (EU) 2018/1725[4], rådets förordning (EEG, Euratom) nr 354/83[5], Europaparlamentets och rådets förordning (EU, Euratom) 2018/1046[6], Europaparlamentets och rådets förordning (EU) 2021/697[7], Europaparlamentets och rådets förordning (EU) [...][8] om åtgärder för en hög gemensam cybersäkerhetsnivå vid unionens institutioner, organ och byråer. [KL1] [1] Förordning (Euratom) nr 3/1958 om genomförandet av artikel 24 i fördraget om upprättandet av Europeiska atomenergigemenskapen (EGT 17, 6.10.1958, s.</w:t>
            </w:r>
            <w:r>
              <w:t xml:space="preserve"> </w:t>
            </w:r>
            <w:r>
              <w:rPr>
                <w:b/>
                <w:i/>
              </w:rPr>
              <w:t>406. [2] EUT 45, 14.6.1962, s.</w:t>
            </w:r>
            <w:r>
              <w:t xml:space="preserve"> </w:t>
            </w:r>
            <w:r>
              <w:rPr>
                <w:b/>
                <w:i/>
              </w:rPr>
              <w:t>1385. [3] Europaparlamentets och rådets förordning (EG) nr 1049/2001 av den 30 maj 2001 om allmänhetens tillgång till Europaparlamentets, rådets och kommissionens handlingar (EUT L 145, 31.5.2001, s.</w:t>
            </w:r>
            <w:r>
              <w:t xml:space="preserve"> </w:t>
            </w:r>
            <w:r>
              <w:rPr>
                <w:b/>
                <w:i/>
              </w:rPr>
              <w:t>43). [4] 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w:t>
            </w:r>
            <w:r>
              <w:t xml:space="preserve"> </w:t>
            </w:r>
            <w:r>
              <w:rPr>
                <w:b/>
                <w:i/>
              </w:rPr>
              <w:t>39). [5] Rådets förordning (EEG, Euratom) nr 354/83 av den 1 februari 1983 om öppnandet för allmänheten av Europeiska ekonomiska gemenskapens och Europeiska atomenergigemenskapens historiska arkiv (EGT L 43, 15.2.1983, s.</w:t>
            </w:r>
            <w:r>
              <w:t xml:space="preserve"> </w:t>
            </w:r>
            <w:r>
              <w:rPr>
                <w:b/>
                <w:i/>
              </w:rPr>
              <w:t>1). [6]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 (EUT L 193, 30.7.2018, s.</w:t>
            </w:r>
            <w:r>
              <w:t xml:space="preserve"> </w:t>
            </w:r>
            <w:r>
              <w:rPr>
                <w:b/>
                <w:i/>
              </w:rPr>
              <w:t>1). [7] Europaparlamentets och rådets förordning (EU) 2021/697 av den 29 april 2021 om inrättande av Europeiska försvarsfonden och om upphävande av förordning (EU) 2018/1092 (EUT L 170, 12.5.2021, s. 149). [8] Europaparlamentets och rådets förordning [...] om åtgärder för en hög gemensam cybersäkerhetsnivå vid unionens institutioner, organ och byråer.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79</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stycke 1a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Denna förordning ska inte tillämpas på kommissionsledamöterna, medlemsstaternas förträdare i rådet, Europaparlamentets ledamöter, domarna vid unionsdomstolarna eller ledamöterna av Europeiska revisionsrätten.</w:t>
            </w:r>
            <w:r>
              <w:t xml:space="preserve"> </w:t>
            </w:r>
            <w:r>
              <w:rPr>
                <w:b/>
                <w:i/>
              </w:rPr>
              <w:t>För att säkerställa förordningens effektivitet och inte skapa några luckor i informationssäkerhetssystemet eller skillnader mellan personer inom samma institution ska dessa institutioner och organ anta interna regler som är anpassade till denna förordning.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punkt 2 – led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Tre nivåer av icke-säkerhetsskyddsklassificerade uppgifter: uppgifter för allmänt bruk, normala uppgifter och </w:t>
            </w:r>
            <w:r>
              <w:rPr>
                <w:b/>
                <w:i/>
              </w:rPr>
              <w:t>känsliga</w:t>
            </w:r>
            <w:r>
              <w:t xml:space="preserve"> icke-säkerhetsskyddsklassificerade uppgifter.</w:t>
            </w:r>
          </w:p>
        </w:tc>
        <w:tc>
          <w:tcPr>
            <w:tcW w:w="4876" w:type="dxa"/>
          </w:tcPr>
          <w:p>
            <w:pPr>
              <w:pStyle w:val="Normal6a"/>
            </w:pPr>
            <w:r>
              <w:t>a)</w:t>
            </w:r>
            <w:r>
              <w:tab/>
            </w:r>
            <w:r>
              <w:t xml:space="preserve">Tre nivåer av icke-säkerhetsskyddsklassificerade uppgifter: uppgifter för allmänt bruk, normala uppgifter och </w:t>
            </w:r>
            <w:r>
              <w:rPr>
                <w:b/>
                <w:i/>
              </w:rPr>
              <w:t>skyddade</w:t>
            </w:r>
            <w:r>
              <w:t xml:space="preserve"> icke-säkerhetsskyddsklassificerade uppgifter.</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(Denna ändring berör hela texten. Om ändringen antas ska hela texten anpassas i överensstämmelse härmed.)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Endast CONFIDENTIEL UE/EU CONFIDENTIAL, SECRET UE/EU SECRET, TRES SECRET UE/EU TOP SECRET kallas ”känslig” i artikel 9 i förordning 1049/2001.</w:t>
      </w:r>
      <w:r>
        <w:t xml:space="preserve"> </w:t>
      </w:r>
      <w:r>
        <w:t>För att undvika förvirring bör en annan terminologi användas.</w:t>
      </w:r>
    </w:p>
    <w:p>
      <w:r>
        <w:rPr>
          <w:rStyle w:val="HideTWBExt"/>
        </w:rPr>
        <w:t>&lt;/Amend&gt;</w:t>
      </w:r>
    </w:p>
    <w:p>
      <w:pPr>
        <w:pStyle w:val="AmNumberTabs"/>
      </w:pPr>
      <w:r>
        <w:rPr>
          <w:rStyle w:val="HideTWBExt"/>
        </w:rPr>
        <w:t>&lt;Amend&gt;</w:t>
      </w:r>
      <w:r>
        <w:t>Ändringsförslag</w:t>
      </w:r>
      <w:r>
        <w:tab/>
      </w:r>
      <w:r>
        <w:tab/>
      </w:r>
      <w:r>
        <w:rPr>
          <w:rStyle w:val="HideTWBExt"/>
        </w:rPr>
        <w:t>&lt;NumAm&gt;</w:t>
      </w:r>
      <w:r>
        <w:t>81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punkt 2 – led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rPr>
                <w:b/>
                <w:i/>
              </w:rPr>
              <w:t>Fyra</w:t>
            </w:r>
            <w:r>
              <w:t xml:space="preserve"> nivåer av säkerhetsskyddsklassificerade EU-uppgifter: </w:t>
            </w:r>
            <w:r>
              <w:rPr>
                <w:b/>
                <w:i/>
              </w:rPr>
              <w:t>RESTREINT UE/EU RESTRICTED,</w:t>
            </w:r>
            <w:r>
              <w:t xml:space="preserve"> CONFIDENTIEL UE/EU CONFIDENTIAL, SECRET UE/EU SECRET, TRES SECRET UE/EU TOP SECRET.</w:t>
            </w:r>
          </w:p>
        </w:tc>
        <w:tc>
          <w:tcPr>
            <w:tcW w:w="4876" w:type="dxa"/>
          </w:tcPr>
          <w:p>
            <w:pPr>
              <w:pStyle w:val="Normal6a"/>
            </w:pPr>
            <w:r>
              <w:t>b)</w:t>
            </w:r>
            <w:r>
              <w:tab/>
            </w:r>
            <w:r>
              <w:rPr>
                <w:b/>
                <w:i/>
              </w:rPr>
              <w:t>Tre</w:t>
            </w:r>
            <w:r>
              <w:t xml:space="preserve"> nivåer av säkerhetsskyddsklassificerade EU-uppgifter: CONFIDENTIEL UE/EU CONFIDENTIAL, SECRET UE/EU SECRET, TRES SECRET UE/EU TOP SECRET.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(Denna ändring berör hela texten. Om ändringen antas ska hela texten anpassas i överensstämmelse härmed.)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punkt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Dessa nivåer grundar sig på den skada som obehörigt röjande kan orsaka berättigade </w:t>
            </w:r>
            <w:r>
              <w:rPr>
                <w:b/>
                <w:i/>
              </w:rPr>
              <w:t>privata och</w:t>
            </w:r>
            <w:r>
              <w:t xml:space="preserve"> allmänna intressen, inbegripet unionens, EU-institutioners och EU-organs samt medlemsstaternas eller andra intressenters intressen, så att lämpliga skyddsåtgärder kan vidtas.</w:t>
            </w:r>
          </w:p>
        </w:tc>
        <w:tc>
          <w:tcPr>
            <w:tcW w:w="4876" w:type="dxa"/>
          </w:tcPr>
          <w:p>
            <w:pPr>
              <w:pStyle w:val="Normal6a"/>
            </w:pPr>
            <w:r>
              <w:t>3.</w:t>
            </w:r>
            <w:r>
              <w:tab/>
            </w:r>
            <w:r>
              <w:t>Dessa nivåer grundar sig på den skada som obehörigt röjande kan orsaka berättigade allmänna intressen, inbegripet unionens, EU-institutioners och EU-organs samt medlemsstaternas eller andra intressenters intressen, så att lämpliga skyddsåtgärder kan vidtas.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stycke 1a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Ledamöterna av unionens institutioner ska ha tillgång till all slags information på grundval av behovsenlig behörighet för att effektivt kunna utöva sitt mandat i enlighet med fördragen.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Bristande efterlevnad av denna förordning, i synnerhet obehörigt röjande av uppgifter med de säkerhetsskyddsklassificeringsnivåer som avses i artikel 2.2, med undantag av uppgifter för allmänt bruk, ska bli föremål för utredning och kan utlösa personalansvar i enlighet med fördragen eller deras relevanta tjänsteföreskrifter.</w:t>
            </w:r>
          </w:p>
        </w:tc>
        <w:tc>
          <w:tcPr>
            <w:tcW w:w="4876" w:type="dxa"/>
          </w:tcPr>
          <w:p>
            <w:pPr>
              <w:pStyle w:val="Normal6a"/>
            </w:pPr>
            <w:r>
              <w:t>2.</w:t>
            </w:r>
            <w:r>
              <w:tab/>
            </w:r>
            <w:r>
              <w:t>Bristande efterlevnad av denna förordning, i synnerhet obehörigt röjande av uppgifter med de säkerhetsskyddsklassificeringsnivåer som avses i artikel 2.2, med undantag av uppgifter för allmänt bruk, ska bli föremål för utredning och kan utlösa personalansvar i enlighet med fördragen eller deras relevanta tjänsteföreskrifter</w:t>
            </w:r>
            <w:r>
              <w:rPr>
                <w:b/>
                <w:i/>
              </w:rPr>
              <w:t>, med vederbörlig hänsyn till bestämmelserna om röjande av information som ger anledning att misstänka förekomst av olaglig verksamhet, inbegripet bedrägeri eller korruption som kan skada unionens intressen, eller ett beteende i samband med tjänsteutövningen som kan innebära ett allvarligt åsidosättande av yrkesmässiga skyldigheter, samt till skyddet av personer som rapporterar överträdelser av unionsrätten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Unionens institutioner och organ </w:t>
            </w:r>
            <w:r>
              <w:rPr>
                <w:b/>
                <w:i/>
              </w:rPr>
              <w:t>ska</w:t>
            </w:r>
            <w:r>
              <w:t xml:space="preserve"> bedöma alla uppgifter de hanterar och lagrar för att kategorisera den i enlighet med de sekretessnivåer som anges i artikel 2.2.</w:t>
            </w:r>
          </w:p>
        </w:tc>
        <w:tc>
          <w:tcPr>
            <w:tcW w:w="4876" w:type="dxa"/>
          </w:tcPr>
          <w:p>
            <w:pPr>
              <w:pStyle w:val="Normal6a"/>
            </w:pPr>
            <w:r>
              <w:t>3.</w:t>
            </w:r>
            <w:r>
              <w:tab/>
            </w:r>
            <w:r>
              <w:rPr>
                <w:b/>
                <w:i/>
              </w:rPr>
              <w:t>Utan att det påverkar tillämpningen av artikel 15 i EUF-fördraget ska</w:t>
            </w:r>
            <w:r>
              <w:t xml:space="preserve"> unionens institutioner och organ bedöma alla uppgifter de hanterar och lagrar för att kategorisera den i enlighet med de sekretessnivåer som anges i artikel 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4 – led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Integritet: Att uppgifterna är fullständiga och i oförändrat skick.</w:t>
            </w:r>
          </w:p>
        </w:tc>
        <w:tc>
          <w:tcPr>
            <w:tcW w:w="4876" w:type="dxa"/>
          </w:tcPr>
          <w:p>
            <w:pPr>
              <w:pStyle w:val="Normal6a"/>
            </w:pPr>
            <w:r>
              <w:t>d)</w:t>
            </w:r>
            <w:r>
              <w:tab/>
            </w:r>
            <w:r>
              <w:t xml:space="preserve">Integritet: Att uppgifterna är fullständiga och i oförändrat skick </w:t>
            </w:r>
            <w:r>
              <w:rPr>
                <w:b/>
                <w:i/>
              </w:rPr>
              <w:t>och att den tekniska infrastruktur som används för att dela uppgifter är skyddad mot utländsk inblandning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punkt 6 – stycke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EU-institutioner och EU-organ som hanterar och lagrar säkerhetsskyddsklassificerade EU-uppgifter ska anordna obligatorisk utbildning minst en gång vart femte år för alla personer som har tillgång till säkerhetsskyddsklassificerade EU-uppgifter. De berörda institutionerna och organen ska anordna särskild utbildning för de specifika funktioner som har anförtrotts arbetsuppgifter i samband med informationssäkerhet.</w:t>
            </w:r>
          </w:p>
        </w:tc>
        <w:tc>
          <w:tcPr>
            <w:tcW w:w="4876" w:type="dxa"/>
          </w:tcPr>
          <w:p>
            <w:pPr>
              <w:pStyle w:val="Normal6a"/>
            </w:pPr>
            <w:r>
              <w:t xml:space="preserve">EU-institutioner och EU-organ som hanterar och lagrar säkerhetsskyddsklassificerade EU-uppgifter ska anordna obligatorisk utbildning minst en gång vart femte år för alla personer som har tillgång till säkerhetsskyddsklassificerade EU-uppgifter. De berörda institutionerna och organen ska anordna särskild utbildning för de specifika funktioner som har anförtrotts arbetsuppgifter i samband med informationssäkerhet. </w:t>
            </w:r>
            <w:r>
              <w:rPr>
                <w:b/>
                <w:i/>
              </w:rPr>
              <w:t>Unionsenheterna ska senast sex månader efter att denna förordning har trätt i kraft utforma och genomföra effektiva och lämpliga kurser, som står i proportion till konstaterade risker i enlighet med artikel 5, för alla personer som har tillgång till säkerhetsskyddsklassificerade EU-uppgifter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5 – punkt 3 – led aa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Riskerna för fysiska personers fri- och rättigheter.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5 – punkt 3 – led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Driftskontinuitet och haveriberedskap.</w:t>
            </w:r>
          </w:p>
        </w:tc>
        <w:tc>
          <w:tcPr>
            <w:tcW w:w="4876" w:type="dxa"/>
          </w:tcPr>
          <w:p>
            <w:pPr>
              <w:pStyle w:val="Normal6a"/>
            </w:pPr>
            <w:r>
              <w:t>f)</w:t>
            </w:r>
            <w:r>
              <w:tab/>
            </w:r>
            <w:r>
              <w:t>Driftskontinuitet</w:t>
            </w:r>
            <w:r>
              <w:rPr>
                <w:b/>
                <w:i/>
              </w:rPr>
              <w:t>, krishantering</w:t>
            </w:r>
            <w:r>
              <w:t xml:space="preserve"> och haveriberedskap.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punkt 1 – stycke 2a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Det ska råda en jämn könsfördelning och geografisk spridning bland de utsedda ledamöterna i samordningsgruppen.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91</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punkt 2 – led aa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anta beslut om inrättande av tematiska undergrupper, deras uppdrag och sammanträdenas regelbundenhet,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punkt 2 – led ea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övervaka att unionens institutioner och organ efterlever denna förordning och de vägledningsdokument som upprättas i enlighet med led c genom att lägga fram en årlig utvärderingsrapport i vilken underlag från berörda undergrupper ska sammanställas.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punkt 2 – led ea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övervaka att unionens institutioner och organ efterlever denna förordning och de vägledningsdokument som upprättas i enlighet med led c genom att lägga fram en årlig utvärderingsrapport,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punkt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Varje EU-institution eller EU-organ ska ha lämplig representation i samordningsgruppen </w:t>
            </w:r>
            <w:r>
              <w:rPr>
                <w:b/>
                <w:i/>
              </w:rPr>
              <w:t>och, i tillämpliga fall, i de</w:t>
            </w:r>
            <w:r>
              <w:t xml:space="preserve"> tematiska </w:t>
            </w:r>
            <w:r>
              <w:rPr>
                <w:b/>
                <w:i/>
              </w:rPr>
              <w:t>undergrupperna</w:t>
            </w:r>
            <w:r>
              <w:t>.</w:t>
            </w:r>
          </w:p>
        </w:tc>
        <w:tc>
          <w:tcPr>
            <w:tcW w:w="4876" w:type="dxa"/>
          </w:tcPr>
          <w:p>
            <w:pPr>
              <w:pStyle w:val="Normal6a"/>
            </w:pPr>
            <w:r>
              <w:t>6.</w:t>
            </w:r>
            <w:r>
              <w:tab/>
            </w:r>
            <w:r>
              <w:t>Varje EU-institution eller EU-organ ska ha lämplig representation i samordningsgruppen</w:t>
            </w:r>
            <w:r>
              <w:rPr>
                <w:b/>
                <w:i/>
              </w:rPr>
              <w:t>.</w:t>
            </w:r>
            <w:r>
              <w:t xml:space="preserve"> </w:t>
            </w:r>
            <w:r>
              <w:rPr>
                <w:b/>
                <w:i/>
              </w:rPr>
              <w:t>Parlamentet, kommissionen och rådet ska ha representation i alla</w:t>
            </w:r>
            <w:r>
              <w:t xml:space="preserve"> tematiska </w:t>
            </w:r>
            <w:r>
              <w:rPr>
                <w:b/>
                <w:i/>
              </w:rPr>
              <w:t>undergrupper.</w:t>
            </w:r>
            <w:r>
              <w:t xml:space="preserve"> </w:t>
            </w:r>
            <w:r>
              <w:rPr>
                <w:b/>
                <w:i/>
              </w:rPr>
              <w:t>Detsamma gäller andra institutioner och organ i förekommande fall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95</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punkt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Unionens institutioner och organ ska uppmärksamma samordningsgruppen på all betydande informationssäkerhetspolitisk utveckling inom sin organisation.</w:t>
            </w:r>
          </w:p>
        </w:tc>
        <w:tc>
          <w:tcPr>
            <w:tcW w:w="4876" w:type="dxa"/>
          </w:tcPr>
          <w:p>
            <w:pPr>
              <w:pStyle w:val="Normal6a"/>
            </w:pPr>
            <w:r>
              <w:t>7.</w:t>
            </w:r>
            <w:r>
              <w:tab/>
            </w:r>
            <w:r>
              <w:t xml:space="preserve">Unionens institutioner och organ ska </w:t>
            </w:r>
            <w:r>
              <w:rPr>
                <w:b/>
                <w:i/>
              </w:rPr>
              <w:t>utan onödigt dröjsmål</w:t>
            </w:r>
            <w:r>
              <w:t xml:space="preserve"> uppmärksamma samordningsgruppen på all betydande informationssäkerhetspolitisk utveckling inom sin organisation.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96</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punkt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Vid utförandet av de arbetsuppgifter som anges i punkt 2 e ska samordningsgruppen biträdas av en kommitté för informationssäkerhet. Denna kommitté ska bestå av en företrädare för varje nationell säkerhetsmyndighet och ska ledas av samordningsgruppens sekretariat, som avses i punkt 5. Kommittén för informationssäkerhet ska ha en rådgivande roll.</w:t>
            </w:r>
          </w:p>
        </w:tc>
        <w:tc>
          <w:tcPr>
            <w:tcW w:w="4876" w:type="dxa"/>
          </w:tcPr>
          <w:p>
            <w:pPr>
              <w:pStyle w:val="Normal6a"/>
            </w:pPr>
            <w:r>
              <w:t>8.</w:t>
            </w:r>
            <w:r>
              <w:tab/>
            </w:r>
            <w:r>
              <w:t xml:space="preserve">Vid utförandet av de arbetsuppgifter som anges i punkt 2 e ska samordningsgruppen biträdas av en kommitté för informationssäkerhet. Denna kommitté ska bestå av en företrädare för varje nationell säkerhetsmyndighet och ska ledas av samordningsgruppens sekretariat, som avses i punkt 5. </w:t>
            </w:r>
            <w:r>
              <w:rPr>
                <w:b/>
                <w:i/>
              </w:rPr>
              <w:t>En företrädare för parlamentet ska närvara som observatör.</w:t>
            </w:r>
            <w:r>
              <w:t xml:space="preserve"> Kommittén för informationssäkerhet ska ha en rådgivande roll.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7 – punkt 1 – led ea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En undergrupp för administrativa överenskommelser med tredjeländer och internationella organisationer.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8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Varje EU-institution och EU-organ ska utse en säkerhetsmyndighet som ska åta sig det ansvar som tilldelas genom denna förordning och</w:t>
            </w:r>
            <w:r>
              <w:rPr>
                <w:b/>
                <w:i/>
              </w:rPr>
              <w:t>, i tillämpliga fall, genom dess interna säkerhetsbestämmelser</w:t>
            </w:r>
            <w:r>
              <w:t>. Vid utförandet av sina arbetsuppgifter ska varje säkerhetsmyndighet få stöd av den avdelning eller tjänsteman som anförtrotts arbetsuppgifter i samband med informationssäkerhet.</w:t>
            </w:r>
          </w:p>
        </w:tc>
        <w:tc>
          <w:tcPr>
            <w:tcW w:w="4876" w:type="dxa"/>
          </w:tcPr>
          <w:p>
            <w:pPr>
              <w:pStyle w:val="Normal6a"/>
            </w:pPr>
            <w:r>
              <w:t>1.</w:t>
            </w:r>
            <w:r>
              <w:tab/>
            </w:r>
            <w:r>
              <w:t xml:space="preserve">Varje EU-institution och EU-organ ska utse en säkerhetsmyndighet som ska åta sig det ansvar som tilldelas genom denna förordning och </w:t>
            </w:r>
            <w:r>
              <w:rPr>
                <w:b/>
                <w:i/>
              </w:rPr>
              <w:t>övervaka och säkerställa att varje berörd EU-institution eller EU-organ efterlever de vägledningsdokument som samordningsgruppen antagit</w:t>
            </w:r>
            <w:r>
              <w:t>. Vid utförandet av sina arbetsuppgifter ska varje säkerhetsmyndighet få stöd av den avdelning eller tjänsteman som anförtrotts arbetsuppgifter i samband med informationssäkerhet.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 – punkt 4 – led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rPr>
                <w:b/>
                <w:i/>
              </w:rPr>
              <w:t>Kryptering</w:t>
            </w:r>
            <w:r>
              <w:t xml:space="preserve"> av uppgifter i </w:t>
            </w:r>
            <w:r>
              <w:rPr>
                <w:b/>
                <w:i/>
              </w:rPr>
              <w:t>vila och vid överföring</w:t>
            </w:r>
            <w:r>
              <w:t>.</w:t>
            </w:r>
          </w:p>
        </w:tc>
        <w:tc>
          <w:tcPr>
            <w:tcW w:w="4876" w:type="dxa"/>
          </w:tcPr>
          <w:p>
            <w:pPr>
              <w:pStyle w:val="Normal6a"/>
            </w:pPr>
            <w:r>
              <w:t>d)</w:t>
            </w:r>
            <w:r>
              <w:tab/>
            </w:r>
            <w:r>
              <w:rPr>
                <w:b/>
                <w:i/>
              </w:rPr>
              <w:t>Totalsträckskryptering</w:t>
            </w:r>
            <w:r>
              <w:t xml:space="preserve"> av uppgifter i </w:t>
            </w:r>
            <w:r>
              <w:rPr>
                <w:b/>
                <w:i/>
              </w:rPr>
              <w:t>alla skeden av de relevanta processerna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Unionens institutioner och organ får märka de uppgifter som avses i punkt 1 med ”PUBLIC USE”.</w:t>
            </w:r>
          </w:p>
        </w:tc>
        <w:tc>
          <w:tcPr>
            <w:tcW w:w="4876" w:type="dxa"/>
          </w:tcPr>
          <w:p>
            <w:pPr>
              <w:pStyle w:val="Normal6a"/>
            </w:pPr>
            <w:r>
              <w:t>2.</w:t>
            </w:r>
            <w:r>
              <w:tab/>
            </w:r>
            <w:r>
              <w:t xml:space="preserve">Unionens institutioner och organ får märka de uppgifter som avses i punkt 1 med ”PUBLIC USE”. </w:t>
            </w:r>
            <w:r>
              <w:rPr>
                <w:b/>
                <w:i/>
              </w:rPr>
              <w:t>Avsaknaden av en sådan märkning ska inte ge anledning att misstänka att uppgifterna kan vara säkerhetsskyddsklassificerade.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101</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Unionens institutioner och organ </w:t>
            </w:r>
            <w:r>
              <w:rPr>
                <w:b/>
                <w:i/>
              </w:rPr>
              <w:t>får</w:t>
            </w:r>
            <w:r>
              <w:t xml:space="preserve"> märka de uppgifter som avses i punkt 1 med ”PUBLIC USE”.</w:t>
            </w:r>
          </w:p>
        </w:tc>
        <w:tc>
          <w:tcPr>
            <w:tcW w:w="4876" w:type="dxa"/>
          </w:tcPr>
          <w:p>
            <w:pPr>
              <w:pStyle w:val="Normal6a"/>
            </w:pPr>
            <w:r>
              <w:t>2.</w:t>
            </w:r>
            <w:r>
              <w:tab/>
            </w:r>
            <w:r>
              <w:t xml:space="preserve">Unionens institutioner och organ </w:t>
            </w:r>
            <w:r>
              <w:rPr>
                <w:b/>
                <w:i/>
              </w:rPr>
              <w:t>ska</w:t>
            </w:r>
            <w:r>
              <w:t xml:space="preserve"> märka de uppgifter som avses i punkt 1 med ”PUBLIC 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Alla unionens institutioner och organ ska säkerställa uppgifternas integritet och tillgänglighet för allmänt bruk genom lämpliga åtgärder som grundar sig på </w:t>
            </w:r>
            <w:r>
              <w:rPr>
                <w:b/>
                <w:i/>
              </w:rPr>
              <w:t>säkerhetsbehoven</w:t>
            </w:r>
            <w:r>
              <w:t>.</w:t>
            </w:r>
          </w:p>
        </w:tc>
        <w:tc>
          <w:tcPr>
            <w:tcW w:w="4876" w:type="dxa"/>
          </w:tcPr>
          <w:p>
            <w:pPr>
              <w:pStyle w:val="Normal6a"/>
            </w:pPr>
            <w:r>
              <w:t>3.</w:t>
            </w:r>
            <w:r>
              <w:tab/>
            </w:r>
            <w:r>
              <w:t>Alla unionens institutioner och organ ska säkerställa uppgifternas integritet och tillgänglighet för allmänt bruk genom lämpliga åtgärder som grundar sig på </w:t>
            </w:r>
            <w:r>
              <w:rPr>
                <w:b/>
                <w:i/>
              </w:rPr>
              <w:t>deras säkerhetsbehov och rätten till information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13 – stycke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Normala uppgifter får märkas visuellt eller i metadata om det är nödvändigt för att skydda dem, särskilt när de delas utanför unionens institutioner och organ. Märkningen ”EU NORMAL” eller ”namn eller akronym för EU-institutionen eller EU-organet NORMAL” (justeras från fall till fall) ska användas i det här fallet.</w:t>
            </w:r>
          </w:p>
        </w:tc>
        <w:tc>
          <w:tcPr>
            <w:tcW w:w="4876" w:type="dxa"/>
          </w:tcPr>
          <w:p>
            <w:pPr>
              <w:pStyle w:val="Normal6a"/>
            </w:pPr>
            <w:r>
              <w:t>2.</w:t>
            </w:r>
            <w:r>
              <w:tab/>
            </w:r>
            <w:r>
              <w:t xml:space="preserve">Normala uppgifter får märkas visuellt eller i metadata om det är nödvändigt för att skydda dem, särskilt när de delas utanför unionens institutioner och organ. Märkningen ”EU NORMAL” eller ”namn eller akronym för EU-institutionen eller EU-organet NORMAL” (justeras från fall till fall) ska användas i det här fallet. </w:t>
            </w:r>
            <w:r>
              <w:rPr>
                <w:b/>
                <w:i/>
              </w:rPr>
              <w:t>Avsaknaden av sådan märkning ska inte ge anledning att misstänka att uppgifterna kan vara säkerhetsskyddsklassificerade.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13 – punkt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Normala uppgifter får utanför unionens institutioner och organ endast utbytas med fysiska eller juridiska personer med behovsenlig behörighet.</w:t>
            </w:r>
          </w:p>
        </w:tc>
        <w:tc>
          <w:tcPr>
            <w:tcW w:w="4876" w:type="dxa"/>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13 – punkt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Normala uppgifter får utanför unionens institutioner och organ endast utbytas med fysiska eller juridiska personer med behovsenlig behörighet.</w:t>
            </w:r>
          </w:p>
        </w:tc>
        <w:tc>
          <w:tcPr>
            <w:tcW w:w="4876" w:type="dxa"/>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106</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Unionens institutioner och organ ska kategorisera, hantera och lagra alla uppgifter som inte är säkerhetsskyddsklassificerade, men som de måste skydda på grund av rättsliga skyldigheter, eller på grund av den skada som obehörigt röjande kan orsaka på berättigade </w:t>
            </w:r>
            <w:r>
              <w:rPr>
                <w:b/>
                <w:i/>
              </w:rPr>
              <w:t>privata och</w:t>
            </w:r>
            <w:r>
              <w:t xml:space="preserve"> allmänna intressen, inbegripet EU-institutionernas och EU-organens</w:t>
            </w:r>
            <w:r>
              <w:rPr>
                <w:b/>
                <w:i/>
              </w:rPr>
              <w:t>, medlemsstaternas</w:t>
            </w:r>
            <w:r>
              <w:t xml:space="preserve"> eller </w:t>
            </w:r>
            <w:r>
              <w:rPr>
                <w:b/>
                <w:i/>
              </w:rPr>
              <w:t>enskilda personers</w:t>
            </w:r>
            <w:r>
              <w:t xml:space="preserve"> intressen, som känsliga icke-säkerhetsskyddsklassificerade uppgifter.</w:t>
            </w:r>
          </w:p>
        </w:tc>
        <w:tc>
          <w:tcPr>
            <w:tcW w:w="4876" w:type="dxa"/>
          </w:tcPr>
          <w:p>
            <w:pPr>
              <w:pStyle w:val="Normal6a"/>
            </w:pPr>
            <w:r>
              <w:t>1.</w:t>
            </w:r>
            <w:r>
              <w:tab/>
            </w:r>
            <w:r>
              <w:t xml:space="preserve">Unionens institutioner och organ ska kategorisera, hantera och lagra alla uppgifter som inte är säkerhetsskyddsklassificerade, men som de måste skydda på grund av rättsliga skyldigheter, eller på grund av den skada som obehörigt röjande kan orsaka på berättigade allmänna intressen, inbegripet EU-institutionernas och EU-organens eller </w:t>
            </w:r>
            <w:r>
              <w:rPr>
                <w:b/>
                <w:i/>
              </w:rPr>
              <w:t>medlemsstaternas</w:t>
            </w:r>
            <w:r>
              <w:t xml:space="preserve"> intressen, som känsliga icke-säkerhetsskyddsklassificerade uppgifter.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Känsliga icke-säkerhetsskyddsklassificerade uppgifter får utanför unionens institutioner och organ endast utbytas med fysiska och juridiska personer som har behovsenlig behörighet och med iakttagande av de hanteringsanvisningar som åtföljer uppgifterna. Alla berörda parter ska göras medvetna om lämpliga hanteringsanvisningar.</w:t>
            </w:r>
          </w:p>
        </w:tc>
        <w:tc>
          <w:tcPr>
            <w:tcW w:w="4876" w:type="dxa"/>
          </w:tcPr>
          <w:p>
            <w:pPr>
              <w:pStyle w:val="Normal6a"/>
            </w:pPr>
            <w:r>
              <w:t>4.</w:t>
            </w:r>
            <w:r>
              <w:tab/>
            </w:r>
            <w:r>
              <w:t xml:space="preserve">Känsliga icke-säkerhetsskyddsklassificerade uppgifter får utanför unionens institutioner och organ endast utbytas med fysiska och juridiska personer som har behovsenlig behörighet och med iakttagande av de hanteringsanvisningar som åtföljer uppgifterna </w:t>
            </w:r>
            <w:r>
              <w:rPr>
                <w:b/>
                <w:i/>
              </w:rPr>
              <w:t>och kraven som följer av det rättsliga skydd som kan vara tillämpligt i enlighet med punkt 1</w:t>
            </w:r>
            <w:r>
              <w:t>. Alla berörda parter ska göras medvetna om lämpliga hanteringsanvisningar.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15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Unionens institutioner och organ ska fastställa förfaranden för rapportering och hantering av incidenter eller misstänkta incidenter som skulle kunna leda till att icke-säkerhetsskyddsklassificerade uppgifters säkerhet äventyras.</w:t>
            </w:r>
          </w:p>
        </w:tc>
        <w:tc>
          <w:tcPr>
            <w:tcW w:w="4876" w:type="dxa"/>
          </w:tcPr>
          <w:p>
            <w:pPr>
              <w:pStyle w:val="Normal6a"/>
            </w:pPr>
            <w:r>
              <w:t>1.</w:t>
            </w:r>
            <w:r>
              <w:tab/>
            </w:r>
            <w:r>
              <w:t xml:space="preserve">Unionens institutioner och organ ska fastställa </w:t>
            </w:r>
            <w:r>
              <w:rPr>
                <w:b/>
                <w:i/>
              </w:rPr>
              <w:t>enhetliga</w:t>
            </w:r>
            <w:r>
              <w:t xml:space="preserve"> förfaranden för rapportering och hantering av incidenter eller misstänkta incidenter som skulle kunna leda till att icke-säkerhetsskyddsklassificerade uppgifters säkerhet äventyras.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15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Vid behov ska unionens institutioner och organ använda de märkningar som föreskrivs i artiklarna 12, 13 och 14. </w:t>
            </w:r>
            <w:r>
              <w:rPr>
                <w:b/>
                <w:i/>
              </w:rPr>
              <w:t>I undantagsfall får andra likvärdiga märkningar användas internt och med koppling till deras särskilda motsvarigheter från andra EU-institutioner och EU-organ eller från medlemsstaterna, om alla parter är överens om detta.</w:t>
            </w:r>
            <w:r>
              <w:t xml:space="preserve"> </w:t>
            </w:r>
            <w:r>
              <w:rPr>
                <w:b/>
                <w:i/>
              </w:rPr>
              <w:t>Sådana undantag ska meddelas den undergrupp för icke-säkerhetsskyddsklassificerade uppgifter som avses i artikel 7.1 b.</w:t>
            </w:r>
          </w:p>
        </w:tc>
        <w:tc>
          <w:tcPr>
            <w:tcW w:w="4876" w:type="dxa"/>
          </w:tcPr>
          <w:p>
            <w:pPr>
              <w:pStyle w:val="Normal6a"/>
            </w:pPr>
            <w:r>
              <w:t>2.</w:t>
            </w:r>
            <w:r>
              <w:tab/>
            </w:r>
            <w:r>
              <w:t>Vid behov ska unionens institutioner och organ använda de märkningar som föreskrivs i artiklarna 12, 13 och 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16 – punkt 1 – led ea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Övervaka att unionens institutioner och organ efterlever relevanta bestämmelser i denna förordning samt de vägledningsdokument som samordningsgruppen antagit.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18 – punkt 1 – led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RESTREINT UE/EU RESTRICTED:</w:t>
            </w:r>
            <w:r>
              <w:t xml:space="preserve"> </w:t>
            </w:r>
            <w:r>
              <w:rPr>
                <w:b/>
                <w:i/>
              </w:rPr>
              <w:t>Uppgifter och material vars obehöriga röjande skulle kunna medföra ringa skada för unionens eller en eller flera medlemsstaters intressen.</w:t>
            </w:r>
          </w:p>
        </w:tc>
        <w:tc>
          <w:tcPr>
            <w:tcW w:w="4876" w:type="dxa"/>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18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Samordningsgruppen ska anta vägledningsdokument för upprättande och klassificering av säkerhetsskyddsklassificerade EU-uppgifter.</w:t>
            </w:r>
          </w:p>
        </w:tc>
        <w:tc>
          <w:tcPr>
            <w:tcW w:w="4876" w:type="dxa"/>
          </w:tcPr>
          <w:p>
            <w:pPr>
              <w:pStyle w:val="Normal6a"/>
            </w:pPr>
            <w:r>
              <w:t>2.</w:t>
            </w:r>
            <w:r>
              <w:tab/>
            </w:r>
            <w:r>
              <w:t xml:space="preserve">Samordningsgruppen ska anta vägledningsdokument för upprättande och klassificering av säkerhetsskyddsklassificerade EU-uppgifter. </w:t>
            </w:r>
            <w:r>
              <w:rPr>
                <w:b/>
                <w:i/>
              </w:rPr>
              <w:t>I sådana handlingar ska hänsyn tas både till principen om minimerad användning av säkerhetsskyddsklassificerade uppgifter och till risken för att vissa handlingar tilldelas en för hög säkerhetsskyddsklassificering, och de ska innehålla regler för bedömning och motivering av säkerhetsskyddsklassificering av uppgifter och material i syfte att öka transparensen och undvika obefogade inlåsningseffekter.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18 – stycke 2a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Vid osäkerhet kring huruvuda en uppgift är sekretessbelagd eller dess säkerhetsskyddsklassificeringsnivå eller om det råder oenighet mellan de europeiska institutionerna, ska de utan dröjsmål samråda inbördes innan denna uppgift överförs.</w:t>
            </w:r>
            <w:r>
              <w:t xml:space="preserve"> </w:t>
            </w:r>
            <w:r>
              <w:rPr>
                <w:b/>
                <w:i/>
              </w:rPr>
              <w:t>Vid dessa samråd ska institutionerna företrädas av ordföranden för det berörda organet eller av den som är ansvarig för säkerhetsfrågor.</w:t>
            </w:r>
            <w:r>
              <w:t xml:space="preserve"> </w:t>
            </w:r>
            <w:r>
              <w:rPr>
                <w:b/>
                <w:i/>
              </w:rPr>
              <w:t>Om enighet inte kan nås ska frågan hänskjutas till institutionernas ordföranden så att de kan finna en lösning.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20 – stycke 3a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Denna artikel påverkar inte tillämpningen av förordning (EG) nr 1049/2001.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22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En</w:t>
            </w:r>
            <w:r>
              <w:t xml:space="preserve"> EU-institutions, </w:t>
            </w:r>
            <w:r>
              <w:rPr>
                <w:b/>
                <w:i/>
              </w:rPr>
              <w:t>ett</w:t>
            </w:r>
            <w:r>
              <w:t xml:space="preserve"> EU-organs eller </w:t>
            </w:r>
            <w:r>
              <w:rPr>
                <w:b/>
                <w:i/>
              </w:rPr>
              <w:t>en</w:t>
            </w:r>
            <w:r>
              <w:t xml:space="preserve"> enskild persons agerande eller underlåtenhet som strider mot denna förordning ska betraktas som en säkerhetsöverträdelse.</w:t>
            </w:r>
          </w:p>
        </w:tc>
        <w:tc>
          <w:tcPr>
            <w:tcW w:w="4876" w:type="dxa"/>
          </w:tcPr>
          <w:p>
            <w:pPr>
              <w:pStyle w:val="Normal6a"/>
            </w:pPr>
            <w:r>
              <w:t>1.</w:t>
            </w:r>
            <w:r>
              <w:tab/>
            </w:r>
            <w:r>
              <w:rPr>
                <w:b/>
                <w:i/>
              </w:rPr>
              <w:t>Varje</w:t>
            </w:r>
            <w:r>
              <w:t xml:space="preserve"> EU-institutions, EU-organs eller enskild persons agerande eller underlåtenhet som strider mot denna förordning ska betraktas som en säkerhetsöverträdelse.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116</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22 – punkt 3 – led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Underrätta upphovsmannen.</w:t>
            </w:r>
          </w:p>
        </w:tc>
        <w:tc>
          <w:tcPr>
            <w:tcW w:w="4876" w:type="dxa"/>
          </w:tcPr>
          <w:p>
            <w:pPr>
              <w:pStyle w:val="Normal6a"/>
            </w:pPr>
            <w:r>
              <w:t>a)</w:t>
            </w:r>
            <w:r>
              <w:tab/>
            </w:r>
            <w:r>
              <w:t xml:space="preserve">Underrätta upphovsmannen </w:t>
            </w:r>
            <w:r>
              <w:rPr>
                <w:b/>
                <w:i/>
              </w:rPr>
              <w:t>utan onödigt dröjsmål och under alla omständigheter senast tre dagar efter att säkerhetsmyndigheten underrättats om överträdelsen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22 – punkt 3 – led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Säkerställa att personal som inte direkt berörs av överträdelsen utreder ärendet för att fastställa fakta.</w:t>
            </w:r>
          </w:p>
        </w:tc>
        <w:tc>
          <w:tcPr>
            <w:tcW w:w="4876" w:type="dxa"/>
          </w:tcPr>
          <w:p>
            <w:pPr>
              <w:pStyle w:val="Normal6a"/>
            </w:pPr>
            <w:r>
              <w:t>b)</w:t>
            </w:r>
            <w:r>
              <w:tab/>
            </w:r>
            <w:r>
              <w:t xml:space="preserve">Säkerställa att personal som inte direkt berörs av överträdelsen </w:t>
            </w:r>
            <w:r>
              <w:rPr>
                <w:b/>
                <w:i/>
              </w:rPr>
              <w:t>noggrant</w:t>
            </w:r>
            <w:r>
              <w:t xml:space="preserve"> utreder ärendet för att fastställa fakta.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22 – punkt 3 – led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e)</w:t>
            </w:r>
            <w:r>
              <w:tab/>
            </w:r>
            <w:r>
              <w:t>Informera de behöriga myndigheterna om det faktiska eller potentiella röjandet och vilka åtgärder som har vidtagits.</w:t>
            </w:r>
          </w:p>
        </w:tc>
        <w:tc>
          <w:tcPr>
            <w:tcW w:w="4876" w:type="dxa"/>
          </w:tcPr>
          <w:p>
            <w:pPr>
              <w:pStyle w:val="Normal6a"/>
            </w:pPr>
            <w:r>
              <w:t>e)</w:t>
            </w:r>
            <w:r>
              <w:tab/>
            </w:r>
            <w:r>
              <w:t xml:space="preserve">Informera de behöriga myndigheterna om det faktiska eller potentiella röjandet och vilka åtgärder som har vidtagits </w:t>
            </w:r>
            <w:r>
              <w:rPr>
                <w:b/>
                <w:i/>
              </w:rPr>
              <w:t>utan onödigt dröjsmål och under alla omständigheter senast tre dagar efter att säkerhetsmyndigheten underrättats om överträdelsen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23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Unionens institutioner och organ ska ta hänsyn till en persons lojalitet, tillförlitlighet och pålitlighet enligt vad som fastställts genom en säkerhetsprövning som genomförts av de behöriga myndigheterna i </w:t>
            </w:r>
            <w:r>
              <w:rPr>
                <w:b/>
                <w:i/>
              </w:rPr>
              <w:t>den medlemsstat där sökanden är medborgare</w:t>
            </w:r>
            <w:r>
              <w:t>.</w:t>
            </w:r>
          </w:p>
        </w:tc>
        <w:tc>
          <w:tcPr>
            <w:tcW w:w="4876" w:type="dxa"/>
          </w:tcPr>
          <w:p>
            <w:pPr>
              <w:pStyle w:val="Normal6a"/>
            </w:pPr>
            <w:r>
              <w:t>2.</w:t>
            </w:r>
            <w:r>
              <w:tab/>
            </w:r>
            <w:r>
              <w:t xml:space="preserve">Unionens institutioner och organ ska ta hänsyn till en persons lojalitet, tillförlitlighet och pålitlighet enligt vad som fastställts genom en säkerhetsprövning som genomförts av </w:t>
            </w:r>
            <w:r>
              <w:rPr>
                <w:b/>
                <w:i/>
              </w:rPr>
              <w:t>kommissionen i samarbete med</w:t>
            </w:r>
            <w:r>
              <w:t xml:space="preserve"> de behöriga myndigheterna i </w:t>
            </w:r>
            <w:r>
              <w:rPr>
                <w:b/>
                <w:i/>
              </w:rPr>
              <w:t>berörda medlemsstater. Kommissionen får också samarbeta med tredjeländer och internationella organisationer med vilka unionen har ett informationssäkerhetsavtal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23 – punkt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Unionens institutioner och organ får godta säkerhetsgodkännanden från tredjeländer och internationella organisationer med vilka unionen har ett informationssäkerhetsavtal.</w:t>
            </w:r>
          </w:p>
        </w:tc>
        <w:tc>
          <w:tcPr>
            <w:tcW w:w="4876" w:type="dxa"/>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121</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23 – punkt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Unionens institutioner och organ får godta säkerhetsgodkännanden från tredjeländer och internationella organisationer med vilka unionen har ett informationssäkerhetsavtal.</w:t>
            </w:r>
          </w:p>
        </w:tc>
        <w:tc>
          <w:tcPr>
            <w:tcW w:w="4876" w:type="dxa"/>
          </w:tcPr>
          <w:p>
            <w:pPr>
              <w:pStyle w:val="Normal6a"/>
            </w:pPr>
            <w:r>
              <w:t>3.</w:t>
            </w:r>
            <w:r>
              <w:tab/>
            </w:r>
            <w:r>
              <w:t xml:space="preserve">Unionens institutioner och organ får godta säkerhetsgodkännanden från tredjeländer och internationella organisationer med vilka unionen har ett informationssäkerhetsavtal. </w:t>
            </w:r>
            <w:r>
              <w:rPr>
                <w:b/>
                <w:i/>
              </w:rPr>
              <w:t>De ska under alla omständigheter säkerställa att principerna i punkterna 1 och 2 iakttas.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23 – punkt 4 – stycke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Om ett servicenivåavtal ingås ska kommissionens säkerhetsmyndighet fungera som kontaktpunkt mellan säkerhetskontoren vid den berörda EU-institutionen eller det berörda EU-organet och medlemsstaternas nationella behöriga myndigheter i samband med frågor om säkerhetsgodkännande.</w:t>
            </w:r>
          </w:p>
        </w:tc>
        <w:tc>
          <w:tcPr>
            <w:tcW w:w="4876" w:type="dxa"/>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24 – punkt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Under exceptionella omständigheter, när det är vederbörligen motiverat i tjänstens intresse och i avvaktan på att en fullständig säkerhetsprövning slutförs, får säkerhetsmyndigheten vid en EU-institution eller ett EU-organ bevilja personer tillfälligt godkännande av tillgång till säkerhetsskyddsklassificerade EU-uppgifter för en viss befattning, utan att det påverkar bestämmelserna om förnyat godkännande av tillgång till säkerhetsskyddsklassificerade EU-uppgifter </w:t>
            </w:r>
            <w:r>
              <w:rPr>
                <w:b/>
                <w:i/>
              </w:rPr>
              <w:t>och efter kontroll av den berörda nationella säkerhetsmyndigheten</w:t>
            </w:r>
            <w:r>
              <w:t>.</w:t>
            </w:r>
          </w:p>
        </w:tc>
        <w:tc>
          <w:tcPr>
            <w:tcW w:w="4876" w:type="dxa"/>
          </w:tcPr>
          <w:p>
            <w:pPr>
              <w:pStyle w:val="Normal6a"/>
            </w:pPr>
            <w:r>
              <w:t>4.</w:t>
            </w:r>
            <w:r>
              <w:tab/>
            </w:r>
            <w:r>
              <w:t>Under exceptionella omständigheter, när det är vederbörligen motiverat i tjänstens intresse och i avvaktan på att en fullständig säkerhetsprövning slutförs, får säkerhetsmyndigheten vid en EU-institution eller ett EU-organ bevilja personer tillfälligt godkännande av tillgång till säkerhetsskyddsklassificerade EU-uppgifter för en viss befattning, utan att det påverkar bestämmelserna om förnyat godkännande av tillgång till säkerhetsskyddsklassificerade EU-uppgifter.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25 – punkt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Om innehavaren av ett godkännande av tillgång till säkerhetsskyddsklassificerade EU-uppgifter tar anställning vid en annan EU-institution eller ett annat EU-organ ska institutionen eller organet underrätta den berörda nationella säkerhetsmyndigheten om arbetsgivarbytet, via den behöriga säkerhetsmyndigheten.</w:t>
            </w:r>
          </w:p>
        </w:tc>
        <w:tc>
          <w:tcPr>
            <w:tcW w:w="4876" w:type="dxa"/>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25 – punkt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Om innehavaren av ett godkännande av tillgång till säkerhetsskyddsklassificerade EU-uppgifter tar anställning vid en annan EU-institution eller ett annat EU-organ ska institutionen eller organet underrätta den berörda nationella säkerhetsmyndigheten om arbetsgivarbytet, via den behöriga säkerhetsmyndigheten.</w:t>
            </w:r>
          </w:p>
        </w:tc>
        <w:tc>
          <w:tcPr>
            <w:tcW w:w="4876" w:type="dxa"/>
          </w:tcPr>
          <w:p>
            <w:pPr>
              <w:pStyle w:val="Normal6a"/>
            </w:pPr>
            <w:r>
              <w:t>3.</w:t>
            </w:r>
            <w:r>
              <w:tab/>
            </w:r>
            <w:r>
              <w:t xml:space="preserve">Om innehavaren av ett godkännande av tillgång till säkerhetsskyddsklassificerade EU-uppgifter tar anställning vid en annan EU-institution eller ett annat EU-organ ska institutionen eller organet </w:t>
            </w:r>
            <w:r>
              <w:rPr>
                <w:b/>
                <w:i/>
              </w:rPr>
              <w:t>utan onödigt dröjsmål</w:t>
            </w:r>
            <w:r>
              <w:t xml:space="preserve"> underrätta den berörda nationella säkerhetsmyndigheten om arbetsgivarbytet, via den behöriga säkerhetsmyndigheten.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28 – punkt 1 – led da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w:t>
            </w:r>
            <w:r>
              <w:tab/>
            </w:r>
            <w:r>
              <w:rPr>
                <w:b/>
                <w:i/>
              </w:rPr>
              <w:t>Övervaka att unionens institutioner och organ efterlever relevanta bestämmelser i denna förordning samt de vägledningsdokument som samordningsgruppen antagit.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30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Varje EU-institution och EU-organ som är upphovsman till säkerhetsskyddsklassificerade EU-uppgifter ska fastställa säkerhetsskyddsklassificeringen av dessa uppgifter när de skapas och i enlighet med artikel 18.1.</w:t>
            </w:r>
          </w:p>
        </w:tc>
        <w:tc>
          <w:tcPr>
            <w:tcW w:w="4876" w:type="dxa"/>
          </w:tcPr>
          <w:p>
            <w:pPr>
              <w:pStyle w:val="Normal6a"/>
            </w:pPr>
            <w:r>
              <w:t>2.</w:t>
            </w:r>
            <w:r>
              <w:tab/>
            </w:r>
            <w:r>
              <w:t xml:space="preserve">Varje EU-institution och EU-organ som är upphovsman till säkerhetsskyddsklassificerade EU-uppgifter ska fastställa </w:t>
            </w:r>
            <w:r>
              <w:rPr>
                <w:b/>
                <w:i/>
              </w:rPr>
              <w:t>den ursprungliga</w:t>
            </w:r>
            <w:r>
              <w:t xml:space="preserve"> säkerhetsskyddsklassificeringen av dessa uppgifter när de skapas och i enlighet med artikel 18.1.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31 – punkt 1 – led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Varje sida ska vara tydligt märkt med säkerhetsskyddsklassificeringsnivån.</w:t>
            </w:r>
          </w:p>
        </w:tc>
        <w:tc>
          <w:tcPr>
            <w:tcW w:w="4876" w:type="dxa"/>
          </w:tcPr>
          <w:p>
            <w:pPr>
              <w:pStyle w:val="Normal6a"/>
            </w:pPr>
            <w:r>
              <w:t>a)</w:t>
            </w:r>
            <w:r>
              <w:tab/>
            </w:r>
            <w:r>
              <w:t xml:space="preserve">Varje sida ska vara tydligt märkt med säkerhetsskyddsklassificeringsnivån </w:t>
            </w:r>
            <w:r>
              <w:rPr>
                <w:b/>
                <w:i/>
              </w:rPr>
              <w:t>och dess varaktighet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32 – rubriken</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Upphovsmannens </w:t>
            </w:r>
            <w:r>
              <w:rPr>
                <w:b/>
                <w:i/>
              </w:rPr>
              <w:t>kontroll</w:t>
            </w:r>
          </w:p>
        </w:tc>
        <w:tc>
          <w:tcPr>
            <w:tcW w:w="4876" w:type="dxa"/>
          </w:tcPr>
          <w:p>
            <w:pPr>
              <w:pStyle w:val="Normal6a"/>
            </w:pPr>
            <w:r>
              <w:t xml:space="preserve">Upphovsmannens </w:t>
            </w:r>
            <w:r>
              <w:rPr>
                <w:b/>
                <w:i/>
              </w:rPr>
              <w:t>medgivande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32 – punkt 1 – inledningen</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Den EU-institution eller det EU-organ under vars överinseende en handling som innehåller säkerhetsskyddsklassificerade EU-uppgifter upprättas ska ha upphovsmannens kontroll över handlingen. Upphovsmannen ska fastställa säkerhetsskyddsklassificeringsnivån för handlingen och ansvara för dess ursprungliga spridning. Utan att det påverkar tillämpningen av förordning nr 1049/2001 ska upphovsmannens skriftliga förhandsgodkännande inhämtas innan uppgifterna</w:t>
            </w:r>
          </w:p>
        </w:tc>
        <w:tc>
          <w:tcPr>
            <w:tcW w:w="4876" w:type="dxa"/>
          </w:tcPr>
          <w:p>
            <w:pPr>
              <w:pStyle w:val="Normal6a"/>
            </w:pPr>
            <w:r>
              <w:t>1.</w:t>
            </w:r>
            <w:r>
              <w:tab/>
            </w:r>
            <w:r>
              <w:t xml:space="preserve">Den EU-institution eller det EU-organ under vars överinseende en handling som innehåller säkerhetsskyddsklassificerade EU-uppgifter upprättas ska ha upphovsmannens kontroll över handlingen. Upphovsmannen ska fastställa säkerhetsskyddsklassificeringsnivån för handlingen och ansvara för dess ursprungliga spridning. </w:t>
            </w:r>
            <w:r>
              <w:rPr>
                <w:b/>
                <w:i/>
              </w:rPr>
              <w:t>Upphovsmannen får samråda med de avsedda mottagarna om säkerhetsskyddsklassificeringsnivån för en handling som innehåller säkerhetsskyddsklassificerade EU-uppgifter, särskilt vid osäkerhet kring huruvida en uppgift är sekretessbelagd och lämplig säkerhetsskyddsklassificeringsnivå för denna, och för att förhindra att sådana handlingar tilldelas en för hög säkerhetsskyddsklassificering.</w:t>
            </w:r>
            <w:r>
              <w:t xml:space="preserve"> </w:t>
            </w:r>
            <w:r>
              <w:rPr>
                <w:b/>
                <w:i/>
              </w:rPr>
              <w:t>När det gäller den ursprungliga spridningen av en handling som innehåller säkerhetsskyddsklassificerade EU-uppgifter ska upphovsmannen beakta de rättigheter och skyldigheter som mottagarna av uppgifterna har enligt fördragen.</w:t>
            </w:r>
            <w:r>
              <w:t xml:space="preserve"> Utan att det påverkar tillämpningen av förordning nr 1049/2001 ska upphovsmannens skriftliga förhandsgodkännande inhämtas innan uppgifterna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32 – punkt 1 – inledningen</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Den EU-institution eller det EU-organ under vars överinseende en handling </w:t>
            </w:r>
            <w:r>
              <w:rPr>
                <w:b/>
                <w:i/>
              </w:rPr>
              <w:t>som innehåller säkerhetsskyddsklassificerade EU-uppgifter</w:t>
            </w:r>
            <w:r>
              <w:t xml:space="preserve"> upprättas ska ha upphovsmannens </w:t>
            </w:r>
            <w:r>
              <w:rPr>
                <w:b/>
                <w:i/>
              </w:rPr>
              <w:t>kontroll över</w:t>
            </w:r>
            <w:r>
              <w:t xml:space="preserve"> handlingen. Upphovsmannen ska fastställa säkerhetsskyddsklassificeringsnivån för handlingen och ansvara för dess ursprungliga spridning. </w:t>
            </w:r>
            <w:r>
              <w:rPr>
                <w:b/>
                <w:i/>
              </w:rPr>
              <w:t>Utan att det påverkar tillämpningen av förordning nr 1049/2001 ska upphovsmannens skriftliga förhandsgodkännande inhämtas</w:t>
            </w:r>
            <w:r>
              <w:t xml:space="preserve"> innan uppgifterna</w:t>
            </w:r>
          </w:p>
        </w:tc>
        <w:tc>
          <w:tcPr>
            <w:tcW w:w="4876" w:type="dxa"/>
          </w:tcPr>
          <w:p>
            <w:pPr>
              <w:pStyle w:val="Normal6a"/>
            </w:pPr>
            <w:r>
              <w:t>1.</w:t>
            </w:r>
            <w:r>
              <w:tab/>
            </w:r>
            <w:r>
              <w:t xml:space="preserve">Den EU-institution eller det EU-organ under vars överinseende en handling </w:t>
            </w:r>
            <w:r>
              <w:rPr>
                <w:b/>
                <w:i/>
              </w:rPr>
              <w:t>med säkerhetsskyddsklassificeringen CONFIDENTIEL UE/EU-CONFIDENTIAL eller högre</w:t>
            </w:r>
            <w:r>
              <w:t xml:space="preserve"> upprättas ska ha upphovsmannens </w:t>
            </w:r>
            <w:r>
              <w:rPr>
                <w:b/>
                <w:i/>
              </w:rPr>
              <w:t>rätt till medgivande avseende</w:t>
            </w:r>
            <w:r>
              <w:t xml:space="preserve"> handlingen. Upphovsmannen ska fastställa </w:t>
            </w:r>
            <w:r>
              <w:rPr>
                <w:b/>
                <w:i/>
              </w:rPr>
              <w:t>den ursprungliga</w:t>
            </w:r>
            <w:r>
              <w:t xml:space="preserve"> säkerhetsskyddsklassificeringsnivån för handlingen och ansvara för dess ursprungliga spridning. </w:t>
            </w:r>
            <w:r>
              <w:rPr>
                <w:b/>
                <w:i/>
              </w:rPr>
              <w:t>Upphovsmannens skriftliga förhandsgodkännande ska inhämtas om det är nödvändigt för att skydda Europeiska unionens eller en eller flera av dess medlemsstaters väsentliga intressen på området allmän säkerhet, försvar och militära frågor, internationella förbindelser eller finansiell, monetär eller ekonomisk politik,</w:t>
            </w:r>
            <w:r>
              <w:t xml:space="preserve"> innan uppgifterna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32 – punkt 1 – led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kopieras och översätts när det gäller nivån TRES SECRET-UE/EU-TOP SECRET.</w:t>
            </w:r>
          </w:p>
        </w:tc>
        <w:tc>
          <w:tcPr>
            <w:tcW w:w="4876" w:type="dxa"/>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32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Om upphovsmannen till en handling som innehåller säkerhetsskyddsklassificerade EU-uppgifter inte kan identifieras ska den EU-institution eller det EU-organ som innehar dessa säkerhetsskyddsklassificerade uppgifter </w:t>
            </w:r>
            <w:r>
              <w:rPr>
                <w:b/>
                <w:i/>
              </w:rPr>
              <w:t>utöva</w:t>
            </w:r>
            <w:r>
              <w:t xml:space="preserve"> upphovsmannens </w:t>
            </w:r>
            <w:r>
              <w:rPr>
                <w:b/>
                <w:i/>
              </w:rPr>
              <w:t>kontroll</w:t>
            </w:r>
            <w:r>
              <w:t>.</w:t>
            </w:r>
          </w:p>
        </w:tc>
        <w:tc>
          <w:tcPr>
            <w:tcW w:w="4876" w:type="dxa"/>
          </w:tcPr>
          <w:p>
            <w:pPr>
              <w:pStyle w:val="Normal6a"/>
            </w:pPr>
            <w:r>
              <w:t>2.</w:t>
            </w:r>
            <w:r>
              <w:tab/>
            </w:r>
            <w:r>
              <w:t xml:space="preserve">Om upphovsmannen till en handling som innehåller säkerhetsskyddsklassificerade EU-uppgifter inte kan identifieras ska den EU-institution eller det EU-organ som innehar dessa säkerhetsskyddsklassificerade uppgifter </w:t>
            </w:r>
            <w:r>
              <w:rPr>
                <w:b/>
                <w:i/>
              </w:rPr>
              <w:t>kunna ge sitt medgivande i</w:t>
            </w:r>
            <w:r>
              <w:t xml:space="preserve"> upphovsmannens </w:t>
            </w:r>
            <w:r>
              <w:rPr>
                <w:b/>
                <w:i/>
              </w:rPr>
              <w:t>ställe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35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Uppgifter ska vara säkerhetsskyddsklassificerade endast så länge som de behöver skyddas. Säkerhetsskyddsklassificerade EU-uppgifter som inte längre behöver den ursprungliga klassificeringen ska inplaceras på lägre nivå. Säkerhetsskyddsklassificerade EU-uppgifter som inte längre behöver betraktas som säkerhetsskyddsklassificerade alls ska inte längre vara säkerhetsskyddsklassificerade.</w:t>
            </w:r>
          </w:p>
        </w:tc>
        <w:tc>
          <w:tcPr>
            <w:tcW w:w="4876" w:type="dxa"/>
          </w:tcPr>
          <w:p>
            <w:pPr>
              <w:pStyle w:val="Normal6a"/>
            </w:pPr>
            <w:r>
              <w:t>1.</w:t>
            </w:r>
            <w:r>
              <w:tab/>
            </w:r>
            <w:r>
              <w:t xml:space="preserve">Uppgifter ska vara säkerhetsskyddsklassificerade endast så länge som de behöver skyddas. Säkerhetsskyddsklassificerade EU-uppgifter som inte längre behöver den ursprungliga klassificeringen ska inplaceras på lägre nivå. Säkerhetsskyddsklassificerade EU-uppgifter som inte längre behöver betraktas som säkerhetsskyddsklassificerade alls ska inte längre vara säkerhetsskyddsklassificerade. </w:t>
            </w:r>
            <w:r>
              <w:rPr>
                <w:b/>
                <w:i/>
              </w:rPr>
              <w:t>All säkerhetsskyddsklassificering ska ses över senast ett år efter att handlingen har upprättats och därefter en gång om året.</w:t>
            </w:r>
            <w:r>
              <w:t xml:space="preserve"> </w:t>
            </w:r>
            <w:r>
              <w:rPr>
                <w:b/>
                <w:i/>
              </w:rPr>
              <w:t>När det gäller handlingar som rör en pågående lagstiftningsprocess ska denna översyn göras senast två månader efter att handlingen har upprättats och därefter varannan månad.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35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När de säkerhetsskyddsklassificerade EU-uppgifterna skapas ska upphovsmannen </w:t>
            </w:r>
            <w:r>
              <w:rPr>
                <w:b/>
                <w:i/>
              </w:rPr>
              <w:t>om möjligt, särskilt när det gäller uppgifter på säkerhetsskyddsklassificeringsnivån RESTREINT UE/EU RESTRICTED,</w:t>
            </w:r>
            <w:r>
              <w:t xml:space="preserve"> ange huruvida de </w:t>
            </w:r>
            <w:r>
              <w:rPr>
                <w:b/>
                <w:i/>
              </w:rPr>
              <w:t>säkerhetsskyddsklassificerade EU-uppgifterna</w:t>
            </w:r>
            <w:r>
              <w:t xml:space="preserve"> kan inplaceras på lägre säkerhetsskyddsklassificeringsnivå eller inte längre vara säkerhetsskyddsklassificerade vid ett visst datum eller efter en viss händelse.</w:t>
            </w:r>
          </w:p>
        </w:tc>
        <w:tc>
          <w:tcPr>
            <w:tcW w:w="4876" w:type="dxa"/>
          </w:tcPr>
          <w:p>
            <w:pPr>
              <w:pStyle w:val="Normal6a"/>
            </w:pPr>
            <w:r>
              <w:t>2.</w:t>
            </w:r>
            <w:r>
              <w:tab/>
            </w:r>
            <w:r>
              <w:t>När de säkerhetsskyddsklassificerade EU-uppgifterna skapas ska upphovsmannen ange huruvida de kan inplaceras på lägre säkerhetsskyddsklassificeringsnivå eller inte längre vara säkerhetsskyddsklassificerade vid ett visst datum eller efter en viss händelse.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35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När de säkerhetsskyddsklassificerade EU-uppgifterna skapas ska upphovsmannen om möjligt</w:t>
            </w:r>
            <w:r>
              <w:rPr>
                <w:b/>
                <w:i/>
              </w:rPr>
              <w:t>, särskilt när det gäller uppgifter på säkerhetsskyddsklassificeringsnivån RESTREINT UE/EU RESTRICTED,</w:t>
            </w:r>
            <w:r>
              <w:t xml:space="preserve"> ange huruvida de </w:t>
            </w:r>
            <w:r>
              <w:rPr>
                <w:b/>
                <w:i/>
              </w:rPr>
              <w:t>säkerhetsskyddsklassificerade EU-uppgifterna</w:t>
            </w:r>
            <w:r>
              <w:t xml:space="preserve"> kan inplaceras på lägre säkerhetsskyddsklassificeringsnivå eller inte längre vara säkerhetsskyddsklassificerade vid ett visst datum eller efter en viss händelse.</w:t>
            </w:r>
          </w:p>
        </w:tc>
        <w:tc>
          <w:tcPr>
            <w:tcW w:w="4876" w:type="dxa"/>
          </w:tcPr>
          <w:p>
            <w:pPr>
              <w:pStyle w:val="Normal6a"/>
            </w:pPr>
            <w:r>
              <w:t>2.</w:t>
            </w:r>
            <w:r>
              <w:tab/>
            </w:r>
            <w:r>
              <w:t>När de säkerhetsskyddsklassificerade EU-uppgifterna skapas ska upphovsmannen om möjligt ange huruvida de kan inplaceras på lägre säkerhetsskyddsklassificeringsnivå eller inte längre vara säkerhetsskyddsklassificerade vid ett visst datum eller efter en viss händelse.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35 – punkt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rPr>
                <w:b/>
                <w:i/>
              </w:rPr>
              <w:t>Den</w:t>
            </w:r>
            <w:r>
              <w:t xml:space="preserve"> EU-institution eller </w:t>
            </w:r>
            <w:r>
              <w:rPr>
                <w:b/>
                <w:i/>
              </w:rPr>
              <w:t>det</w:t>
            </w:r>
            <w:r>
              <w:t xml:space="preserve"> EU-organ som är upphovsman ska ansvara för att besluta om huruvida en handling som innehåller säkerhetsskyddsklassificerade EU-uppgifter kan inplaceras på lägre säkerhetsskyddsklassificeringsnivå eller inte längre vara säkerhetsskyddsklassificerade. </w:t>
            </w:r>
            <w:r>
              <w:rPr>
                <w:b/>
                <w:i/>
              </w:rPr>
              <w:t>Institutionen eller organet ska se över uppgifterna och bedöma riskerna regelbundet och minst vart femte år för att avgöra om den ursprungliga säkerhetsskyddsklassificeringsnivån fortfarande är lämplig.</w:t>
            </w:r>
          </w:p>
        </w:tc>
        <w:tc>
          <w:tcPr>
            <w:tcW w:w="4876" w:type="dxa"/>
          </w:tcPr>
          <w:p>
            <w:pPr>
              <w:pStyle w:val="Normal6a"/>
            </w:pPr>
            <w:r>
              <w:t>3.</w:t>
            </w:r>
            <w:r>
              <w:tab/>
            </w:r>
            <w:r>
              <w:rPr>
                <w:b/>
                <w:i/>
              </w:rPr>
              <w:t>Varje</w:t>
            </w:r>
            <w:r>
              <w:t xml:space="preserve"> EU-institution eller EU-organ som är upphovsman ska ansvara för att besluta om huruvida en handling som innehåller säkerhetsskyddsklassificerade EU-uppgifter kan inplaceras på lägre säkerhetsskyddsklassificeringsnivå eller inte längre vara säkerhetsskyddsklassificerade.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38 – punkt 1 – stycke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De operativa detaljerna i planerna för evakuering och förstöring i nödsituationer ska i sig tilldelas </w:t>
            </w:r>
            <w:r>
              <w:rPr>
                <w:b/>
                <w:i/>
              </w:rPr>
              <w:t>klassificeringen RESTREINT UE/EU RESTRICTED</w:t>
            </w:r>
            <w:r>
              <w:t>.</w:t>
            </w:r>
          </w:p>
        </w:tc>
        <w:tc>
          <w:tcPr>
            <w:tcW w:w="4876" w:type="dxa"/>
          </w:tcPr>
          <w:p>
            <w:pPr>
              <w:pStyle w:val="Normal6a"/>
            </w:pPr>
            <w:r>
              <w:t xml:space="preserve">De operativa detaljerna i planerna för evakuering och förstöring i nödsituationer ska i sig tilldelas </w:t>
            </w:r>
            <w:r>
              <w:rPr>
                <w:b/>
                <w:i/>
              </w:rPr>
              <w:t>en klassificering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39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Unionens institutioner och organ ska besluta huruvida och när de ska arkivera säkerhetsskyddsklassificerade EU-uppgifter, och motsvarande praktiska åtgärder</w:t>
            </w:r>
            <w:r>
              <w:rPr>
                <w:b/>
                <w:i/>
              </w:rPr>
              <w:t>, i enlighet med sina riktlinjer för dokumenthantering</w:t>
            </w:r>
            <w:r>
              <w:t>.</w:t>
            </w:r>
          </w:p>
        </w:tc>
        <w:tc>
          <w:tcPr>
            <w:tcW w:w="4876" w:type="dxa"/>
          </w:tcPr>
          <w:p>
            <w:pPr>
              <w:pStyle w:val="Normal6a"/>
            </w:pPr>
            <w:r>
              <w:t>1.</w:t>
            </w:r>
            <w:r>
              <w:tab/>
            </w:r>
            <w:r>
              <w:t xml:space="preserve">Unionens institutioner och organ ska besluta huruvida och när de ska arkivera säkerhetsskyddsklassificerade EU-uppgifter, och motsvarande </w:t>
            </w:r>
            <w:r>
              <w:rPr>
                <w:b/>
                <w:i/>
              </w:rPr>
              <w:t>enhetliga</w:t>
            </w:r>
            <w:r>
              <w:t xml:space="preserve"> praktiska 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39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Handlingar som innehåller säkerhetsskyddsklassificerade EU-uppgifter får inte överföras till Europeiska unionens historiska arkiv.</w:t>
            </w:r>
          </w:p>
        </w:tc>
        <w:tc>
          <w:tcPr>
            <w:tcW w:w="4876" w:type="dxa"/>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39a (ny)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Artikel 39a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Tvister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Vid osäkerhet kring huruvida vissa uppgifter är skyddade eller lämplig säkerhetsskyddsklassificeringsnivå för dessa ska unionens institutioner och organ utan dröjsmål, och innan uppgifterna överförs, samråda inbördes.</w:t>
            </w:r>
            <w:r>
              <w:t xml:space="preserve"> </w:t>
            </w:r>
            <w:r>
              <w:rPr>
                <w:b/>
                <w:i/>
              </w:rPr>
              <w:t>Om enighet inte kan nås ska frågan hänskjutas till institutionernas eller organens ordföranden så att de kan finna en lösning.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Om ingen överenskommelse har nåtts vid slutet av det förfarande som avses i punkt 1, ska lagenligheten i vägran att se över uppgifternas skydd eller deras lämpliga säkerhetsskyddsklassificeringsnivå granskas i enlighet med artikel 263 i EUF-fördraget.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40 – punkt 1 – led ca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ca)</w:t>
            </w:r>
            <w:r>
              <w:tab/>
            </w:r>
            <w:r>
              <w:rPr>
                <w:b/>
                <w:i/>
              </w:rPr>
              <w:t>Övervaka att unionens institutioner och organ efterlever relevanta bestämmelser i denna förordning samt de vägledningsdokument som samordningsgruppen antagit.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41 – punkt 1 – led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rPr>
                <w:b/>
                <w:i/>
              </w:rPr>
              <w:t>Centrala</w:t>
            </w:r>
            <w:r>
              <w:t xml:space="preserve"> säkerhetsprinciper för utformningen av kommunikations- och informationssystem som hanterar och lagrar säkerhetsskyddsklassificerade EU-uppgifter ska tillämpas när projektet inleds, som en del av riskhanteringsprocessen för informationssäkerhet och med beaktande av behovsenlig behörighet, minimal funktionalitet, flernivåförsvar, begränsad behörighet, åtskillnad mellan funktioner och fyra ögon-principen.</w:t>
            </w:r>
          </w:p>
        </w:tc>
        <w:tc>
          <w:tcPr>
            <w:tcW w:w="4876" w:type="dxa"/>
          </w:tcPr>
          <w:p>
            <w:pPr>
              <w:pStyle w:val="Normal6a"/>
            </w:pPr>
            <w:r>
              <w:t>b)</w:t>
            </w:r>
            <w:r>
              <w:tab/>
            </w:r>
            <w:r>
              <w:rPr>
                <w:b/>
                <w:i/>
              </w:rPr>
              <w:t>Viktiga</w:t>
            </w:r>
            <w:r>
              <w:t xml:space="preserve"> säkerhetsprinciper för utformningen av kommunikations- och informationssystem som hanterar och lagrar säkerhetsskyddsklassificerade EU-uppgifter ska tillämpas när projektet inleds, som en del av riskhanteringsprocessen för informationssäkerhet och med beaktande av behovsenlig behörighet, minimal funktionalitet, flernivåförsvar, begränsad behörighet, åtskillnad mellan funktioner och fyra ögon-principen.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41 – punkt 1 – led fa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Systemägaren eller den driftsansvariga myndigheten för informationssäkring ska säkerställa att det finns en process för att identifiera och rapportera sårbarheter.</w:t>
            </w:r>
            <w:r>
              <w:t xml:space="preserve"> </w:t>
            </w:r>
            <w:r>
              <w:rPr>
                <w:b/>
                <w:i/>
              </w:rPr>
              <w:t>Den processen ska kompletteras med regelbunden granskning och penetrationstestning om så är lämpligt.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42 – stycke 1a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För uppgifter och material som klassificerats som säkerhetsskyddsklassificerade EU-uppgifter ska rådet, på grundval av underlag från de nationella säkerhetsmyndigheterna, föra en förteckning över godkända kryptoprodukter.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146</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42 – stycke 4a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För uppgifter och material som placerats på säkerhetsskyddsklassificeringsnivån RESTREINT UE/EU RESTRICTED ska Enisa/CERT-EU upprätta en förteckning över ytterligare godkända kryptoprodukter inom 18 månader efter att förordningen offentliggjorts i Europeiska unionens officiella tidning.</w:t>
            </w:r>
            <w:r>
              <w:t xml:space="preserve"> </w:t>
            </w:r>
            <w:r>
              <w:rPr>
                <w:b/>
                <w:i/>
              </w:rPr>
              <w:t>Förteckningen bör därefter ses över och uppdateras varje år med hänsyn till den tekniska utvecklingen och marknadsutvecklingen.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42 – punkt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Samordningsgruppen ska årligen informera rådet om de kryptoprodukter som den rekommenderar för utvärdering av den kryptogodkännande myndigheten för en medlemsstat på grundval av en undersökning som utförts vid unionens institutioner och organ.</w:t>
            </w:r>
          </w:p>
        </w:tc>
        <w:tc>
          <w:tcPr>
            <w:tcW w:w="4876" w:type="dxa"/>
          </w:tcPr>
          <w:p>
            <w:pPr>
              <w:pStyle w:val="Normal6a"/>
            </w:pPr>
            <w:r>
              <w:t>5.</w:t>
            </w:r>
            <w:r>
              <w:tab/>
            </w:r>
            <w:r>
              <w:t xml:space="preserve">Samordningsgruppen ska årligen informera rådet om de kryptoprodukter som den rekommenderar för utvärdering av den kryptogodkännande myndigheten för en medlemsstat </w:t>
            </w:r>
            <w:r>
              <w:rPr>
                <w:b/>
                <w:i/>
              </w:rPr>
              <w:t>eller Enisa/CERT-EU</w:t>
            </w:r>
            <w:r>
              <w:t xml:space="preserve"> på grundval av en undersökning som utförts vid unionens institutioner och organ.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148</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51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Samtliga EU-institutioner och EU-organ </w:t>
            </w:r>
            <w:r>
              <w:rPr>
                <w:b/>
                <w:i/>
              </w:rPr>
              <w:t>får</w:t>
            </w:r>
            <w:r>
              <w:t xml:space="preserve"> dela säkerhetsskyddsklassificerade EU-uppgifter med andra EU-institutioner eller EU-organ enligt de villkor som anges i artikel 54.</w:t>
            </w:r>
          </w:p>
        </w:tc>
        <w:tc>
          <w:tcPr>
            <w:tcW w:w="4876" w:type="dxa"/>
          </w:tcPr>
          <w:p>
            <w:pPr>
              <w:pStyle w:val="Normal6a"/>
            </w:pPr>
            <w:r>
              <w:t>1.</w:t>
            </w:r>
            <w:r>
              <w:tab/>
            </w:r>
            <w:r>
              <w:t xml:space="preserve">Samtliga EU-institutioner och EU-organ </w:t>
            </w:r>
            <w:r>
              <w:rPr>
                <w:b/>
                <w:i/>
              </w:rPr>
              <w:t>ska</w:t>
            </w:r>
            <w:r>
              <w:t xml:space="preserve"> dela säkerhetsskyddsklassificerade EU-uppgifter med andra EU-institutioner eller EU-organ enligt de villkor som anges i artikel 54.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52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Undergruppen för utbyte av säkerhetsskyddsklassificerade EU-uppgifter och säkerhetsskyddsklassificerade uppgifter ska bestå av företrädare för kommissionen, rådet och Europeiska utrikestjänsten och ska arbeta i samförstånd.</w:t>
            </w:r>
          </w:p>
        </w:tc>
        <w:tc>
          <w:tcPr>
            <w:tcW w:w="4876" w:type="dxa"/>
          </w:tcPr>
          <w:p>
            <w:pPr>
              <w:pStyle w:val="Normal6a"/>
            </w:pPr>
            <w:r>
              <w:t>2.</w:t>
            </w:r>
            <w:r>
              <w:tab/>
            </w:r>
            <w:r>
              <w:t xml:space="preserve">Undergruppen för utbyte av säkerhetsskyddsklassificerade EU-uppgifter och säkerhetsskyddsklassificerade uppgifter ska bestå av företrädare för </w:t>
            </w:r>
            <w:r>
              <w:rPr>
                <w:b/>
                <w:i/>
              </w:rPr>
              <w:t>Europaparlamentet,</w:t>
            </w:r>
            <w:r>
              <w:t xml:space="preserve"> kommissionen, rådet och Europeiska utrikestjänsten och ska arbeta i samförstånd. </w:t>
            </w:r>
            <w:r>
              <w:rPr>
                <w:b/>
                <w:i/>
              </w:rPr>
              <w:t>Denna undergrupp ska sträva efter en rättvis avvägning mellan behovet av att skydda säkerhetsskyddsklassificerade EU-uppgifter och förordning (EG) nr 1049/2001, och ska säkerställa att säkerhetsskyddsklassificeringen i sig inte hindrar att uppgifter röjs.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52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Undergruppen för utbyte av säkerhetsskyddsklassificerade EU-uppgifter och säkerhetsskyddsklassificerade uppgifter ska bestå av företrädare för kommissionen, rådet och Europeiska utrikestjänsten och ska arbeta i samförstånd.</w:t>
            </w:r>
          </w:p>
        </w:tc>
        <w:tc>
          <w:tcPr>
            <w:tcW w:w="4876" w:type="dxa"/>
          </w:tcPr>
          <w:p>
            <w:pPr>
              <w:pStyle w:val="Normal6a"/>
            </w:pPr>
            <w:r>
              <w:t>2.</w:t>
            </w:r>
            <w:r>
              <w:tab/>
            </w:r>
            <w:r>
              <w:t xml:space="preserve">Undergruppen för utbyte av säkerhetsskyddsklassificerade EU-uppgifter och säkerhetsskyddsklassificerade uppgifter ska bestå av företrädare för </w:t>
            </w:r>
            <w:r>
              <w:rPr>
                <w:b/>
                <w:i/>
              </w:rPr>
              <w:t>Europaparlamentet,</w:t>
            </w:r>
            <w:r>
              <w:t xml:space="preserve"> kommissionen, rådet och Europeiska utrikestjänsten och ska arbeta i samförstånd.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151</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52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Undergruppen för utbyte av säkerhetsskyddsklassificerade EU-uppgifter och säkerhetsskyddsklassificerade uppgifter ska bestå av företrädare för kommissionen, rådet och Europeiska utrikestjänsten och ska arbeta i samförstånd.</w:t>
            </w:r>
          </w:p>
        </w:tc>
        <w:tc>
          <w:tcPr>
            <w:tcW w:w="4876" w:type="dxa"/>
          </w:tcPr>
          <w:p>
            <w:pPr>
              <w:pStyle w:val="Normal6a"/>
            </w:pPr>
            <w:r>
              <w:t>2.</w:t>
            </w:r>
            <w:r>
              <w:tab/>
            </w:r>
            <w:r>
              <w:t xml:space="preserve">Undergruppen för utbyte av säkerhetsskyddsklassificerade EU-uppgifter och säkerhetsskyddsklassificerade uppgifter ska bestå av företrädare för </w:t>
            </w:r>
            <w:r>
              <w:rPr>
                <w:b/>
                <w:i/>
              </w:rPr>
              <w:t>Europaparlamentet,</w:t>
            </w:r>
            <w:r>
              <w:t xml:space="preserve"> kommissionen, rådet och Europeiska utrikestjänsten och ska arbeta i samförstånd.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54 – punkt 1 – led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Det </w:t>
            </w:r>
            <w:r>
              <w:rPr>
                <w:b/>
                <w:i/>
              </w:rPr>
              <w:t>finns ett bevisat behov av utbytet.</w:t>
            </w:r>
          </w:p>
        </w:tc>
        <w:tc>
          <w:tcPr>
            <w:tcW w:w="4876" w:type="dxa"/>
          </w:tcPr>
          <w:p>
            <w:pPr>
              <w:pStyle w:val="Normal6a"/>
            </w:pPr>
            <w:r>
              <w:t>a)</w:t>
            </w:r>
            <w:r>
              <w:tab/>
            </w:r>
            <w:r>
              <w:t>Det</w:t>
            </w:r>
            <w:r>
              <w:rPr>
                <w:b/>
                <w:i/>
              </w:rPr>
              <w:t>föreligger en rättslig skyldighet enligt unionsrätten eller enligt ett avtal som unionens institutioner har ingått,</w:t>
            </w:r>
            <w:r>
              <w:rPr>
                <w:b/>
                <w:i/>
              </w:rPr>
              <w:t>eller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det finns ett konstaterat behov av utbytet.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54 – punkt 1 – led aa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Det föreligger en rättslig skyldighet enligt fördragen, sekundärrätten eller ett interinstitutionellt avtal som unionens institutioner har ingått.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54 – punkt 1 – led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rPr>
                <w:b/>
                <w:i/>
              </w:rPr>
              <w:t>Säkerhetsmyndigheten för den berörda EU-institutionen eller det berörda EU-organet beslutar att institutionen eller organet får utbyta säkerhetsskyddsklassificerade uppgifter upp till en angiven nivå med andra certifierade EU-institutioner och EU-organ.</w:t>
            </w:r>
          </w:p>
        </w:tc>
        <w:tc>
          <w:tcPr>
            <w:tcW w:w="4876" w:type="dxa"/>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56 – punkt 1 – led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Den berörda EU-institutionen eller det berörda EU-organet behöver på långsiktig basis utbyta uppgifter med, i allmänhet, klassificeringen </w:t>
            </w:r>
            <w:r>
              <w:rPr>
                <w:b/>
                <w:i/>
              </w:rPr>
              <w:t>RESTREINT UE/EU RESTRICTED</w:t>
            </w:r>
            <w:r>
              <w:t xml:space="preserve"> eller lägre med sin motsvarighet i ett tredjeland eller en internationell organisation.</w:t>
            </w:r>
          </w:p>
        </w:tc>
        <w:tc>
          <w:tcPr>
            <w:tcW w:w="4876" w:type="dxa"/>
          </w:tcPr>
          <w:p>
            <w:pPr>
              <w:pStyle w:val="Normal6a"/>
            </w:pPr>
            <w:r>
              <w:t>a)</w:t>
            </w:r>
            <w:r>
              <w:tab/>
            </w:r>
            <w:r>
              <w:t xml:space="preserve">Den berörda EU-institutionen eller det berörda EU-organet behöver på långsiktig basis utbyta uppgifter med, i allmänhet, klassificeringen </w:t>
            </w:r>
            <w:r>
              <w:rPr>
                <w:b/>
                <w:i/>
              </w:rPr>
              <w:t>CONFIDENTIEL UE/EU CONFIDENTIAL</w:t>
            </w:r>
            <w:r>
              <w:t xml:space="preserve"> eller lägre med sin motsvarighet i ett tredjeland eller en internationell organisation.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60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Samtliga EU-institutioner och EU-organ som före den [dd/mm/åååå tillämpningsdatum] har bedömts vara lämpade att hantera och lagra säkerhetsskyddsklassificerade EU-uppgifter, antingen av kommissionen, rådet eller Europeiska utrikestjänsten, ska anses uppfylla de villkor som anges i artikel 19.1.</w:t>
            </w:r>
          </w:p>
        </w:tc>
        <w:tc>
          <w:tcPr>
            <w:tcW w:w="4876" w:type="dxa"/>
          </w:tcPr>
          <w:p>
            <w:pPr>
              <w:pStyle w:val="Normal6a"/>
            </w:pPr>
            <w:r>
              <w:t>2.</w:t>
            </w:r>
            <w:r>
              <w:tab/>
            </w:r>
            <w:r>
              <w:t xml:space="preserve">Samtliga EU-institutioner och EU-organ som före den [dd/mm/åååå tillämpningsdatum] har bedömts vara lämpade att hantera och lagra säkerhetsskyddsklassificerade EU-uppgifter, antingen av kommissionen, </w:t>
            </w:r>
            <w:r>
              <w:rPr>
                <w:b/>
                <w:i/>
              </w:rPr>
              <w:t>Europaparlamentet,</w:t>
            </w:r>
            <w:r>
              <w:t xml:space="preserve"> rådet eller Europeiska utrikestjänsten, ska anses uppfylla de villkor som anges i artikel 19.1.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60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Samtliga EU-institutioner och EU-organ som före den [dd/mm/åååå tillämpningsdatum] har bedömts vara lämpade att hantera och lagra säkerhetsskyddsklassificerade EU-uppgifter, antingen av kommissionen, rådet eller Europeiska utrikestjänsten, ska anses uppfylla de villkor som anges i artikel 19.1.</w:t>
            </w:r>
          </w:p>
        </w:tc>
        <w:tc>
          <w:tcPr>
            <w:tcW w:w="4876" w:type="dxa"/>
          </w:tcPr>
          <w:p>
            <w:pPr>
              <w:pStyle w:val="Normal6a"/>
            </w:pPr>
            <w:r>
              <w:t>2.</w:t>
            </w:r>
            <w:r>
              <w:tab/>
            </w:r>
            <w:r>
              <w:t xml:space="preserve">Samtliga EU-institutioner och EU-organ som före den [dd/mm/åååå tillämpningsdatum] har bedömts vara lämpade att hantera och lagra säkerhetsskyddsklassificerade EU-uppgifter, antingen av </w:t>
            </w:r>
            <w:r>
              <w:rPr>
                <w:b/>
                <w:i/>
              </w:rPr>
              <w:t>parlamentet,</w:t>
            </w:r>
            <w:r>
              <w:t xml:space="preserve"> kommissionen, rådet eller Europeiska utrikestjänsten, ska anses uppfylla de villkor som anges i artikel 19.1.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61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Senast den [dd/mm/åååå </w:t>
            </w:r>
            <w:r>
              <w:rPr>
                <w:b/>
                <w:i/>
              </w:rPr>
              <w:t>3</w:t>
            </w:r>
            <w:r>
              <w:t xml:space="preserve"> år efter tillämpningsdatum] ska kommissionen lämna en rapport om genomförandet av denna förordning till Europaparlamentet och rådet.</w:t>
            </w:r>
          </w:p>
        </w:tc>
        <w:tc>
          <w:tcPr>
            <w:tcW w:w="4876" w:type="dxa"/>
          </w:tcPr>
          <w:p>
            <w:pPr>
              <w:pStyle w:val="Normal6a"/>
            </w:pPr>
            <w:r>
              <w:t>1.</w:t>
            </w:r>
            <w:r>
              <w:tab/>
            </w:r>
            <w:r>
              <w:t xml:space="preserve">Senast den [dd/mm/åååå </w:t>
            </w:r>
            <w:r>
              <w:rPr>
                <w:b/>
                <w:i/>
              </w:rPr>
              <w:t>2</w:t>
            </w:r>
            <w:r>
              <w:t xml:space="preserve"> år efter tillämpningsdatum] ska kommissionen lämna en rapport om genomförandet av denna förordning till Europaparlamentet och rådet.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159</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61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Tidigast [</w:t>
            </w:r>
            <w:r>
              <w:rPr>
                <w:b/>
                <w:i/>
              </w:rPr>
              <w:t>5</w:t>
            </w:r>
            <w:r>
              <w:t xml:space="preserve"> år efter det datum då denna förordning börjar tillämpas] och vart femte år därefter ska kommissionen genomföra en utvärdering av denna förordning och lämna en rapport om de viktigaste resultaten till Europaparlamentet och rådet.</w:t>
            </w:r>
          </w:p>
        </w:tc>
        <w:tc>
          <w:tcPr>
            <w:tcW w:w="4876" w:type="dxa"/>
          </w:tcPr>
          <w:p>
            <w:pPr>
              <w:pStyle w:val="Normal6a"/>
            </w:pPr>
            <w:r>
              <w:t>2.</w:t>
            </w:r>
            <w:r>
              <w:tab/>
            </w:r>
            <w:r>
              <w:t>Tidigast [</w:t>
            </w:r>
            <w:r>
              <w:rPr>
                <w:b/>
                <w:i/>
              </w:rPr>
              <w:t>3</w:t>
            </w:r>
            <w:r>
              <w:t xml:space="preserve"> år efter det datum då denna förordning börjar tillämpas] och vart femte år därefter ska kommissionen genomföra en utvärdering av denna förordning och lämna en rapport om de viktigaste resultaten till Europaparlamentet och rådet.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Bilaga I – led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Handlingar som innehåller känsliga icke-säkerhetsskyddsklassificerade uppgifter ska märkas med en säkerhetsmärkning och, vid behov, en eller flera distributionsmärkningar eller märkningar som anger målgruppen, beroende på vad som är lämpligt. Standardsäkerhetsmärkningen ska vara ordet </w:t>
            </w:r>
            <w:r>
              <w:rPr>
                <w:b/>
                <w:i/>
              </w:rPr>
              <w:t>SENSITIVE</w:t>
            </w:r>
            <w:r>
              <w:t xml:space="preserve"> med versaler, utom i de fall som avses i artikel 15.2.</w:t>
            </w:r>
          </w:p>
        </w:tc>
        <w:tc>
          <w:tcPr>
            <w:tcW w:w="4876" w:type="dxa"/>
          </w:tcPr>
          <w:p>
            <w:pPr>
              <w:pStyle w:val="Normal6a"/>
            </w:pPr>
            <w:r>
              <w:t>1.</w:t>
            </w:r>
            <w:r>
              <w:tab/>
            </w:r>
            <w:r>
              <w:t xml:space="preserve">Handlingar som innehåller känsliga icke-säkerhetsskyddsklassificerade uppgifter ska märkas med en säkerhetsmärkning och, vid behov, en eller flera distributionsmärkningar eller märkningar som anger målgruppen, beroende på vad som är lämpligt. Standardsäkerhetsmärkningen ska vara ordet </w:t>
            </w:r>
            <w:r>
              <w:rPr>
                <w:b/>
                <w:i/>
              </w:rPr>
              <w:t>PROTECTED</w:t>
            </w:r>
            <w:r>
              <w:t xml:space="preserve"> med versaler, utom i de fall som avses i artikel 15.2.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Bilaga I – led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Handlingar märkta med </w:t>
            </w:r>
            <w:r>
              <w:rPr>
                <w:b/>
                <w:i/>
              </w:rPr>
              <w:t>SENSITIVE</w:t>
            </w:r>
            <w:r>
              <w:t xml:space="preserve"> sänks till EU NORMAL eller PUBLIC USE genom att märkningarna tas bort eller stryks över.</w:t>
            </w:r>
          </w:p>
        </w:tc>
        <w:tc>
          <w:tcPr>
            <w:tcW w:w="4876" w:type="dxa"/>
          </w:tcPr>
          <w:p>
            <w:pPr>
              <w:pStyle w:val="Normal6a"/>
            </w:pPr>
            <w:r>
              <w:t>4.</w:t>
            </w:r>
            <w:r>
              <w:tab/>
            </w:r>
            <w:r>
              <w:t xml:space="preserve">Handlingar märkta med </w:t>
            </w:r>
            <w:r>
              <w:rPr>
                <w:b/>
                <w:i/>
              </w:rPr>
              <w:t>PROTECTED</w:t>
            </w:r>
            <w:r>
              <w:t xml:space="preserve"> sänks till EU NORMAL eller PUBLIC USE genom att märkningarna tas bort eller stryks över.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Bilaga II – punkt 1 – led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rPr>
                <w:b/>
                <w:i/>
              </w:rPr>
              <w:t>.</w:t>
            </w:r>
            <w:r>
              <w:tab/>
            </w:r>
            <w:r>
              <w:t xml:space="preserve">personalsäkerhetsgodkännande: ett uttalande från </w:t>
            </w:r>
            <w:r>
              <w:rPr>
                <w:b/>
                <w:i/>
              </w:rPr>
              <w:t>en berörd myndighet i en medlemsstat</w:t>
            </w:r>
            <w:r>
              <w:t xml:space="preserve">, som lämnas efter genomförandet av en säkerhetsprövning utförd av </w:t>
            </w:r>
            <w:r>
              <w:rPr>
                <w:b/>
                <w:i/>
              </w:rPr>
              <w:t>den</w:t>
            </w:r>
            <w:r>
              <w:t xml:space="preserve"> behöriga </w:t>
            </w:r>
            <w:r>
              <w:rPr>
                <w:b/>
                <w:i/>
              </w:rPr>
              <w:t>myndigheten</w:t>
            </w:r>
            <w:r>
              <w:t>, och som intygar att en person får beviljas tillgång till säkerhetsskyddsklassificerade EU-uppgifter upp till en angiven nivå (CONFIDENTIEL UE/EU CONFIDENTIAL eller högre) och under en angiven tidsperiod.</w:t>
            </w:r>
          </w:p>
        </w:tc>
        <w:tc>
          <w:tcPr>
            <w:tcW w:w="4876" w:type="dxa"/>
          </w:tcPr>
          <w:p>
            <w:pPr>
              <w:pStyle w:val="Normal6a"/>
            </w:pPr>
            <w:r>
              <w:t>1</w:t>
            </w:r>
            <w:r>
              <w:rPr>
                <w:b/>
                <w:i/>
              </w:rPr>
              <w:t>)</w:t>
            </w:r>
            <w:r>
              <w:tab/>
            </w:r>
            <w:r>
              <w:t xml:space="preserve">personalsäkerhetsgodkännande: ett uttalande från </w:t>
            </w:r>
            <w:r>
              <w:rPr>
                <w:b/>
                <w:i/>
              </w:rPr>
              <w:t>kommissionen</w:t>
            </w:r>
            <w:r>
              <w:t xml:space="preserve">, som lämnas efter genomförandet av en säkerhetsprövning utförd av </w:t>
            </w:r>
            <w:r>
              <w:rPr>
                <w:b/>
                <w:i/>
              </w:rPr>
              <w:t>kommissionen i samarbete med de</w:t>
            </w:r>
            <w:r>
              <w:t xml:space="preserve"> behöriga </w:t>
            </w:r>
            <w:r>
              <w:rPr>
                <w:b/>
                <w:i/>
              </w:rPr>
              <w:t>myndigheterna i berörda medlemsstater</w:t>
            </w:r>
            <w:r>
              <w:t>, och som intygar att en person får beviljas tillgång till säkerhetsskyddsklassificerade EU-uppgifter upp till en angiven nivå (CONFIDENTIEL UE/EU CONFIDENTIAL eller högre) och under en angiven tidsperiod.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Bilaga II – punkt 1 – led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rPr>
                <w:b/>
                <w:i/>
              </w:rPr>
              <w:t>.</w:t>
            </w:r>
            <w:r>
              <w:tab/>
            </w:r>
            <w:r>
              <w:t xml:space="preserve">intyg om personalsäkerhetsgodkännande: ett intyg utfärdat av </w:t>
            </w:r>
            <w:r>
              <w:rPr>
                <w:b/>
                <w:i/>
              </w:rPr>
              <w:t>en behörig myndighet</w:t>
            </w:r>
            <w:r>
              <w:t>, som fastställer att en person innehar ett giltigt säkerhetsgodkännande, eller motsvarande, eller ett säkerhetsbemyndigande och som visar vilken nivå av säkerhetsskyddsklassificerade EU-uppgifter som personen kan få tillgång till (CONFIDENTIEL UE/EU CONFIDENTIAL eller högre), giltighetsdatum för det berörda säkerhetsgodkännandet eller säkerhetsbemyndigandet, samt vilket datum själva intyget löper ut.</w:t>
            </w:r>
          </w:p>
        </w:tc>
        <w:tc>
          <w:tcPr>
            <w:tcW w:w="4876" w:type="dxa"/>
          </w:tcPr>
          <w:p>
            <w:pPr>
              <w:pStyle w:val="Normal6a"/>
            </w:pPr>
            <w:r>
              <w:t>2</w:t>
            </w:r>
            <w:r>
              <w:rPr>
                <w:b/>
                <w:i/>
              </w:rPr>
              <w:t>)</w:t>
            </w:r>
            <w:r>
              <w:tab/>
            </w:r>
            <w:r>
              <w:t xml:space="preserve">intyg om personalsäkerhetsgodkännande: ett intyg utfärdat av </w:t>
            </w:r>
            <w:r>
              <w:rPr>
                <w:b/>
                <w:i/>
              </w:rPr>
              <w:t>kommissionen</w:t>
            </w:r>
            <w:r>
              <w:t>, som fastställer att en person innehar ett giltigt säkerhetsgodkännande, eller motsvarande, eller ett säkerhetsbemyndigande och som visar vilken nivå av säkerhetsskyddsklassificerade EU-uppgifter som personen kan få tillgång till (CONFIDENTIEL UE/EU CONFIDENTIAL eller högre), giltighetsdatum för det berörda säkerhetsgodkännandet eller säkerhetsbemyndigandet, samt vilket datum själva intyget löper 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Bilaga II – led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Säkerhetsmyndigheten vid den berörda EU-institutionen och det berörda EU-organet måste begära ett skriftligt medgivande från den berörda personen för förfarandet för säkerhetsgodkännande innan ett ifyllt frågeformulär om säkerhetsgodkännande skickas till </w:t>
            </w:r>
            <w:r>
              <w:rPr>
                <w:b/>
                <w:i/>
              </w:rPr>
              <w:t>den nationella säkerhetsmyndigheten i den medlemsstat där sökanden är medborgare</w:t>
            </w:r>
            <w:r>
              <w:t>.</w:t>
            </w:r>
          </w:p>
        </w:tc>
        <w:tc>
          <w:tcPr>
            <w:tcW w:w="4876" w:type="dxa"/>
          </w:tcPr>
          <w:p>
            <w:pPr>
              <w:pStyle w:val="Normal6a"/>
            </w:pPr>
            <w:r>
              <w:t>1.</w:t>
            </w:r>
            <w:r>
              <w:tab/>
            </w:r>
            <w:r>
              <w:t xml:space="preserve">Säkerhetsmyndigheten vid den berörda EU-institutionen och det berörda EU-organet måste begära ett skriftligt medgivande från den berörda personen för förfarandet för säkerhetsgodkännande innan ett ifyllt frågeformulär om säkerhetsgodkännande skickas till </w:t>
            </w:r>
            <w:r>
              <w:rPr>
                <w:b/>
                <w:i/>
              </w:rPr>
              <w:t>kommissionen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Bilaga II – led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När en EU-institution eller ett EU-organ får kännedom om uppgifter som är relevanta för en säkerhetsprövning avseende en person som har ansökt om ett säkerhetsgodkännande av tillgång till säkerhetsskyddsklassificerade EU-uppgifter, ska den behöriga säkerhetsmyndigheten, i enlighet med denna förordning, meddela </w:t>
            </w:r>
            <w:r>
              <w:rPr>
                <w:b/>
                <w:i/>
              </w:rPr>
              <w:t>relevant nationell säkerhetsmyndighet</w:t>
            </w:r>
            <w:r>
              <w:t xml:space="preserve"> om detta.</w:t>
            </w:r>
          </w:p>
        </w:tc>
        <w:tc>
          <w:tcPr>
            <w:tcW w:w="4876" w:type="dxa"/>
          </w:tcPr>
          <w:p>
            <w:pPr>
              <w:pStyle w:val="Normal6a"/>
            </w:pPr>
            <w:r>
              <w:t>2.</w:t>
            </w:r>
            <w:r>
              <w:tab/>
            </w:r>
            <w:r>
              <w:t xml:space="preserve">När en EU-institution eller ett EU-organ får kännedom om uppgifter som är relevanta för en säkerhetsprövning avseende en person som har ansökt om ett säkerhetsgodkännande av tillgång till säkerhetsskyddsklassificerade EU-uppgifter, ska den behöriga säkerhetsmyndigheten, i enlighet med denna förordning, meddela </w:t>
            </w:r>
            <w:r>
              <w:rPr>
                <w:b/>
                <w:i/>
              </w:rPr>
              <w:t>kommissionen</w:t>
            </w:r>
            <w:r>
              <w:t xml:space="preserve"> om detta.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Bilaga II – led 3 – inledningen</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Efter </w:t>
            </w:r>
            <w:r>
              <w:rPr>
                <w:b/>
                <w:i/>
              </w:rPr>
              <w:t>den berörda nationella säkerhetsmyndighetens</w:t>
            </w:r>
            <w:r>
              <w:t xml:space="preserve"> underrättelse om sin övergripande bedömning av resultaten av säkerhetsprövningen har den behöriga säkerhetsmyndigheten</w:t>
            </w:r>
          </w:p>
        </w:tc>
        <w:tc>
          <w:tcPr>
            <w:tcW w:w="4876" w:type="dxa"/>
          </w:tcPr>
          <w:p>
            <w:pPr>
              <w:pStyle w:val="Normal6a"/>
            </w:pPr>
            <w:r>
              <w:t>3.</w:t>
            </w:r>
            <w:r>
              <w:tab/>
            </w:r>
            <w:r>
              <w:t xml:space="preserve">Efter </w:t>
            </w:r>
            <w:r>
              <w:rPr>
                <w:b/>
                <w:i/>
              </w:rPr>
              <w:t>kommissionens</w:t>
            </w:r>
            <w:r>
              <w:t xml:space="preserve"> underrättelse om sin övergripande bedömning av resultaten av säkerhetsprövningen har den behöriga säkerhetsmyndigheten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Bilaga II – led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Om personen påbörjar sin tjänstgöring 12 månader eller mer efter datumet för underrättelse om resultatet av säkerhetsprövningen, eller om det finns ett avbrott på 12 månader i personens tjänstgöring, ska den behöriga säkerhetsmyndigheten begära bekräftelse från </w:t>
            </w:r>
            <w:r>
              <w:rPr>
                <w:b/>
                <w:i/>
              </w:rPr>
              <w:t>den berörda nationella säkerhetsmyndigheten</w:t>
            </w:r>
            <w:r>
              <w:t xml:space="preserve"> gällande säkerhetsgodkännandets giltighet.</w:t>
            </w:r>
          </w:p>
        </w:tc>
        <w:tc>
          <w:tcPr>
            <w:tcW w:w="4876" w:type="dxa"/>
          </w:tcPr>
          <w:p>
            <w:pPr>
              <w:pStyle w:val="Normal6a"/>
            </w:pPr>
            <w:r>
              <w:t>4.</w:t>
            </w:r>
            <w:r>
              <w:tab/>
            </w:r>
            <w:r>
              <w:t xml:space="preserve">Om personen påbörjar sin tjänstgöring 12 månader eller mer efter datumet för underrättelse om resultatet av säkerhetsprövningen, eller om det finns ett avbrott på 12 månader i personens tjänstgöring, ska den behöriga säkerhetsmyndigheten begära bekräftelse från </w:t>
            </w:r>
            <w:r>
              <w:rPr>
                <w:b/>
                <w:i/>
              </w:rPr>
              <w:t>kommissionen</w:t>
            </w:r>
            <w:r>
              <w:t xml:space="preserve"> gällande säkerhetsgodkännandets giltighet.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Bilaga II – led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Om uppgifter gällande en säkerhetsrisk kopplad till en person som har godkännande av tillgång till säkerhetsskyddsklassificerade EU-uppgifter blir kända för den berörda EU-institutionen eller det berörda EU-organet, ska institutionens eller organets säkerhetsmyndighet underrätta </w:t>
            </w:r>
            <w:r>
              <w:rPr>
                <w:b/>
                <w:i/>
              </w:rPr>
              <w:t>den berörda nationella säkerhetsmyndigheten</w:t>
            </w:r>
            <w:r>
              <w:t xml:space="preserve"> om detta och får tillfälligt upphäva den berörda personens tillgång till säkerhetsskyddsklassificerade EU-uppgifter eller återkalla godkännandet av tillgång till säkerhetsskyddsklassificerade EU-uppgifter.</w:t>
            </w:r>
          </w:p>
        </w:tc>
        <w:tc>
          <w:tcPr>
            <w:tcW w:w="4876" w:type="dxa"/>
          </w:tcPr>
          <w:p>
            <w:pPr>
              <w:pStyle w:val="Normal6a"/>
            </w:pPr>
            <w:r>
              <w:t>5.</w:t>
            </w:r>
            <w:r>
              <w:tab/>
            </w:r>
            <w:r>
              <w:t xml:space="preserve">Om uppgifter gällande en säkerhetsrisk kopplad till en person som har godkännande av tillgång till säkerhetsskyddsklassificerade EU-uppgifter blir kända för den berörda EU-institutionen eller det berörda EU-organet, ska institutionens eller organets säkerhetsmyndighet underrätta </w:t>
            </w:r>
            <w:r>
              <w:rPr>
                <w:b/>
                <w:i/>
              </w:rPr>
              <w:t>kommissionen</w:t>
            </w:r>
            <w:r>
              <w:t xml:space="preserve"> om detta och får tillfälligt upphäva den berörda personens tillgång till säkerhetsskyddsklassificerade EU-uppgifter eller återkalla godkännandet av tillgång till säkerhetsskyddsklassificerade EU-uppgifter.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Bilaga II – led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Om </w:t>
            </w:r>
            <w:r>
              <w:rPr>
                <w:b/>
                <w:i/>
              </w:rPr>
              <w:t>en nationell säkerhetsmyndighet</w:t>
            </w:r>
            <w:r>
              <w:t xml:space="preserve"> underrättar den berörda EU-institutionen eller det berörda EU-organet om att det inte längre finns någon försäkran för en person som har tillgång till säkerhetsskyddsklassificerade EU-uppgifter, måste säkerhetsmyndigheten vid den berörda EU-institutionen eller det berörda EU-organet återkalla sitt säkerhetsbemyndigande och utesluta personen från tillgång till säkerhetsskyddsklassificerade EU-uppgifter i enlighet med myndighetens relevanta interna bestämmelser.</w:t>
            </w:r>
          </w:p>
        </w:tc>
        <w:tc>
          <w:tcPr>
            <w:tcW w:w="4876" w:type="dxa"/>
          </w:tcPr>
          <w:p>
            <w:pPr>
              <w:pStyle w:val="Normal6a"/>
            </w:pPr>
            <w:r>
              <w:t>6.</w:t>
            </w:r>
            <w:r>
              <w:tab/>
            </w:r>
            <w:r>
              <w:t xml:space="preserve">Om </w:t>
            </w:r>
            <w:r>
              <w:rPr>
                <w:b/>
                <w:i/>
              </w:rPr>
              <w:t>kommissionen</w:t>
            </w:r>
            <w:r>
              <w:t xml:space="preserve"> underrättar den berörda EU-institutionen eller det berörda EU-organet om att det inte längre finns någon försäkran för en person som har tillgång till säkerhetsskyddsklassificerade EU-uppgifter, måste säkerhetsmyndigheten vid den berörda EU-institutionen eller det berörda EU-organet återkalla sitt säkerhetsbemyndigande och utesluta personen från tillgång till säkerhetsskyddsklassificerade EU-uppgifter i enlighet med myndighetens relevanta interna bestämmelser.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Bilaga II – led 5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Säkerhetsmyndigheten vid den berörda EU-institutionen och det berörda EU-organet får förlänga giltighetstiden för ett godkännande av tillgång till säkerhetsskyddsklassificerade EU-uppgifter med upp till 12 månader, om det inte har inkommit någon negativ information från </w:t>
            </w:r>
            <w:r>
              <w:rPr>
                <w:b/>
                <w:i/>
              </w:rPr>
              <w:t>en nationell säkerhetsmyndighet eller annan behörig nationell myndighet</w:t>
            </w:r>
            <w:r>
              <w:t xml:space="preserve"> inom en period om 2 månader från den dag då begäran om förnyelse med tillhörande frågeformulär om säkerhetsgodkännande översändes.</w:t>
            </w:r>
          </w:p>
        </w:tc>
        <w:tc>
          <w:tcPr>
            <w:tcW w:w="4876" w:type="dxa"/>
          </w:tcPr>
          <w:p>
            <w:pPr>
              <w:pStyle w:val="Normal6a"/>
            </w:pPr>
            <w:r>
              <w:t xml:space="preserve">Säkerhetsmyndigheten vid den berörda EU-institutionen och det berörda EU-organet får förlänga giltighetstiden för ett godkännande av tillgång till säkerhetsskyddsklassificerade EU-uppgifter med upp till 12 månader, om det inte har inkommit någon negativ information från </w:t>
            </w:r>
            <w:r>
              <w:rPr>
                <w:b/>
                <w:i/>
              </w:rPr>
              <w:t>kommissionen</w:t>
            </w:r>
            <w:r>
              <w:t xml:space="preserve"> inom en period om 2 månader från den dag då begäran om förnyelse med tillhörande frågeformulär om säkerhetsgodkännande översändes.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Bilaga II – led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Säkerhetsmyndigheten vid den berörda EU-institutionen eller det berörda EU-organet får i undantagsfall bevilja tillfälligt godkännande av tillgång till säkerhetsskyddsklassificerade EU-uppgifter, förutsatt att </w:t>
            </w:r>
            <w:r>
              <w:rPr>
                <w:b/>
                <w:i/>
              </w:rPr>
              <w:t>den behöriga nationella säkerhetsmyndigheten</w:t>
            </w:r>
            <w:r>
              <w:t xml:space="preserve"> har genomfört en preliminär kontroll, på grundval av det ifyllda och översända säkerhetsfrågeformuläret, för att kontrollera att inga relevanta negativa uppgifter är kända.</w:t>
            </w:r>
          </w:p>
        </w:tc>
        <w:tc>
          <w:tcPr>
            <w:tcW w:w="4876" w:type="dxa"/>
          </w:tcPr>
          <w:p>
            <w:pPr>
              <w:pStyle w:val="Normal6a"/>
            </w:pPr>
            <w:r>
              <w:t>10.</w:t>
            </w:r>
            <w:r>
              <w:tab/>
            </w:r>
            <w:r>
              <w:t xml:space="preserve">Säkerhetsmyndigheten vid den berörda EU-institutionen eller det berörda EU-organet får i undantagsfall bevilja tillfälligt godkännande av tillgång till säkerhetsskyddsklassificerade EU-uppgifter, förutsatt att </w:t>
            </w:r>
            <w:r>
              <w:rPr>
                <w:b/>
                <w:i/>
              </w:rPr>
              <w:t>kommissionen</w:t>
            </w:r>
            <w:r>
              <w:t xml:space="preserve"> har genomfört en preliminär kontroll, på grundval av det ifyllda och översända säkerhetsfrågeformuläret, för att kontrollera att inga relevanta negativa uppgifter är kända.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Bilaga II – led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13.</w:t>
            </w:r>
            <w:r>
              <w:tab/>
            </w:r>
            <w:r>
              <w:t xml:space="preserve">Alla unionens institutioner och organ måste säkerställa att nationella experter som utstationerats till dem för en tjänst som kräver säkerhetsgodkännande, innan de tillträder sin tjänst, uppvisar ett giltigt </w:t>
            </w:r>
            <w:r>
              <w:rPr>
                <w:b/>
                <w:i/>
              </w:rPr>
              <w:t>personalsäkerhetsgodkännande eller intyg om</w:t>
            </w:r>
            <w:r>
              <w:t xml:space="preserve"> personalsäkerhetsgodkännande</w:t>
            </w:r>
            <w:r>
              <w:rPr>
                <w:b/>
                <w:i/>
              </w:rPr>
              <w:t>,</w:t>
            </w:r>
            <w:r>
              <w:t xml:space="preserve"> i enlighet med nationella lagar och andra författningar, hos den behöriga säkerhetsmyndigheten. Förutsatt att de villkor som anges i artikel 23.1 är uppfyllda får säkerhetsmyndigheten därefter bevilja ett godkännande av tillgång till säkerhetsskyddsklassificerade EU-uppgifter upp till en nivå som motsvarar den som anges i det nationella säkerhetsgodkännandet, med en maximal giltighetstid som inte överstiger uppdragets längd.</w:t>
            </w:r>
          </w:p>
        </w:tc>
        <w:tc>
          <w:tcPr>
            <w:tcW w:w="4876" w:type="dxa"/>
          </w:tcPr>
          <w:p>
            <w:pPr>
              <w:pStyle w:val="Normal6a"/>
            </w:pPr>
            <w:r>
              <w:t>13.</w:t>
            </w:r>
            <w:r>
              <w:tab/>
            </w:r>
            <w:r>
              <w:t xml:space="preserve">Alla unionens institutioner och organ måste säkerställa att nationella experter som utstationerats till dem för en tjänst som kräver säkerhetsgodkännande, innan de tillträder sin tjänst, uppvisar ett giltigt </w:t>
            </w:r>
            <w:r>
              <w:rPr>
                <w:b/>
                <w:i/>
              </w:rPr>
              <w:t>nationellt</w:t>
            </w:r>
            <w:r>
              <w:t xml:space="preserve"> personalsäkerhetsgodkännande i enlighet med nationella lagar och andra författningar, hos den behöriga säkerhetsmyndigheten. Förutsatt att de villkor som anges i artikel 23.1 är uppfyllda får säkerhetsmyndigheten därefter bevilja ett godkännande av tillgång till säkerhetsskyddsklassificerade EU-uppgifter upp till en nivå som motsvarar den som anges i det nationella säkerhetsgodkännandet, med en maximal giltighetstid som inte överstiger uppdragets längd.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Bilaga III – led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8.</w:t>
            </w:r>
            <w:r>
              <w:tab/>
            </w:r>
            <w:r>
              <w:rPr>
                <w:b/>
                <w:i/>
              </w:rPr>
              <w:t>Säkerhetsskyddsklassificerade EU-uppgifter med klassificeringen RESTREINT UE/EU RESTRICTED ska hanteras och lagras i något av följande utrymmen:</w:t>
            </w:r>
          </w:p>
        </w:tc>
        <w:tc>
          <w:tcPr>
            <w:tcW w:w="4876" w:type="dxa"/>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I ett säkrat utrymme.</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I ett administrativt utrymme, förutsatt att de säkerhetsskyddsklassificerade EU-uppgifterna skyddas från tillträde av obehöriga.</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Utanför ett säkrat utrymme eller administrativt utrymme, förutsatt att innehavaren har åtagit sig att följa de kompensationsåtgärder som beslutats av säkerhetsmyndigheten för varje EU-institution och EU-organ.</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Bilaga III – led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9.</w:t>
            </w:r>
            <w:r>
              <w:tab/>
            </w:r>
            <w:r>
              <w:rPr>
                <w:b/>
                <w:i/>
              </w:rPr>
              <w:t>Säkerhetsskyddsklassificerade EU-uppgifter med klassificeringen RESTREINT UE/EU RESTRICTED ska lagras i låsbara kontorsskåp i ett administrativt utrymme eller säkrat utrymme.</w:t>
            </w:r>
            <w:r>
              <w:t xml:space="preserve"> </w:t>
            </w:r>
            <w:r>
              <w:rPr>
                <w:b/>
                <w:i/>
              </w:rPr>
              <w:t>De får tillfälligt lagras utanför ett administrativt utrymme eller säkrat utrymme, förutsatt att innehavaren har åtagit sig att lagra de berörda handlingarna i lämpliga låsta kontorsskåp när de inte läses eller diskuteras.</w:t>
            </w:r>
          </w:p>
        </w:tc>
        <w:tc>
          <w:tcPr>
            <w:tcW w:w="4876" w:type="dxa"/>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Bilaga III – led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10.</w:t>
            </w:r>
            <w:r>
              <w:tab/>
            </w:r>
            <w:r>
              <w:rPr>
                <w:b/>
                <w:i/>
              </w:rPr>
              <w:t>EU-institutioner och EU-organ får hantera och lagra uppgifter med klassificeringen RESTREINT UE/EU RESTRICTED utanför sina anläggningar, förutsatt att de relevanta uppgifterna skyddas på lämpligt sätt.</w:t>
            </w:r>
            <w:r>
              <w:t xml:space="preserve"> </w:t>
            </w:r>
            <w:r>
              <w:rPr>
                <w:b/>
                <w:i/>
              </w:rPr>
              <w:t>För detta ändamål måste EU-institutioner och EU-organ följa de åtgärder som anges i punkt 8 c.</w:t>
            </w:r>
          </w:p>
        </w:tc>
        <w:tc>
          <w:tcPr>
            <w:tcW w:w="4876" w:type="dxa"/>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Bilaga IV – led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 xml:space="preserve">Uppgifter med klassificeringen </w:t>
            </w:r>
            <w:r>
              <w:rPr>
                <w:b/>
                <w:i/>
              </w:rPr>
              <w:t>RESTREINT UE/EU RESTRICTED ska transporteras med minst ett lager av ogenomskinligt skydd, t.ex. kuvert, mappar eller en portfölj.</w:t>
            </w:r>
            <w:r>
              <w:t xml:space="preserve"> </w:t>
            </w:r>
            <w:r>
              <w:rPr>
                <w:b/>
                <w:i/>
              </w:rPr>
              <w:t>Uppgifter med klassificeringen</w:t>
            </w:r>
            <w:r>
              <w:t xml:space="preserve"> CONFIDENTIEL UE/EU CONFIDENTIAL eller högre ska transporteras med två lager av ogenomskinligt skydd.</w:t>
            </w:r>
          </w:p>
        </w:tc>
        <w:tc>
          <w:tcPr>
            <w:tcW w:w="4876" w:type="dxa"/>
          </w:tcPr>
          <w:p>
            <w:pPr>
              <w:pStyle w:val="Normal6a"/>
            </w:pPr>
            <w:r>
              <w:t>8.</w:t>
            </w:r>
            <w:r>
              <w:tab/>
            </w:r>
            <w:r>
              <w:t>Uppgifter med klassificeringen CONFIDENTIEL UE/EU CONFIDENTIAL eller högre ska transporteras med två lager av ogenomskinligt skydd.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Bilaga IV – led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Kommersiella kurirer får transportera uppgifter med klassificeringen </w:t>
            </w:r>
            <w:r>
              <w:rPr>
                <w:b/>
                <w:i/>
              </w:rPr>
              <w:t>RESTREINT UE/EU RESTRICTED och</w:t>
            </w:r>
            <w:r>
              <w:t xml:space="preserve"> CONFIDENTIEL UE/EU CONFIDENTIAL inom en medlemsstat, och från en medlemsstat till en annan. Kommersiella kurirer får leverera uppgifter med klassificeringen SECRET UE/EU SECRET endast inom en medlemsstat och under förutsättning att de har godkänts av den behöriga nationella säkerhetsmyndigheten. Inga säkerhetsskyddsklassificerade EU-uppgifter på nivån TRES SECRET UE/EU TOP SECRET får lämnas till en kommersiell kurir.</w:t>
            </w:r>
          </w:p>
        </w:tc>
        <w:tc>
          <w:tcPr>
            <w:tcW w:w="4876" w:type="dxa"/>
          </w:tcPr>
          <w:p>
            <w:pPr>
              <w:pStyle w:val="Normal6a"/>
            </w:pPr>
            <w:r>
              <w:t>10.</w:t>
            </w:r>
            <w:r>
              <w:tab/>
            </w:r>
            <w:r>
              <w:t>Kommersiella kurirer får transportera uppgifter med klassificeringen CONFIDENTIEL UE/EU CONFIDENTIAL inom en medlemsstat, och från en medlemsstat till en annan. Kommersiella kurirer får leverera uppgifter med klassificeringen SECRET UE/EU SECRET endast inom en medlemsstat och under förutsättning att de har godkänts av den behöriga nationella säkerhetsmyndigheten. Inga säkerhetsskyddsklassificerade EU-uppgifter på nivån TRES SECRET UE/EU TOP SECRET får lämnas till en kommersiell kurir.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Bilaga V – led 18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18.</w:t>
            </w:r>
            <w:r>
              <w:tab/>
            </w:r>
            <w:r>
              <w:rPr>
                <w:b/>
                <w:i/>
              </w:rPr>
              <w:t>I de fall då medlemsstater kräver ett säkerhetsgodkännande av verksamhetsställe eller ett personalsäkerhetsgodkännande för kontrakt, bidragsöverenskommelser eller underentreprenörsavtal med klassificeringen RESTREINT UE/EU RESTRICTED enligt den statens nationella lagar och andra författningar, får EU-institutioner och EU-organ, i egenskap av upphandlande eller beviljande myndigheter, inte använda dessa nationella krav för att ställa ytterligare krav på andra medlemsstater, eller utesluta anbudsgivare, sökande, entreprenörer, bidragsmottagare eller underentreprenörer från medlemsstater som inte kräver säkerhetsgodkännande av verksamhetsställe eller personalsäkerhetsgodkännande för tillgång till uppgifter med klassificeringen RESTREINT UE/EU RESTRICTED från relaterade kontrakt, bidragsöverenskommelser eller underentreprenörsavtal, eller från själva upphandlingen.</w:t>
            </w:r>
          </w:p>
        </w:tc>
        <w:tc>
          <w:tcPr>
            <w:tcW w:w="4876" w:type="dxa"/>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Bilaga V – led 22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22.</w:t>
            </w:r>
            <w:r>
              <w:tab/>
            </w:r>
            <w:r>
              <w:rPr>
                <w:b/>
                <w:i/>
              </w:rPr>
              <w:t>Besök som innebär tillgång till uppgifter med klassificeringen RESTREINT UE/EU RESTRICTED måste anordnas direkt mellan den sändande och den mottagande parten.</w:t>
            </w:r>
          </w:p>
        </w:tc>
        <w:tc>
          <w:tcPr>
            <w:tcW w:w="4876" w:type="dxa"/>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Bilaga V – led 24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24.</w:t>
            </w:r>
            <w:r>
              <w:tab/>
            </w:r>
            <w:r>
              <w:rPr>
                <w:b/>
                <w:i/>
              </w:rPr>
              <w:t>Säkerhetsackrediteringen av entreprenörers eller bidragsmottagares kommunikations- och informationssystem för hantering av säkerhetsskyddsklassificerade EU-uppgifter på nivån RESTREINT UE/EU RESTRICTED och all sammankoppling av sådana system får delegeras till entreprenörens eller bidragsmottagarens säkerhetsansvariga om detta är tillåtet enligt nationella lagar och andra författningar.</w:t>
            </w:r>
          </w:p>
        </w:tc>
        <w:tc>
          <w:tcPr>
            <w:tcW w:w="4876" w:type="dxa"/>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Om säkerhetsackrediteringen delegeras måste entreprenören eller bidragsmottagaren vara ansvarig för tillämpningen av säkerhetskraven enligt säkerhetsskyddsöverenskommelsen vid hantering av uppgifter med klassificeringen RESTREINT UE/EU RESTRICTED i sitt kommunikations- och informationssystem.</w:t>
            </w:r>
            <w:r>
              <w:rPr>
                <w:b/>
                <w:i/>
              </w:rPr>
              <w:t xml:space="preserve"> </w:t>
            </w:r>
            <w:r>
              <w:rPr>
                <w:b/>
                <w:i/>
              </w:rPr>
              <w:t>De berörda nationella säkerhetsmyndigheterna eller nationella säkerhetsmyndigheterna och ackrediteringsmyndigheterna för säkerhet behåller ansvaret för att skydda uppgifter med klassificeringen RESTREINT UE/EU RESTRICTED som hanteras eller lagras av entreprenören eller bidragsmottagaren samt rätten att inspektera entreprenörens eller bidragsmottagarens säkerhetsåtgärder.</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Entreprenören eller bidragsmottagaren måste dessutom förse EU-institutionen och EU-organet, i egenskap av upphandlande eller beviljande myndighet, och om så krävs enligt nationella lagar och andra författningar även den behöriga nationella ackrediteringsmyndigheten för säkerhet, med ett överensstämmelseintyg som styrker att entreprenörens eller bidragsmottagarens kommunikations- och informationssystem och därmed sammankopplade system har ackrediterats för hantering och lagring av säkerhetsskyddsklassificerade EU-uppgifter på nivån RESTREINT UE/EU RESTRICTED.</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Bilaga V – led 26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26.</w:t>
            </w:r>
            <w:r>
              <w:tab/>
            </w:r>
            <w:r>
              <w:rPr>
                <w:b/>
                <w:i/>
              </w:rPr>
              <w:t>Uppgifter med klassificeringen RESTREINT UE/EU RESTRICTED får överlämnas personligen av entreprenörens eller bidragsmottagarens personal inom EU om följande krav är uppfyllda:</w:t>
            </w:r>
          </w:p>
        </w:tc>
        <w:tc>
          <w:tcPr>
            <w:tcW w:w="4876" w:type="dxa"/>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Det kuvert eller emballage som används ska vara ogenomskinligt och får inte ange att innehållet är säkerhetsskyddsklassificerat.</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Budet har ständig uppsikt över de säkerhetsskyddsklassificerade uppgifterna.</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Kuvertet eller emballaget öppnas först när det når sin slutdestination.</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752.883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72</w:t>
    </w:r>
    <w:r>
      <w:fldChar w:fldCharType="end"/>
    </w:r>
    <w:r>
      <w:t>/</w:t>
    </w:r>
    <w:r>
      <w:fldChar w:fldCharType="begin"/>
    </w:r>
    <w:r>
      <w:instrText xml:space="preserve"> NUMPAGES </w:instrText>
    </w:r>
    <w:r>
      <w:fldChar w:fldCharType="separate"/>
    </w:r>
    <w:r>
      <w:t>73</w:t>
    </w:r>
    <w:r>
      <w:fldChar w:fldCharType="end"/>
    </w:r>
    <w:r>
      <w:tab/>
    </w:r>
    <w:r>
      <w:rPr>
        <w:rStyle w:val="HideTWBExt"/>
      </w:rPr>
      <w:t>&lt;PathFdR&gt;</w:t>
    </w:r>
    <w:r>
      <w:t>AM\1285361SV.docx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AM\1285361SV.docx</w:t>
    </w:r>
    <w:r>
      <w:rPr>
        <w:rStyle w:val="HideTWBExt"/>
      </w:rPr>
      <w:t>&lt;/PathFdR&gt;</w:t>
    </w:r>
    <w:r>
      <w:tab/>
    </w:r>
    <w:r>
      <w:fldChar w:fldCharType="begin"/>
    </w:r>
    <w:r>
      <w:instrText xml:space="preserve"> PAGE </w:instrText>
    </w:r>
    <w:r>
      <w:fldChar w:fldCharType="separate"/>
    </w:r>
    <w:r>
      <w:t>73</w:t>
    </w:r>
    <w:r>
      <w:fldChar w:fldCharType="end"/>
    </w:r>
    <w:r>
      <w:t>/</w:t>
    </w:r>
    <w:r>
      <w:fldChar w:fldCharType="begin"/>
    </w:r>
    <w:r>
      <w:instrText xml:space="preserve"> NUMPAGES </w:instrText>
    </w:r>
    <w:r>
      <w:fldChar w:fldCharType="separate"/>
    </w:r>
    <w:r>
      <w:t>73</w:t>
    </w:r>
    <w:r>
      <w:fldChar w:fldCharType="end"/>
    </w:r>
    <w:r>
      <w:tab/>
    </w:r>
    <w:r>
      <w:t>PE</w:t>
    </w:r>
    <w:r>
      <w:rPr>
        <w:rStyle w:val="HideTWBExt"/>
      </w:rPr>
      <w:t>&lt;NoPE&gt;</w:t>
    </w:r>
    <w:r>
      <w:t>752.883</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AM\1285361SV.docx</w:t>
    </w:r>
    <w:r>
      <w:rPr>
        <w:rStyle w:val="HideTWBExt"/>
      </w:rPr>
      <w:t>&lt;/PathFdR&gt;</w:t>
    </w:r>
    <w:r>
      <w:tab/>
    </w:r>
    <w:r>
      <w:tab/>
    </w:r>
    <w:r>
      <w:t>PE</w:t>
    </w:r>
    <w:r>
      <w:rPr>
        <w:rStyle w:val="HideTWBExt"/>
      </w:rPr>
      <w:t>&lt;NoPE&gt;</w:t>
    </w:r>
    <w:r>
      <w:t>752.883</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00"/>
    </w:pPr>
  </w:style>
  <w:style w:type="paragraph" w:customStyle="1" w:styleId="CoverNormal">
    <w:name w:val="CoverNormal"/>
    <w:basedOn w:val="Normal"/>
    <w:pPr>
      <w:widowControl w:val="0"/>
      <w:ind w:left="1400"/>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00"/>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00"/>
    </w:pPr>
    <w:rPr>
      <w:rFonts w:ascii="Arial" w:eastAsia="Arial" w:hAnsi="Arial" w:cs="Arial"/>
      <w:b/>
      <w:sz w:val="48"/>
    </w:rPr>
  </w:style>
  <w:style w:type="paragraph" w:customStyle="1" w:styleId="CoverBold">
    <w:name w:val="CoverBold"/>
    <w:basedOn w:val="Normal"/>
    <w:pPr>
      <w:widowControl w:val="0"/>
      <w:ind w:left="1400"/>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20"/>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widowControl w:val="0"/>
      <w:tabs>
        <w:tab w:val="center" w:pos="4520"/>
        <w:tab w:val="right" w:pos="906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73</Pages>
  <Words>12787</Words>
  <Characters>90372</Characters>
  <Application>Microsoft Office Word</Application>
  <DocSecurity>0</DocSecurity>
  <Lines>1</Lines>
  <Paragraphs>1326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1285361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25566</vt:lpwstr>
  </property>
  <property fmtid="{D5CDD505-2E9C-101B-9397-08002B2CF9AE}" pid="7" name="dmxml.render.traceId">
    <vt:lpwstr>65129433e85a042cca10eb98f83ff287</vt:lpwstr>
  </property>
  <property fmtid="{D5CDD505-2E9C-101B-9397-08002B2CF9AE}" pid="8" name="FooterPath">
    <vt:lpwstr>AM\1285361SV.docx</vt:lpwstr>
  </property>
  <property fmtid="{D5CDD505-2E9C-101B-9397-08002B2CF9AE}" pid="9" name="PE Number">
    <vt:lpwstr>752.883</vt:lpwstr>
  </property>
  <property fmtid="{D5CDD505-2E9C-101B-9397-08002B2CF9AE}" pid="10" name="UID">
    <vt:lpwstr>eu.europa.europarl-DIN1-2023-0000116548_01.00-sv-01.00_text-xml</vt:lpwstr>
  </property>
</Properties>
</file>