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Evropský parlament</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Výbor pro občanské svobody, spravedlnost a vnitřní věci</w:t>
      </w:r>
      <w:r>
        <w:rPr>
          <w:rStyle w:val="HideTWBExt"/>
        </w:rPr>
        <w:t>&lt;/Commission&gt;</w:t>
      </w:r>
    </w:p>
    <w:p>
      <w:pPr>
        <w:pStyle w:val="LineBottom"/>
      </w:pPr>
      <w:r>
        <w:t xml:space="preserve"> </w:t>
      </w:r>
    </w:p>
    <w:p>
      <w:pPr>
        <w:pStyle w:val="CoverReference"/>
      </w:pPr>
      <w:r>
        <w:rPr>
          <w:rStyle w:val="HideTWBExt"/>
        </w:rPr>
        <w:t>&lt;RefProc&gt;</w:t>
      </w:r>
      <w:r>
        <w:t>2023/0093</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{08/11/2023}</w:t>
      </w:r>
      <w:r>
        <w:t>8. 11. 2023</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35</w:t>
      </w:r>
      <w:r>
        <w:t xml:space="preserve"> - </w:t>
      </w:r>
      <w:r>
        <w:t>161</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Assita Kanko</w:t>
      </w:r>
      <w:r>
        <w:rPr>
          <w:rStyle w:val="HideTWBExt"/>
        </w:rPr>
        <w:t>&lt;/Rapporteur&gt;</w:t>
      </w:r>
    </w:p>
    <w:p>
      <w:pPr>
        <w:pStyle w:val="CoverNormal24a"/>
      </w:pPr>
      <w:r>
        <w:rPr>
          <w:rStyle w:val="HideTWBExt"/>
        </w:rPr>
        <w:t>&lt;DocRefPE&gt;</w:t>
      </w:r>
      <w:r>
        <w:t>(PE753.778v01-00)</w:t>
      </w:r>
      <w:r>
        <w:rPr>
          <w:rStyle w:val="HideTWBExt"/>
        </w:rPr>
        <w:t>&lt;/DocRefPE&gt;</w:t>
      </w:r>
    </w:p>
    <w:p>
      <w:pPr>
        <w:pStyle w:val="CoverNormal24a"/>
      </w:pPr>
      <w:r>
        <w:rPr>
          <w:rStyle w:val="HideTWBExt"/>
        </w:rPr>
        <w:t>&lt;Titre&gt;</w:t>
      </w:r>
      <w:r>
        <w:t>Předávání řízení v trestních věcech</w:t>
      </w:r>
      <w:r>
        <w:rPr>
          <w:rStyle w:val="HideTWBExt"/>
        </w:rPr>
        <w:t>&lt;/Titre&gt;</w:t>
      </w:r>
    </w:p>
    <w:p>
      <w:pPr>
        <w:pStyle w:val="CoverNormal"/>
      </w:pPr>
      <w:r>
        <w:rPr>
          <w:rStyle w:val="HideTWBExt"/>
        </w:rPr>
        <w:t>&lt;DocAmend&gt;</w:t>
      </w:r>
      <w:r>
        <w:t>Návrh nařízení</w:t>
      </w:r>
      <w:r>
        <w:rPr>
          <w:rStyle w:val="HideTWBExt"/>
        </w:rPr>
        <w:t>&lt;/DocAmend&gt;</w:t>
      </w:r>
    </w:p>
    <w:p>
      <w:pPr>
        <w:pStyle w:val="CoverNormal24a"/>
      </w:pPr>
      <w:r>
        <w:rPr>
          <w:rStyle w:val="HideTWBExt"/>
        </w:rPr>
        <w:t>&lt;DocRef&gt;</w:t>
      </w:r>
      <w:r>
        <w:t>(COM(2023)0185 – C9-0128/2023 – 2023/0093(COD))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Toto nařízení by se mělo vztahovat na všechny žádosti vydané v rámci trestního řízení. </w:t>
            </w:r>
            <w:r>
              <w:rPr>
                <w:b/>
                <w:i/>
              </w:rPr>
              <w:t>Trestní řízení je autonomním pojmem práva Unie, který vykládá Soudní dvůr Evropské unie bez ohledu na judikaturu Evropského soudu pro lidská práva, přičemž toto řízení začíná okamžikem, kdy je osoba příslušným orgánem členského státu informována, že je podezřelá nebo obviněná ze spáchání trestného činu, a trvá až do skončení daného řízení, čímž se rozumí konečné rozhodnutí v otázce, zda podezřelá nebo obviněná osoba daný trestný čin spáchala, včetně případného uložení trestu a rozhodnutí o všech opravných prostředcích.</w:t>
            </w:r>
          </w:p>
        </w:tc>
        <w:tc>
          <w:tcPr>
            <w:tcW w:w="4876" w:type="dxa"/>
          </w:tcPr>
          <w:p>
            <w:pPr>
              <w:pStyle w:val="Normal6a"/>
            </w:pPr>
            <w:r>
              <w:t>(7)</w:t>
            </w:r>
            <w:r>
              <w:tab/>
            </w:r>
            <w:r>
              <w:t>Toto nařízení by se mělo vztahovat na všechny žádosti vydané v rámci trestního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Toto nařízení by se mělo vztahovat na všechny žádosti vydané v rámci trestního řízení. </w:t>
            </w:r>
            <w:r>
              <w:rPr>
                <w:b/>
                <w:i/>
              </w:rPr>
              <w:t>Trestní řízení je autonomním pojmem práva Unie, který vykládá Soudní dvůr Evropské unie bez ohledu na judikaturu Evropského soudu pro lidská práva, přičemž toto řízení začíná okamžikem, kdy je osoba příslušným orgánem členského státu informována, že je podezřelá nebo obviněná ze spáchání trestného činu, a trvá až do skončení daného řízení, čímž se rozumí konečné rozhodnutí v otázce, zda podezřelá nebo obviněná osoba daný trestný čin spáchala, včetně případného uložení trestu a rozhodnutí o všech opravných prostředcích.</w:t>
            </w:r>
          </w:p>
        </w:tc>
        <w:tc>
          <w:tcPr>
            <w:tcW w:w="4876" w:type="dxa"/>
          </w:tcPr>
          <w:p>
            <w:pPr>
              <w:pStyle w:val="Normal6a"/>
            </w:pPr>
            <w:r>
              <w:t>(7)</w:t>
            </w:r>
            <w:r>
              <w:tab/>
            </w:r>
            <w:r>
              <w:t>Toto nařízení by se mělo vztahovat na všechny žádosti vydané v rámci trestního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Toto nařízení stanoví příslušnost pro zvláštní případy, aby bylo zajištěno, že v trestním řízení, které má být předáno v souladu s tímto nařízením, bude dožádaný stát vždy, když to budou vyžadovat zájmy účinného a řádného výkonu spravedlnosti, moci vykonávat příslušnost pro trestné činy, na které se vztahuje právo dožadujícího státu. Dožádaný stát by měl být vždy příslušný rozhodovat o trestných činech, v jejichž případě se o předání žádá, je-li tento členský stát považován za nejvhodnější k trestnímu stíhání.</w:t>
            </w:r>
          </w:p>
        </w:tc>
        <w:tc>
          <w:tcPr>
            <w:tcW w:w="4876" w:type="dxa"/>
          </w:tcPr>
          <w:p>
            <w:pPr>
              <w:pStyle w:val="Normal6a"/>
            </w:pPr>
            <w:r>
              <w:t>(16)</w:t>
            </w:r>
            <w:r>
              <w:tab/>
            </w:r>
            <w:r>
              <w:t xml:space="preserve">Toto nařízení stanoví příslušnost pro zvláštní případy, aby bylo zajištěno, že v trestním řízení, které má být předáno v souladu s tímto nařízením, bude dožádaný stát vždy, když to budou vyžadovat zájmy účinného a řádného výkonu spravedlnosti </w:t>
            </w:r>
            <w:r>
              <w:rPr>
                <w:b/>
                <w:i/>
              </w:rPr>
              <w:t>a účinné ochrany základních práv podezřelé nebo obviněné osoby i obětí, jak je zakotveno v právu Unie</w:t>
            </w:r>
            <w:r>
              <w:t>, moci vykonávat příslušnost pro trestné činy, na které se vztahuje právo dožadujícího státu. Dožádaný stát by měl být vždy příslušný rozhodovat o trestných činech, v jejichž případě se o předání žádá, je-li tento členský stát považován za nejvhodnější k trestnímu stíhání.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(17)</w:t>
            </w:r>
            <w:r>
              <w:tab/>
            </w:r>
            <w:r>
              <w:t xml:space="preserve">Tato příslušnost by měla být založena v situacích, kdy dožádaný stát odmítne předání podezřelé nebo obviněné osoby, na niž byl vydán evropský zatýkací rozkaz a která se nachází v dožádaném státě a současně je občanem daného státu nebo v něm má bydliště, pokud </w:t>
            </w:r>
            <w:r>
              <w:rPr>
                <w:b/>
                <w:i/>
              </w:rPr>
              <w:t>se toto odmítnutí zakládá na</w:t>
            </w:r>
            <w:r>
              <w:t xml:space="preserve"> konkrétních </w:t>
            </w:r>
            <w:r>
              <w:rPr>
                <w:b/>
                <w:i/>
              </w:rPr>
              <w:t>důvodech uvedených v tomto nařízení.</w:t>
            </w:r>
            <w:r>
              <w:t xml:space="preserve"> </w:t>
            </w:r>
            <w:r>
              <w:rPr>
                <w:b/>
                <w:i/>
              </w:rPr>
              <w:t>Dožádaný stát by</w:t>
            </w:r>
            <w:r>
              <w:t xml:space="preserve"> rovněž měl být příslušný v případě, že trestný čin vyvolává důsledky nebo působí škodu převážně v dožádaném státě. Škoda by měla být zohledněna vždy, když podle práva dožádaného státu představuje jeden ze znaků trestného činu. Dožádaný stát by měl být příslušný také v případě, že trestní řízení již v tomto státě probíhá proti téže podezřelé nebo obviněné osobě ve vztahu k jiným skutečnostem, takže veškerá trestná činnost této osoby by mohla být projednávána v jednom trestním řízení, nebo v případě, že v tomto státě probíhá trestní řízení ve věci stejných nebo souvisejících skutečností proti jiným osobám, což může být zvláště relevantní pro soustředění vyšetřování a stíhání zločinecké organizace do jednoho členského státu. Podezřelá nebo obviněná osoba v trestním řízení, jehož předání probíhá, by v obou případech měla být občanem dožádaného státu nebo by v něm měla mít bydliště.</w:t>
            </w:r>
          </w:p>
        </w:tc>
        <w:tc>
          <w:tcPr>
            <w:tcW w:w="4876" w:type="dxa"/>
          </w:tcPr>
          <w:p>
            <w:pPr>
              <w:pStyle w:val="Normal6a"/>
            </w:pPr>
            <w:r>
              <w:t>(17)</w:t>
            </w:r>
            <w:r>
              <w:tab/>
            </w:r>
            <w:r>
              <w:t xml:space="preserve">Tato příslušnost by měla být založena </w:t>
            </w:r>
            <w:r>
              <w:rPr>
                <w:b/>
                <w:i/>
              </w:rPr>
              <w:t>na zvláštních důvodech uvedených v tomto nařízení.</w:t>
            </w:r>
            <w:r>
              <w:t xml:space="preserve"> </w:t>
            </w:r>
            <w:r>
              <w:rPr>
                <w:b/>
                <w:i/>
              </w:rPr>
              <w:t>Dožádaný stát by měl být příslušný</w:t>
            </w:r>
            <w:r>
              <w:t xml:space="preserve"> v situacích, kdy </w:t>
            </w:r>
            <w:r>
              <w:rPr>
                <w:b/>
                <w:i/>
              </w:rPr>
              <w:t>tento</w:t>
            </w:r>
            <w:r>
              <w:t xml:space="preserve"> dožádaný stát odmítne předání podezřelé nebo obviněné osoby, na niž byl vydán evropský zatýkací rozkaz a která se nachází v dožádaném státě a současně je občanem daného státu nebo v něm má bydliště, pokud </w:t>
            </w:r>
            <w:r>
              <w:rPr>
                <w:b/>
                <w:i/>
              </w:rPr>
              <w:t>ve výjimečných situacích shledá, že na základě konkrétních a objektivních důkazů existují závažné důvody domnívat se, že předání by za</w:t>
            </w:r>
            <w:r>
              <w:t xml:space="preserve"> konkrétních </w:t>
            </w:r>
            <w:r>
              <w:rPr>
                <w:b/>
                <w:i/>
              </w:rPr>
              <w:t>okolností věci představovalo zřejmé porušení příslušného základního práva stanoveného v článku 6 Smlouvy o Evropské unii a v Listině.</w:t>
            </w:r>
            <w:r>
              <w:t xml:space="preserve"> Rovněž </w:t>
            </w:r>
            <w:r>
              <w:rPr>
                <w:b/>
                <w:i/>
              </w:rPr>
              <w:t>by</w:t>
            </w:r>
            <w:r>
              <w:t xml:space="preserve"> měl být příslušný v případě, že trestný čin vyvolává důsledky nebo působí škodu převážně v dožádaném státě. Škoda by měla být zohledněna vždy, když podle práva dožádaného státu představuje jeden ze znaků trestného činu. Dožádaný stát by měl být příslušný také v případě, že trestní řízení již v tomto státě probíhá proti téže podezřelé nebo obviněné osobě ve vztahu k jiným skutečnostem, takže veškerá trestná činnost této osoby by mohla být projednávána v jednom trestním řízení, nebo v případě, že v tomto státě probíhá trestní řízení ve věci stejných nebo souvisejících skutečností proti jiným osobám, což může být zvláště relevantní pro soustředění vyšetřování a stíhání zločinecké organizace do jednoho členského státu. Podezřelá nebo obviněná osoba v trestním řízení, jehož předání probíhá, by v obou případech měla být občanem dožádaného státu nebo by v něm měla mít bydliště.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(18)</w:t>
            </w:r>
            <w:r>
              <w:tab/>
            </w:r>
            <w:r>
              <w:t xml:space="preserve">Aby byl splněn účel tohoto nařízení a předcházelo se kompetenčním sporům, se zvláštním ohledem na členské státy, jejichž právní systém – nebo stíhání určitých trestných činů – se zakládá na povinnosti stíhat trestné činy, by se dožadující stát, pokud žádá o předání trestního řízení, měl vzdát své příslušnosti k trestnímu stíhání dotyčné osoby pro trestný čin, kvůli kterému o předání usiluje. Z těchto důvodů by příslušné orgány dožadujícího státu měly </w:t>
            </w:r>
            <w:r>
              <w:rPr>
                <w:b/>
                <w:i/>
              </w:rPr>
              <w:t>mít možnost</w:t>
            </w:r>
            <w:r>
              <w:t xml:space="preserve"> zastavit trestní řízení, které u nich bylo zahájeno, ve prospěch členského státu, jež je považován za vhodnější k trestnímu stíhání, a to i v případech, kdy by podle vnitrostátních právních předpisů měly povinnost trestní stíhání vést. Tímto vzdáním se příslušnosti by neměla být dotčena ustanovení o účincích předání trestního řízení v dožadujícím státě uvedená v tomto nařízení.</w:t>
            </w:r>
          </w:p>
        </w:tc>
        <w:tc>
          <w:tcPr>
            <w:tcW w:w="4876" w:type="dxa"/>
          </w:tcPr>
          <w:p>
            <w:pPr>
              <w:pStyle w:val="Normal6a"/>
            </w:pPr>
            <w:r>
              <w:t>(18)</w:t>
            </w:r>
            <w:r>
              <w:tab/>
            </w:r>
            <w:r>
              <w:t>Aby byl splněn účel tohoto nařízení a předcházelo se kompetenčním sporům, se zvláštním ohledem na členské státy, jejichž právní systém – nebo stíhání určitých trestných činů – se zakládá na povinnosti stíhat trestné činy, by se dožadující stát, pokud žádá o předání trestního řízení, měl vzdát své příslušnosti k trestnímu stíhání dotyčné osoby pro trestný čin, kvůli kterému o předání usiluje. Z těchto důvodů by příslušné orgány dožadujícího státu měly zastavit trestní řízení, které u nich bylo zahájeno, ve prospěch členského státu, jež je považován za vhodnější k trestnímu stíhání, a to i v případech, kdy by podle vnitrostátních právních předpisů měly povinnost trestní stíhání vést. Tímto vzdáním se příslušnosti by neměla být dotčena ustanovení o účincích předání trestního řízení v dožadujícím státě uvedená v tomto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(21)</w:t>
            </w:r>
            <w:r>
              <w:tab/>
            </w:r>
            <w:r>
              <w:t xml:space="preserve">Členské státy by měly zajistit, aby při uplatňování tohoto nařízení byly zohledněny potřeby zranitelných osob. Podle doporučení Komise </w:t>
            </w:r>
            <w:r>
              <w:rPr>
                <w:b/>
                <w:i/>
              </w:rPr>
              <w:t>2013/C 378/02</w:t>
            </w:r>
            <w:r>
              <w:rPr>
                <w:vertAlign w:val="superscript"/>
              </w:rPr>
              <w:t>60</w:t>
            </w:r>
            <w:r>
              <w:t>by se zranitelnými podezřelými nebo obviněnými osobami měly rozumět všechny podezřelé nebo obviněné osoby, které nejsou schopny pochopit trestní řízení nebo se jej účinně účastnit z důvodu svého věku, duševního nebo tělesného stavu či jakéhokoli případného zdravotního postižení.</w:t>
            </w:r>
          </w:p>
        </w:tc>
        <w:tc>
          <w:tcPr>
            <w:tcW w:w="4876" w:type="dxa"/>
          </w:tcPr>
          <w:p>
            <w:pPr>
              <w:pStyle w:val="Normal6a"/>
            </w:pPr>
            <w:r>
              <w:t>(21)</w:t>
            </w:r>
            <w:r>
              <w:tab/>
            </w:r>
            <w:r>
              <w:t xml:space="preserve">Členské státy by měly zajistit, aby při uplatňování tohoto nařízení byly zohledněny potřeby zranitelných osob. Podle doporučení Komise </w:t>
            </w:r>
            <w:r>
              <w:rPr>
                <w:b/>
                <w:i/>
              </w:rPr>
              <w:t>(2013/C 378/02)</w:t>
            </w:r>
            <w:r>
              <w:rPr>
                <w:vertAlign w:val="superscript"/>
              </w:rPr>
              <w:t>60</w:t>
            </w:r>
            <w:r>
              <w:t xml:space="preserve"> by se zranitelnými podezřelými nebo obviněnými osobami měly rozumět všechny podezřelé nebo obviněné osoby, které nejsou schopny pochopit trestní řízení nebo se jej účinně účastnit z důvodu svého věku, duševního nebo tělesného stavu či jakéhokoli případného zdravotního postižení. </w:t>
            </w:r>
            <w:r>
              <w:rPr>
                <w:b/>
                <w:i/>
              </w:rPr>
              <w:t>Při posuzování zranitelnosti podezřelé nebo obviněné osoby by měl být zohledněn její přistěhovalecký status nebo status pobytu a skutečnost, zda je schopna porozumět jazyku řízení v dožadujícím nebo dožádaném členském státě.</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60</w:t>
            </w:r>
            <w:r>
              <w:t xml:space="preserve"> </w:t>
            </w:r>
            <w:r>
              <w:t>Doporučení Komise ze dne 27. listopadu 2013 o procesních zárukách pro zranitelné osoby podezřelé nebo obviněné v trestním řízení, 2013/C 378/02 (Úř. věst. C 378, 24.12.2013, s. 8).</w:t>
            </w:r>
          </w:p>
        </w:tc>
        <w:tc>
          <w:tcPr>
            <w:tcW w:w="4876" w:type="dxa"/>
          </w:tcPr>
          <w:p>
            <w:pPr>
              <w:pStyle w:val="Normal6a"/>
            </w:pPr>
            <w:r>
              <w:rPr>
                <w:vertAlign w:val="superscript"/>
              </w:rPr>
              <w:t>60</w:t>
            </w:r>
            <w:r>
              <w:t xml:space="preserve"> </w:t>
            </w:r>
            <w:r>
              <w:t>Doporučení Komise ze dne 27. listopadu 2013 o procesních zárukách pro zranitelné osoby podezřelé nebo obviněné v trestním řízení, 2013/C 378/02 (Úř. věst. C 378, 24.12.2013, s. 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(23)</w:t>
            </w:r>
            <w:r>
              <w:tab/>
            </w:r>
            <w:r>
              <w:t xml:space="preserve">Toto nařízení </w:t>
            </w:r>
            <w:r>
              <w:rPr>
                <w:b/>
                <w:i/>
              </w:rPr>
              <w:t>by nemělo ukládat jakoukoli</w:t>
            </w:r>
            <w:r>
              <w:t xml:space="preserve"> povinnost žádat o předání trestního řízení. Při posuzování, zda by měla být vydána žádost o předání trestního řízení, </w:t>
            </w:r>
            <w:r>
              <w:rPr>
                <w:b/>
                <w:i/>
              </w:rPr>
              <w:t>by měl</w:t>
            </w:r>
            <w:r>
              <w:t xml:space="preserve"> dožadující orgán </w:t>
            </w:r>
            <w:r>
              <w:rPr>
                <w:b/>
                <w:i/>
              </w:rPr>
              <w:t>zkoumat</w:t>
            </w:r>
            <w:r>
              <w:t xml:space="preserve">, zda je toto předání nezbytné a přiměřené. Toto posouzení </w:t>
            </w:r>
            <w:r>
              <w:rPr>
                <w:b/>
                <w:i/>
              </w:rPr>
              <w:t>by mělo být prováděno</w:t>
            </w:r>
            <w:r>
              <w:t xml:space="preserve"> pro každou věc zvlášť, aby bylo možné určit členský stát, který je ke stíhání daného trestného činu nejvhodnější.</w:t>
            </w:r>
          </w:p>
        </w:tc>
        <w:tc>
          <w:tcPr>
            <w:tcW w:w="4876" w:type="dxa"/>
          </w:tcPr>
          <w:p>
            <w:pPr>
              <w:pStyle w:val="Normal6a"/>
            </w:pPr>
            <w:r>
              <w:t>(23)</w:t>
            </w:r>
            <w:r>
              <w:tab/>
            </w:r>
            <w:r>
              <w:t xml:space="preserve">Toto nařízení </w:t>
            </w:r>
            <w:r>
              <w:rPr>
                <w:b/>
                <w:i/>
              </w:rPr>
              <w:t>neukládá žádnou</w:t>
            </w:r>
            <w:r>
              <w:t xml:space="preserve"> povinnost žádat o předání trestního řízení. Při posuzování, zda by měla být vydána žádost o předání trestního řízení, dožadující orgán </w:t>
            </w:r>
            <w:r>
              <w:rPr>
                <w:b/>
                <w:i/>
              </w:rPr>
              <w:t>zkoumá</w:t>
            </w:r>
            <w:r>
              <w:t xml:space="preserve">, zda je toto předání nezbytné a přiměřené. Toto posouzení </w:t>
            </w:r>
            <w:r>
              <w:rPr>
                <w:b/>
                <w:i/>
              </w:rPr>
              <w:t>se provádí</w:t>
            </w:r>
            <w:r>
              <w:t xml:space="preserve"> pro každou věc zvlášť, aby bylo možné určit členský stát, který je ke stíhání daného trestného činu nejvhodnější.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 xml:space="preserve">V případě, že podezřelá nebo obviněná osoba je občanem dožádaného státu nebo v něm má bydliště, by předání trestního řízení mohlo být odůvodněné za účelem zajištění práva podezřelé nebo obviněné osoby být přítomna u soudu v souladu se směrnicí (EU) 2016/343. Podobně, je-li většina obětí občany dožádaného státu nebo v něm mají bydliště, může být předání odůvodněné, aby byla obětem umožněna snadná účast v trestním řízení, a kvůli účinnému provedení jejich výslechu jako svědků během řízení. </w:t>
            </w:r>
            <w:r>
              <w:rPr>
                <w:b/>
                <w:i/>
              </w:rPr>
              <w:t>V případech, kdy bylo předání podezřelé nebo obviněné osoby, na niž byl vydán evropský zatýkací rozkaz, v dožádaném státě odmítnuto z důvodů uvedených v tomto nařízení, může být předání odůvodněno také tehdy, pokud se daná osoba nachází v dožádaném státě, ačkoli není občanem tohoto státu ani v něm nemá bydliště.</w:t>
            </w:r>
          </w:p>
        </w:tc>
        <w:tc>
          <w:tcPr>
            <w:tcW w:w="4876" w:type="dxa"/>
          </w:tcPr>
          <w:p>
            <w:pPr>
              <w:pStyle w:val="Normal6a"/>
            </w:pPr>
            <w:r>
              <w:t>(25)</w:t>
            </w:r>
            <w:r>
              <w:tab/>
            </w:r>
            <w:r>
              <w:t>V případě, že podezřelá nebo obviněná osoba je občanem dožádaného státu nebo v něm má bydliště, by předání trestního řízení mohlo být odůvodněné za účelem zajištění práva podezřelé nebo obviněné osoby být přítomna u soudu v souladu se směrnicí (EU) 2016/343. Podobně, je-li většina obětí občany dožádaného státu nebo v něm mají bydliště, může být předání odůvodněné, aby byla obětem umožněna snadná účast v trestním řízení, a kvůli účinnému provedení jejich výslechu jako svědků během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 xml:space="preserve">V případě, že podezřelá nebo obviněná osoba je občanem dožádaného státu nebo v něm má bydliště, by předání trestního řízení mohlo být odůvodněné za účelem zajištění práva podezřelé nebo obviněné osoby být přítomna u soudu v souladu se směrnicí (EU) 2016/343. Podobně, je-li </w:t>
            </w:r>
            <w:r>
              <w:rPr>
                <w:b/>
                <w:i/>
              </w:rPr>
              <w:t>většina obětí</w:t>
            </w:r>
            <w:r>
              <w:t xml:space="preserve"> občany dožádaného státu nebo v něm mají bydliště, může být předání odůvodněné, aby byla obětem umožněna snadná účast v trestním řízení, a kvůli účinnému provedení jejich výslechu jako svědků během řízení. V případech, kdy bylo předání podezřelé nebo obviněné osoby, na niž byl vydán evropský zatýkací rozkaz, v dožádaném státě odmítnuto z důvodů uvedených v tomto nařízení, může být předání odůvodněno také tehdy, pokud se daná osoba nachází v dožádaném státě, ačkoli není občanem tohoto státu ani v něm nemá bydliště.</w:t>
            </w:r>
          </w:p>
        </w:tc>
        <w:tc>
          <w:tcPr>
            <w:tcW w:w="4876" w:type="dxa"/>
          </w:tcPr>
          <w:p>
            <w:pPr>
              <w:pStyle w:val="Normal6a"/>
            </w:pPr>
            <w:r>
              <w:t>(25)</w:t>
            </w:r>
            <w:r>
              <w:tab/>
            </w:r>
            <w:r>
              <w:t xml:space="preserve">V případě, že podezřelá nebo obviněná osoba je občanem dožádaného státu nebo v něm má bydliště, by předání trestního řízení mohlo být odůvodněné za účelem zajištění práva podezřelé nebo obviněné osoby být přítomna u soudu v souladu se směrnicí (EU) 2016/343. Podobně, je-li </w:t>
            </w:r>
            <w:r>
              <w:rPr>
                <w:b/>
                <w:i/>
              </w:rPr>
              <w:t>oběť občanem či jsou-li oběti</w:t>
            </w:r>
            <w:r>
              <w:t> občany dožádaného státu nebo v něm mají bydliště, může být předání odůvodněné, aby byla obětem umožněna snadná účast v trestním řízení, a kvůli účinnému provedení jejich výslechu jako svědků během řízení. V případech, kdy bylo předání podezřelé nebo obviněné osoby, na niž byl vydán evropský zatýkací rozkaz, v dožádaném státě odmítnuto z důvodů uvedených v tomto nařízení, může být předání odůvodněno také tehdy, pokud se daná osoba nachází v dožádaném státě, ačkoli není občanem tohoto státu ani v něm nemá bydliště.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(27)</w:t>
            </w:r>
            <w:r>
              <w:tab/>
            </w:r>
            <w:r>
              <w:t>Předání trestního řízení může být odůvodněné také tehdy, pokud v dožádaném státě probíhá trestní řízení proti dané podezřelé nebo obviněné osobě ohledně stejných či jiných skutečností nebo trestní řízení ohledně stejných nebo souvisejících skutečností vůči jiným osobám, např. ve věcech trestního stíhání přeshraničních zločinných spolčení, v nichž mohou být různé spoluobviněné osoby trestně stíhány v různých členských státech. Jestliže je navíc podezřelá nebo obviněná osoba v dožádaném státě ve výkonu trestu zahrnujícího odnětí svobody pro jiný trestný čin nebo do něj má nastoupit, předání trestního řízení může být odůvodněné, aby bylo zajištěno právo odsouzené osoby být přítomna při soudním řízení, o jehož předání se žádá, zatímco je ve výkonu trestu v dožádaném státě. Dožadující orgány by kromě toho měly řádně zvážit, zda by předání trestního řízení mohlo přispět k cíli sociální rehabilitace dotčené osoby v případě, že trest bude vykonáván v dožádaném státě: za tímto účelem by měl být zohledněn vztah dané osoby k dožádanému státu, ať už jej považuje za místo rodinných, jazykových, kulturních, sociálních či ekonomických a jakýchkoli jiných vazeb k dožádanému státu.</w:t>
            </w:r>
          </w:p>
        </w:tc>
        <w:tc>
          <w:tcPr>
            <w:tcW w:w="4876" w:type="dxa"/>
          </w:tcPr>
          <w:p>
            <w:pPr>
              <w:pStyle w:val="Normal6a"/>
            </w:pPr>
            <w:r>
              <w:t>(27)</w:t>
            </w:r>
            <w:r>
              <w:tab/>
            </w:r>
            <w:r>
              <w:t xml:space="preserve">Předání trestního řízení může být odůvodněné také tehdy, pokud v dožádaném státě probíhá trestní řízení proti dané podezřelé nebo obviněné osobě ohledně stejných či jiných skutečností nebo trestní řízení ohledně stejných nebo souvisejících skutečností vůči jiným osobám, např. ve věcech trestního stíhání přeshraničních zločinných spolčení, v nichž mohou být různé spoluobviněné osoby trestně stíhány v různých členských státech. Jestliže je navíc podezřelá nebo obviněná osoba v dožádaném státě ve výkonu trestu zahrnujícího odnětí svobody pro jiný trestný čin nebo do něj má nastoupit, předání trestního řízení může být odůvodněné, aby bylo zajištěno právo odsouzené osoby být přítomna při soudním řízení, o jehož předání se žádá, zatímco je ve výkonu trestu v dožádaném státě. Dožadující orgány by kromě toho měly řádně zvážit, zda by předání trestního řízení mohlo přispět k cíli sociální rehabilitace dotčené osoby v případě, že trest bude vykonáván v dožádaném státě: za tímto účelem by měl být zohledněn vztah dané osoby k dožádanému státu, ať už jej považuje za místo rodinných, jazykových, kulturních, sociálních či ekonomických a jakýchkoli jiných vazeb k dožádanému státu. </w:t>
            </w:r>
            <w:r>
              <w:rPr>
                <w:b/>
                <w:i/>
              </w:rPr>
              <w:t>Kromě toho by dožadující orgány měly náležitě zvážit, zda by předání trestního řízení mohlo usnadnit dosažení cílů restorativní justice.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Podezřelé nebo obviněné osoby nebo oběti by měly mít </w:t>
            </w:r>
            <w:r>
              <w:rPr>
                <w:b/>
                <w:i/>
              </w:rPr>
              <w:t>možnost</w:t>
            </w:r>
            <w:r>
              <w:t xml:space="preserve"> žádat, aby trestní řízení, které se jich týká, bylo předáno do jiného členského státu. Tyto žádosti by však neměly dožadujícímu ani dožádanému orgánu ukládat jakoukoli povinnost žádat o předání trestního řízení nebo toto řízení předat. Dozvědí-li se tyto orgány na základě žádosti o předání, kterou podala podezřelá nebo obviněná osoba nebo oběť či jejich jménem právní zástupce, o souběžném trestním řízení, jsou povinny provést vzájemnou konzultaci podle rámcového rozhodnutí 2009/948/SVV.</w:t>
            </w:r>
          </w:p>
        </w:tc>
        <w:tc>
          <w:tcPr>
            <w:tcW w:w="4876" w:type="dxa"/>
          </w:tcPr>
          <w:p>
            <w:pPr>
              <w:pStyle w:val="Normal6a"/>
            </w:pPr>
            <w:r>
              <w:t>(29)</w:t>
            </w:r>
            <w:r>
              <w:tab/>
            </w:r>
            <w:r>
              <w:t xml:space="preserve">Podezřelé nebo obviněné osoby nebo oběti by měly mít </w:t>
            </w:r>
            <w:r>
              <w:rPr>
                <w:b/>
                <w:i/>
              </w:rPr>
              <w:t>právo</w:t>
            </w:r>
            <w:r>
              <w:t xml:space="preserve"> žádat, aby trestní řízení, které se jich týká, bylo předáno do jiného členského státu. Tyto žádosti by však neměly dožadujícímu ani dožádanému orgánu ukládat jakoukoli povinnost žádat o předání trestního řízení nebo toto řízení předat</w:t>
            </w:r>
            <w:r>
              <w:rPr>
                <w:b/>
                <w:i/>
              </w:rPr>
              <w:t>. Měly by však být řádně posouzeny příslušnými orgány, které vydají odůvodněné rozhodnutí a informují o něm žadatele a další dotčené strany</w:t>
            </w:r>
            <w:r>
              <w:t>. Dozvědí-li se tyto orgány na základě žádosti o předání, kterou podala podezřelá nebo obviněná osoba nebo oběť či jejich jménem právní zástupce, o souběžném trestním řízení, jsou povinny provést vzájemnou konzultaci podle rámcového rozhodnutí 2009/948/SVV.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Podezřelé nebo obviněné osoby nebo oběti by měly mít možnost </w:t>
            </w:r>
            <w:r>
              <w:rPr>
                <w:b/>
                <w:i/>
              </w:rPr>
              <w:t>žádat</w:t>
            </w:r>
            <w:r>
              <w:t xml:space="preserve">, aby trestní řízení, které se jich týká, bylo předáno do jiného členského státu. Tyto </w:t>
            </w:r>
            <w:r>
              <w:rPr>
                <w:b/>
                <w:i/>
              </w:rPr>
              <w:t>žádosti by však neměly</w:t>
            </w:r>
            <w:r>
              <w:t xml:space="preserve"> dožadujícímu ani dožádanému orgánu </w:t>
            </w:r>
            <w:r>
              <w:rPr>
                <w:b/>
                <w:i/>
              </w:rPr>
              <w:t>ukládat jakoukoli</w:t>
            </w:r>
            <w:r>
              <w:t xml:space="preserve"> povinnost žádat o předání trestního řízení nebo toto řízení předat. Dozvědí-li se tyto orgány na základě </w:t>
            </w:r>
            <w:r>
              <w:rPr>
                <w:b/>
                <w:i/>
              </w:rPr>
              <w:t>žádosti o</w:t>
            </w:r>
            <w:r>
              <w:t xml:space="preserve"> předání, </w:t>
            </w:r>
            <w:r>
              <w:rPr>
                <w:b/>
                <w:i/>
              </w:rPr>
              <w:t>kterou</w:t>
            </w:r>
            <w:r>
              <w:t xml:space="preserve"> podala podezřelá nebo obviněná osoba nebo oběť či jejich jménem právní zástupce</w:t>
            </w:r>
            <w:r>
              <w:rPr>
                <w:b/>
                <w:i/>
              </w:rPr>
              <w:t>, o souběžném trestním řízení</w:t>
            </w:r>
            <w:r>
              <w:t>, jsou povinny provést vzájemnou konzultaci podle rámcového rozhodnutí 2009/948/SVV.</w:t>
            </w:r>
          </w:p>
        </w:tc>
        <w:tc>
          <w:tcPr>
            <w:tcW w:w="4876" w:type="dxa"/>
          </w:tcPr>
          <w:p>
            <w:pPr>
              <w:pStyle w:val="Normal6a"/>
            </w:pPr>
            <w:r>
              <w:t>(29)</w:t>
            </w:r>
            <w:r>
              <w:tab/>
            </w:r>
            <w:r>
              <w:t xml:space="preserve">Podezřelé nebo obviněné osoby nebo oběti by měly mít možnost </w:t>
            </w:r>
            <w:r>
              <w:rPr>
                <w:b/>
                <w:i/>
              </w:rPr>
              <w:t>navrhnout</w:t>
            </w:r>
            <w:r>
              <w:t xml:space="preserve">, aby trestní řízení, které se jich týká, bylo předáno do jiného členského státu. Tyto </w:t>
            </w:r>
            <w:r>
              <w:rPr>
                <w:b/>
                <w:i/>
              </w:rPr>
              <w:t>návrhy však</w:t>
            </w:r>
            <w:r>
              <w:t xml:space="preserve"> dožadujícímu ani dožádanému orgánu </w:t>
            </w:r>
            <w:r>
              <w:rPr>
                <w:b/>
                <w:i/>
              </w:rPr>
              <w:t>neukládají žádnou</w:t>
            </w:r>
            <w:r>
              <w:t xml:space="preserve"> povinnost žádat o předání trestního řízení nebo toto řízení předat. Dozvědí-li se tyto orgány </w:t>
            </w:r>
            <w:r>
              <w:rPr>
                <w:b/>
                <w:i/>
              </w:rPr>
              <w:t>o souběžném trestním řízení</w:t>
            </w:r>
            <w:r>
              <w:t xml:space="preserve"> na základě </w:t>
            </w:r>
            <w:r>
              <w:rPr>
                <w:b/>
                <w:i/>
              </w:rPr>
              <w:t>návrhu na</w:t>
            </w:r>
            <w:r>
              <w:t xml:space="preserve"> předání, </w:t>
            </w:r>
            <w:r>
              <w:rPr>
                <w:b/>
                <w:i/>
              </w:rPr>
              <w:t>který</w:t>
            </w:r>
            <w:r>
              <w:t xml:space="preserve"> podala podezřelá nebo obviněná osoba nebo oběť či jejich jménem právní zástupce, jsou povinny provést vzájemnou konzultaci podle rámcového rozhodnutí 2009/948/SVV.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 xml:space="preserve">Dožadující orgán by podezřelou nebo obviněnou osobu měl co nejdříve informovat o zamýšleném předání a měl by této osobě </w:t>
            </w:r>
            <w:r>
              <w:rPr>
                <w:b/>
                <w:i/>
              </w:rPr>
              <w:t>poskytnou</w:t>
            </w:r>
            <w:r>
              <w:t xml:space="preserve"> možnost vyjádřit ústně či písemně své stanovisko, a to v souladu s použitelnými vnitrostátními předpisy, aby orgány před podáním žádosti o předání mohly zohlednit její oprávněné zájmy. Při posuzování oprávněného zájmu podezřelé nebo obviněné osoby být informována o zamýšleném předání </w:t>
            </w:r>
            <w:r>
              <w:rPr>
                <w:b/>
                <w:i/>
              </w:rPr>
              <w:t>by</w:t>
            </w:r>
            <w:r>
              <w:t xml:space="preserve"> dožadující orgán </w:t>
            </w:r>
            <w:r>
              <w:rPr>
                <w:b/>
                <w:i/>
              </w:rPr>
              <w:t>měl zohlednit potřebu zajistit důvěrnost vyšetřování a riziko, že trestní řízení proti této osobě bude ohroženo, např. vždy, když je</w:t>
            </w:r>
            <w:r>
              <w:t xml:space="preserve"> to nezbytné pro zaručení důležitého veřejného zájmu, například v případech, kdy by tato informace mohla ohrozit probíhající skrytá vyšetřování nebo vážně poškodit národní bezpečnost členského státu, v němž je trestní řízení zahájeno. Pokud dožadující orgán ani přes přiměřené úsilí nedokáže zjistit, kde se podezřelá nebo obviněná osoba nachází, povinnost informovat danou osobu by měla platit od okamžiku, kdy se tyto okolnosti změní.</w:t>
            </w:r>
          </w:p>
        </w:tc>
        <w:tc>
          <w:tcPr>
            <w:tcW w:w="4876" w:type="dxa"/>
          </w:tcPr>
          <w:p>
            <w:pPr>
              <w:pStyle w:val="Normal6a"/>
            </w:pPr>
            <w:r>
              <w:t>(30)</w:t>
            </w:r>
            <w:r>
              <w:tab/>
            </w:r>
            <w:r>
              <w:t xml:space="preserve">Dožadující orgán by podezřelou nebo obviněnou osobu měl co nejdříve informovat o zamýšleném předání a měl by této osobě </w:t>
            </w:r>
            <w:r>
              <w:rPr>
                <w:b/>
                <w:i/>
              </w:rPr>
              <w:t>před zamýšleným předáním poskytnout</w:t>
            </w:r>
            <w:r>
              <w:t xml:space="preserve"> možnost vyjádřit ústně či písemně své stanovisko, a to v souladu s použitelnými vnitrostátními předpisy, aby orgány před podáním žádosti o předání mohly zohlednit její oprávněné zájmy. </w:t>
            </w:r>
            <w:r>
              <w:rPr>
                <w:b/>
                <w:i/>
              </w:rPr>
              <w:t>Členské státy by měly zajistit, aby právo podezřelé nebo obviněné osoby na informace zahrnovalo právo nahlížet do spisu, jakož i další procesní práva, která jsou nezbytná pro účinné uplatnění práva těchto osob být vyslechnut.</w:t>
            </w:r>
            <w:r>
              <w:t xml:space="preserve"> Při posuzování oprávněného zájmu podezřelé nebo obviněné osoby být informována o zamýšleném předání </w:t>
            </w:r>
            <w:r>
              <w:rPr>
                <w:b/>
                <w:i/>
              </w:rPr>
              <w:t>může</w:t>
            </w:r>
            <w:r>
              <w:t xml:space="preserve"> dožadující orgán </w:t>
            </w:r>
            <w:r>
              <w:rPr>
                <w:b/>
                <w:i/>
              </w:rPr>
              <w:t>rozhodnout o výjimečném a dočasném odložení práva být informován o požadovaném předání, je-li to nezbytné k odvrácení závažných nepříznivých důsledků pro život, svobodu nebo tělesnou integritu osoby nebo k zajištění důvěrnosti vyšetřování, např. je-li</w:t>
            </w:r>
            <w:r>
              <w:t xml:space="preserve"> to nezbytné pro zaručení důležitého veřejného zájmu, například v případech, kdy by tato informace mohla ohrozit probíhající skrytá vyšetřování nebo vážně poškodit národní bezpečnost členského státu, v němž je trestní řízení zahájeno. Pokud dožadující orgán ani přes přiměřené úsilí nedokáže zjistit, kde se podezřelá nebo obviněná osoba nachází, povinnost informovat danou osobu by měla platit od okamžiku, kdy se tyto okolnosti změní.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Dožadující orgán by podezřelou nebo obviněnou osobu měl co nejdříve informovat o zamýšleném předání a měl by této osobě poskytnou možnost vyjádřit ústně či písemně své stanovisko, a to v souladu s použitelnými vnitrostátními předpisy, aby orgány před podáním žádosti o předání mohly zohlednit její oprávněné zájmy. Při posuzování oprávněného zájmu podezřelé nebo obviněné osoby být informována o zamýšleném předání by dožadující orgán měl zohlednit potřebu zajistit důvěrnost vyšetřování a riziko, že trestní řízení proti této osobě bude ohroženo, např. vždy, když je to nezbytné pro zaručení důležitého veřejného zájmu, například v případech, kdy by tato informace mohla ohrozit probíhající skrytá vyšetřování nebo vážně poškodit národní bezpečnost členského státu, v němž je trestní řízení zahájeno. Pokud dožadující orgán ani přes přiměřené úsilí nedokáže zjistit, kde se podezřelá nebo obviněná osoba nachází, povinnost informovat danou osobu by měla platit od okamžiku, kdy se tyto okolnosti změní.</w:t>
            </w:r>
          </w:p>
        </w:tc>
        <w:tc>
          <w:tcPr>
            <w:tcW w:w="4876" w:type="dxa"/>
          </w:tcPr>
          <w:p>
            <w:pPr>
              <w:pStyle w:val="Normal6a"/>
            </w:pPr>
            <w:r>
              <w:t>(30)</w:t>
            </w:r>
            <w:r>
              <w:tab/>
            </w:r>
            <w:r>
              <w:t xml:space="preserve">Dožadující orgán by podezřelou nebo obviněnou osobu měl co nejdříve informovat o zamýšleném předání a měl by této osobě poskytnou možnost vyjádřit ústně či písemně své stanovisko, a to v souladu s použitelnými vnitrostátními předpisy, aby orgány před podáním žádosti o předání mohly zohlednit její oprávněné zájmy. Při posuzování oprávněného zájmu podezřelé nebo obviněné osoby být informována o zamýšleném předání by dožadující orgán měl zohlednit potřebu zajistit důvěrnost vyšetřování a riziko, že trestní řízení proti této osobě bude ohroženo, např. vždy, když je to nezbytné pro zaručení důležitého veřejného zájmu, například v případech, kdy by tato informace mohla ohrozit probíhající skrytá vyšetřování nebo vážně poškodit národní bezpečnost členského státu, v němž je trestní řízení zahájeno. Pokud dožadující orgán ani přes přiměřené úsilí nedokáže zjistit, kde se podezřelá nebo obviněná osoba nachází, </w:t>
            </w:r>
            <w:r>
              <w:rPr>
                <w:b/>
                <w:i/>
              </w:rPr>
              <w:t>může dožadující orgán při plnění tohoto úkolu požádat o pomoc dožádaný orgán.</w:t>
            </w:r>
            <w:r>
              <w:t xml:space="preserve"> </w:t>
            </w:r>
            <w:r>
              <w:rPr>
                <w:b/>
                <w:i/>
              </w:rPr>
              <w:t>Pokud dožadující orgán ani přes přiměřené úsilí nedokáže zjistit, kde se podezřelá nebo obviněná osoba nachází,</w:t>
            </w:r>
            <w:r>
              <w:t xml:space="preserve"> povinnost informovat danou osobu by měla platit od okamžiku, kdy se tyto okolnosti změní.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 xml:space="preserve">Dožadující orgán by podezřelou nebo obviněnou osobu měl co nejdříve informovat o zamýšleném předání a měl by této osobě poskytnou možnost vyjádřit ústně či písemně své stanovisko, a to v souladu s použitelnými vnitrostátními předpisy, aby orgány před podáním žádosti o předání mohly </w:t>
            </w:r>
            <w:r>
              <w:rPr>
                <w:b/>
                <w:i/>
              </w:rPr>
              <w:t>zohlednit</w:t>
            </w:r>
            <w:r>
              <w:t xml:space="preserve"> její oprávněné zájmy. Při posuzování oprávněného zájmu podezřelé nebo obviněné osoby být informována o zamýšleném předání by dožadující orgán měl zohlednit potřebu zajistit důvěrnost vyšetřování a riziko, že trestní řízení proti této osobě bude ohroženo, např. vždy, když je to nezbytné pro zaručení důležitého veřejného zájmu, například v případech, kdy by tato informace mohla ohrozit probíhající skrytá vyšetřování nebo vážně poškodit národní bezpečnost členského státu, v němž je trestní řízení zahájeno. Pokud dožadující orgán </w:t>
            </w:r>
            <w:r>
              <w:rPr>
                <w:b/>
                <w:i/>
              </w:rPr>
              <w:t>ani přes přiměřené úsilí</w:t>
            </w:r>
            <w:r>
              <w:t xml:space="preserve"> nedokáže zjistit, kde se podezřelá nebo obviněná osoba nachází, povinnost informovat danou osobu by měla platit od okamžiku, kdy se tyto okolnosti změní.</w:t>
            </w:r>
          </w:p>
        </w:tc>
        <w:tc>
          <w:tcPr>
            <w:tcW w:w="4876" w:type="dxa"/>
          </w:tcPr>
          <w:p>
            <w:pPr>
              <w:pStyle w:val="Normal6a"/>
            </w:pPr>
            <w:r>
              <w:t>(30)</w:t>
            </w:r>
            <w:r>
              <w:tab/>
            </w:r>
            <w:r>
              <w:t xml:space="preserve">Dožadující orgán by podezřelou nebo obviněnou osobu měl co nejdříve informovat o zamýšleném předání a měl by této osobě poskytnou možnost vyjádřit ústně či písemně své stanovisko, a to v souladu s použitelnými vnitrostátními předpisy, aby orgány před podáním žádosti o předání mohly </w:t>
            </w:r>
            <w:r>
              <w:rPr>
                <w:b/>
                <w:i/>
              </w:rPr>
              <w:t>registrovat</w:t>
            </w:r>
            <w:r>
              <w:t xml:space="preserve"> její oprávněné zájmy. Při posuzování oprávněného zájmu podezřelé nebo obviněné osoby být informována o zamýšleném předání by dožadující orgán měl zohlednit potřebu zajistit důvěrnost vyšetřování a riziko, že trestní řízení proti této osobě bude ohroženo, např. vždy, když je to nezbytné pro zaručení důležitého veřejného zájmu, například v případech, kdy by tato informace mohla ohrozit probíhající skrytá vyšetřování nebo vážně poškodit národní bezpečnost členského státu, v němž je trestní řízení zahájeno. Pokud dožadující orgán nedokáže zjistit, kde se podezřelá nebo obviněná osoba nachází, povinnost informovat danou osobu by měla platit od okamžiku, kdy se tyto okolnosti změní.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(31)</w:t>
            </w:r>
            <w:r>
              <w:tab/>
            </w:r>
            <w:r>
              <w:t>Při uplatňování tohoto nařízení by měla být zohledňována práva obětí stanovená ve směrnici Evropského parlamentu a Rady 2012/29/EU</w:t>
            </w:r>
            <w:r>
              <w:rPr>
                <w:vertAlign w:val="superscript"/>
              </w:rPr>
              <w:t>63</w:t>
            </w:r>
            <w:r>
              <w:t>. Toto nařízení by nemělo být vykládáno tak, že členským státům brání přiznat obětem ve vnitrostátních právních předpisech širší práva, než jaká stanoví právo Unie.</w:t>
            </w:r>
          </w:p>
        </w:tc>
        <w:tc>
          <w:tcPr>
            <w:tcW w:w="4876" w:type="dxa"/>
          </w:tcPr>
          <w:p>
            <w:pPr>
              <w:pStyle w:val="Normal6a"/>
            </w:pPr>
            <w:r>
              <w:t>(31)</w:t>
            </w:r>
            <w:r>
              <w:tab/>
            </w:r>
            <w:r>
              <w:t>Při uplatňování tohoto nařízení by měla být zohledňována práva obětí stanovená ve směrnici Evropského parlamentu a Rady 2012/29/EU</w:t>
            </w:r>
            <w:r>
              <w:rPr>
                <w:vertAlign w:val="superscript"/>
              </w:rPr>
              <w:t>63</w:t>
            </w:r>
            <w:r>
              <w:t xml:space="preserve">. </w:t>
            </w:r>
            <w:r>
              <w:rPr>
                <w:b/>
                <w:i/>
              </w:rPr>
              <w:t>Ve výjimečných případech, například kvůli vysokému počtu obětí zapojených do případu, pokud je obtížné informovat některé oběti o záměru podat žádost o předání řízení a konzultovat s nimi tento záměr, by mělo být možné poskytnout informace obětem prostřednictvím tisku, prostřednictvím oficiálních internetových stránek příslušného orgánu nebo prostřednictvím podobného komunikačního kanálu, jak je stanoveno ve směrnici 2012/29/EU.</w:t>
            </w:r>
            <w:r>
              <w:t xml:space="preserve"> Toto nařízení by nemělo být vykládáno tak, že členským státům brání přiznat obětem ve vnitrostátních právních předpisech širší práva, než jaká stanoví právo Unie.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63</w:t>
            </w:r>
            <w:r>
              <w:t xml:space="preserve"> </w:t>
            </w:r>
            <w:r>
              <w:t>Směrnice Evropského parlamentu a Rady 2012/29/EU ze dne 25. října 2012, kterou se zavádí minimální pravidla pro práva, podporu a ochranu obětí trestného činu a kterou se nahrazuje rámcové rozhodnutí Rady 2001/220/SVV (Úř. věst. L 315, 14.11.2012, s. 57).</w:t>
            </w:r>
          </w:p>
        </w:tc>
        <w:tc>
          <w:tcPr>
            <w:tcW w:w="4876" w:type="dxa"/>
          </w:tcPr>
          <w:p>
            <w:pPr>
              <w:pStyle w:val="Normal6a"/>
            </w:pPr>
            <w:r>
              <w:rPr>
                <w:vertAlign w:val="superscript"/>
              </w:rPr>
              <w:t>63</w:t>
            </w:r>
            <w:r>
              <w:t xml:space="preserve"> </w:t>
            </w:r>
            <w:r>
              <w:t>Směrnice Evropského parlamentu a Rady 2012/29/EU ze dne 25. října 2012, kterou se zavádí minimální pravidla pro práva, podporu a ochranu obětí trestného činu a kterou se nahrazuje rámcové rozhodnutí Rady 2001/220/SVV (Úř. věst. L 315, 14.11.2012, s. 57).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Dožádaný stát by měl podezřelým a obviněným osobám, jakož i obětem zajistit přístup k účinným opravným prostředkům proti rozhodnutí, kterým se předání trestního řízení přijímá, podle článku 47 Listiny a postupů použitelných podle vnitrostátních právních předpisů, a to vždy, když má použití tohoto nařízení nepříznivý vliv na jejich práva.</w:t>
            </w:r>
          </w:p>
        </w:tc>
        <w:tc>
          <w:tcPr>
            <w:tcW w:w="4876" w:type="dxa"/>
          </w:tcPr>
          <w:p>
            <w:pPr>
              <w:pStyle w:val="Normal6a"/>
            </w:pPr>
            <w:r>
              <w:t>(34)</w:t>
            </w:r>
            <w:r>
              <w:tab/>
            </w:r>
            <w:r>
              <w:t xml:space="preserve">Dožádaný stát by měl podezřelým a obviněným osobám, jakož i obětem zajistit přístup k účinným opravným prostředkům proti rozhodnutí, kterým se předání trestního řízení přijímá, podle článku 47 Listiny a postupů použitelných podle vnitrostátních právních předpisů, a to vždy, když má použití tohoto nařízení nepříznivý vliv na jejich práva. </w:t>
            </w:r>
            <w:r>
              <w:rPr>
                <w:b/>
                <w:i/>
              </w:rPr>
              <w:t>Důvody pro odmítnutí uvedené v článku 13 mohou sloužit jako dodatečný základ pro posouzení, zda je třeba uplatnit opravný prostředek.</w:t>
            </w:r>
            <w:r>
              <w:t xml:space="preserve"> </w:t>
            </w:r>
            <w:r>
              <w:rPr>
                <w:b/>
                <w:i/>
              </w:rPr>
              <w:t>Je-li přiznána diskreční pravomoc podle čl. 13 odst. 2 písm. b), měl by být příslušný orgán dožádaného státu oprávněn ověřit, zda se orgán dožádaného státu při výkonu této pravomoci dopustil zjevných pochybení.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Dožádaný stát by měl podezřelým a obviněným osobám, jakož i obětem zajistit přístup k účinným opravným prostředkům proti rozhodnutí, kterým se předání trestního řízení přijímá, podle článku 47 Listiny a postupů použitelných podle vnitrostátních právních předpisů, a to vždy, když má použití tohoto nařízení nepříznivý vliv na jejich práva.</w:t>
            </w:r>
          </w:p>
        </w:tc>
        <w:tc>
          <w:tcPr>
            <w:tcW w:w="4876" w:type="dxa"/>
          </w:tcPr>
          <w:p>
            <w:pPr>
              <w:pStyle w:val="Normal6a"/>
            </w:pPr>
            <w:r>
              <w:t>(34)</w:t>
            </w:r>
            <w:r>
              <w:tab/>
            </w:r>
            <w:r>
              <w:rPr>
                <w:b/>
                <w:i/>
              </w:rPr>
              <w:t>Dožadující a</w:t>
            </w:r>
            <w:r>
              <w:t xml:space="preserve"> dožádaný stát by měl podezřelým a obviněným osobám, jakož i obětem zajistit přístup k účinným opravným prostředkům proti rozhodnutí, kterým se předání trestního řízení </w:t>
            </w:r>
            <w:r>
              <w:rPr>
                <w:b/>
                <w:i/>
              </w:rPr>
              <w:t>požaduje,</w:t>
            </w:r>
            <w:r>
              <w:t xml:space="preserve"> přijímá </w:t>
            </w:r>
            <w:r>
              <w:rPr>
                <w:b/>
                <w:i/>
              </w:rPr>
              <w:t>nebo zamítá</w:t>
            </w:r>
            <w:r>
              <w:t>, podle článku 47 Listiny a postupů použitelných podle vnitrostátních právních předpisů, a to vždy, když má použití tohoto nařízení nepříznivý vliv na jejich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34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(34a)</w:t>
            </w:r>
            <w:r>
              <w:tab/>
            </w:r>
            <w:r>
              <w:rPr>
                <w:b/>
                <w:i/>
              </w:rPr>
              <w:t>Členské státy zajistí, aby podezřelé a obviněné osoby a oběti měly právo nahlížet do spisu, jakož i veškerá další procesní práva, která jsou nezbytná pro účinné uplatnění práva těchto osob na účinnou právní ochranu.</w:t>
            </w:r>
            <w:r>
              <w:t xml:space="preserve"> </w:t>
            </w:r>
            <w:r>
              <w:rPr>
                <w:b/>
                <w:i/>
              </w:rPr>
              <w:t>Právo nahlížet do spisu je omezeno na dokumenty související s předáním trestního řízení a nezbytné k uplatnění práva na účinný opravný prostředek.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(36)</w:t>
            </w:r>
            <w:r>
              <w:tab/>
            </w:r>
            <w:r>
              <w:t>Dožadující orgán by měl konzultovat dožádaný orgán před podáním žádosti o předání trestního řízení, je-li to nezbytné, zvláště s cílem určit, zda by předání trestního řízení bylo v zájmu účinného a řádného výkonu spravedlnosti, jakož i v případě, kdy je pravděpodobné, že dožádaný orgán uplatní některý z důvodů pro odmítnutí stanovených tímto nařízením.</w:t>
            </w:r>
          </w:p>
        </w:tc>
        <w:tc>
          <w:tcPr>
            <w:tcW w:w="4876" w:type="dxa"/>
          </w:tcPr>
          <w:p>
            <w:pPr>
              <w:pStyle w:val="Normal6a"/>
            </w:pPr>
            <w:r>
              <w:t>(36)</w:t>
            </w:r>
            <w:r>
              <w:tab/>
            </w:r>
            <w:r>
              <w:t xml:space="preserve">Dožadující orgán by měl konzultovat dožádaný orgán před podáním žádosti o předání trestního řízení, je-li to nezbytné, zvláště s cílem určit, zda by předání trestního řízení bylo v zájmu účinného a řádného výkonu spravedlnosti, </w:t>
            </w:r>
            <w:r>
              <w:rPr>
                <w:b/>
                <w:i/>
              </w:rPr>
              <w:t>zda by nepřiměřeně nenarušilo účinnou ochranu základních práv podezřelých či obviněných osob nebo obětí,</w:t>
            </w:r>
            <w:r>
              <w:t xml:space="preserve"> jakož i v případě, kdy je pravděpodobné, že dožádaný orgán uplatní některý z důvodů pro odmítnutí stanovených tímto nařízením.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(38)</w:t>
            </w:r>
            <w:r>
              <w:tab/>
            </w:r>
            <w:r>
              <w:t>Dokud dožádaný orgán nepřijme rozhodnutí, kterým předání trestního řízení přijímá, měl by mít dožadující orgán možnost žádost stáhnout, například v případě, že se dozví o dalších faktorech, kvůli nimž se předání již nejeví jako odůvodněné.</w:t>
            </w:r>
          </w:p>
        </w:tc>
        <w:tc>
          <w:tcPr>
            <w:tcW w:w="4876" w:type="dxa"/>
          </w:tcPr>
          <w:p>
            <w:pPr>
              <w:pStyle w:val="Normal6a"/>
            </w:pPr>
            <w:r>
              <w:t>(38)</w:t>
            </w:r>
            <w:r>
              <w:tab/>
            </w:r>
            <w:r>
              <w:t xml:space="preserve">Dokud dožádaný orgán nepřijme rozhodnutí, kterým předání trestního řízení přijímá, měl by mít dožadující orgán možnost žádost stáhnout, například v případě, že se dozví o dalších faktorech, kvůli nimž se předání již nejeví jako odůvodněné. </w:t>
            </w:r>
            <w:r>
              <w:rPr>
                <w:b/>
                <w:i/>
              </w:rPr>
              <w:t>Rozhodnutí o stažení žádosti by mělo být písemně odůvodněno a odůvodnění by mělo být sděleno podezřelým nebo obviněným osobám a obětem.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(39)</w:t>
            </w:r>
            <w:r>
              <w:tab/>
            </w:r>
            <w:r>
              <w:t>Dožádaný orgán by měl dožadující orgán informovat o svém odůvodněném rozhodnutí ohledně přijetí předání trestního řízení, a to bez odkladu, nejpozději 60 dnů od obdržení žádosti o předání trestního řízení. V konkrétních případech, kdy dodržení této lhůty není pro dožádaný orgán proveditelné, například pokud má za to, že jsou nezbytné další informace, lze lhůtu prodloužit pouze o dalších 30 dnů, aby se tak zabránilo přílišným prodlevám.</w:t>
            </w:r>
          </w:p>
        </w:tc>
        <w:tc>
          <w:tcPr>
            <w:tcW w:w="4876" w:type="dxa"/>
          </w:tcPr>
          <w:p>
            <w:pPr>
              <w:pStyle w:val="Normal6a"/>
            </w:pPr>
            <w:r>
              <w:t>(39)</w:t>
            </w:r>
            <w:r>
              <w:tab/>
            </w:r>
            <w:r>
              <w:t xml:space="preserve">Dožádaný orgán by měl dožadující orgán informovat o svém odůvodněném rozhodnutí ohledně přijetí předání trestního řízení, a to bez odkladu, nejpozději 60 dnů od obdržení žádosti o předání trestního řízení. V konkrétních případech, kdy dodržení této lhůty není pro dožádaný orgán proveditelné, například pokud má za to, že jsou nezbytné další informace, lze lhůtu prodloužit pouze o dalších 30 dnů, aby se tak zabránilo přílišným prodlevám. </w:t>
            </w:r>
            <w:r>
              <w:rPr>
                <w:b/>
                <w:i/>
              </w:rPr>
              <w:t>V některých případech nemusí být dožádaný orgán dožadujícímu orgánu znám nebo dožádaný orgán nemusí být příslušný k přijetí rozhodnutí podle článku 12.</w:t>
            </w:r>
            <w:r>
              <w:t xml:space="preserve"> </w:t>
            </w:r>
            <w:r>
              <w:rPr>
                <w:b/>
                <w:i/>
              </w:rPr>
              <w:t>Příslušný orgán dožádaného členského státu vydá potvrzení o přijetí žádosti.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(40)</w:t>
            </w:r>
            <w:r>
              <w:tab/>
            </w:r>
            <w:r>
              <w:t xml:space="preserve">Předání trestního řízení by nemělo být odmítnuto z jiných důvodů než těch, které jsou stanoveny v tomto nařízení. Aby bylo možné přijmout předání trestního řízení, v dožádaném státě by měla existovat možnost trestně stíhat skutečnosti, jež jsou podkladem trestního řízení, které je předmětem předání. Dožádaný orgán by předání trestního řízení neměl přijmout, pokud jednání, pro které se předání žádá, v dožádaném státě nepředstavuje trestný čin nebo pokud dožádaný stát není ke stíhání daného trestného činu příslušný, ledaže vykonává příslušnost stanovenou tímto nařízením. Dále by předání trestního řízení nemělo být přijato, pokud v dožádaném státě existují jiné překážky trestního stíhání. Dožádaný orgán </w:t>
            </w:r>
            <w:r>
              <w:rPr>
                <w:b/>
                <w:i/>
              </w:rPr>
              <w:t>by</w:t>
            </w:r>
            <w:r>
              <w:t xml:space="preserve"> rovněž </w:t>
            </w:r>
            <w:r>
              <w:rPr>
                <w:b/>
                <w:i/>
              </w:rPr>
              <w:t>měl mít</w:t>
            </w:r>
            <w:r>
              <w:t xml:space="preserve"> možnost odmítnout předání trestního řízení, jestliže podezřelá nebo obviněná osoba požívá imunity nebo výsady v souladu s právem dožádaného státu, např. ve vztahu k určitým kategoriím osob (jako jsou diplomati) nebo u zvláště chráněných vztahů (jako je povinnost mlčenlivosti mezi advokátem a klientem), nebo pokud se dožádaný orgán domnívá, že toto předání neodůvodňují zájmy účinného a řádného výkonu spravedlnosti, například proto, že není splněno žádné kritérium pro žádost o předání trestního řízení, nebo protože osvědčení k žádosti o předání není úplné či jej dožadující orgán vyplnil nesprávně, čímž dožádanému orgánu neumožnil mít k posouzení žádosti o předání trestního řízení nezbytné informace.</w:t>
            </w:r>
          </w:p>
        </w:tc>
        <w:tc>
          <w:tcPr>
            <w:tcW w:w="4876" w:type="dxa"/>
          </w:tcPr>
          <w:p>
            <w:pPr>
              <w:pStyle w:val="Normal6a"/>
            </w:pPr>
            <w:r>
              <w:t>(40)</w:t>
            </w:r>
            <w:r>
              <w:tab/>
            </w:r>
            <w:r>
              <w:t xml:space="preserve">Předání trestního řízení by nemělo být odmítnuto z jiných důvodů než těch, které jsou stanoveny v tomto nařízení. Aby bylo možné přijmout předání trestního řízení, v dožádaném státě by měla existovat možnost trestně stíhat skutečnosti, jež jsou podkladem trestního řízení, které je předmětem předání. Dožádaný orgán by předání trestního řízení neměl přijmout, pokud jednání, pro které se předání žádá, v dožádaném státě nepředstavuje trestný čin nebo pokud dožádaný stát není ke stíhání daného trestného činu příslušný, ledaže vykonává příslušnost stanovenou tímto nařízením. Dále by předání trestního řízení nemělo být přijato, pokud v dožádaném státě existují jiné překážky trestního stíhání. Dožádaný orgán </w:t>
            </w:r>
            <w:r>
              <w:rPr>
                <w:b/>
                <w:i/>
              </w:rPr>
              <w:t>má</w:t>
            </w:r>
            <w:r>
              <w:t xml:space="preserve"> rovněž možnost odmítnout předání trestního řízení, jestliže podezřelá nebo obviněná osoba požívá imunity nebo výsady v souladu s právem dožádaného státu, např. ve vztahu k určitým kategoriím osob (jako jsou diplomati) nebo u zvláště chráněných vztahů (jako je povinnost mlčenlivosti mezi advokátem a klientem), nebo pokud se dožádaný orgán domnívá, že toto předání neodůvodňují zájmy účinného a řádného výkonu spravedlnosti, například proto, že není splněno žádné kritérium pro žádost o předání trestního řízení, nebo protože osvědčení k žádosti o předání není úplné či jej dožadující orgán vyplnil nesprávně, čímž dožádanému orgánu neumožnil mít k posouzení žádosti o předání trestního řízení nezbytné informace.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(43)</w:t>
            </w:r>
            <w:r>
              <w:tab/>
            </w:r>
            <w:r>
              <w:t xml:space="preserve">Přijetí předání trestního řízení dožádaným orgánem by mělo vést k přerušení nebo zastavení trestního řízení v dožadujícím státě, aby se zabránilo zdvojování opatření v dožadujícím a dožádaném státě. </w:t>
            </w:r>
            <w:r>
              <w:rPr>
                <w:b/>
                <w:i/>
              </w:rPr>
              <w:t>Tím by neměla být dotčena vyšetřování nebo jiná procesní opatření, která mohou být nezbytná k výkonu rozhodnutí založených na nástrojích vzájemného uznávání nebo k plnění požadavků vzájemné právní pomoci související s řízením, jež je předmětem předání.</w:t>
            </w:r>
            <w:r>
              <w:t xml:space="preserve"> </w:t>
            </w:r>
            <w:r>
              <w:rPr>
                <w:b/>
                <w:i/>
              </w:rPr>
              <w:t>Pojem „vyšetřovací nebo jiná procesní opatření“ by měl být vykládán široce tak, aby zahrnoval nejen veškerá opatření za účelem shromažďování důkazů, ale také veškeré procesní úkony ukládající vazbu či jakákoli jiná dočasná opatření.</w:t>
            </w:r>
            <w:r>
              <w:t xml:space="preserve"> </w:t>
            </w:r>
            <w:r>
              <w:rPr>
                <w:b/>
                <w:i/>
              </w:rPr>
              <w:t>S cílem zabránit zneužívání námitek a zajistit, aby trestní</w:t>
            </w:r>
            <w:r>
              <w:t xml:space="preserve"> řízení </w:t>
            </w:r>
            <w:r>
              <w:rPr>
                <w:b/>
                <w:i/>
              </w:rPr>
              <w:t>nebyla dlouze přerušována, by trestní řízení v případě, kdy byl v dožádaném státě podán opravný prostředek s odkladným účinkem, nemělo být v dožadujícím</w:t>
            </w:r>
            <w:r>
              <w:t xml:space="preserve"> státě </w:t>
            </w:r>
            <w:r>
              <w:rPr>
                <w:b/>
                <w:i/>
              </w:rPr>
              <w:t>přerušeno ani zastaveno, dokud v dožádaném státě nebude o tomto opravném prostředku rozhodnuto</w:t>
            </w:r>
            <w:r>
              <w:t>.</w:t>
            </w:r>
          </w:p>
        </w:tc>
        <w:tc>
          <w:tcPr>
            <w:tcW w:w="4876" w:type="dxa"/>
          </w:tcPr>
          <w:p>
            <w:pPr>
              <w:pStyle w:val="Normal6a"/>
            </w:pPr>
            <w:r>
              <w:t>(43)</w:t>
            </w:r>
            <w:r>
              <w:tab/>
            </w:r>
            <w:r>
              <w:t xml:space="preserve">Přijetí předání trestního řízení dožádaným orgánem by mělo vést k přerušení nebo zastavení trestního řízení v dožadujícím státě, aby se zabránilo zdvojování opatření v dožadujícím a dožádaném státě. </w:t>
            </w:r>
            <w:r>
              <w:rPr>
                <w:b/>
                <w:i/>
              </w:rPr>
              <w:t>Dožadující státy by už podezřelou osobu neměly stíhat za trestný čin, pro který bylo schváleno předání</w:t>
            </w:r>
            <w:r>
              <w:t xml:space="preserve"> řízení</w:t>
            </w:r>
            <w:r>
              <w:rPr>
                <w:b/>
                <w:i/>
              </w:rPr>
              <w:t>, ani vykonat rozsudek, který byl předtím v tomto</w:t>
            </w:r>
            <w:r>
              <w:t xml:space="preserve"> státě </w:t>
            </w:r>
            <w:r>
              <w:rPr>
                <w:b/>
                <w:i/>
              </w:rPr>
              <w:t>vynesen proti podezřelému nebo obviněnému z tohoto trestného činu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(43a)</w:t>
            </w:r>
            <w:r>
              <w:tab/>
            </w:r>
            <w:r>
              <w:rPr>
                <w:b/>
                <w:i/>
              </w:rPr>
              <w:t>Poté, co bylo předání řízení schváleno, a v zájmu usnadnění účinného postupu předání se dožadující a dožádané orgány mohou vzájemně konzultovat, aby určily nezbytné dokumenty nebo části těchto dokumentů, které mají být předány a případně přeloženy.</w:t>
            </w:r>
            <w:r>
              <w:t xml:space="preserve"> </w:t>
            </w:r>
            <w:r>
              <w:rPr>
                <w:b/>
                <w:i/>
              </w:rPr>
              <w:t>Rozhodnutí zaslat pouze části dokumentů by však mělo být vyvážené a mělo by být založeno na pečlivém zvážení daných dokumentů, aby nebyla dotčena spravedlnost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(46)</w:t>
            </w:r>
            <w:r>
              <w:tab/>
            </w:r>
            <w:r>
              <w:rPr>
                <w:b/>
                <w:i/>
              </w:rPr>
              <w:t>Pokud dožádaný orgán rozhodne o zastavení trestního řízení souvisejícího se skutečnostmi, které jsou podkladem žádosti o předání, může dožadující orgán v trestním řízení pokračovat nebo jej obnovit, a to ve všech případech, kdy by to neznamenalo porušení zásady ne bis in idem, tj. kdykoli dané rozhodnutí s konečnou platností nebrání dalšímu trestnímu stíhání podle práva dožádaného státu, a tedy v tomto státě nevylučuje nové trestní řízení ohledně stejných skutečností.</w:t>
            </w:r>
            <w:r>
              <w:t xml:space="preserve"> </w:t>
            </w:r>
            <w:r>
              <w:rPr>
                <w:b/>
                <w:i/>
              </w:rPr>
              <w:t>Oběti by měly mít možnost podat návrh na zahájení trestního řízení nebo žádat jeho obnovu v dožádaném státě v souladu s vnitrostátními právními předpisy tohoto státu za předpokladu, že by tím nebyla porušena zásada ne bis in idem.</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(50)</w:t>
            </w:r>
            <w:r>
              <w:tab/>
            </w:r>
            <w:r>
              <w:t xml:space="preserve">Používání standardizovaného osvědčení přeloženého do všech úředních jazyků Unie </w:t>
            </w:r>
            <w:r>
              <w:rPr>
                <w:b/>
                <w:i/>
              </w:rPr>
              <w:t>by usnadnilo</w:t>
            </w:r>
            <w:r>
              <w:t xml:space="preserve"> spolupráci a výměnu informací mezi dožadujícími a dožádanými orgány, </w:t>
            </w:r>
            <w:r>
              <w:rPr>
                <w:b/>
                <w:i/>
              </w:rPr>
              <w:t>čímž by jim umožnilo přijímat</w:t>
            </w:r>
            <w:r>
              <w:t xml:space="preserve"> rozhodnutí o žádostech o předání rychleji a efektivněji. Také se tím snižují náklady na překlad a přispívá to k vyšší kvalitě žádostí.</w:t>
            </w:r>
          </w:p>
        </w:tc>
        <w:tc>
          <w:tcPr>
            <w:tcW w:w="4876" w:type="dxa"/>
          </w:tcPr>
          <w:p>
            <w:pPr>
              <w:pStyle w:val="Normal6a"/>
            </w:pPr>
            <w:r>
              <w:t>(50)</w:t>
            </w:r>
            <w:r>
              <w:tab/>
            </w:r>
            <w:r>
              <w:t xml:space="preserve">Používání standardizovaného osvědčení přeloženého do všech úředních jazyků Unie </w:t>
            </w:r>
            <w:r>
              <w:rPr>
                <w:b/>
                <w:i/>
              </w:rPr>
              <w:t>usnadní</w:t>
            </w:r>
            <w:r>
              <w:t xml:space="preserve"> spolupráci a výměnu informací mezi dožadujícími a dožádanými orgány, </w:t>
            </w:r>
            <w:r>
              <w:rPr>
                <w:b/>
                <w:i/>
              </w:rPr>
              <w:t>což jim umožní přijmout</w:t>
            </w:r>
            <w:r>
              <w:t xml:space="preserve"> rozhodnutí o žádostech o předání rychleji a efektivněji. Také se tím snižují náklady na překlad a přispívá to k vyšší kvalitě žádostí.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(55)</w:t>
            </w:r>
            <w:r>
              <w:tab/>
            </w:r>
            <w:r>
              <w:t>Za vytvoření, údržbu a vývoj tohoto referenčního prováděcího softwaru by měla odpovídat Komise. Komise by měla referenční prováděcí software navrhnout, vyvinout a udržovat způsobem, který správcům umožní zajistit soulad s požadavky na ochranu údajů a zásadami stanovenými v nařízeních Evropského parlamentu a Rady (EU) 2018/1725</w:t>
            </w:r>
            <w:r>
              <w:rPr>
                <w:vertAlign w:val="superscript"/>
              </w:rPr>
              <w:t>69</w:t>
            </w:r>
            <w:r>
              <w:rPr>
                <w:b/>
                <w:i/>
              </w:rPr>
              <w:t>a (EU) 2016/679</w:t>
            </w:r>
            <w:r>
              <w:rPr>
                <w:b/>
                <w:i/>
                <w:vertAlign w:val="superscript"/>
              </w:rPr>
              <w:t>70</w:t>
            </w:r>
            <w:r>
              <w:t>a ve směrnici Evropského parlamentu a Rady (EU) 2016/680</w:t>
            </w:r>
            <w:r>
              <w:rPr>
                <w:vertAlign w:val="superscript"/>
              </w:rPr>
              <w:t>71</w:t>
            </w:r>
            <w:r>
              <w:t>, zejména s povinnostmi záměrné a standardní ochrany údajů, jakož i zajistit vysokou úroveň kybernetické bezpečnosti. Referenční prováděcí software by měl rovněž zahrnovat vhodná technická opatření a umožnit organizační opatření nezbytná k zajištění náležité úrovně bezpečnosti a interoperability, přičemž by měla být zohledněna skutečnost, že může docházet také k výměně zvláštních kategorií údajů. Komise v souvislosti s vytvořením, údržbou a rozvojem tohoto referenčního prováděcího softwaru nezpracovává osobní údaje.</w:t>
            </w:r>
          </w:p>
        </w:tc>
        <w:tc>
          <w:tcPr>
            <w:tcW w:w="4876" w:type="dxa"/>
          </w:tcPr>
          <w:p>
            <w:pPr>
              <w:pStyle w:val="Normal6a"/>
            </w:pPr>
            <w:r>
              <w:t>(55)</w:t>
            </w:r>
            <w:r>
              <w:tab/>
            </w:r>
            <w:r>
              <w:t>Za vytvoření, údržbu a vývoj tohoto referenčního prováděcího softwaru by měla odpovídat Komise. Komise by měla referenční prováděcí software navrhnout, vyvinout a udržovat způsobem, který správcům umožní zajistit soulad s požadavky na ochranu údajů a zásadami stanovenými v nařízeních Evropského parlamentu a Rady (EU) 2018/1725</w:t>
            </w:r>
            <w:r>
              <w:rPr>
                <w:vertAlign w:val="superscript"/>
              </w:rPr>
              <w:t>69</w:t>
            </w:r>
            <w:r>
              <w:rPr>
                <w:b/>
                <w:i/>
              </w:rPr>
              <w:t> </w:t>
            </w:r>
            <w:r>
              <w:t>a ve směrnici Evropského parlamentu a Rady (EU) 2016/680</w:t>
            </w:r>
            <w:r>
              <w:rPr>
                <w:vertAlign w:val="superscript"/>
              </w:rPr>
              <w:t>71</w:t>
            </w:r>
            <w:r>
              <w:t>, zejména s povinnostmi záměrné a standardní ochrany údajů, jakož i zajistit vysokou úroveň kybernetické bezpečnosti. Referenční prováděcí software by měl rovněž zahrnovat vhodná technická opatření a umožnit organizační opatření nezbytná k zajištění náležité úrovně bezpečnosti a interoperability, přičemž by měla být zohledněna skutečnost, že může docházet také k výměně zvláštních kategorií údajů. Komise v souvislosti s vytvořením, údržbou a rozvojem tohoto referenčního prováděcího softwaru nezpracovává osobní údaje.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69</w:t>
            </w:r>
            <w:r>
              <w:t xml:space="preserve"> </w:t>
            </w:r>
            <w:r>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 39).</w:t>
            </w:r>
          </w:p>
        </w:tc>
        <w:tc>
          <w:tcPr>
            <w:tcW w:w="4876" w:type="dxa"/>
          </w:tcPr>
          <w:p>
            <w:pPr>
              <w:pStyle w:val="Normal6a"/>
            </w:pPr>
            <w:r>
              <w:rPr>
                <w:vertAlign w:val="superscript"/>
              </w:rPr>
              <w:t>69</w:t>
            </w:r>
            <w:r>
              <w:t xml:space="preserve"> </w:t>
            </w:r>
            <w:r>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 39).</w:t>
            </w: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70</w:t>
            </w:r>
            <w:r>
              <w:t xml:space="preserve"> </w:t>
            </w:r>
            <w:r>
              <w:rPr>
                <w:b/>
                <w:i/>
              </w:rPr>
              <w:t>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71</w:t>
            </w:r>
            <w:r>
              <w:t xml:space="preserve"> </w:t>
            </w:r>
            <w:r>
              <w:t>Směrnice Evropského parlamentu a Rady (EU) 2016/680 ze dne 27. dubna 2016 o ochraně fyzických osob v souvislosti se zpracováním osobních údajů příslušnými orgány za účelem prevence, vyšetřování, odhalování či stíhání trestných činů nebo výkonu trestů, o volném pohybu těchto údajů a o zrušení rámcového rozhodnutí Rady 2008/977/SVV (Úř. věst. L 119, 4.5.2016, s. 89).</w:t>
            </w:r>
          </w:p>
        </w:tc>
        <w:tc>
          <w:tcPr>
            <w:tcW w:w="4876" w:type="dxa"/>
          </w:tcPr>
          <w:p>
            <w:pPr>
              <w:pStyle w:val="Normal6a"/>
            </w:pPr>
            <w:r>
              <w:rPr>
                <w:vertAlign w:val="superscript"/>
              </w:rPr>
              <w:t>71</w:t>
            </w:r>
            <w:r>
              <w:t xml:space="preserve"> </w:t>
            </w:r>
            <w:r>
              <w:t>Směrnice Evropského parlamentu a Rady (EU) 2016/680 ze dne 27. dubna 2016 o ochraně fyzických osob v souvislosti se zpracováním osobních údajů příslušnými orgány za účelem prevence, vyšetřování, odhalování či stíhání trestných činů nebo výkonu trestů, o volném pohybu těchto údajů a o zrušení rámcového rozhodnutí Rady 2008/977/SVV (Úř. věst. L 119, 4.5.2016, s. 89).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(58)</w:t>
            </w:r>
            <w:r>
              <w:tab/>
            </w:r>
            <w:r>
              <w:t xml:space="preserve">Toto nařízení by mělo vytvořit právní základ pro výměnu osobních údajů mezi členskými státy za účelem předávání trestních řízení podle článku 8 a čl. 10 písm. a) směrnice (EU) 2016/680. Pokud však jde o veškeré ostatní aspekty, například o dobu uchovávání osobních údajů, které dožadující orgán </w:t>
            </w:r>
            <w:r>
              <w:rPr>
                <w:b/>
                <w:i/>
              </w:rPr>
              <w:t>obdržel</w:t>
            </w:r>
            <w:r>
              <w:t xml:space="preserve">, mělo by být zpracovávání osobních údajů dožadujícími a dožádanými orgány upraveno vnitrostátními právními předpisy členských států přijatými v souladu se směrnicí (EU) 2016/680. Dožadující i dožádané orgány by v souvislosti se zpracováváním osobních údajů měly být považovány za správce podle uvedené směrnice. Ústřední orgány poskytují dožadujícím a dožádaným orgánům správní podporu a v rozsahu, v jakém </w:t>
            </w:r>
            <w:r>
              <w:rPr>
                <w:b/>
                <w:i/>
              </w:rPr>
              <w:t>pro tyto správce zpracovávají</w:t>
            </w:r>
            <w:r>
              <w:t xml:space="preserve"> osobní údaje, by měly být považovány za </w:t>
            </w:r>
            <w:r>
              <w:rPr>
                <w:b/>
                <w:i/>
              </w:rPr>
              <w:t>zpracovatele daného</w:t>
            </w:r>
            <w:r>
              <w:t xml:space="preserve"> správce. Pokud jde o zpracovávání osobních údajů agenturou Eurojust, nařízení Evropského parlamentu a Rady (EU) 2018/1725 by se v souvislosti s tímto nařízením mělo uplatňovat, aniž jsou dotčena zvláštní pravidla pro ochranu údajů stanovená v nařízení Evropského parlamentu a Rady (EU) 2018/1727</w:t>
            </w:r>
            <w:r>
              <w:rPr>
                <w:vertAlign w:val="superscript"/>
              </w:rPr>
              <w:t>73</w:t>
            </w:r>
            <w:r>
              <w:t>.</w:t>
            </w:r>
          </w:p>
        </w:tc>
        <w:tc>
          <w:tcPr>
            <w:tcW w:w="4876" w:type="dxa"/>
          </w:tcPr>
          <w:p>
            <w:pPr>
              <w:pStyle w:val="Normal6a"/>
            </w:pPr>
            <w:r>
              <w:t>(58)</w:t>
            </w:r>
            <w:r>
              <w:tab/>
            </w:r>
            <w:r>
              <w:t xml:space="preserve">Toto nařízení by mělo vytvořit právní základ pro výměnu osobních údajů mezi členskými státy za účelem předávání trestních řízení podle článku 8 a čl. 10 písm. a) směrnice (EU) 2016/680. Pokud však jde o veškeré ostatní aspekty, například o dobu uchovávání osobních údajů, které dožadující orgán </w:t>
            </w:r>
            <w:r>
              <w:rPr>
                <w:b/>
                <w:i/>
              </w:rPr>
              <w:t>a dožádaný orgán podle tohoto nařízení předal</w:t>
            </w:r>
            <w:r>
              <w:t xml:space="preserve">, mělo by být zpracovávání osobních údajů dožadujícími a dožádanými orgány </w:t>
            </w:r>
            <w:r>
              <w:rPr>
                <w:b/>
                <w:i/>
              </w:rPr>
              <w:t>a případně jejich ústředními orgány</w:t>
            </w:r>
            <w:r>
              <w:t xml:space="preserve"> upraveno vnitrostátními právními předpisy členských států přijatými v souladu se směrnicí (EU) 2016/680. Dožadující i dožádané orgány by v souvislosti se zpracováváním osobních údajů měly být považovány za správce podle uvedené směrnice. Ústřední orgány poskytují dožadujícím a dožádaným orgánům správní podporu a v rozsahu, v jakém </w:t>
            </w:r>
            <w:r>
              <w:rPr>
                <w:b/>
                <w:i/>
              </w:rPr>
              <w:t>jsou příslušnými orgány zpracovávajícími</w:t>
            </w:r>
            <w:r>
              <w:t xml:space="preserve"> osobní údaje </w:t>
            </w:r>
            <w:r>
              <w:rPr>
                <w:b/>
                <w:i/>
              </w:rPr>
              <w:t>podle tohoto nařízení</w:t>
            </w:r>
            <w:r>
              <w:t>, by měly být považovány za správce. Pokud jde o zpracovávání osobních údajů agenturou Eurojust, nařízení Evropského parlamentu a Rady (EU) 2018/1725 by se v souvislosti s tímto nařízením mělo uplatňovat, aniž jsou dotčena zvláštní pravidla pro ochranu údajů stanovená v nařízení Evropského parlamentu a Rady (EU) 2018/1727</w:t>
            </w:r>
            <w:r>
              <w:rPr>
                <w:vertAlign w:val="superscript"/>
              </w:rPr>
              <w:t>73</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73</w:t>
            </w:r>
            <w:r>
              <w:t xml:space="preserve"> </w:t>
            </w:r>
            <w:r>
              <w:t>Nařízení Evropského parlamentu a Rady (EU) 2018/1727 ze dne 14. listopadu 2018 o Agentuře Evropské unie pro justiční spolupráci v trestních věcech (Eurojust) a o nahrazení a zrušení rozhodnutí Rady 2002/187/SVV, PE/37/2018/REV/1 (Úř. věst. L 295, 21.11.2018, s. 138).</w:t>
            </w:r>
          </w:p>
        </w:tc>
        <w:tc>
          <w:tcPr>
            <w:tcW w:w="4876" w:type="dxa"/>
          </w:tcPr>
          <w:p>
            <w:pPr>
              <w:pStyle w:val="Normal6a"/>
            </w:pPr>
            <w:r>
              <w:rPr>
                <w:vertAlign w:val="superscript"/>
              </w:rPr>
              <w:t>73</w:t>
            </w:r>
            <w:r>
              <w:t xml:space="preserve"> </w:t>
            </w:r>
            <w:r>
              <w:t>Nařízení Evropského parlamentu a Rady (EU) 2018/1727 ze dne 14. listopadu 2018 o Agentuře Evropské unie pro justiční spolupráci v trestních věcech (Eurojust) a o nahrazení a zrušení rozhodnutí Rady 2002/187/SVV, PE/37/2018/REV/1 (Úř. věst. L 295, 21.11.2018, s. 138).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Toto nařízení se vztahuje na všechny případy předávání trestního řízení v Unii od okamžiku, kdy byla osoba identifikována jako podezřelá.</w:t>
            </w:r>
          </w:p>
        </w:tc>
        <w:tc>
          <w:tcPr>
            <w:tcW w:w="4876" w:type="dxa"/>
          </w:tcPr>
          <w:p>
            <w:pPr>
              <w:pStyle w:val="Normal6a"/>
            </w:pPr>
            <w:r>
              <w:t>2.</w:t>
            </w:r>
            <w:r>
              <w:tab/>
            </w:r>
            <w:r>
              <w:t xml:space="preserve">Toto nařízení se vztahuje na všechny případy předávání trestního řízení v Unii </w:t>
            </w:r>
            <w:r>
              <w:rPr>
                <w:b/>
                <w:i/>
              </w:rPr>
              <w:t>nejpozději</w:t>
            </w:r>
            <w:r>
              <w:t xml:space="preserve"> od okamžiku, kdy byla osoba identifikována jako podezřelá.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Toto nařízení se vztahuje na všechny případy předávání trestního řízení </w:t>
            </w:r>
            <w:r>
              <w:rPr>
                <w:b/>
                <w:i/>
              </w:rPr>
              <w:t>v Unii od okamžiku, kdy byla osoba identifikována jako podezřelá</w:t>
            </w:r>
            <w:r>
              <w:t>.</w:t>
            </w:r>
          </w:p>
        </w:tc>
        <w:tc>
          <w:tcPr>
            <w:tcW w:w="4876" w:type="dxa"/>
          </w:tcPr>
          <w:p>
            <w:pPr>
              <w:pStyle w:val="Normal6a"/>
            </w:pPr>
            <w:r>
              <w:t>2.</w:t>
            </w:r>
            <w:r>
              <w:tab/>
            </w:r>
            <w:r>
              <w:t>Toto nařízení se vztahuje na všechny případy předávání trestního řízení </w:t>
            </w:r>
            <w:r>
              <w:rPr>
                <w:b/>
                <w:i/>
              </w:rPr>
              <w:t>vedeného v členských státech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3 – písm.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soudce, soud, vyšetřující soudce nebo státní zástupce, v jehož příslušnosti je dotčená věc, nebo</w:t>
            </w:r>
          </w:p>
        </w:tc>
        <w:tc>
          <w:tcPr>
            <w:tcW w:w="4876" w:type="dxa"/>
          </w:tcPr>
          <w:p>
            <w:pPr>
              <w:pStyle w:val="Normal6a"/>
            </w:pPr>
            <w:r>
              <w:t>a)</w:t>
            </w:r>
            <w:r>
              <w:tab/>
            </w:r>
            <w:r>
              <w:t>soudce, soud, vyšetřující soudce</w:t>
            </w:r>
            <w:r>
              <w:rPr>
                <w:b/>
                <w:i/>
              </w:rPr>
              <w:t>, podezřelý, obviněný, právní poradce podezřelé nebo obviněné osoby</w:t>
            </w:r>
            <w:r>
              <w:t xml:space="preserve"> nebo státní zástupce, v jehož příslušnosti je dotčená věc, nebo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Definice „dožadujícího orgánu“ by měla být rozšířena tak, aby zahrnovala odkaz na podezřelé a obviněné osoby nebo jejich právní poradce podle práv přiznaných v čl. 5 odst. 3.</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„obětí“ oběť ve smyslu čl. 2 odst. 1 písm. a) směrnice 2012/29/EU.</w:t>
            </w:r>
          </w:p>
        </w:tc>
        <w:tc>
          <w:tcPr>
            <w:tcW w:w="4876" w:type="dxa"/>
          </w:tcPr>
          <w:p>
            <w:pPr>
              <w:pStyle w:val="Normal6a"/>
            </w:pPr>
            <w:r>
              <w:t>(6)</w:t>
            </w:r>
            <w:r>
              <w:tab/>
            </w:r>
            <w:r>
              <w:t xml:space="preserve">„obětí“ oběť ve smyslu čl. 2 odst. 1 písm. a) směrnice 2012/29/EU </w:t>
            </w:r>
            <w:r>
              <w:rPr>
                <w:b/>
                <w:i/>
              </w:rPr>
              <w:t>nebo právnická osoba ve smyslu vnitrostátního práva, která utrpěla újmu nebo hospodářskou ztrátu v přímém důsledku trestného činu, který je předmětem trestního řízení, na které se vztahuje toto nařízení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„obětí“ oběť ve smyslu čl. 2 odst. 1 písm. a) směrnice 2012/29/EU.</w:t>
            </w:r>
          </w:p>
        </w:tc>
        <w:tc>
          <w:tcPr>
            <w:tcW w:w="4876" w:type="dxa"/>
          </w:tcPr>
          <w:p>
            <w:pPr>
              <w:pStyle w:val="Normal6a"/>
            </w:pPr>
            <w:r>
              <w:t>(6)</w:t>
            </w:r>
            <w:r>
              <w:tab/>
            </w:r>
            <w:r>
              <w:t xml:space="preserve">„obětí“ oběť ve smyslu čl. 2 odst. 1 písm. a) směrnice 2012/29/EU </w:t>
            </w:r>
            <w:r>
              <w:rPr>
                <w:b/>
                <w:i/>
              </w:rPr>
              <w:t>nebo právnická osoba ve smyslu vnitrostátního práva, která utrpěla újmu nebo hospodářskou ztrátu v přímém důsledku trestného činu, který je předmětem trestního řízení, na které se vztahuje toto nařízení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rPr>
                <w:b/>
                <w:i/>
              </w:rPr>
              <w:t>odmítne předat podezřelou nebo obviněnou osobu, na niž byl vydán evropský zatýkací rozkaz a která se nachází v dožádaném státě a je jeho občanem nebo v něm má bydliště, pokud ve výjimečných situacích shledá, že na základě konkrétních a objektivních důkazů existují závažné důvody domnívat se, že předání by za konkrétních okolností věci představovalo zřejmé porušení příslušného základního práva stanoveného v článku 6 Smlouvy o Evropské unii a v Listině;</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v dožádaném státě probíhá proti podezřelé nebo obviněné osobě trestní řízení ohledně jiných skutečností a podezřelá nebo obviněná osoba je občanem dožádaného státu nebo v něm má bydliště.</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e)</w:t>
            </w:r>
            <w:r>
              <w:tab/>
            </w:r>
            <w:r>
              <w:rPr>
                <w:b/>
                <w:i/>
              </w:rPr>
              <w:t>v dožádaném státě probíhá proti jiným osobám trestní řízení ohledně stejných nebo částečně stejných skutečností a podezřelá nebo obviněná osoba v trestním řízení, jež má být předáno, je občanem dožádaného státu nebo v něm má bydliště.</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Článek 4</w:t>
            </w:r>
            <w:r>
              <w:tab/>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4 Každý členský stát, který je podle svých vnitrostátních právních předpisů příslušný stíhat trestný čin, může pro účely uplatňování tohoto nařízení od trestního řízení proti podezřelé nebo obviněné osobě upustit, přerušit jej nebo zastavit, aby tím umožnil předání trestního řízení ohledně daného trestního činu dožádanému státu.</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Každý členský stát, který je podle svých vnitrostátních právních předpisů příslušný stíhat trestný čin, může pro účely uplatňování tohoto nařízení od trestního řízení proti podezřelé nebo obviněné osobě upustit, přerušit jej nebo zastavit, aby tím umožnil předání trestního řízení ohledně daného trestního činu dožádanému státu.</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pododstavec 1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 případě obnovení pozastaveného řízení musí být toto řízení předmětem soudního přezkumu, aby bylo zajištěno nezávislé posouzení toho, zda došlo k porušení zásady ne bis in idem.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Tento článek musí zajistit, aby nebyla porušena zásada ne bis in idem.</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Žádost o předání trestního řízení lze vydat pouze tehdy, má-li dožadující orgán za to, že pro cíl spočívající v účinném a řádném výkonu spravedlnosti by bylo prospěšnější, pokud bude příslušné trestní řízení vedeno v jiném členském státě.</w:t>
            </w:r>
          </w:p>
        </w:tc>
        <w:tc>
          <w:tcPr>
            <w:tcW w:w="4876" w:type="dxa"/>
          </w:tcPr>
          <w:p>
            <w:pPr>
              <w:pStyle w:val="Normal6a"/>
            </w:pPr>
            <w:r>
              <w:t>1.</w:t>
            </w:r>
            <w:r>
              <w:tab/>
            </w:r>
            <w:r>
              <w:t xml:space="preserve">Žádost o předání trestního řízení lze vydat pouze tehdy, má-li dožadující orgán za to, že pro cíl spočívající v účinném a řádném výkonu spravedlnosti </w:t>
            </w:r>
            <w:r>
              <w:rPr>
                <w:b/>
                <w:i/>
              </w:rPr>
              <w:t>a v ochraně základních práv podezřelých nebo obviněných osob, jakož i obětí, jak je zakotveno v unijním a vnitrostátním právu,</w:t>
            </w:r>
            <w:r>
              <w:t xml:space="preserve"> by bylo prospěšnější, pokud bude příslušné trestní řízení vedeno v jiném členském státě.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 – písm.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podezřelá nebo obviněná osoba se nachází v dožádaném státě a tento stát tuto osobu odmítá předat do dožadujícího státu buď na základě čl. 4 odst. 2 rámcového rozhodnutí 2002/584/SVV, nebo čl. 4 odst. 3 uvedeného rozhodnutí v případech, kdy toto odmítnutí není odůvodněno pravomocným rozsudkem vydaným vůči této osobě ohledně téhož trestného činu, který brání dalšímu trestnímu řízení, anebo na základě čl. 4 odst. 7 uvedeného rámcového rozhodnutí;</w:t>
            </w:r>
          </w:p>
        </w:tc>
        <w:tc>
          <w:tcPr>
            <w:tcW w:w="4876" w:type="dxa"/>
          </w:tcPr>
          <w:p>
            <w:pPr>
              <w:pStyle w:val="Normal6a"/>
            </w:pPr>
            <w:r>
              <w:t>c)</w:t>
            </w:r>
            <w:r>
              <w:tab/>
            </w:r>
            <w:r>
              <w:t xml:space="preserve">podezřelá nebo obviněná osoba se nachází v dožádaném státě a tento stát tuto osobu odmítá předat do dožadujícího státu buď na základě čl. 4 odst. 2 rámcového rozhodnutí 2002/584/SVV, nebo čl. 4 odst. 3 uvedeného rozhodnutí v případech, kdy toto odmítnutí není odůvodněno pravomocným rozsudkem vydaným vůči této osobě ohledně téhož trestného činu, který brání dalšímu trestnímu řízení, anebo na základě čl. 4 odst. 7 </w:t>
            </w:r>
            <w:r>
              <w:rPr>
                <w:b/>
                <w:i/>
              </w:rPr>
              <w:t>písm. a)</w:t>
            </w:r>
            <w:r>
              <w:t xml:space="preserve"> uvedeného rámcového rozhodnutí;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 – písm. 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w:t>
            </w:r>
            <w:r>
              <w:tab/>
            </w:r>
            <w:r>
              <w:rPr>
                <w:b/>
                <w:i/>
              </w:rPr>
              <w:t>výkon trestu v dožádaném státě pravděpodobně zlepší vyhlídky na sociální rehabilitaci odsouzené osoby nebo existují jiné důvody, proč by byl výkon trestu v dožádaném státě vhodnější;</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 – písm. 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j)</w:t>
            </w:r>
            <w:r>
              <w:tab/>
            </w:r>
            <w:r>
              <w:t>většina obětí je občany dožádaného státu nebo v něm má bydliště.</w:t>
            </w:r>
          </w:p>
        </w:tc>
        <w:tc>
          <w:tcPr>
            <w:tcW w:w="4876" w:type="dxa"/>
          </w:tcPr>
          <w:p>
            <w:pPr>
              <w:pStyle w:val="Normal6a"/>
            </w:pPr>
            <w:r>
              <w:t>j)</w:t>
            </w:r>
            <w:r>
              <w:tab/>
            </w:r>
            <w:r>
              <w:rPr>
                <w:b/>
                <w:i/>
              </w:rPr>
              <w:t>oběť nebo</w:t>
            </w:r>
            <w:r>
              <w:t xml:space="preserve"> většina obětí je občany dožádaného státu nebo v něm má bydliště.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 – písm. j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ja)</w:t>
            </w:r>
            <w:r>
              <w:tab/>
            </w:r>
            <w:r>
              <w:rPr>
                <w:b/>
                <w:i/>
              </w:rPr>
              <w:t>konzultace s příslušnými orgány členských států podle rámcového rozhodnutí 2009/958/SVV o předcházení kompetenčním sporům vedly k dohodě o soustředění souběžných řízení do jednoho členského státu.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2 – písm. j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ja)</w:t>
            </w:r>
            <w:r>
              <w:tab/>
            </w:r>
            <w:r>
              <w:rPr>
                <w:b/>
                <w:i/>
              </w:rPr>
              <w:t>zda by předání řízení přispělo k dosažení cílů restorativní justice.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Podezřelá nebo obviněná osoba nebo většina obětí, případně právník jednající jejich jménem, mohou rovněž požádat příslušné orgány dožadujícího či dožádaného státu, aby zahájily postup předání trestního řízení podle tohoto nařízení.</w:t>
            </w:r>
            <w:r>
              <w:t xml:space="preserve"> </w:t>
            </w:r>
            <w:r>
              <w:rPr>
                <w:b/>
                <w:i/>
              </w:rPr>
              <w:t>Žádosti učiněné podle tohoto odstavce nezakládají povinnost dožadujícího ani dožádaného státu, aby žádaly o předání trestního řízení do dožádaného státu nebo toto řízení předaly.</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Podezřelá nebo obviněná osoba nebo většina obětí, případně právník jednající jejich jménem, </w:t>
            </w:r>
            <w:r>
              <w:rPr>
                <w:b/>
                <w:i/>
              </w:rPr>
              <w:t>mohou rovněž</w:t>
            </w:r>
            <w:r>
              <w:t xml:space="preserve"> požádat příslušné orgány dožadujícího či dožádaného státu, aby zahájily postup předání trestního řízení podle tohoto nařízení. Žádosti učiněné podle tohoto odstavce nezakládají povinnost dožadujícího ani dožádaného státu, aby žádaly o předání trestního řízení do dožádaného státu nebo toto řízení předaly.</w:t>
            </w:r>
          </w:p>
        </w:tc>
        <w:tc>
          <w:tcPr>
            <w:tcW w:w="4876" w:type="dxa"/>
          </w:tcPr>
          <w:p>
            <w:pPr>
              <w:pStyle w:val="Normal6a"/>
            </w:pPr>
            <w:r>
              <w:t>3.</w:t>
            </w:r>
            <w:r>
              <w:tab/>
            </w:r>
            <w:r>
              <w:t>Podezřelá nebo obviněná osoba</w:t>
            </w:r>
            <w:r>
              <w:rPr>
                <w:b/>
                <w:i/>
              </w:rPr>
              <w:t>, oběť</w:t>
            </w:r>
            <w:r>
              <w:t xml:space="preserve"> nebo většina obětí, případně právník jednající jejich jménem, </w:t>
            </w:r>
            <w:r>
              <w:rPr>
                <w:b/>
                <w:i/>
              </w:rPr>
              <w:t>mají právo</w:t>
            </w:r>
            <w:r>
              <w:t xml:space="preserve"> požádat příslušné orgány dožadujícího či dožádaného státu, aby zahájily postup předání trestního řízení podle tohoto nařízení. Žádosti učiněné podle tohoto odstavce nezakládají povinnost dožadujícího ani dožádaného státu, aby žádaly o předání trestního řízení do dožádaného státu nebo toto řízení předaly.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Podezřelá nebo obviněná osoba nebo </w:t>
            </w:r>
            <w:r>
              <w:rPr>
                <w:b/>
                <w:i/>
              </w:rPr>
              <w:t>většina</w:t>
            </w:r>
            <w:r>
              <w:t xml:space="preserve"> obětí, případně právník jednající jejich jménem, mohou rovněž požádat příslušné orgány dožadujícího či dožádaného státu, aby zahájily postup předání trestního řízení podle tohoto nařízení. Žádosti učiněné podle tohoto odstavce nezakládají povinnost dožadujícího ani dožádaného státu, aby žádaly o předání trestního řízení do dožádaného státu nebo toto řízení předaly.</w:t>
            </w:r>
          </w:p>
        </w:tc>
        <w:tc>
          <w:tcPr>
            <w:tcW w:w="4876" w:type="dxa"/>
          </w:tcPr>
          <w:p>
            <w:pPr>
              <w:pStyle w:val="Normal6a"/>
            </w:pPr>
            <w:r>
              <w:t>3.</w:t>
            </w:r>
            <w:r>
              <w:tab/>
            </w:r>
            <w:r>
              <w:t xml:space="preserve">Podezřelá nebo obviněná osoba nebo </w:t>
            </w:r>
            <w:r>
              <w:rPr>
                <w:b/>
                <w:i/>
              </w:rPr>
              <w:t>jedna či více</w:t>
            </w:r>
            <w:r>
              <w:t xml:space="preserve"> obětí, případně právník jednající jejich jménem, mohou rovněž požádat příslušné orgány dožadujícího či dožádaného státu, aby zahájily postup předání trestního řízení podle tohoto nařízení. Žádosti učiněné podle tohoto odstavce nezakládají povinnost dožadujícího ani dožádaného státu, aby žádaly o předání trestního řízení do dožádaného státu nebo toto řízení předaly.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pododstavec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Orgán, který žádá o předání podle odstavce 1 nebo který vyřizuje žádost podle odstavce 3, vydá odůvodněné rozhodnutí a informuje o něm žadatele a všechny ostatní dotčené strany.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Před vydáním žádosti o předání trestního řízení dožadující orgán v souladu s použitelnými vnitrostátními právními předpisy řádně zváží oprávněné zájmy podezřelé nebo obviněné osoby </w:t>
            </w:r>
            <w:r>
              <w:rPr>
                <w:b/>
                <w:i/>
              </w:rPr>
              <w:t>a zajistí, aby byla dodržována její procesní práva plynoucí z práva Unie a vnitrostátního práva</w:t>
            </w:r>
            <w:r>
              <w:t>.</w:t>
            </w:r>
          </w:p>
        </w:tc>
        <w:tc>
          <w:tcPr>
            <w:tcW w:w="4876" w:type="dxa"/>
          </w:tcPr>
          <w:p>
            <w:pPr>
              <w:pStyle w:val="Normal6a"/>
            </w:pPr>
            <w:r>
              <w:t>1.</w:t>
            </w:r>
            <w:r>
              <w:tab/>
            </w:r>
            <w:r>
              <w:t>Před vydáním žádosti o předání trestního řízení dožadující orgán v souladu s použitelnými vnitrostátními právními předpisy řádně zváží oprávněné zájmy podezřelé nebo obviněné osoby.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Podezřelá nebo obviněná osoba </w:t>
            </w:r>
            <w:r>
              <w:rPr>
                <w:b/>
                <w:i/>
              </w:rPr>
              <w:t>je</w:t>
            </w:r>
            <w:r>
              <w:t xml:space="preserve"> za předpokladu, že by to nenarušilo důvěrnost vyšetřování, informována o zamýšleném předání trestního řízení v souladu s použitelnými vnitrostátními právními předpisy, v jazyce, kterému rozumí, a </w:t>
            </w:r>
            <w:r>
              <w:rPr>
                <w:b/>
                <w:i/>
              </w:rPr>
              <w:t>je jí</w:t>
            </w:r>
            <w:r>
              <w:t xml:space="preserve"> poskytnuta možnost ústně či písemně vyjádřit své stanovisko, ledaže tuto osobu </w:t>
            </w:r>
            <w:r>
              <w:rPr>
                <w:b/>
                <w:i/>
              </w:rPr>
              <w:t>nelze nalézt ani přes přiměřené úsilí vynaložené dožadujícím orgánem</w:t>
            </w:r>
            <w:r>
              <w:t xml:space="preserve">. Pokud to vzhledem k věku podezřelé nebo obviněné osoby nebo jejímu fyzickému či psychickému stavu dožadující orgán považuje za nutné, </w:t>
            </w:r>
            <w:r>
              <w:rPr>
                <w:b/>
                <w:i/>
              </w:rPr>
              <w:t>přizná</w:t>
            </w:r>
            <w:r>
              <w:t xml:space="preserve"> tuto možnost zákonnému zástupci této osoby. </w:t>
            </w:r>
            <w:r>
              <w:rPr>
                <w:b/>
                <w:i/>
              </w:rPr>
              <w:t>Jestliže žádost o předání trestního řízení následuje po žádosti podezřelé nebo obviněné osoby podle čl. 5 odst. 3, tato konzultace s podezřelou nebo obviněnou osobou, která žádost učinila, se nevyžaduje.</w:t>
            </w:r>
          </w:p>
        </w:tc>
        <w:tc>
          <w:tcPr>
            <w:tcW w:w="4876" w:type="dxa"/>
          </w:tcPr>
          <w:p>
            <w:pPr>
              <w:pStyle w:val="Normal6a"/>
            </w:pPr>
            <w:r>
              <w:t>2.</w:t>
            </w:r>
            <w:r>
              <w:tab/>
            </w:r>
            <w:r>
              <w:t>Podezřelá nebo obviněná osoba</w:t>
            </w:r>
            <w:r>
              <w:rPr>
                <w:b/>
                <w:i/>
              </w:rPr>
              <w:t>, která už byla o obvinění informována, může být</w:t>
            </w:r>
            <w:r>
              <w:t xml:space="preserve"> za předpokladu, že by to nenarušilo důvěrnost vyšetřování </w:t>
            </w:r>
            <w:r>
              <w:rPr>
                <w:b/>
                <w:i/>
              </w:rPr>
              <w:t>či nemělo na vyšetřování jiný negativní vliv</w:t>
            </w:r>
            <w:r>
              <w:t xml:space="preserve">, informována o zamýšleném předání trestního řízení v souladu s použitelnými vnitrostátními právními předpisy, v jazyce, kterému rozumí, a </w:t>
            </w:r>
            <w:r>
              <w:rPr>
                <w:b/>
                <w:i/>
              </w:rPr>
              <w:t>může jí být</w:t>
            </w:r>
            <w:r>
              <w:t xml:space="preserve"> poskytnuta možnost ústně či písemně vyjádřit své stanovisko, ledaže tuto osobu </w:t>
            </w:r>
            <w:r>
              <w:rPr>
                <w:b/>
                <w:i/>
              </w:rPr>
              <w:t>nemůže dožadující orgán nalézt</w:t>
            </w:r>
            <w:r>
              <w:t xml:space="preserve">. Pokud to vzhledem k věku podezřelé nebo obviněné osoby nebo jejímu fyzickému či psychickému stavu dožadující orgán považuje za nutné, </w:t>
            </w:r>
            <w:r>
              <w:rPr>
                <w:b/>
                <w:i/>
              </w:rPr>
              <w:t>může</w:t>
            </w:r>
            <w:r>
              <w:t xml:space="preserve"> tuto možnost </w:t>
            </w:r>
            <w:r>
              <w:rPr>
                <w:b/>
                <w:i/>
              </w:rPr>
              <w:t>poskytnout</w:t>
            </w:r>
            <w:r>
              <w:t xml:space="preserve"> zákonnému zástupci této osoby.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Podezřelá nebo obviněná osoba je za předpokladu, že by to nenarušilo důvěrnost vyšetřování, informována o zamýšleném předání trestního řízení v souladu s použitelnými vnitrostátními právními předpisy, v jazyce, kterému rozumí, a je jí poskytnuta možnost ústně či písemně vyjádřit své stanovisko, ledaže tuto osobu nelze nalézt ani přes přiměřené úsilí vynaložené dožadujícím orgánem. Pokud to vzhledem k věku podezřelé nebo obviněné osoby nebo jejímu fyzickému či psychickému stavu dožadující orgán považuje za nutné, přizná tuto možnost zákonnému zástupci této osoby. Jestliže žádost o předání trestního řízení následuje po žádosti podezřelé nebo obviněné osoby podle čl. 5 odst. 3, tato konzultace s podezřelou nebo obviněnou osobou, která žádost učinila, se nevyžaduje.</w:t>
            </w:r>
          </w:p>
        </w:tc>
        <w:tc>
          <w:tcPr>
            <w:tcW w:w="4876" w:type="dxa"/>
          </w:tcPr>
          <w:p>
            <w:pPr>
              <w:pStyle w:val="Normal6a"/>
            </w:pPr>
            <w:r>
              <w:t>2.</w:t>
            </w:r>
            <w:r>
              <w:tab/>
            </w:r>
            <w:r>
              <w:t xml:space="preserve">Podezřelá nebo obviněná osoba je za předpokladu, že by to nenarušilo důvěrnost vyšetřování, </w:t>
            </w:r>
            <w:r>
              <w:rPr>
                <w:b/>
                <w:i/>
              </w:rPr>
              <w:t>případně</w:t>
            </w:r>
            <w:r>
              <w:t xml:space="preserve"> informována o zamýšleném předání trestního řízení v souladu s použitelnými vnitrostátními právními předpisy, v jazyce, kterému rozumí, a je jí poskytnuta možnost ústně či písemně vyjádřit své stanovisko, ledaže tuto osobu nelze nalézt ani přes přiměřené úsilí vynaložené dožadujícím orgánem. Pokud to vzhledem k věku podezřelé nebo obviněné osoby nebo jejímu fyzickému či psychickému stavu dožadující orgán považuje za nutné, přizná tuto možnost zákonnému zástupci této osoby. Jestliže žádost o předání trestního řízení následuje po žádosti podezřelé nebo obviněné osoby podle čl. 5 odst. 3, tato konzultace s podezřelou nebo obviněnou osobou, která žádost učinila, se nevyžaduje.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Podezřelá nebo obviněná osoba je </w:t>
            </w:r>
            <w:r>
              <w:rPr>
                <w:b/>
                <w:i/>
              </w:rPr>
              <w:t>za předpokladu, že by to nenarušilo důvěrnost vyšetřování,</w:t>
            </w:r>
            <w:r>
              <w:t xml:space="preserve"> informována o zamýšleném předání trestního řízení v souladu s použitelnými vnitrostátními právními předpisy, v jazyce, kterému rozumí, a je jí poskytnuta možnost ústně či písemně vyjádřit své stanovisko, ledaže tuto osobu nelze nalézt ani přes přiměřené úsilí vynaložené dožadujícím orgánem. Pokud to vzhledem k věku podezřelé nebo obviněné osoby nebo jejímu fyzickému či psychickému stavu dožadující orgán považuje za nutné, přizná tuto možnost zákonnému zástupci této osoby. Jestliže žádost o předání trestního řízení následuje po žádosti podezřelé nebo obviněné osoby podle čl. 5 odst. 3, tato konzultace s podezřelou nebo obviněnou osobou, která žádost učinila, se nevyžaduje.</w:t>
            </w:r>
          </w:p>
        </w:tc>
        <w:tc>
          <w:tcPr>
            <w:tcW w:w="4876" w:type="dxa"/>
          </w:tcPr>
          <w:p>
            <w:pPr>
              <w:pStyle w:val="Normal6a"/>
            </w:pPr>
            <w:r>
              <w:t>2.</w:t>
            </w:r>
            <w:r>
              <w:tab/>
            </w:r>
            <w:r>
              <w:t xml:space="preserve">Podezřelá nebo obviněná osoba je informována o zamýšleném předání trestního řízení v souladu s použitelnými vnitrostátními právními předpisy, v jazyce, kterému rozumí, a je jí </w:t>
            </w:r>
            <w:r>
              <w:rPr>
                <w:b/>
                <w:i/>
              </w:rPr>
              <w:t>před zamýšleným předáním řízení</w:t>
            </w:r>
            <w:r>
              <w:t xml:space="preserve"> poskytnuta možnost ústně či písemně vyjádřit své stanovisko, ledaže tuto osobu nelze nalézt ani přes přiměřené úsilí vynaložené dožadujícím orgánem. Pokud to vzhledem k věku podezřelé nebo obviněné osoby nebo jejímu fyzickému či psychickému stavu dožadující orgán považuje za nutné, přizná tuto možnost </w:t>
            </w:r>
            <w:r>
              <w:rPr>
                <w:b/>
                <w:i/>
              </w:rPr>
              <w:t>před zamýšleným předáním řízení</w:t>
            </w:r>
            <w:r>
              <w:t xml:space="preserve"> zákonnému zástupci této osoby. Jestliže žádost o předání trestního řízení následuje po žádosti podezřelé nebo obviněné osoby podle čl. 5 odst. 3, tato konzultace s podezřelou nebo obviněnou osobou, která žádost učinila, se nevyžaduje.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Dožadující orgán stanovisko podezřelé nebo obviněné osoby uvedené v odstavci 2 </w:t>
            </w:r>
            <w:r>
              <w:rPr>
                <w:b/>
                <w:i/>
              </w:rPr>
              <w:t>zohlední</w:t>
            </w:r>
            <w:r>
              <w:t xml:space="preserve"> při rozhodování, zda požádá o předání trestního řízení.</w:t>
            </w:r>
          </w:p>
        </w:tc>
        <w:tc>
          <w:tcPr>
            <w:tcW w:w="4876" w:type="dxa"/>
          </w:tcPr>
          <w:p>
            <w:pPr>
              <w:pStyle w:val="Normal6a"/>
            </w:pPr>
            <w:r>
              <w:t>3.</w:t>
            </w:r>
            <w:r>
              <w:tab/>
            </w:r>
            <w:r>
              <w:t xml:space="preserve">Dožadující orgán stanovisko podezřelé nebo obviněné osoby uvedené v odstavci 2 </w:t>
            </w:r>
            <w:r>
              <w:rPr>
                <w:b/>
                <w:i/>
              </w:rPr>
              <w:t>zaznamená</w:t>
            </w:r>
            <w:r>
              <w:t xml:space="preserve"> při rozhodování, zda požádá o předání trestního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Pokud dožádaný orgán rozhodl v souladu s čl. 12 odst. 1, dožadující orgán za předpokladu, že by to nenarušilo důvěrnost vyšetřování, neprodleně informuje podezřelou nebo obviněnou osobu v jazyce, kterému rozumí, o vydání žádosti o předání trestního řízení a o následném přijetí či odmítnutí předání dožádaným orgánem, ledaže tuto osobu </w:t>
            </w:r>
            <w:r>
              <w:rPr>
                <w:b/>
                <w:i/>
              </w:rPr>
              <w:t>nelze nalézt ani přes přiměřené úsilí vynaložené dožadujícím orgánem</w:t>
            </w:r>
            <w:r>
              <w:t>. Jestliže dožádaný orgán rozhodl, že předání trestního řízení přijímá, podezřelá nebo obviněná osoba je rovněž informována o svém právu podat opravný prostředek v dožádaném státě, včetně lhůt pro jeho podání.</w:t>
            </w:r>
          </w:p>
        </w:tc>
        <w:tc>
          <w:tcPr>
            <w:tcW w:w="4876" w:type="dxa"/>
          </w:tcPr>
          <w:p>
            <w:pPr>
              <w:pStyle w:val="Normal6a"/>
            </w:pPr>
            <w:r>
              <w:t>4.</w:t>
            </w:r>
            <w:r>
              <w:tab/>
            </w:r>
            <w:r>
              <w:t xml:space="preserve">Pokud dožádaný orgán rozhodl v souladu s čl. 12 odst. 1, dožadující orgán za předpokladu, že by to nenarušilo důvěrnost vyšetřování </w:t>
            </w:r>
            <w:r>
              <w:rPr>
                <w:b/>
                <w:i/>
              </w:rPr>
              <w:t>ani to na něj nemělo jiný negativní vliv</w:t>
            </w:r>
            <w:r>
              <w:t xml:space="preserve">, neprodleně informuje podezřelou nebo obviněnou osobu v jazyce, kterému rozumí, o vydání žádosti o předání trestního řízení a o následném přijetí či odmítnutí předání dožádaným orgánem, ledaže tuto osobu </w:t>
            </w:r>
            <w:r>
              <w:rPr>
                <w:b/>
                <w:i/>
              </w:rPr>
              <w:t>nemůže dožadující orgán nalézt</w:t>
            </w:r>
            <w:r>
              <w:t xml:space="preserve">. Jestliže dožádaný orgán rozhodl, že předání trestního řízení přijímá, podezřelá nebo obviněná osoba je rovněž informována o svém právu podat opravný prostředek v dožádaném státě, včetně lhůt pro jeho podání. </w:t>
            </w:r>
            <w:r>
              <w:rPr>
                <w:b/>
                <w:i/>
              </w:rPr>
              <w:t>Dožadující orgán může při plnění tohoto úkolu případně požádat dožádaný orgán o pomoc.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Pokud dožádaný orgán rozhodl v souladu s čl. 12 odst. 1, dožadující orgán </w:t>
            </w:r>
            <w:r>
              <w:rPr>
                <w:b/>
                <w:i/>
              </w:rPr>
              <w:t>za předpokladu, že by to nenarušilo důvěrnost vyšetřování,</w:t>
            </w:r>
            <w:r>
              <w:t xml:space="preserve"> neprodleně informuje podezřelou nebo obviněnou osobu v jazyce, kterému rozumí, o vydání žádosti o předání trestního řízení a o následném přijetí či odmítnutí předání dožádaným orgánem, ledaže tuto osobu nelze nalézt ani přes přiměřené úsilí vynaložené dožadujícím orgánem. Jestliže dožádaný orgán rozhodl, že předání trestního řízení přijímá, podezřelá nebo obviněná osoba je rovněž informována o svém právu podat opravný prostředek v dožádaném státě, včetně lhůt pro jeho podání.</w:t>
            </w:r>
          </w:p>
        </w:tc>
        <w:tc>
          <w:tcPr>
            <w:tcW w:w="4876" w:type="dxa"/>
          </w:tcPr>
          <w:p>
            <w:pPr>
              <w:pStyle w:val="Normal6a"/>
            </w:pPr>
            <w:r>
              <w:t>4.</w:t>
            </w:r>
            <w:r>
              <w:tab/>
            </w:r>
            <w:r>
              <w:t>Pokud dožádaný orgán rozhodl v souladu s čl. 12 odst. 1, dožadující orgán neprodleně informuje podezřelou nebo obviněnou osobu v jazyce, kterému rozumí, o vydání žádosti o předání trestního řízení a o následném přijetí či odmítnutí předání dožádaným orgánem, ledaže tuto osobu nelze nalézt ani přes přiměřené úsilí vynaložené dožadujícím orgánem. Jestliže dožádaný orgán rozhodl, že předání trestního řízení přijímá, podezřelá nebo obviněná osoba je rovněž informována o svém právu podat opravný prostředek v dožádaném státě, včetně lhůt pro jeho podání.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4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Členské státy stanoví, že právo na informace stanovené v odstavcích 2 a 4 zahrnuje právo podezřelých a obviněných osob na přístup ke spisu a veškerá další procesní práva, která jsou nezbytná pro účinný výkon jejich práva být vyslechnut.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4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4b.</w:t>
            </w:r>
            <w:r>
              <w:tab/>
            </w:r>
            <w:r>
              <w:rPr>
                <w:b/>
                <w:i/>
              </w:rPr>
              <w:t>Členské státy mohou výjimečně dočasně odložit informace uvedené v odstavcích 2 a 4 během určité fáze vyšetřování, je-li to odůvodněno zvláštními okolnostmi daného případu, pokud je to nezbytné:</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k odvrácení závažných nepříznivých důsledků pro život, svobodu nebo tělesnou integritu osoby,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k zabránění situace, kdy by byla narušena důvěrnost vyšetřování.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Jakmile už není nutné odkládat informování podezřelého nebo obviněného za účelem ochrany probíhajícího vyšetřování, jsou jim poskytnuty informace uvedené v odstavcích 2 a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1 </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Před </w:t>
            </w:r>
            <w:r>
              <w:rPr>
                <w:b/>
                <w:i/>
              </w:rPr>
              <w:t>vydáním</w:t>
            </w:r>
            <w:r>
              <w:t xml:space="preserve"> žádosti o předání trestního řízení dožadující orgán v souladu s použitelnými vnitrostátními právními předpisy řádně zváží oprávněné zájmy oběti </w:t>
            </w:r>
            <w:r>
              <w:rPr>
                <w:b/>
                <w:i/>
              </w:rPr>
              <w:t>a zajistí, aby byla dodržována její práva plynoucí z práva Unie a vnitrostátního práva</w:t>
            </w:r>
            <w:r>
              <w:t>.</w:t>
            </w:r>
          </w:p>
        </w:tc>
        <w:tc>
          <w:tcPr>
            <w:tcW w:w="4876" w:type="dxa"/>
          </w:tcPr>
          <w:p>
            <w:pPr>
              <w:pStyle w:val="Normal6a"/>
            </w:pPr>
            <w:r>
              <w:t>1.</w:t>
            </w:r>
            <w:r>
              <w:tab/>
            </w:r>
            <w:r>
              <w:t xml:space="preserve">Před </w:t>
            </w:r>
            <w:r>
              <w:rPr>
                <w:b/>
                <w:i/>
              </w:rPr>
              <w:t>podáním</w:t>
            </w:r>
            <w:r>
              <w:t xml:space="preserve"> žádosti o předání trestního řízení dožadující orgán v souladu s použitelnými vnitrostátními právními předpisy řádně zváží oprávněné zájmy oběti.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Za předpokladu, že by to nenarušilo důvěrnost vyšetřování, a</w:t>
            </w:r>
            <w:r>
              <w:t xml:space="preserve"> pokud </w:t>
            </w:r>
            <w:r>
              <w:rPr>
                <w:b/>
                <w:i/>
              </w:rPr>
              <w:t>má</w:t>
            </w:r>
            <w:r>
              <w:t xml:space="preserve"> oběť v dožadujícím státě </w:t>
            </w:r>
            <w:r>
              <w:rPr>
                <w:b/>
                <w:i/>
              </w:rPr>
              <w:t>bydliště</w:t>
            </w:r>
            <w:r>
              <w:t>, je v souladu s použitelnými vnitrostátními právními předpisy informována o zamýšleném předání trestního řízení v jazyce, kterému rozumí, a je jí poskytnuta možnost ústně či písemně vyjádřit své stanovisko. Pokud to vzhledem k věku oběti nebo jejímu fyzickému či psychickému stavu dožadující orgán považuje za nutné, přizná tuto možnost zákonnému zástupci této osoby.</w:t>
            </w:r>
          </w:p>
        </w:tc>
        <w:tc>
          <w:tcPr>
            <w:tcW w:w="4876" w:type="dxa"/>
          </w:tcPr>
          <w:p>
            <w:pPr>
              <w:pStyle w:val="Normal6a"/>
            </w:pPr>
            <w:r>
              <w:t>2.</w:t>
            </w:r>
            <w:r>
              <w:tab/>
            </w:r>
            <w:r>
              <w:t xml:space="preserve">Pokud oběť </w:t>
            </w:r>
            <w:r>
              <w:rPr>
                <w:b/>
                <w:i/>
              </w:rPr>
              <w:t>pobývá</w:t>
            </w:r>
            <w:r>
              <w:t xml:space="preserve"> v dožadujícím </w:t>
            </w:r>
            <w:r>
              <w:rPr>
                <w:b/>
                <w:i/>
              </w:rPr>
              <w:t>členském</w:t>
            </w:r>
            <w:r>
              <w:t xml:space="preserve"> státě, je v souladu s použitelnými vnitrostátními právními předpisy informována o zamýšleném předání trestního řízení v jazyce, kterému rozumí, a je jí poskytnuta možnost ústně či písemně vyjádřit své stanovisko</w:t>
            </w:r>
            <w:r>
              <w:rPr>
                <w:b/>
                <w:i/>
              </w:rPr>
              <w:t>, ledaže tuto osobu nelze nalézt ani přes přiměřené úsilí vynaložené dožadujícím orgánem.</w:t>
            </w:r>
            <w:r>
              <w:t xml:space="preserve"> </w:t>
            </w:r>
            <w:r>
              <w:rPr>
                <w:b/>
                <w:i/>
              </w:rPr>
              <w:t>Členské státy zajistí, aby právo obětí na informace zahrnovalo právo nahlížet do spisu, jakož i další procesní práva, která jsou nezbytná pro účinné uplatnění práva těchto osob bát vyslechnut</w:t>
            </w:r>
            <w:r>
              <w:t>. Pokud to vzhledem k věku oběti nebo jejímu fyzickému či psychickému stavu dožadující orgán považuje za nutné, přizná tuto možnost zákonnému zástupci této osoby.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Za předpokladu, že by to nenarušilo důvěrnost vyšetřování</w:t>
            </w:r>
            <w:r>
              <w:rPr>
                <w:b/>
                <w:i/>
              </w:rPr>
              <w:t>, a pokud má oběť</w:t>
            </w:r>
            <w:r>
              <w:t xml:space="preserve"> v dožadujícím státě </w:t>
            </w:r>
            <w:r>
              <w:rPr>
                <w:b/>
                <w:i/>
              </w:rPr>
              <w:t>bydliště, je</w:t>
            </w:r>
            <w:r>
              <w:t xml:space="preserve"> v souladu s použitelnými vnitrostátními právními předpisy </w:t>
            </w:r>
            <w:r>
              <w:rPr>
                <w:b/>
                <w:i/>
              </w:rPr>
              <w:t>informována</w:t>
            </w:r>
            <w:r>
              <w:t xml:space="preserve"> o zamýšleném předání trestního řízení v jazyce, kterému rozumí, a </w:t>
            </w:r>
            <w:r>
              <w:rPr>
                <w:b/>
                <w:i/>
              </w:rPr>
              <w:t>je jí poskytnuta</w:t>
            </w:r>
            <w:r>
              <w:t xml:space="preserve"> možnost ústně či písemně vyjádřit své stanovisko. Pokud to vzhledem k věku oběti nebo jejímu fyzickému či psychickému stavu dožadující orgán považuje za nutné, </w:t>
            </w:r>
            <w:r>
              <w:rPr>
                <w:b/>
                <w:i/>
              </w:rPr>
              <w:t>přizná</w:t>
            </w:r>
            <w:r>
              <w:t xml:space="preserve"> tuto možnost zákonnému zástupci této osoby.</w:t>
            </w:r>
          </w:p>
        </w:tc>
        <w:tc>
          <w:tcPr>
            <w:tcW w:w="4876" w:type="dxa"/>
          </w:tcPr>
          <w:p>
            <w:pPr>
              <w:pStyle w:val="Normal6a"/>
            </w:pPr>
            <w:r>
              <w:t>2.</w:t>
            </w:r>
            <w:r>
              <w:tab/>
            </w:r>
            <w:r>
              <w:t xml:space="preserve">Za předpokladu, že by to nenarušilo důvěrnost vyšetřování </w:t>
            </w:r>
            <w:r>
              <w:rPr>
                <w:b/>
                <w:i/>
              </w:rPr>
              <w:t>či jej jinak neohrozilo, mohou být oběti s bydlištěm</w:t>
            </w:r>
            <w:r>
              <w:t xml:space="preserve"> v dožadujícím státě</w:t>
            </w:r>
            <w:r>
              <w:rPr>
                <w:b/>
                <w:i/>
              </w:rPr>
              <w:t>, které požádaly o informace podle směrnice 2012/29/EU, informováni</w:t>
            </w:r>
            <w:r>
              <w:t xml:space="preserve"> v souladu s použitelnými vnitrostátními právními předpisy </w:t>
            </w:r>
            <w:r>
              <w:rPr>
                <w:b/>
                <w:i/>
              </w:rPr>
              <w:t>případně</w:t>
            </w:r>
            <w:r>
              <w:t xml:space="preserve"> o zamýšleném předání trestního řízení v jazyce, kterému rozumí, a </w:t>
            </w:r>
            <w:r>
              <w:rPr>
                <w:b/>
                <w:i/>
              </w:rPr>
              <w:t>mohou dostat</w:t>
            </w:r>
            <w:r>
              <w:t xml:space="preserve"> možnost ústně či písemně vyjádřit své stanovisko. Pokud to vzhledem k věku oběti nebo jejímu fyzickému či psychickému stavu dožadující orgán považuje za nutné, </w:t>
            </w:r>
            <w:r>
              <w:rPr>
                <w:b/>
                <w:i/>
              </w:rPr>
              <w:t>může</w:t>
            </w:r>
            <w:r>
              <w:t xml:space="preserve"> tuto možnost </w:t>
            </w:r>
            <w:r>
              <w:rPr>
                <w:b/>
                <w:i/>
              </w:rPr>
              <w:t>přiznat</w:t>
            </w:r>
            <w:r>
              <w:t xml:space="preserve"> zákonnému zástupci této osoby.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Za předpokladu, že by to nenarušilo důvěrnost vyšetřování, a pokud má oběť v dožadujícím státě bydliště, je v souladu s použitelnými vnitrostátními právními předpisy informována o zamýšleném předání trestního řízení v jazyce, kterému rozumí, a je jí poskytnuta možnost ústně či písemně vyjádřit své stanovisko. Pokud to vzhledem k věku oběti nebo jejímu fyzickému či psychickému stavu dožadující orgán považuje za nutné, přizná tuto možnost zákonnému zástupci této osoby.</w:t>
            </w:r>
          </w:p>
        </w:tc>
        <w:tc>
          <w:tcPr>
            <w:tcW w:w="4876" w:type="dxa"/>
          </w:tcPr>
          <w:p>
            <w:pPr>
              <w:pStyle w:val="Normal6a"/>
            </w:pPr>
            <w:r>
              <w:t>2.</w:t>
            </w:r>
            <w:r>
              <w:tab/>
            </w:r>
            <w:r>
              <w:t xml:space="preserve">Za předpokladu, že by to nenarušilo důvěrnost vyšetřování, a pokud má oběť v dožadujícím státě bydliště, je v souladu s použitelnými vnitrostátními právními předpisy </w:t>
            </w:r>
            <w:r>
              <w:rPr>
                <w:b/>
                <w:i/>
              </w:rPr>
              <w:t>případně</w:t>
            </w:r>
            <w:r>
              <w:t xml:space="preserve"> informována o zamýšleném předání trestního řízení v jazyce, kterému rozumí, a je jí poskytnuta možnost ústně či písemně vyjádřit své stanovisko. Pokud to vzhledem k věku oběti nebo jejímu fyzickému či psychickému stavu dožadující orgán považuje za nutné, přizná tuto možnost zákonnému zástupci této osoby.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Dožadující orgán stanovisko oběti uvedené v odstavci 2 </w:t>
            </w:r>
            <w:r>
              <w:rPr>
                <w:b/>
                <w:i/>
              </w:rPr>
              <w:t>zohlední</w:t>
            </w:r>
            <w:r>
              <w:t xml:space="preserve"> při rozhodování, zda požádá o předání trestního řízení.</w:t>
            </w:r>
          </w:p>
        </w:tc>
        <w:tc>
          <w:tcPr>
            <w:tcW w:w="4876" w:type="dxa"/>
          </w:tcPr>
          <w:p>
            <w:pPr>
              <w:pStyle w:val="Normal6a"/>
            </w:pPr>
            <w:r>
              <w:t>3.</w:t>
            </w:r>
            <w:r>
              <w:tab/>
            </w:r>
            <w:r>
              <w:t xml:space="preserve">Dožadující orgán stanovisko oběti uvedené v odstavci 2 </w:t>
            </w:r>
            <w:r>
              <w:rPr>
                <w:b/>
                <w:i/>
              </w:rPr>
              <w:t>zaznamená</w:t>
            </w:r>
            <w:r>
              <w:t xml:space="preserve"> při rozhodování, zda požádá o předání trestního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Pokud dožádaný orgán rozhodl v souladu s čl. 12 odst. 1, dožadující orgán za předpokladu, že by to nenarušilo důvěrnost vyšetřování, ihned informuje oběť</w:t>
            </w:r>
            <w:r>
              <w:rPr>
                <w:b/>
                <w:i/>
              </w:rPr>
              <w:t>, která má</w:t>
            </w:r>
            <w:r>
              <w:t xml:space="preserve"> bydliště v dožadujícím státě, v jazyce, kterému rozumí, o vydání žádosti o předání trestního řízení a o následném přijetí či odmítnutí předání dožádaným orgánem. Jestliže dožádaný orgán předání trestního řízení přijal, je oběť rovněž informována o svém právu podat opravný prostředek dostupný v dožádaném státě, včetně lhůt pro jeho podání.</w:t>
            </w:r>
          </w:p>
        </w:tc>
        <w:tc>
          <w:tcPr>
            <w:tcW w:w="4876" w:type="dxa"/>
          </w:tcPr>
          <w:p>
            <w:pPr>
              <w:pStyle w:val="Normal6a"/>
            </w:pPr>
            <w:r>
              <w:t>4.</w:t>
            </w:r>
            <w:r>
              <w:tab/>
            </w:r>
            <w:r>
              <w:t xml:space="preserve">Pokud dožádaný orgán rozhodl v souladu s čl. 12 odst. 1, dožadující orgán za předpokladu, že by to nenarušilo důvěrnost vyšetřování </w:t>
            </w:r>
            <w:r>
              <w:rPr>
                <w:b/>
                <w:i/>
              </w:rPr>
              <w:t>či jej jinak neohrozilo</w:t>
            </w:r>
            <w:r>
              <w:t xml:space="preserve">, ihned informuje oběť </w:t>
            </w:r>
            <w:r>
              <w:rPr>
                <w:b/>
                <w:i/>
              </w:rPr>
              <w:t>nebo oběti, které mají</w:t>
            </w:r>
            <w:r>
              <w:t xml:space="preserve"> bydliště v dožadujícím státě </w:t>
            </w:r>
            <w:r>
              <w:rPr>
                <w:b/>
                <w:i/>
              </w:rPr>
              <w:t>a které požádaly o informace podle směrnice 2012/29/EU</w:t>
            </w:r>
            <w:r>
              <w:t xml:space="preserve">, v jazyce, kterému rozumí, o vydání žádosti o předání trestního řízení a o následném přijetí či odmítnutí předání dožádaným orgánem. Jestliže dožádaný orgán předání trestního řízení přijal, je oběť rovněž informována o svém právu podat opravný prostředek dostupný v dožádaném státě, včetně lhůt pro jeho podání. </w:t>
            </w:r>
            <w:r>
              <w:rPr>
                <w:b/>
                <w:i/>
              </w:rPr>
              <w:t>Dožadující orgán může při plnění tohoto úkolu případně požádat dožádaný orgán o pomoc.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Pokud dožádaný orgán rozhodl v souladu s čl. 12 odst. 1, dožadující orgán </w:t>
            </w:r>
            <w:r>
              <w:rPr>
                <w:b/>
                <w:i/>
              </w:rPr>
              <w:t>za předpokladu, že by to nenarušilo důvěrnost vyšetřování, ihned</w:t>
            </w:r>
            <w:r>
              <w:t xml:space="preserve"> informuje oběť</w:t>
            </w:r>
            <w:r>
              <w:rPr>
                <w:b/>
                <w:i/>
              </w:rPr>
              <w:t>, která má bydliště</w:t>
            </w:r>
            <w:r>
              <w:t xml:space="preserve"> v dožadujícím státě</w:t>
            </w:r>
            <w:r>
              <w:rPr>
                <w:b/>
                <w:i/>
              </w:rPr>
              <w:t>,</w:t>
            </w:r>
            <w:r>
              <w:t xml:space="preserve"> v jazyce, kterému rozumí, o vydání žádosti o předání trestního řízení a o následném přijetí či odmítnutí předání dožádaným orgánem. Jestliže dožádaný orgán předání trestního řízení přijal, je oběť rovněž informována o svém právu podat opravný prostředek dostupný v dožádaném státě, včetně lhůt pro jeho podání.</w:t>
            </w:r>
          </w:p>
        </w:tc>
        <w:tc>
          <w:tcPr>
            <w:tcW w:w="4876" w:type="dxa"/>
          </w:tcPr>
          <w:p>
            <w:pPr>
              <w:pStyle w:val="Normal6a"/>
            </w:pPr>
            <w:r>
              <w:t>4.</w:t>
            </w:r>
            <w:r>
              <w:tab/>
            </w:r>
            <w:r>
              <w:t xml:space="preserve">Pokud dožádaný orgán rozhodl v souladu s čl. 12 odst. 1, dožadující orgán </w:t>
            </w:r>
            <w:r>
              <w:rPr>
                <w:b/>
                <w:i/>
              </w:rPr>
              <w:t>neprodleně</w:t>
            </w:r>
            <w:r>
              <w:t xml:space="preserve"> informuje oběť </w:t>
            </w:r>
            <w:r>
              <w:rPr>
                <w:b/>
                <w:i/>
              </w:rPr>
              <w:t>s bydlištěm</w:t>
            </w:r>
            <w:r>
              <w:t xml:space="preserve"> v dožadujícím státě v jazyce, kterému rozumí, o vydání žádosti o předání trestního řízení a o následném přijetí či odmítnutí předání dožádaným orgánem</w:t>
            </w:r>
            <w:r>
              <w:rPr>
                <w:b/>
                <w:i/>
              </w:rPr>
              <w:t>, ledaže tuto osobu nelze nalézt ani přes přiměřené úsilí vynaložené dožadujícím orgánem.</w:t>
            </w:r>
            <w:r>
              <w:t xml:space="preserve"> </w:t>
            </w:r>
            <w:r>
              <w:rPr>
                <w:b/>
                <w:i/>
              </w:rPr>
              <w:t>Členské státy zajistí, aby právo obětí na informace zahrnovalo právo nahlížet do spisu a další procesní práva, která jsou nezbytná k účinnému uplatnění práva těchto osob být vyslechnut</w:t>
            </w:r>
            <w:r>
              <w:t>. Jestliže dožádaný orgán předání trestního řízení přijal, je oběť rovněž informována o svém právu podat opravný prostředek dostupný v dožádaném státě, včetně lhůt pro jeho podání.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4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Členské státy mohou výjimečně dočasně pozdržet informace uvedené v odstavci 2 a 4 během určité fáze vyšetřování, je-li to odůvodněno zvláštními okolnostmi daného případu, pokud je to nezbytné:</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k odvrácení závažných nepříznivých důsledků pro život, svobodu nebo tělesnou integritu určité osoby,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k zabránění situace, kdy by byla narušena důvěrnost vyšetřování.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Jakmile už není nutné odkládat informování oběti za účelem ochrany probíhajícího vyšetřování, jsou jí informace uvedené v odstavci 2 a 4 poskytnuty.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4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Ve výjimečných případech, například kvůli vysokému počtu obětí u určitého případu, by mělo být možné poskytovat informace uvedené v odstavci 2 a 4 prostřednictvím tisku, na oficiální internetové stránce příslušného orgánu nebo prostřednictvím jiného obdobného komunikačního kanálu.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Podezřelé osoby, obviněné osoby a oběti mají v dožádaném státě právo na účinné opravné prostředky proti rozhodnutí, kterým se přijímá předání trestního řízení.</w:t>
            </w:r>
          </w:p>
        </w:tc>
        <w:tc>
          <w:tcPr>
            <w:tcW w:w="4876" w:type="dxa"/>
          </w:tcPr>
          <w:p>
            <w:pPr>
              <w:pStyle w:val="Normal6a"/>
            </w:pPr>
            <w:r>
              <w:t>1.</w:t>
            </w:r>
            <w:r>
              <w:tab/>
            </w:r>
            <w:r>
              <w:t xml:space="preserve">Podezřelé osoby, obviněné osoby a oběti mají v </w:t>
            </w:r>
            <w:r>
              <w:rPr>
                <w:b/>
                <w:i/>
              </w:rPr>
              <w:t>dožadujícím i </w:t>
            </w:r>
            <w:r>
              <w:t xml:space="preserve">dožádaném státě právo na účinné opravné prostředky proti rozhodnutí, kterým se </w:t>
            </w:r>
            <w:r>
              <w:rPr>
                <w:b/>
                <w:i/>
              </w:rPr>
              <w:t>požaduje,</w:t>
            </w:r>
            <w:r>
              <w:t xml:space="preserve"> přijímá </w:t>
            </w:r>
            <w:r>
              <w:rPr>
                <w:b/>
                <w:i/>
              </w:rPr>
              <w:t>nebo zamítá</w:t>
            </w:r>
            <w:r>
              <w:t xml:space="preserve"> předání trestního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Právo podat opravný prostředek se uplatní u soudu v dožádaném státě v souladu s jeho právem.</w:t>
            </w:r>
          </w:p>
        </w:tc>
        <w:tc>
          <w:tcPr>
            <w:tcW w:w="4876" w:type="dxa"/>
          </w:tcPr>
          <w:p>
            <w:pPr>
              <w:pStyle w:val="Normal6a"/>
            </w:pPr>
            <w:r>
              <w:t>2.</w:t>
            </w:r>
            <w:r>
              <w:tab/>
            </w:r>
            <w:r>
              <w:t xml:space="preserve">Právo podat opravný prostředek se uplatní u soudu v dožádaném státě v souladu s jeho právem. </w:t>
            </w:r>
            <w:r>
              <w:rPr>
                <w:b/>
                <w:i/>
              </w:rPr>
              <w:t>Soud přezkoumá zákonnost rozhodnutí o schválení předání trestního řízení s ohledem na příslušné články tohoto nařízení a pokud možno rozhodne o opravném prostředku do 60 dnů.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Právo podat opravný prostředek se uplatní u soudu v dožádaném státě v souladu s jeho </w:t>
            </w:r>
            <w:r>
              <w:rPr>
                <w:b/>
                <w:i/>
              </w:rPr>
              <w:t>právem</w:t>
            </w:r>
            <w:r>
              <w:t>.</w:t>
            </w:r>
          </w:p>
        </w:tc>
        <w:tc>
          <w:tcPr>
            <w:tcW w:w="4876" w:type="dxa"/>
          </w:tcPr>
          <w:p>
            <w:pPr>
              <w:pStyle w:val="Normal6a"/>
            </w:pPr>
            <w:r>
              <w:t>2.</w:t>
            </w:r>
            <w:r>
              <w:tab/>
            </w:r>
            <w:r>
              <w:t xml:space="preserve">Právo podat opravný prostředek se uplatní u soudu v dožádaném státě v souladu s jeho </w:t>
            </w:r>
            <w:r>
              <w:rPr>
                <w:b/>
                <w:i/>
              </w:rPr>
              <w:t>právními předpisy, přičemž může být uplatněno rovněž u Soudního dvora Evropské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Měla by existovat možnost opravných prostředků podle článku 267 SFEU, a nikoli pouze u vnitrostátních soudů.</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Právo </w:t>
            </w:r>
            <w:r>
              <w:rPr>
                <w:b/>
                <w:i/>
              </w:rPr>
              <w:t>podat</w:t>
            </w:r>
            <w:r>
              <w:t xml:space="preserve"> opravný prostředek se </w:t>
            </w:r>
            <w:r>
              <w:rPr>
                <w:b/>
                <w:i/>
              </w:rPr>
              <w:t>uplatní u</w:t>
            </w:r>
            <w:r>
              <w:t xml:space="preserve"> soudu v </w:t>
            </w:r>
            <w:r>
              <w:rPr>
                <w:b/>
                <w:i/>
              </w:rPr>
              <w:t>dožádaném</w:t>
            </w:r>
            <w:r>
              <w:t xml:space="preserve"> státě v souladu s </w:t>
            </w:r>
            <w:r>
              <w:rPr>
                <w:b/>
                <w:i/>
              </w:rPr>
              <w:t>jeho</w:t>
            </w:r>
            <w:r>
              <w:t xml:space="preserve"> právem.</w:t>
            </w:r>
          </w:p>
        </w:tc>
        <w:tc>
          <w:tcPr>
            <w:tcW w:w="4876" w:type="dxa"/>
          </w:tcPr>
          <w:p>
            <w:pPr>
              <w:pStyle w:val="Normal6a"/>
            </w:pPr>
            <w:r>
              <w:t>2.</w:t>
            </w:r>
            <w:r>
              <w:tab/>
            </w:r>
            <w:r>
              <w:t xml:space="preserve">Právo </w:t>
            </w:r>
            <w:r>
              <w:rPr>
                <w:b/>
                <w:i/>
              </w:rPr>
              <w:t>na</w:t>
            </w:r>
            <w:r>
              <w:t xml:space="preserve"> opravný prostředek se </w:t>
            </w:r>
            <w:r>
              <w:rPr>
                <w:b/>
                <w:i/>
              </w:rPr>
              <w:t>uplatňuje u příslušného</w:t>
            </w:r>
            <w:r>
              <w:t xml:space="preserve"> soudu v </w:t>
            </w:r>
            <w:r>
              <w:rPr>
                <w:b/>
                <w:i/>
              </w:rPr>
              <w:t>dožadujícím nebo dožadovaném</w:t>
            </w:r>
            <w:r>
              <w:t xml:space="preserve"> státě v souladu s </w:t>
            </w:r>
            <w:r>
              <w:rPr>
                <w:b/>
                <w:i/>
              </w:rPr>
              <w:t>příslušným vnitrostátním</w:t>
            </w:r>
            <w:r>
              <w:t xml:space="preserve"> právem.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Lhůta pro </w:t>
            </w:r>
            <w:r>
              <w:rPr>
                <w:b/>
                <w:i/>
              </w:rPr>
              <w:t>uplatnění</w:t>
            </w:r>
            <w:r>
              <w:t xml:space="preserve"> opravného prostředku </w:t>
            </w:r>
            <w:r>
              <w:rPr>
                <w:b/>
                <w:i/>
              </w:rPr>
              <w:t>nepřekročí dvacet dní</w:t>
            </w:r>
            <w:r>
              <w:t xml:space="preserve"> ode dne obdržení </w:t>
            </w:r>
            <w:r>
              <w:rPr>
                <w:b/>
                <w:i/>
              </w:rPr>
              <w:t>informace o rozhodnutí</w:t>
            </w:r>
            <w:r>
              <w:t xml:space="preserve"> podle čl. 12 odst. 1.</w:t>
            </w:r>
          </w:p>
        </w:tc>
        <w:tc>
          <w:tcPr>
            <w:tcW w:w="4876" w:type="dxa"/>
          </w:tcPr>
          <w:p>
            <w:pPr>
              <w:pStyle w:val="Normal6a"/>
            </w:pPr>
            <w:r>
              <w:t>3.</w:t>
            </w:r>
            <w:r>
              <w:tab/>
            </w:r>
            <w:r>
              <w:t xml:space="preserve">Lhůta pro </w:t>
            </w:r>
            <w:r>
              <w:rPr>
                <w:b/>
                <w:i/>
              </w:rPr>
              <w:t>podání</w:t>
            </w:r>
            <w:r>
              <w:t xml:space="preserve"> opravného prostředku </w:t>
            </w:r>
            <w:r>
              <w:rPr>
                <w:b/>
                <w:i/>
              </w:rPr>
              <w:t>nesmí být delší než 30 pracovních dnů</w:t>
            </w:r>
            <w:r>
              <w:t xml:space="preserve"> ode dne obdržení </w:t>
            </w:r>
            <w:r>
              <w:rPr>
                <w:b/>
                <w:i/>
              </w:rPr>
              <w:t>informací o žádosti podané</w:t>
            </w:r>
            <w:r>
              <w:t xml:space="preserve"> podle </w:t>
            </w:r>
            <w:r>
              <w:rPr>
                <w:b/>
                <w:i/>
              </w:rPr>
              <w:t>čl. 5 odst. 1 a o rozhodnutích uvedených v čl. 5 odst. 3a a</w:t>
            </w:r>
            <w:r>
              <w:t xml:space="preserve"> čl. 12 odst.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Lhůta pro uplatnění opravného prostředku nepřekročí </w:t>
            </w:r>
            <w:r>
              <w:rPr>
                <w:b/>
                <w:i/>
              </w:rPr>
              <w:t>dvacet</w:t>
            </w:r>
            <w:r>
              <w:t xml:space="preserve"> dní ode dne obdržení informace o rozhodnutí podle čl. 12 odst. 1.</w:t>
            </w:r>
          </w:p>
        </w:tc>
        <w:tc>
          <w:tcPr>
            <w:tcW w:w="4876" w:type="dxa"/>
          </w:tcPr>
          <w:p>
            <w:pPr>
              <w:pStyle w:val="Normal6a"/>
            </w:pPr>
            <w:r>
              <w:t>3.</w:t>
            </w:r>
            <w:r>
              <w:tab/>
            </w:r>
            <w:r>
              <w:t xml:space="preserve">Lhůta pro uplatnění opravného prostředku nepřekročí </w:t>
            </w:r>
            <w:r>
              <w:rPr>
                <w:b/>
                <w:i/>
              </w:rPr>
              <w:t>14</w:t>
            </w:r>
            <w:r>
              <w:t> dní ode dne obdržení informace o rozhodnutí podle čl. 12 odst.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Je-li žádost o předání trestního řízení vydána po podání obžaloby proti podezřelé nebo obviněné osobě, uplatnění opravného prostředku proti rozhodnutí, kterým se předání trestního řízení přijímá, má odkladný účinek.</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rPr>
                <w:b/>
                <w:i/>
              </w:rPr>
              <w:t>Je-li žádost o předání trestního řízení vydána po</w:t>
            </w:r>
            <w:r>
              <w:t xml:space="preserve"> podání </w:t>
            </w:r>
            <w:r>
              <w:rPr>
                <w:b/>
                <w:i/>
              </w:rPr>
              <w:t>obžaloby proti podezřelé nebo obviněné osobě, uplatnění</w:t>
            </w:r>
            <w:r>
              <w:t xml:space="preserve"> opravného prostředku proti rozhodnutí</w:t>
            </w:r>
            <w:r>
              <w:rPr>
                <w:b/>
                <w:i/>
              </w:rPr>
              <w:t>, kterým se</w:t>
            </w:r>
            <w:r>
              <w:t xml:space="preserve"> předání trestního řízení </w:t>
            </w:r>
            <w:r>
              <w:rPr>
                <w:b/>
                <w:i/>
              </w:rPr>
              <w:t>přijímá,</w:t>
            </w:r>
            <w:r>
              <w:t xml:space="preserve"> má odkladný účinek.</w:t>
            </w:r>
          </w:p>
        </w:tc>
        <w:tc>
          <w:tcPr>
            <w:tcW w:w="4876" w:type="dxa"/>
          </w:tcPr>
          <w:p>
            <w:pPr>
              <w:pStyle w:val="Normal6a"/>
            </w:pPr>
            <w:r>
              <w:t>4.</w:t>
            </w:r>
            <w:r>
              <w:tab/>
            </w:r>
            <w:r>
              <w:t xml:space="preserve">Podání opravného prostředku proti rozhodnutí </w:t>
            </w:r>
            <w:r>
              <w:rPr>
                <w:b/>
                <w:i/>
              </w:rPr>
              <w:t>o žádosti o</w:t>
            </w:r>
            <w:r>
              <w:t xml:space="preserve"> předání trestního řízení </w:t>
            </w:r>
            <w:r>
              <w:rPr>
                <w:b/>
                <w:i/>
              </w:rPr>
              <w:t>nebo o jeho přijetí</w:t>
            </w:r>
            <w:r>
              <w:t xml:space="preserve"> má odkladný účinek.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Dožádaný orgán informuje dožadující orgán o opravných prostředcích </w:t>
            </w:r>
            <w:r>
              <w:rPr>
                <w:b/>
                <w:i/>
              </w:rPr>
              <w:t>uplatněných</w:t>
            </w:r>
            <w:r>
              <w:t xml:space="preserve"> podle tohoto článku.</w:t>
            </w:r>
          </w:p>
        </w:tc>
        <w:tc>
          <w:tcPr>
            <w:tcW w:w="4876" w:type="dxa"/>
          </w:tcPr>
          <w:p>
            <w:pPr>
              <w:pStyle w:val="Normal6a"/>
            </w:pPr>
            <w:r>
              <w:t>5.</w:t>
            </w:r>
            <w:r>
              <w:tab/>
            </w:r>
            <w:r>
              <w:t xml:space="preserve">Dožádaný orgán </w:t>
            </w:r>
            <w:r>
              <w:rPr>
                <w:b/>
                <w:i/>
              </w:rPr>
              <w:t>bez zbytečného odkladu</w:t>
            </w:r>
            <w:r>
              <w:t xml:space="preserve"> informuje dožadující orgán o opravných prostředcích </w:t>
            </w:r>
            <w:r>
              <w:rPr>
                <w:b/>
                <w:i/>
              </w:rPr>
              <w:t>požadovaných</w:t>
            </w:r>
            <w:r>
              <w:t xml:space="preserve"> podle tohoto článku </w:t>
            </w:r>
            <w:r>
              <w:rPr>
                <w:b/>
                <w:i/>
              </w:rPr>
              <w:t>a o jejich konečném výsledku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5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Dožadující a dožádaný orgán se příslušným způsobem vzájemně informují o opravných prostředcích podle tohoto článku a o jejich konečném výsledku do pěti pracovních dnů od přijetí rozhodnutí o opravných prostředcích.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7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Dožádaný orgán co nejdříve potvrdí přijetí žádosti.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8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8a.</w:t>
            </w:r>
            <w:r>
              <w:tab/>
            </w:r>
            <w:r>
              <w:rPr>
                <w:b/>
                <w:i/>
              </w:rPr>
              <w:t>Příslušný orgán dožádaného členského státu vydá potvrzení o přijetí žádosti.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Podezřelá nebo obviněná osoba a její právní poradci jsou průběžně informováni o vývoji situace týkající se jakékoli žádostí za předpokladu, že to neohrozí důvěrnost vyšetřování.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Pokud to neohrozí důvěrnost vyšetřování, měla by mít podezřelá nebo obviněná osoba právo být informována.</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Dožadující orgán může žádost o předání trestního řízení stáhnout kdykoli před tím, než obdrží rozhodnutí, kterým dožádaný orgán předání trestního řízení přijal podle článku 12.</w:t>
            </w:r>
          </w:p>
        </w:tc>
        <w:tc>
          <w:tcPr>
            <w:tcW w:w="4876" w:type="dxa"/>
          </w:tcPr>
          <w:p>
            <w:pPr>
              <w:pStyle w:val="Normal6a"/>
            </w:pPr>
            <w:r>
              <w:t xml:space="preserve">Dožadující orgán může žádost o předání trestního řízení stáhnout kdykoli před tím, než obdrží rozhodnutí, kterým dožádaný orgán předání trestního řízení přijal podle článku 12. </w:t>
            </w:r>
            <w:r>
              <w:rPr>
                <w:b/>
                <w:i/>
              </w:rPr>
              <w:t>Dožadující orgán písemně odůvodní rozhodnutí o stažení žádosti a poskytne podezřelé nebo obviněné osobě a oběti stručné vysvětlení.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1 – pododstavec 1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Rozhodnutí dožadujícího orgánu o stažení žádosti by mělo podléhat soudnímu přezkumu.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Takové rozhodnutí by mohlo mít nepříznivé důsledky pro práva podezřelého, a proto by mělo být možné jej soudně přezkoumat.</w:t>
      </w:r>
    </w:p>
    <w:p>
      <w:r>
        <w:rPr>
          <w:rStyle w:val="HideTWBExt"/>
        </w:rPr>
        <w:t>&lt;/Amend&gt;</w:t>
      </w:r>
    </w:p>
    <w:p>
      <w:pPr>
        <w:pStyle w:val="AmNumberTabs"/>
      </w:pPr>
      <w:r>
        <w:rPr>
          <w:rStyle w:val="HideTWBExt"/>
        </w:rPr>
        <w:t>&lt;Amend&gt;</w:t>
      </w:r>
      <w:r>
        <w:t>Pozměňovací návrh</w:t>
      </w:r>
      <w:r>
        <w:tab/>
      </w:r>
      <w:r>
        <w:tab/>
      </w:r>
      <w:r>
        <w:rPr>
          <w:rStyle w:val="HideTWBExt"/>
        </w:rPr>
        <w:t>&lt;NumAm&gt;</w:t>
      </w:r>
      <w:r>
        <w:t>117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Dožádaný orgán přijme odůvodněné rozhodnutí o tom, zda předání trestního řízení přijímá, a v souladu se svými vnitrostátními právními předpisy rozhodne, jaká související opatření učiní.</w:t>
            </w:r>
          </w:p>
        </w:tc>
        <w:tc>
          <w:tcPr>
            <w:tcW w:w="4876" w:type="dxa"/>
          </w:tcPr>
          <w:p>
            <w:pPr>
              <w:pStyle w:val="Normal6a"/>
            </w:pPr>
            <w:r>
              <w:t>1.</w:t>
            </w:r>
            <w:r>
              <w:tab/>
            </w:r>
            <w:r>
              <w:t xml:space="preserve">Dožádaný orgán přijme odůvodněné rozhodnutí o tom, zda předání trestního řízení přijímá, a v souladu se svými vnitrostátními právními předpisy rozhodne, jaká související opatření učiní. </w:t>
            </w:r>
            <w:r>
              <w:rPr>
                <w:b/>
                <w:i/>
              </w:rPr>
              <w:t>Informuje dožadující orgán o svém odůvodněném rozhodnutí ve lhůtách stanovených v článku 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Pokud dožádaný orgán předání trestního řízení přijal, dožadující orgán bezodkladně zašle originál spisu ve věci nebo jeho ověřenou kopii </w:t>
            </w:r>
            <w:r>
              <w:rPr>
                <w:b/>
                <w:i/>
              </w:rPr>
              <w:t>či jeho příslušné části</w:t>
            </w:r>
            <w:r>
              <w:t xml:space="preserve"> společně s jejich překladem do úředního jazyka dožádaného státu nebo jakéhokoli jiného jazyka, který dožádaný stát přijme v souladu s čl. 30 odst. 1 písm. c). </w:t>
            </w:r>
            <w:r>
              <w:rPr>
                <w:b/>
                <w:i/>
              </w:rPr>
              <w:t>Dožadující a dožádané orgány mohou v nutných případech vést vzájemnou konzultaci, aby určily, které nezbytné dokumenty nebo části těchto dokumentů mají být zaslány a také přeloženy.</w:t>
            </w:r>
          </w:p>
        </w:tc>
        <w:tc>
          <w:tcPr>
            <w:tcW w:w="4876" w:type="dxa"/>
          </w:tcPr>
          <w:p>
            <w:pPr>
              <w:pStyle w:val="Normal6a"/>
            </w:pPr>
            <w:r>
              <w:t>5.</w:t>
            </w:r>
            <w:r>
              <w:tab/>
            </w:r>
            <w:r>
              <w:t>Pokud dožádaný orgán předání trestního řízení přijal, dožadující orgán bezodkladně zašle originál spisu ve věci nebo jeho ověřenou kopii společně s jejich překladem do úředního jazyka dožádaného státu nebo jakéhokoli jiného jazyka, který dožádaný stát přijme v souladu s čl. 30 odst. 1 písm. 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12 – odst.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Pokud dožádaný orgán předání trestního řízení přijal, dožadující orgán bezodkladně </w:t>
            </w:r>
            <w:r>
              <w:rPr>
                <w:b/>
                <w:i/>
              </w:rPr>
              <w:t>zašle</w:t>
            </w:r>
            <w:r>
              <w:t xml:space="preserve"> originál spisu ve věci nebo jeho ověřenou kopii či jeho příslušné části společně s jejich překladem do úředního jazyka dožádaného státu nebo jakéhokoli jiného jazyka, který dožádaný stát přijme v souladu s čl. 30 odst. 1 písm. c). Dožadující a dožádané orgány mohou v nutných případech vést vzájemnou konzultaci, aby určily, které nezbytné dokumenty nebo části těchto dokumentů mají být zaslány a také přeloženy.</w:t>
            </w:r>
          </w:p>
        </w:tc>
        <w:tc>
          <w:tcPr>
            <w:tcW w:w="4876" w:type="dxa"/>
          </w:tcPr>
          <w:p>
            <w:pPr>
              <w:pStyle w:val="Normal6a"/>
            </w:pPr>
            <w:r>
              <w:t>5.</w:t>
            </w:r>
            <w:r>
              <w:tab/>
            </w:r>
            <w:r>
              <w:t xml:space="preserve">Pokud dožádaný orgán předání trestního řízení přijal, </w:t>
            </w:r>
            <w:r>
              <w:rPr>
                <w:b/>
                <w:i/>
              </w:rPr>
              <w:t>a pouze poté, co bylo přijato rozhodnutí ve věci opravného prostředku, zašle</w:t>
            </w:r>
            <w:r>
              <w:t xml:space="preserve"> dožadující orgán bezodkladně originál spisu ve věci nebo jeho ověřenou kopii či jeho příslušné části společně s jejich překladem do úředního jazyka dožádaného státu nebo jakéhokoli jiného jazyka, který dožádaný stát přijme v souladu s čl. 30 odst. 1 písm. c). Dožadující a dožádané orgány mohou v nutných případech vést vzájemnou konzultaci, aby určily, které nezbytné dokumenty nebo části těchto dokumentů mají být zaslány a také přeloženy.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 – písm. a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podle práva dožádaného státu existuje imunita či výsada, která mu znemožňuje jednat;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1 – písm.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jestliže dožádaný stát není příslušný zabývat se daným trestným činem. </w:t>
            </w:r>
            <w:r>
              <w:rPr>
                <w:b/>
                <w:i/>
              </w:rPr>
              <w:t>Tato příslušnost může rovněž vyplývat z článku 3.</w:t>
            </w:r>
          </w:p>
        </w:tc>
        <w:tc>
          <w:tcPr>
            <w:tcW w:w="4876" w:type="dxa"/>
          </w:tcPr>
          <w:p>
            <w:pPr>
              <w:pStyle w:val="Normal6a"/>
            </w:pPr>
            <w:r>
              <w:t>f)</w:t>
            </w:r>
            <w:r>
              <w:tab/>
            </w:r>
            <w:r>
              <w:t>jestliže dožádaný stát není příslušný zabývat se daným trestným činem.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2 – písm.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w:t>
            </w:r>
            <w:r>
              <w:tab/>
            </w:r>
            <w:r>
              <w:rPr>
                <w:b/>
                <w:i/>
              </w:rPr>
              <w:t>podle práva dožádaného státu existuje imunita či výsada, která mu znemožňuje jednat;</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2 – písm.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dožádaný orgán má za to, že předání trestního řízení není v zájmu účinného a řádného výkonu spravedlnosti;</w:t>
            </w:r>
          </w:p>
        </w:tc>
        <w:tc>
          <w:tcPr>
            <w:tcW w:w="4876" w:type="dxa"/>
          </w:tcPr>
          <w:p>
            <w:pPr>
              <w:pStyle w:val="Normal6a"/>
            </w:pPr>
            <w:r>
              <w:t>b)</w:t>
            </w:r>
            <w:r>
              <w:tab/>
            </w:r>
            <w:r>
              <w:t xml:space="preserve">dožádaný orgán má za to, že předání trestního řízení není v zájmu účinného a řádného výkonu spravedlnosti </w:t>
            </w:r>
            <w:r>
              <w:rPr>
                <w:b/>
                <w:i/>
              </w:rPr>
              <w:t>a ochrany základních práv podezřelých nebo obviněných osob a obětí, jak je zakotveno v unijním a vnitrostátním právu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2 – písm. d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w:t>
            </w:r>
            <w:r>
              <w:tab/>
            </w:r>
            <w:r>
              <w:rPr>
                <w:b/>
                <w:i/>
              </w:rPr>
              <w:t>úkon, který je základem řízení, není trestným činem, pokud k němu došlo, a tudíž podle práva dožádaného státu neexistuje soudní příslušnost.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údajný trestný čin není trestným činem v místě, kde byl spáchán, a dožádaný stát nemá podle svého vnitrostátního práva pravomoc trestný čin stíhat.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V kterékoli ze situací uvedených v odstavcích 1 a 2 je dožádaný orgán před tím, než rozhodne, že předání trestního řízení zcela či zčásti odmítá, povinen konzultovat dožadující orgán a je-li to nutné, požádat jej, aby bez odkladu poskytl všechny nezbytné informace.</w:t>
            </w:r>
          </w:p>
        </w:tc>
        <w:tc>
          <w:tcPr>
            <w:tcW w:w="4876" w:type="dxa"/>
          </w:tcPr>
          <w:p>
            <w:pPr>
              <w:pStyle w:val="Normal6a"/>
            </w:pPr>
            <w:r>
              <w:t>3.</w:t>
            </w:r>
            <w:r>
              <w:tab/>
            </w:r>
            <w:r>
              <w:t xml:space="preserve">V kterékoli ze situací uvedených v odstavcích 1 a 2 je dožádaný orgán před tím, než rozhodne, že předání trestního řízení zcela či zčásti odmítá, povinen konzultovat dožadující orgán a je-li to nutné, požádat jej, aby bez odkladu poskytl všechny nezbytné informace. </w:t>
            </w:r>
            <w:r>
              <w:rPr>
                <w:b/>
                <w:i/>
              </w:rPr>
              <w:t>Kromě toho jsou podezřelá nebo obviněná osoba a její právní poradci průběžně informováni o vývoji v souvislosti s jakoukoli žádostí za předpokladu, že to neohrozí důvěrnost vyšetřování.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Pokud to neohrozí důvěrnost vyšetřování, měla by mít podezřelá nebo obviněná osoba právo být informována.</w:t>
      </w:r>
    </w:p>
    <w:p>
      <w:r>
        <w:rPr>
          <w:rStyle w:val="HideTWBExt"/>
        </w:rPr>
        <w:t>&lt;/Amend&gt;</w:t>
      </w:r>
    </w:p>
    <w:p>
      <w:pPr>
        <w:pStyle w:val="AmNumberTabs"/>
      </w:pPr>
      <w:r>
        <w:rPr>
          <w:rStyle w:val="HideTWBExt"/>
        </w:rPr>
        <w:t>&lt;Amend&gt;</w:t>
      </w:r>
      <w:r>
        <w:t>Pozměňovací návrh</w:t>
      </w:r>
      <w:r>
        <w:tab/>
      </w:r>
      <w:r>
        <w:tab/>
      </w:r>
      <w:r>
        <w:rPr>
          <w:rStyle w:val="HideTWBExt"/>
        </w:rPr>
        <w:t>&lt;NumAm&gt;</w:t>
      </w:r>
      <w:r>
        <w:t>127</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13 – odst. 4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Každé rozhodnutí o odmítnutí přemístění podléhá soudnímu přezkumu jak u vnitrostátních soudů, tak u Soudního dvora Evropské unie.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Takové rozhodnutí by mohlo mít nepříznivé důsledky pro práva podezřelého, a proto by takový soudní přezkum měl být možný.</w:t>
      </w:r>
    </w:p>
    <w:p>
      <w:r>
        <w:rPr>
          <w:rStyle w:val="HideTWBExt"/>
        </w:rPr>
        <w:t>&lt;/Amend&gt;</w:t>
      </w:r>
    </w:p>
    <w:p>
      <w:pPr>
        <w:pStyle w:val="AmNumberTabs"/>
      </w:pPr>
      <w:r>
        <w:rPr>
          <w:rStyle w:val="HideTWBExt"/>
        </w:rPr>
        <w:t>&lt;Amend&gt;</w:t>
      </w:r>
      <w:r>
        <w:t>Pozměňovací návrh</w:t>
      </w:r>
      <w:r>
        <w:tab/>
      </w:r>
      <w:r>
        <w:tab/>
      </w:r>
      <w:r>
        <w:rPr>
          <w:rStyle w:val="HideTWBExt"/>
        </w:rPr>
        <w:t>&lt;NumAm&gt;</w:t>
      </w:r>
      <w:r>
        <w:t>128</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Dožádaný orgán sdělí dožadujícímu orgánu své rozhodnutí, zda předání trestního řízení přijímá, a to bezodkladně, v každém případě nejpozději do </w:t>
            </w:r>
            <w:r>
              <w:rPr>
                <w:b/>
                <w:i/>
              </w:rPr>
              <w:t>60</w:t>
            </w:r>
            <w:r>
              <w:t xml:space="preserve"> dnů ode dne, kdy příslušný dožádaný orgán obdržel žádost o předání trestního řízení.</w:t>
            </w:r>
          </w:p>
        </w:tc>
        <w:tc>
          <w:tcPr>
            <w:tcW w:w="4876" w:type="dxa"/>
          </w:tcPr>
          <w:p>
            <w:pPr>
              <w:pStyle w:val="Normal6a"/>
            </w:pPr>
            <w:r>
              <w:t>1.</w:t>
            </w:r>
            <w:r>
              <w:tab/>
            </w:r>
            <w:r>
              <w:t xml:space="preserve">Dožádaný orgán sdělí dožadujícímu orgánu své rozhodnutí, zda předání trestního řízení přijímá, a to bezodkladně, v každém případě nejpozději do </w:t>
            </w:r>
            <w:r>
              <w:rPr>
                <w:b/>
                <w:i/>
              </w:rPr>
              <w:t>30 dnů a v naléhavých případech do 7</w:t>
            </w:r>
            <w:r>
              <w:t xml:space="preserve"> dnů ode dne, kdy příslušný dožádaný orgán obdržel žádost o předání trestního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Dožádaný orgán sdělí dožadujícímu orgánu své rozhodnutí, zda předání trestního řízení přijímá, a to bezodkladně, v každém případě nejpozději do 60 dnů ode dne, kdy příslušný dožádaný orgán obdržel žádost o předání trestního řízení.</w:t>
            </w:r>
          </w:p>
        </w:tc>
        <w:tc>
          <w:tcPr>
            <w:tcW w:w="4876" w:type="dxa"/>
          </w:tcPr>
          <w:p>
            <w:pPr>
              <w:pStyle w:val="Normal6a"/>
            </w:pPr>
            <w:r>
              <w:t>1.</w:t>
            </w:r>
            <w:r>
              <w:tab/>
            </w:r>
            <w:r>
              <w:t xml:space="preserve">Dožádaný orgán sdělí dožadujícímu orgánu své rozhodnutí, zda předání trestního řízení přijímá, a to bezodkladně, v každém případě nejpozději do 60 </w:t>
            </w:r>
            <w:r>
              <w:rPr>
                <w:b/>
                <w:i/>
              </w:rPr>
              <w:t>pracovních</w:t>
            </w:r>
            <w:r>
              <w:t xml:space="preserve"> dnů ode dne, kdy příslušný dožádaný orgán obdržel žádost o předání trestního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Pokud podezřelá obviněná osoba a oběti uplatní v dožadujícím a dožádaném státě proti rozhodnutí požádat, přijmout nebo odmítnout předání trestního řízení své právo na účinné opravné prostředky, rozhodnou dožadující nebo dožádané orgány do 60 pracovních dnů o tom, zda neprodleně požádají o předání trestního řízení nebo zda takové žádosti vyhoví či ji zamítnou, a oznámí toto rozhodnutí podezřelé nebo obviněné osobě a oběti.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Pokud dožádaný orgán v konkrétním případě není schopen dodržet lhůtu stanovenou v odstavci 1, ihned o tom informuje dožadující orgán a uvede důvody prodlení. V tomto případě může být lhůta stanovená v odstavci 1 prodloužena, maximálně o 30 dnů.</w:t>
            </w:r>
          </w:p>
        </w:tc>
        <w:tc>
          <w:tcPr>
            <w:tcW w:w="4876" w:type="dxa"/>
          </w:tcPr>
          <w:p>
            <w:pPr>
              <w:pStyle w:val="Normal6a"/>
            </w:pPr>
            <w:r>
              <w:t>2.</w:t>
            </w:r>
            <w:r>
              <w:tab/>
            </w:r>
            <w:r>
              <w:t xml:space="preserve">Pokud dožádaný orgán v konkrétním případě není schopen dodržet lhůtu stanovenou v odstavci 1, ihned o tom informuje dožadující orgán a uvede důvody prodlení. V tomto případě může být lhůta stanovená v odstavci 1 prodloužena, maximálně o 30 </w:t>
            </w:r>
            <w:r>
              <w:rPr>
                <w:b/>
                <w:i/>
              </w:rPr>
              <w:t>pracovních</w:t>
            </w:r>
            <w:r>
              <w:t xml:space="preserve"> dnů.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Pokud dožádaný orgán v konkrétním případě není schopen dodržet lhůtu stanovenou v odstavci 1, ihned o tom informuje dožadující orgán a uvede důvody prodlení. V tomto případě může být lhůta stanovená v odstavci 1 prodloužena, maximálně o </w:t>
            </w:r>
            <w:r>
              <w:rPr>
                <w:b/>
                <w:i/>
              </w:rPr>
              <w:t>30</w:t>
            </w:r>
            <w:r>
              <w:t xml:space="preserve"> dnů.</w:t>
            </w:r>
          </w:p>
        </w:tc>
        <w:tc>
          <w:tcPr>
            <w:tcW w:w="4876" w:type="dxa"/>
          </w:tcPr>
          <w:p>
            <w:pPr>
              <w:pStyle w:val="Normal6a"/>
            </w:pPr>
            <w:r>
              <w:t>2.</w:t>
            </w:r>
            <w:r>
              <w:tab/>
            </w:r>
            <w:r>
              <w:t>Pokud dožádaný orgán v konkrétním případě není schopen dodržet lhůtu stanovenou v odstavci 1, ihned o tom informuje dožadující orgán a uvede důvody prodlení. V tomto případě může být lhůta stanovená v odstavci 1 prodloužena, maximálně o </w:t>
            </w:r>
            <w:r>
              <w:rPr>
                <w:b/>
                <w:i/>
              </w:rPr>
              <w:t>15</w:t>
            </w:r>
            <w:r>
              <w:t> dnů.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Konzultace </w:t>
            </w:r>
            <w:r>
              <w:rPr>
                <w:b/>
                <w:i/>
              </w:rPr>
              <w:t>mohou také proběhnout</w:t>
            </w:r>
            <w:r>
              <w:t xml:space="preserve"> před vydáním žádosti o předání trestního řízení, zejména s cílem určit, zda by předání sloužilo zájmům účinného a řádného výkonu spravedlnosti. Aby mohl navrhnout předání trestního řízení z dožadujícího státu, </w:t>
            </w:r>
            <w:r>
              <w:rPr>
                <w:b/>
                <w:i/>
              </w:rPr>
              <w:t>může</w:t>
            </w:r>
            <w:r>
              <w:t xml:space="preserve"> konzultaci s dožadujícím orgánem ohledně možnosti vydání žádosti o předání trestního řízení </w:t>
            </w:r>
            <w:r>
              <w:rPr>
                <w:b/>
                <w:i/>
              </w:rPr>
              <w:t>provést</w:t>
            </w:r>
            <w:r>
              <w:t xml:space="preserve"> také dožádaný orgán.</w:t>
            </w:r>
          </w:p>
        </w:tc>
        <w:tc>
          <w:tcPr>
            <w:tcW w:w="4876" w:type="dxa"/>
          </w:tcPr>
          <w:p>
            <w:pPr>
              <w:pStyle w:val="Normal6a"/>
            </w:pPr>
            <w:r>
              <w:t>2.</w:t>
            </w:r>
            <w:r>
              <w:tab/>
            </w:r>
            <w:r>
              <w:t xml:space="preserve">Konzultace </w:t>
            </w:r>
            <w:r>
              <w:rPr>
                <w:b/>
                <w:i/>
              </w:rPr>
              <w:t>proběhnou také</w:t>
            </w:r>
            <w:r>
              <w:t xml:space="preserve"> před vydáním žádosti o předání trestního řízení, zejména s cílem určit, zda by předání sloužilo zájmům účinného a řádného výkonu spravedlnosti. Aby mohl navrhnout předání trestního řízení z dožadujícího státu, </w:t>
            </w:r>
            <w:r>
              <w:rPr>
                <w:b/>
                <w:i/>
              </w:rPr>
              <w:t>provede</w:t>
            </w:r>
            <w:r>
              <w:t xml:space="preserve"> konzultaci s dožadujícím orgánem ohledně možnosti vydání žádosti o předání trestního řízení také dožádaný orgán.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Na žádosti o konzultace je nutné odpovědět bez odkladu.</w:t>
            </w:r>
          </w:p>
        </w:tc>
        <w:tc>
          <w:tcPr>
            <w:tcW w:w="4876" w:type="dxa"/>
          </w:tcPr>
          <w:p>
            <w:pPr>
              <w:pStyle w:val="Normal6a"/>
            </w:pPr>
            <w:r>
              <w:t>4.</w:t>
            </w:r>
            <w:r>
              <w:tab/>
            </w:r>
            <w:r>
              <w:t xml:space="preserve">Na žádosti o konzultace je nutné odpovědět bez </w:t>
            </w:r>
            <w:r>
              <w:rPr>
                <w:b/>
                <w:i/>
              </w:rPr>
              <w:t>zbytečného</w:t>
            </w:r>
            <w:r>
              <w:t xml:space="preserve"> odkladu.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4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Podezřelá nebo obviněná osoba a její právní poradci jsou průběžně informováni o konzultacích týkajících se jakékoli žádostí za předpokladu, že to neohrozí důvěrnost vyšetřování.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Pokud to neohrozí důvěrnost vyšetřování, měla by mít podezřelá nebo obviněná osoba právo být informována.</w:t>
      </w:r>
    </w:p>
    <w:p>
      <w:r>
        <w:rPr>
          <w:rStyle w:val="HideTWBExt"/>
        </w:rPr>
        <w:t>&lt;/Amend&gt;</w:t>
      </w:r>
    </w:p>
    <w:p>
      <w:pPr>
        <w:pStyle w:val="AmNumberTabs"/>
      </w:pPr>
      <w:r>
        <w:rPr>
          <w:rStyle w:val="HideTWBExt"/>
        </w:rPr>
        <w:t>&lt;Amend&gt;</w:t>
      </w:r>
      <w:r>
        <w:t>Pozměňovací návrh</w:t>
      </w:r>
      <w:r>
        <w:tab/>
      </w:r>
      <w:r>
        <w:tab/>
      </w:r>
      <w:r>
        <w:rPr>
          <w:rStyle w:val="HideTWBExt"/>
        </w:rPr>
        <w:t>&lt;NumAm&gt;</w:t>
      </w:r>
      <w:r>
        <w:t>136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16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Dožadující i dožádané orgány mohou v jakékoli fázi postupu požádat o pomoc agenturu Eurojust nebo Evropskou justiční síť, a to v souladu s jejich příslušnými pravomocemi. Konkrétně agentura Eurojust může případně zprostředkovat konzultace uvedené v ustanoveních čl. 12 odst. </w:t>
            </w:r>
            <w:r>
              <w:rPr>
                <w:b/>
                <w:i/>
              </w:rPr>
              <w:t>2</w:t>
            </w:r>
            <w:r>
              <w:t xml:space="preserve">, čl. 13 odst. 3, článku 15 </w:t>
            </w:r>
            <w:r>
              <w:rPr>
                <w:b/>
                <w:i/>
              </w:rPr>
              <w:t>a</w:t>
            </w:r>
            <w:r>
              <w:t xml:space="preserve"> čl. 17 odst. 2.</w:t>
            </w:r>
          </w:p>
        </w:tc>
        <w:tc>
          <w:tcPr>
            <w:tcW w:w="4876" w:type="dxa"/>
          </w:tcPr>
          <w:p>
            <w:pPr>
              <w:pStyle w:val="Normal6a"/>
            </w:pPr>
            <w:r>
              <w:t xml:space="preserve">Dožadující i dožádané orgány mohou v jakékoli fázi postupu požádat o pomoc agenturu Eurojust nebo Evropskou justiční síť, a to v souladu s jejich příslušnými pravomocemi. Konkrétně agentura Eurojust může případně zprostředkovat konzultace uvedené v ustanoveních čl. </w:t>
            </w:r>
            <w:r>
              <w:rPr>
                <w:b/>
                <w:i/>
              </w:rPr>
              <w:t>9 odst. 7, čl.</w:t>
            </w:r>
            <w:r>
              <w:t xml:space="preserve"> 12 odst. </w:t>
            </w:r>
            <w:r>
              <w:rPr>
                <w:b/>
                <w:i/>
              </w:rPr>
              <w:t>5</w:t>
            </w:r>
            <w:r>
              <w:t>, čl. 13 odst. 3, článku 15</w:t>
            </w:r>
            <w:r>
              <w:rPr>
                <w:b/>
                <w:i/>
              </w:rPr>
              <w:t>,</w:t>
            </w:r>
            <w:r>
              <w:t xml:space="preserve"> čl. 17 odst. 2 </w:t>
            </w:r>
            <w:r>
              <w:rPr>
                <w:b/>
                <w:i/>
              </w:rPr>
              <w:t>a článku 19</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Každý členský stát nese své vlastní náklady na předávání trestních řízení vzniklé </w:t>
            </w:r>
            <w:r>
              <w:rPr>
                <w:b/>
                <w:i/>
              </w:rPr>
              <w:t>z</w:t>
            </w:r>
            <w:r>
              <w:t xml:space="preserve"> uplatňování tohoto nařízení.</w:t>
            </w:r>
          </w:p>
        </w:tc>
        <w:tc>
          <w:tcPr>
            <w:tcW w:w="4876" w:type="dxa"/>
          </w:tcPr>
          <w:p>
            <w:pPr>
              <w:pStyle w:val="Normal6a"/>
            </w:pPr>
            <w:r>
              <w:t>1.</w:t>
            </w:r>
            <w:r>
              <w:tab/>
            </w:r>
            <w:r>
              <w:t xml:space="preserve">Každý členský stát nese své vlastní náklady na předávání trestních řízení vzniklé </w:t>
            </w:r>
            <w:r>
              <w:rPr>
                <w:b/>
                <w:i/>
              </w:rPr>
              <w:t>při</w:t>
            </w:r>
            <w:r>
              <w:t xml:space="preserve"> uplatňování tohoto nařízení</w:t>
            </w:r>
            <w:r>
              <w:rPr>
                <w:b/>
                <w:i/>
              </w:rPr>
              <w:t>,</w:t>
            </w:r>
            <w:r>
              <w:t xml:space="preserve"> </w:t>
            </w:r>
            <w:r>
              <w:rPr>
                <w:b/>
                <w:i/>
              </w:rPr>
              <w:t>mj. nákladů na právní pomoc, na kterou má podezřelá nebo obviněná osoba právo v každém členském státě</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Je důležité vyjasnit, že náklady vyplývající z práv na právní pomoc v každém členském státě nesou příslušné členské státy.</w:t>
      </w:r>
    </w:p>
    <w:p>
      <w:r>
        <w:rPr>
          <w:rStyle w:val="HideTWBExt"/>
        </w:rPr>
        <w:t>&lt;/Amend&gt;</w:t>
      </w:r>
    </w:p>
    <w:p>
      <w:pPr>
        <w:pStyle w:val="AmNumberTabs"/>
      </w:pPr>
      <w:r>
        <w:rPr>
          <w:rStyle w:val="HideTWBExt"/>
        </w:rPr>
        <w:t>&lt;Amend&gt;</w:t>
      </w:r>
      <w:r>
        <w:t>Pozměňovací návrh</w:t>
      </w:r>
      <w:r>
        <w:tab/>
      </w:r>
      <w:r>
        <w:tab/>
      </w:r>
      <w:r>
        <w:rPr>
          <w:rStyle w:val="HideTWBExt"/>
        </w:rPr>
        <w:t>&lt;NumAm&gt;</w:t>
      </w:r>
      <w:r>
        <w:t>138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Nejpozději při obdržení oznámení o tom, že předání trestního řízení bylo dožádaným orgánem přijato, se dané trestní řízení v dožadujícím státě </w:t>
            </w:r>
            <w:r>
              <w:rPr>
                <w:b/>
                <w:i/>
              </w:rPr>
              <w:t>přeruší nebo</w:t>
            </w:r>
            <w:r>
              <w:t xml:space="preserve"> zastaví v souladu s vnitrostátními právními předpisy, k čemuž však nedojde, pokud byl uplatněn opravný prostředek podle článku 8 s odkladným účinkem, a to až do doby, kdy bude o tomto opravném prostředku pravomocně rozhodnuto.</w:t>
            </w:r>
          </w:p>
        </w:tc>
        <w:tc>
          <w:tcPr>
            <w:tcW w:w="4876" w:type="dxa"/>
          </w:tcPr>
          <w:p>
            <w:pPr>
              <w:pStyle w:val="Normal6a"/>
            </w:pPr>
            <w:r>
              <w:t>1.</w:t>
            </w:r>
            <w:r>
              <w:tab/>
            </w:r>
            <w:r>
              <w:t>Nejpozději při obdržení oznámení o tom, že předání trestního řízení bylo dožádaným orgánem přijato, se dané trestní řízení v dožadujícím státě zastaví v souladu s vnitrostátními právními předpisy, k čemuž však nedojde, pokud byl uplatněn opravný prostředek podle článku 8 s odkladným účinkem, a to až do doby, kdy bude o tomto opravném prostředku pravomocně rozhodnuto.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2 – písm.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zachovat dříve přijatá nezbytná vyšetřovací či jiná procesní opatření, jež jsou nutná k vykonání rozhodnutí vydaného na základě rámcového rozhodnutí 2002/584/SVV nebo jiného nástroje vzájemného uznávání nebo v reakci na žádost o vzájemnou právní pomoc, včetně opatření majících za cíl zabránit podezřelé nebo obviněné osobě v útěku.</w:t>
            </w:r>
          </w:p>
        </w:tc>
        <w:tc>
          <w:tcPr>
            <w:tcW w:w="4876" w:type="dxa"/>
          </w:tcPr>
          <w:p>
            <w:pPr>
              <w:pStyle w:val="Normal6a"/>
            </w:pPr>
            <w:r>
              <w:t>b)</w:t>
            </w:r>
            <w:r>
              <w:tab/>
            </w:r>
            <w:r>
              <w:t xml:space="preserve">zachovat dříve přijatá nezbytná vyšetřovací či jiná procesní opatření, jež jsou nutná k vykonání rozhodnutí vydaného na základě rámcového rozhodnutí 2002/584/SVV nebo jiného nástroje vzájemného uznávání nebo v reakci na žádost o vzájemnou právní pomoc, včetně opatření majících za cíl zabránit podezřelé nebo obviněné osobě v útěku. </w:t>
            </w:r>
            <w:r>
              <w:rPr>
                <w:b/>
                <w:i/>
              </w:rPr>
              <w:t>Tato opatření mohou být zachována i v případě, že žádost o vzájemné uznávání dosud nebyla podána, pod podmínkou, že bude pravděpodobně podána bez zbytečného odkladu, jakmile bude žádost o předání přijata.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2 – písm. b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ba)</w:t>
            </w:r>
            <w:r>
              <w:tab/>
            </w:r>
            <w:r>
              <w:rPr>
                <w:b/>
                <w:i/>
              </w:rPr>
              <w:t>co nejdříve koordinuje činnost s dožádaným orgánem a se zapojením Eurojustu na zachování prozatímních opatření, která již byla v dožadujícím členském státě přijata.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Bylo-li vydáno pravomocné rozhodnutí o žádosti a přijetí předání řízení, nemůže dožadující stát už podezřelou osobu stíhat za trestný čin, pro který bylo požádáno o předání řízení, ani vykonat rozsudek, který byl předtím v tomto státě vynesen proti podezřelému nebo obviněnému z tohoto trestného činu.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Dožadující orgán může v trestním řízení pokračovat nebo jej obnovit, pokud jej dožádaný orgán informuje o svém rozhodnutí zastavit trestní řízení ve věci skutečností, jež jsou podkladem žádosti o předání trestního řízení, ledaže dané rozhodnutí podle vnitrostátních právních předpisů dožádaného státu s konečnou platností brání dalšímu trestnímu stíhání, a tedy v dožádaném státě vylučuje nové trestní řízení ohledně stejných skutků.</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Dožadující orgán může v trestním řízení pokračovat nebo jej obnovit, pokud jej dožádaný orgán informuje o svém rozhodnutí zastavit trestní řízení ve věci skutečností, jež jsou podkladem žádosti o předání trestního řízení, ledaže dané rozhodnutí podle vnitrostátních právních předpisů dožádaného státu s konečnou platností brání dalšímu trestnímu stíhání, a tedy v dožádaném státě vylučuje nové trestní řízení ohledně stejných skutků.</w:t>
            </w:r>
          </w:p>
        </w:tc>
        <w:tc>
          <w:tcPr>
            <w:tcW w:w="4876" w:type="dxa"/>
          </w:tcPr>
          <w:p>
            <w:pPr>
              <w:pStyle w:val="Normal6a"/>
            </w:pPr>
            <w:r>
              <w:t>3.</w:t>
            </w:r>
            <w:r>
              <w:tab/>
            </w:r>
            <w:r>
              <w:t xml:space="preserve">Dožadující orgán může v trestním řízení pokračovat nebo jej obnovit, pokud jej dožádaný orgán informuje o svém rozhodnutí zastavit trestní řízení ve věci skutečností, jež jsou podkladem žádosti o předání trestního řízení, ledaže dané rozhodnutí podle vnitrostátních právních předpisů dožádaného státu s konečnou platností brání dalšímu trestnímu stíhání </w:t>
            </w:r>
            <w:r>
              <w:rPr>
                <w:b/>
                <w:i/>
              </w:rPr>
              <w:t>a bylo vydáno po posouzení skutkového stavu daného případu</w:t>
            </w:r>
            <w:r>
              <w:t>, a tedy v dožádaném státě vylučuje nové trestní řízení ohledně stejných skutků.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Dožadující orgán může </w:t>
            </w:r>
            <w:r>
              <w:rPr>
                <w:b/>
                <w:i/>
              </w:rPr>
              <w:t>v</w:t>
            </w:r>
            <w:r>
              <w:t xml:space="preserve"> trestním řízení </w:t>
            </w:r>
            <w:r>
              <w:rPr>
                <w:b/>
                <w:i/>
              </w:rPr>
              <w:t>pokračovat nebo jej</w:t>
            </w:r>
            <w:r>
              <w:t xml:space="preserve"> obnovit, pokud jej dožádaný orgán informuje o svém rozhodnutí zastavit trestní řízení ve věci skutečností, jež jsou podkladem žádosti o předání trestního řízení, ledaže dané rozhodnutí podle vnitrostátních právních předpisů dožádaného státu s konečnou platností brání dalšímu trestnímu stíhání, a tedy v dožádaném státě vylučuje nové trestní řízení ohledně stejných skutků.</w:t>
            </w:r>
          </w:p>
        </w:tc>
        <w:tc>
          <w:tcPr>
            <w:tcW w:w="4876" w:type="dxa"/>
          </w:tcPr>
          <w:p>
            <w:pPr>
              <w:pStyle w:val="Normal6a"/>
            </w:pPr>
            <w:r>
              <w:t>3.</w:t>
            </w:r>
            <w:r>
              <w:tab/>
            </w:r>
            <w:r>
              <w:t>Dožadující orgán může trestním řízení obnovit, pokud jej dožádaný orgán informuje o svém rozhodnutí zastavit trestní řízení ve věci skutečností, jež jsou podkladem žádosti o předání trestního řízení, ledaže dané rozhodnutí podle vnitrostátních právních předpisů dožádaného státu s konečnou platností brání dalšímu trestnímu stíhání, a tedy v dožádaném státě vylučuje nové trestní řízení ohledně stejných skutků.</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Pokud je řízení v dožadujícím státě v souladu s odstavcem 1 přerušeno nebo zastaveno, je třeba v tomto odstavci slovo „pokračovat“ vynechat.</w:t>
      </w:r>
    </w:p>
    <w:p>
      <w:r>
        <w:rPr>
          <w:rStyle w:val="HideTWBExt"/>
        </w:rPr>
        <w:t>&lt;/Amend&gt;</w:t>
      </w:r>
    </w:p>
    <w:p>
      <w:pPr>
        <w:pStyle w:val="AmNumberTabs"/>
      </w:pPr>
      <w:r>
        <w:rPr>
          <w:rStyle w:val="HideTWBExt"/>
        </w:rPr>
        <w:t>&lt;Amend&gt;</w:t>
      </w:r>
      <w:r>
        <w:t>Pozměňovací návrh</w:t>
      </w:r>
      <w:r>
        <w:tab/>
      </w:r>
      <w:r>
        <w:tab/>
      </w:r>
      <w:r>
        <w:rPr>
          <w:rStyle w:val="HideTWBExt"/>
        </w:rPr>
        <w:t>&lt;NumAm&gt;</w:t>
      </w:r>
      <w:r>
        <w:t>145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Každé rozhodnutí o obnovení řízení podléhá soudnímu přezkumu jak u vnitrostátních soudů, tak u Soudního dvora Evropské unie.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Takové rozhodnutí by mohlo mít nepříznivé důsledky pro práva podezřelého, a proto by mělo být možné jej soudně přezkoumat.</w:t>
      </w:r>
      <w:r>
        <w:t xml:space="preserve"> </w:t>
      </w:r>
      <w:r>
        <w:t>Kromě toho by to pomohlo zajistit právní zásadu ne bis in idem.</w:t>
      </w:r>
    </w:p>
    <w:p>
      <w:r>
        <w:rPr>
          <w:rStyle w:val="HideTWBExt"/>
        </w:rPr>
        <w:t>&lt;/Amend&gt;</w:t>
      </w:r>
    </w:p>
    <w:p>
      <w:pPr>
        <w:pStyle w:val="AmNumberTabs"/>
      </w:pPr>
      <w:r>
        <w:rPr>
          <w:rStyle w:val="HideTWBExt"/>
        </w:rPr>
        <w:t>&lt;Amend&gt;</w:t>
      </w:r>
      <w:r>
        <w:t>Pozměňovací návrh</w:t>
      </w:r>
      <w:r>
        <w:tab/>
      </w:r>
      <w:r>
        <w:tab/>
      </w:r>
      <w:r>
        <w:rPr>
          <w:rStyle w:val="HideTWBExt"/>
        </w:rPr>
        <w:t>&lt;NumAm&gt;</w:t>
      </w:r>
      <w:r>
        <w:t>146</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Odstavcem 3 není dotčeno právo oběti podat návrh na obnovu trestního řízení proti podezřelé nebo obviněné osobě v dožadujícím státě nebo žádat jeho obnovu, stanoví-li tak vnitrostátní právní předpisy tohoto státu, ledaže rozhodnutí dožádaného orgánu, kterým trestní řízení zastavil, podle vnitrostátních právních předpisů dožádaného státu s konečnou platností brání dalšímu trestnímu stíhání a v daném státě tedy vylučuje nové trestní řízení ohledně stejných skutků.</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Odstavcem 3 není dotčeno právo oběti podat návrh na obnovu trestního řízení proti podezřelé nebo obviněné osobě v dožadujícím státě nebo žádat jeho obnovu, stanoví-li tak vnitrostátní právní předpisy tohoto státu, ledaže rozhodnutí dožádaného orgánu, kterým trestní řízení zastavil, podle vnitrostátních právních předpisů dožádaného státu s konečnou platností brání dalšímu trestnímu stíhání a v daném státě tedy vylučuje nové trestní řízení ohledně stejných skutků.</w:t>
            </w:r>
          </w:p>
        </w:tc>
        <w:tc>
          <w:tcPr>
            <w:tcW w:w="4876" w:type="dxa"/>
          </w:tcPr>
          <w:p>
            <w:pPr>
              <w:pStyle w:val="Normal6a"/>
            </w:pPr>
            <w:r>
              <w:t>4.</w:t>
            </w:r>
            <w:r>
              <w:tab/>
            </w:r>
            <w:r>
              <w:t xml:space="preserve">Odstavcem 3 není dotčeno právo oběti podat návrh na obnovu trestního řízení proti podezřelé nebo obviněné osobě v dožadujícím státě nebo žádat jeho obnovu, stanoví-li tak vnitrostátní právní předpisy tohoto státu, ledaže rozhodnutí dožádaného orgánu, kterým trestní řízení zastavil, podle vnitrostátních právních předpisů dožádaného státu s konečnou platností brání dalšímu trestnímu stíhání a </w:t>
            </w:r>
            <w:r>
              <w:rPr>
                <w:b/>
                <w:i/>
              </w:rPr>
              <w:t>bylo vydáno po posouzení skutkového stavu daného případu, a</w:t>
            </w:r>
            <w:r>
              <w:t xml:space="preserve"> v daném státě tedy vylučuje nové trestní řízení ohledně stejných skutků.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Za předpokladu, že to neodporuje základním právním zásadám dožádaného státu, má každý úkon učiněný pro účely daného trestního řízení či dokazování provedeného příslušnými orgány v dožadujícím státě nebo každý úkon, jímž se staví či přerušuje promlčecí lhůta, v dožádaném státě stejnou platnost, </w:t>
            </w:r>
            <w:r>
              <w:rPr>
                <w:b/>
                <w:i/>
              </w:rPr>
              <w:t>jako kdyby jej platně provedly jeho vlastní orgány</w:t>
            </w:r>
            <w:r>
              <w:t>.</w:t>
            </w:r>
          </w:p>
        </w:tc>
        <w:tc>
          <w:tcPr>
            <w:tcW w:w="4876" w:type="dxa"/>
          </w:tcPr>
          <w:p>
            <w:pPr>
              <w:pStyle w:val="Normal6a"/>
            </w:pPr>
            <w:r>
              <w:t>2.</w:t>
            </w:r>
            <w:r>
              <w:tab/>
            </w:r>
            <w:r>
              <w:t xml:space="preserve">Za předpokladu, že to neodporuje základním právním zásadám dožádaného státu, má každý úkon učiněný pro účely daného trestního řízení či dokazování provedeného příslušnými orgány v dožadujícím státě nebo každý úkon, jímž se staví či přerušuje promlčecí lhůta, v dožádaném státě stejnou platnost, </w:t>
            </w:r>
            <w:r>
              <w:rPr>
                <w:b/>
                <w:i/>
              </w:rPr>
              <w:t>pouze pokud se jedná o úkon, jímž se podle práva členského státu zastavuje či přerušuje promlčecí lhůta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Důkazy předané dožadujícím orgánem nesmí být v trestním řízení v dožádaném státě zamítnuty jako nepřípustné pouze z důvodu, že byly shromážděny v jiném členském státě. Důkazy shromážděné v dožadujícím státě lze využít v trestním řízení v dožádaném státě, pokud přípustnost těchto důkazů neodporuje základním právním zásadám dožádaného státu.</w:t>
            </w:r>
          </w:p>
        </w:tc>
        <w:tc>
          <w:tcPr>
            <w:tcW w:w="4876" w:type="dxa"/>
          </w:tcPr>
          <w:p>
            <w:pPr>
              <w:pStyle w:val="Normal6a"/>
            </w:pPr>
            <w:r>
              <w:t>3.</w:t>
            </w:r>
            <w:r>
              <w:tab/>
            </w:r>
            <w:r>
              <w:t xml:space="preserve">Důkazy předané dožadujícím orgánem nesmí být v trestním řízení v dožádaném státě zamítnuty jako nepřípustné pouze z důvodu, že byly shromážděny v jiném členském státě. Důkazy shromážděné </w:t>
            </w:r>
            <w:r>
              <w:rPr>
                <w:b/>
                <w:i/>
              </w:rPr>
              <w:t>a přípustné</w:t>
            </w:r>
            <w:r>
              <w:t xml:space="preserve"> v dožadujícím státě lze využít v trestním řízení v dožádaném státě, pokud přípustnost těchto důkazů neodporuje základním právním zásadám dožádaného státu. </w:t>
            </w:r>
            <w:r>
              <w:rPr>
                <w:b/>
                <w:i/>
              </w:rPr>
              <w:t>Členské státy zajistí, aby byly zavedeny účinné opravné prostředky k posouzení přípustnosti důkazů.</w:t>
            </w:r>
            <w:r>
              <w:t xml:space="preserve"> </w:t>
            </w:r>
            <w:r>
              <w:rPr>
                <w:b/>
                <w:i/>
              </w:rPr>
              <w:t>Dožádaný stát vezme v úvahu úspěšný opravný prostředek, pokud jde o shromažďování, přípustnost nebo předání důkazů ve státě, v němž byly důkazy shromážděny.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Důkazy předané dožadujícím orgánem nesmí být v trestním řízení v dožádaném státě zamítnuty jako nepřípustné pouze z důvodu, že byly shromážděny v jiném členském státě. Důkazy shromážděné v dožadujícím státě lze využít v trestním řízení v dožádaném státě, pokud přípustnost těchto důkazů neodporuje základním právním zásadám dožádaného státu.</w:t>
            </w:r>
          </w:p>
        </w:tc>
        <w:tc>
          <w:tcPr>
            <w:tcW w:w="4876" w:type="dxa"/>
          </w:tcPr>
          <w:p>
            <w:pPr>
              <w:pStyle w:val="Normal6a"/>
            </w:pPr>
            <w:r>
              <w:t>3.</w:t>
            </w:r>
            <w:r>
              <w:tab/>
            </w:r>
            <w:r>
              <w:t xml:space="preserve">Důkazy předané dožadujícím orgánem nesmí být v trestním řízení v dožádaném státě zamítnuty jako nepřípustné pouze z důvodu, že byly shromážděny v jiném členském státě. Důkazy shromážděné v dožadujícím státě </w:t>
            </w:r>
            <w:r>
              <w:rPr>
                <w:b/>
                <w:i/>
              </w:rPr>
              <w:t>podle právních předpisů daného místa (lex loci)</w:t>
            </w:r>
            <w:r>
              <w:t xml:space="preserve"> lze využít v trestním řízení v dožádaném státě, pokud přípustnost těchto důkazů neodporuje základním právním zásadám dožádaného státu. </w:t>
            </w:r>
            <w:r>
              <w:rPr>
                <w:b/>
                <w:i/>
              </w:rPr>
              <w:t>Členské státy zajistí, aby byly zavedeny účinné opravné prostředky k posouzení přípustnosti důkazů.</w:t>
            </w:r>
            <w:r>
              <w:t xml:space="preserve"> </w:t>
            </w:r>
            <w:r>
              <w:rPr>
                <w:b/>
                <w:i/>
              </w:rPr>
              <w:t>Dožádaný stát vezme v úvahu úspěšný opravný prostředek, pokud jde o shromažďování nebo předání důkazů ve státě, v němž byly důkazy shromážděny.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Žádající stát byl doplněn s cílem řešit riziko spekulativního výběru jurisdikce (tzv. forum shopping).</w:t>
      </w:r>
    </w:p>
    <w:p>
      <w:r>
        <w:rPr>
          <w:rStyle w:val="HideTWBExt"/>
        </w:rPr>
        <w:t>&lt;/Amend&gt;</w:t>
      </w:r>
    </w:p>
    <w:p>
      <w:pPr>
        <w:pStyle w:val="AmNumberTabs"/>
      </w:pPr>
      <w:r>
        <w:rPr>
          <w:rStyle w:val="HideTWBExt"/>
        </w:rPr>
        <w:t>&lt;Amend&gt;</w:t>
      </w:r>
      <w:r>
        <w:t>Pozměňovací návrh</w:t>
      </w:r>
      <w:r>
        <w:tab/>
      </w:r>
      <w:r>
        <w:tab/>
      </w:r>
      <w:r>
        <w:rPr>
          <w:rStyle w:val="HideTWBExt"/>
        </w:rPr>
        <w:t>&lt;NumAm&gt;</w:t>
      </w:r>
      <w:r>
        <w:t>151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Důkazy předané dožadujícím orgánem nesmí být v trestním řízení v dožádaném státě zamítnuty jako nepřípustné pouze z důvodu, že byly shromážděny v jiném členském státě. </w:t>
            </w:r>
            <w:r>
              <w:rPr>
                <w:b/>
                <w:i/>
              </w:rPr>
              <w:t>Důkazy shromážděné v dožadujícím státě lze využít v trestním řízení v dožádaném státě, pokud přípustnost těchto</w:t>
            </w:r>
            <w:r>
              <w:t xml:space="preserve"> důkazů </w:t>
            </w:r>
            <w:r>
              <w:rPr>
                <w:b/>
                <w:i/>
              </w:rPr>
              <w:t>neodporuje základním právním zásadám dožádaného státu</w:t>
            </w:r>
            <w:r>
              <w:t>.</w:t>
            </w:r>
          </w:p>
        </w:tc>
        <w:tc>
          <w:tcPr>
            <w:tcW w:w="4876" w:type="dxa"/>
          </w:tcPr>
          <w:p>
            <w:pPr>
              <w:pStyle w:val="Normal6a"/>
            </w:pPr>
            <w:r>
              <w:t>3.</w:t>
            </w:r>
            <w:r>
              <w:tab/>
            </w:r>
            <w:r>
              <w:t xml:space="preserve">Důkazy předané dožadujícím orgánem nesmí být v trestním řízení v dožádaném státě zamítnuty jako nepřípustné pouze z důvodu, že byly shromážděny v jiném členském státě. </w:t>
            </w:r>
            <w:r>
              <w:rPr>
                <w:b/>
                <w:i/>
              </w:rPr>
              <w:t>Je potřeba zachovat svobodné soudní posouzení</w:t>
            </w:r>
            <w:r>
              <w:t xml:space="preserve"> důkazů.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Za předpokladu, že je v dožádaném státě uložen trest odnětí svobody nebo vydáno ochranné opatření spojené s odnětím osobní svobody, odečte tento stát všechny doby odnětí osobní svobody vykonané v dožadujícím státě, které byly uloženy v souvislosti s předaným trestním řízením, od celkové doby odnětí svobody, která má být vykonána v dožádaném státě v důsledku uložení trestu odnětí svobody nebo vydání ochranného opatření spojeného s odnětím osobní svobody. Za tímto účelem dožadující orgán předá dožádanému orgánu veškeré informace, které se týkají doby odnětí svobody vykonané podezřelou nebo obviněnou osobou v dožadujícím státě.</w:t>
            </w:r>
          </w:p>
        </w:tc>
        <w:tc>
          <w:tcPr>
            <w:tcW w:w="4876" w:type="dxa"/>
          </w:tcPr>
          <w:p>
            <w:pPr>
              <w:pStyle w:val="Normal6a"/>
            </w:pPr>
            <w:r>
              <w:t>4.</w:t>
            </w:r>
            <w:r>
              <w:tab/>
            </w:r>
            <w:r>
              <w:t xml:space="preserve">Za předpokladu, že je v dožádaném státě uložen trest odnětí svobody nebo vydáno ochranné opatření spojené s odnětím osobní svobody, odečte tento stát všechny doby odnětí osobní svobody vykonané v dožadujícím státě, které byly uloženy v souvislosti s předaným trestním řízením, od celkové doby odnětí svobody, která má být vykonána v dožádaném státě v důsledku uložení trestu odnětí svobody nebo vydání ochranného opatření spojeného s odnětím osobní svobody. Za tímto účelem dožadující orgán předá dožádanému orgánu veškeré informace, které se týkají doby odnětí svobody vykonané podezřelou nebo obviněnou osobou v dožadujícím státě. </w:t>
            </w:r>
            <w:r>
              <w:rPr>
                <w:b/>
                <w:i/>
              </w:rPr>
              <w:t>Stejně tak v případě, že se na osobu vztahuje řízení o zajištění v dožádaném státě, měla by být zohledněna veškerá doba zajištění strávené v dožadujícím státě, aby bylo možné stanovit maximální lhůty vztahující se na toto předběžné zajištění a posoudit přiměřenost tohoto opatření v dožadujícím státě.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Za předpokladu, že je v dožádaném státě uložen trest odnětí svobody nebo vydáno ochranné opatření spojené s odnětím osobní svobody, odečte tento stát všechny doby odnětí osobní svobody vykonané v dožadujícím státě, které byly uloženy v souvislosti s předaným trestním řízením, od celkové doby odnětí svobody, která má být vykonána v dožádaném státě v důsledku uložení trestu odnětí svobody nebo vydání ochranného opatření spojeného s odnětím osobní svobody. Za tímto účelem dožadující orgán předá dožádanému orgánu veškeré informace, které se týkají doby odnětí svobody vykonané podezřelou nebo obviněnou osobou v dožadujícím státě.</w:t>
            </w:r>
          </w:p>
        </w:tc>
        <w:tc>
          <w:tcPr>
            <w:tcW w:w="4876" w:type="dxa"/>
          </w:tcPr>
          <w:p>
            <w:pPr>
              <w:pStyle w:val="Normal6a"/>
            </w:pPr>
            <w:r>
              <w:t>4.</w:t>
            </w:r>
            <w:r>
              <w:tab/>
            </w:r>
            <w:r>
              <w:t xml:space="preserve">Za předpokladu, že je v dožádaném státě uložen trest odnětí svobody nebo vydáno ochranné opatření spojené s odnětím osobní svobody, odečte tento stát všechny doby odnětí osobní svobody vykonané v dožadujícím státě, které byly uloženy v souvislosti s předaným trestním řízením, od celkové doby odnětí svobody, která má být vykonána v dožádaném státě v důsledku uložení trestu odnětí svobody nebo vydání ochranného opatření spojeného s odnětím osobní svobody. Za tímto účelem dožadující orgán předá dožádanému orgánu veškeré informace, které se týkají doby odnětí svobody vykonané podezřelou nebo obviněnou osobou v dožadujícím státě. </w:t>
            </w:r>
            <w:r>
              <w:rPr>
                <w:b/>
                <w:i/>
              </w:rPr>
              <w:t>Příslušný orgán v dožádaném státě však může rozhodnout, že se celý úvěr nebo jeho část vynechá, není-li to odůvodněno chováním odsouzeného po spáchání trestného činu.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Na daný trestný čin se použije trestní sankce stanovená právem dožádaného státu, nestanoví-li toto právo jinak. </w:t>
            </w:r>
            <w:r>
              <w:rPr>
                <w:b/>
                <w:i/>
              </w:rPr>
              <w:t>Jestliže byl daný trestný čin spáchán na území dožadujícího státu, může dožádaný orgán v souladu s použitelnými vnitrostátními právními předpisy zohlednit maximální výši trestní sankce stanovenou právem dožadujícího státu.</w:t>
            </w:r>
            <w:r>
              <w:t xml:space="preserve"> </w:t>
            </w:r>
            <w:r>
              <w:rPr>
                <w:b/>
                <w:i/>
              </w:rPr>
              <w:t>Je-li příslušnost založena výlučně na článku 3, nesmí být trest uložený dožádaným státem přísnější než maximální trestní sankce stanovená právem dožadujícího státu.</w:t>
            </w:r>
          </w:p>
        </w:tc>
        <w:tc>
          <w:tcPr>
            <w:tcW w:w="4876" w:type="dxa"/>
          </w:tcPr>
          <w:p>
            <w:pPr>
              <w:pStyle w:val="Normal6a"/>
            </w:pPr>
            <w:r>
              <w:t>6.</w:t>
            </w:r>
            <w:r>
              <w:tab/>
            </w:r>
            <w:r>
              <w:t>Na daný trestný čin se použije trestní sankce stanovená právem dožádaného státu, nestanoví-li toto právo jinak.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21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Dožádaný orgán informuje dožadující orgán o zastavení trestního řízení nebo o jakémkoli rozhodnutí vydaném na konci trestního řízení, včetně informace, zda toto rozhodnutí podle vnitrostátních právních předpisů dožádaného státu s konečnou platností brání dalšímu trestnímu stíhání, a tedy v tomto státě vylučuje nové trestní řízení ohledně stejných skutků, nebo jiných podstatných informací. </w:t>
            </w:r>
            <w:r>
              <w:rPr>
                <w:b/>
                <w:i/>
              </w:rPr>
              <w:t>Dožádaný orgán zašle dožadujícímu orgánu</w:t>
            </w:r>
            <w:r>
              <w:t xml:space="preserve"> kopii písemného rozhodnutí vydaného na konci trestního řízení.</w:t>
            </w:r>
          </w:p>
        </w:tc>
        <w:tc>
          <w:tcPr>
            <w:tcW w:w="4876" w:type="dxa"/>
          </w:tcPr>
          <w:p>
            <w:pPr>
              <w:pStyle w:val="Normal6a"/>
            </w:pPr>
            <w:r>
              <w:t xml:space="preserve">Dožádaný orgán informuje dožadující orgán </w:t>
            </w:r>
            <w:r>
              <w:rPr>
                <w:b/>
                <w:i/>
              </w:rPr>
              <w:t>a podezřelého nebo obviněného a jejich právní zástupce</w:t>
            </w:r>
            <w:r>
              <w:t xml:space="preserve"> o zastavení trestního řízení nebo o jakémkoli rozhodnutí vydaném na konci trestního řízení, včetně informace, zda toto rozhodnutí podle vnitrostátních právních předpisů dožádaného státu s konečnou platností brání dalšímu trestnímu stíhání, a tedy v tomto státě vylučuje nové trestní řízení ohledně stejných skutků, nebo jiných podstatných informací. Kopii písemného rozhodnutí vydaného na konci trestního řízení </w:t>
            </w:r>
            <w:r>
              <w:rPr>
                <w:b/>
                <w:i/>
              </w:rPr>
              <w:t>předá dožadujícímu orgánu a podezřelé nebo obviněné osobě a jejich právním poradcům</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Podezřelá nebo obviněná osoba by měla mít právo být informována.</w:t>
      </w:r>
    </w:p>
    <w:p>
      <w:r>
        <w:rPr>
          <w:rStyle w:val="HideTWBExt"/>
        </w:rPr>
        <w:t>&lt;/Amend&gt;</w:t>
      </w:r>
    </w:p>
    <w:p>
      <w:pPr>
        <w:pStyle w:val="AmNumberTabs"/>
      </w:pPr>
      <w:r>
        <w:rPr>
          <w:rStyle w:val="HideTWBExt"/>
        </w:rPr>
        <w:t>&lt;Amend&gt;</w:t>
      </w:r>
      <w:r>
        <w:t>Pozměňovací návrh</w:t>
      </w:r>
      <w:r>
        <w:tab/>
      </w:r>
      <w:r>
        <w:tab/>
      </w:r>
      <w:r>
        <w:rPr>
          <w:rStyle w:val="HideTWBExt"/>
        </w:rPr>
        <w:t>&lt;NumAm&gt;</w:t>
      </w:r>
      <w:r>
        <w:t>156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21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Dožádaný</w:t>
            </w:r>
            <w:r>
              <w:t xml:space="preserve"> orgán informuje dožadující orgán o zastavení trestního řízení nebo o jakémkoli rozhodnutí vydaném na konci trestního řízení, včetně informace, zda toto rozhodnutí podle vnitrostátních právních předpisů dožádaného státu s konečnou platností brání dalšímu trestnímu stíhání, a tedy v tomto státě vylučuje nové trestní řízení ohledně stejných skutků, nebo jiných podstatných informací. Dožádaný orgán zašle dožadujícímu orgánu kopii písemného rozhodnutí vydaného na konci trestního řízení.</w:t>
            </w:r>
          </w:p>
        </w:tc>
        <w:tc>
          <w:tcPr>
            <w:tcW w:w="4876" w:type="dxa"/>
          </w:tcPr>
          <w:p>
            <w:pPr>
              <w:pStyle w:val="Normal6a"/>
            </w:pPr>
            <w:r>
              <w:rPr>
                <w:b/>
                <w:i/>
              </w:rPr>
              <w:t>Příslušná</w:t>
            </w:r>
            <w:r>
              <w:t xml:space="preserve"> orgán </w:t>
            </w:r>
            <w:r>
              <w:rPr>
                <w:b/>
                <w:i/>
              </w:rPr>
              <w:t>v dožádaném členském státy</w:t>
            </w:r>
            <w:r>
              <w:t xml:space="preserve"> informuje dožadující orgán o zastavení trestního řízení nebo o jakémkoli rozhodnutí vydaném na konci trestního řízení, včetně informace, zda toto rozhodnutí podle vnitrostátních právních předpisů dožádaného státu s konečnou platností brání dalšímu trestnímu stíhání, a tedy v tomto státě vylučuje nové trestní řízení ohledně stejných skutků, nebo jiných podstatných informací. Dožádaný orgán zašle dožadujícímu orgánu kopii písemného rozhodnutí vydaného na konci trestního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27 – odst. 1 – návětí</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Členské státy pravidelně shromažďují komplexní statistiky, jejichž účelem je monitorování uplatňování tohoto nařízení prováděné Komisí.</w:t>
            </w:r>
            <w:r>
              <w:t xml:space="preserve"> </w:t>
            </w:r>
            <w:r>
              <w:rPr>
                <w:b/>
                <w:i/>
              </w:rPr>
              <w:t>Tyto statistiky vedou orgány a každoročně je zasílají Komisi.</w:t>
            </w:r>
            <w:r>
              <w:t xml:space="preserve"> </w:t>
            </w:r>
            <w:r>
              <w:rPr>
                <w:b/>
                <w:i/>
              </w:rPr>
              <w:t>Pro</w:t>
            </w:r>
            <w:r>
              <w:t xml:space="preserve"> vytváření těchto statistik </w:t>
            </w:r>
            <w:r>
              <w:rPr>
                <w:b/>
                <w:i/>
              </w:rPr>
              <w:t>mohou</w:t>
            </w:r>
            <w:r>
              <w:t xml:space="preserve"> zpracovávat osobní údaje. </w:t>
            </w:r>
            <w:r>
              <w:rPr>
                <w:b/>
                <w:i/>
              </w:rPr>
              <w:t>Uvedené statistiky obsahují</w:t>
            </w:r>
            <w:r>
              <w:t>:</w:t>
            </w:r>
          </w:p>
        </w:tc>
        <w:tc>
          <w:tcPr>
            <w:tcW w:w="4876" w:type="dxa"/>
          </w:tcPr>
          <w:p>
            <w:pPr>
              <w:pStyle w:val="Normal6a"/>
            </w:pPr>
            <w:r>
              <w:t>1.</w:t>
            </w:r>
            <w:r>
              <w:tab/>
            </w:r>
            <w:r>
              <w:rPr>
                <w:b/>
                <w:i/>
              </w:rPr>
              <w:t>Statistické údaje pro účely sledování uplatňování tohoto nařízení Komisí se shromažďují v pravidelných intervalech.</w:t>
            </w:r>
            <w:r>
              <w:t xml:space="preserve"> </w:t>
            </w:r>
            <w:r>
              <w:rPr>
                <w:b/>
                <w:i/>
              </w:rPr>
              <w:t>Tyto statistické údaje by se měly shromažďovat prostřednictvím decentralizovaného IT systému uvedeného v nařízení, a to pouze pokud jsou v daném členském státě k dispozici na centrální úrovni. Při</w:t>
            </w:r>
            <w:r>
              <w:t xml:space="preserve"> vytváření těchto statistik </w:t>
            </w:r>
            <w:r>
              <w:rPr>
                <w:b/>
                <w:i/>
              </w:rPr>
              <w:t>lze</w:t>
            </w:r>
            <w:r>
              <w:t xml:space="preserve"> zpracovávat osobní údaje. </w:t>
            </w:r>
            <w:r>
              <w:rPr>
                <w:b/>
                <w:i/>
              </w:rPr>
              <w:t>Jedná se o tyto statistiky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27 – odst. 1 – písm.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rPr>
                <w:b/>
                <w:i/>
              </w:rPr>
              <w:t>počet vyšetřování a stíhání, v nichž se poté, co bylo předání trestního řízení přijato, nepokračovalo;</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27 – odst. 1 – písm.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e)</w:t>
            </w:r>
            <w:r>
              <w:tab/>
            </w:r>
            <w:r>
              <w:rPr>
                <w:b/>
                <w:i/>
              </w:rPr>
              <w:t>počet uplatněných opravných prostředků proti rozhodnutím, jimiž bylo předání trestního řízení přijato, včetně informace, zda byly podány podezřelou osobou, obviněnou osobou nebo obětí, a počet úspěšně napadených rozhodnutí;</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27 – odst. 1 – písm.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rPr>
                <w:b/>
                <w:i/>
              </w:rPr>
              <w:t>náklady vzniklé podle čl. 25 odst. 2 ke dni, k němuž uplynuly čtyři roky ode dne, kdy prováděcí akty uvedené v čl. 23 odst. 1 vstoupily v platnost.</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30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Komise informace obdržené podle odstavce 1 veřejně zpřístupní, a to buď na vyhrazených internetových stránkách, nebo </w:t>
            </w:r>
            <w:r>
              <w:rPr>
                <w:b/>
                <w:i/>
              </w:rPr>
              <w:t>na</w:t>
            </w:r>
            <w:r>
              <w:t xml:space="preserve"> internetových </w:t>
            </w:r>
            <w:r>
              <w:rPr>
                <w:b/>
                <w:i/>
              </w:rPr>
              <w:t>stránkách</w:t>
            </w:r>
            <w:r>
              <w:t xml:space="preserve"> Evropské justiční sítě zřízených rozhodnutím Rady 2008/976/SVV</w:t>
            </w:r>
            <w:r>
              <w:rPr>
                <w:vertAlign w:val="superscript"/>
              </w:rPr>
              <w:t>76</w:t>
            </w:r>
            <w:r>
              <w:t>.</w:t>
            </w:r>
          </w:p>
        </w:tc>
        <w:tc>
          <w:tcPr>
            <w:tcW w:w="4876" w:type="dxa"/>
          </w:tcPr>
          <w:p>
            <w:pPr>
              <w:pStyle w:val="Normal6a"/>
            </w:pPr>
            <w:r>
              <w:t>2.</w:t>
            </w:r>
            <w:r>
              <w:tab/>
            </w:r>
            <w:r>
              <w:t xml:space="preserve">Komise informace obdržené podle odstavce 1 veřejně zpřístupní </w:t>
            </w:r>
            <w:r>
              <w:rPr>
                <w:b/>
                <w:i/>
              </w:rPr>
              <w:t>a aktualizuje</w:t>
            </w:r>
            <w:r>
              <w:t xml:space="preserve">, a to buď na vyhrazených internetových stránkách, nebo </w:t>
            </w:r>
            <w:r>
              <w:rPr>
                <w:b/>
                <w:i/>
              </w:rPr>
              <w:t>v neomezené části</w:t>
            </w:r>
            <w:r>
              <w:t xml:space="preserve"> internetových </w:t>
            </w:r>
            <w:r>
              <w:rPr>
                <w:b/>
                <w:i/>
              </w:rPr>
              <w:t>stránek</w:t>
            </w:r>
            <w:r>
              <w:t xml:space="preserve"> Evropské justiční sítě zřízených rozhodnutím Rady 2008/976/SVV</w:t>
            </w:r>
            <w:r>
              <w:rPr>
                <w:vertAlign w:val="superscript"/>
              </w:rPr>
              <w:t>76</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76</w:t>
            </w:r>
            <w:r>
              <w:t xml:space="preserve"> </w:t>
            </w:r>
            <w:r>
              <w:t>Rozhodnutí Rady 2008/976/SVV ze dne 16. prosince 2008 o Evropské soudní síti (Úř. věst. L 348, 24.12.2008, s. 130).</w:t>
            </w:r>
          </w:p>
        </w:tc>
        <w:tc>
          <w:tcPr>
            <w:tcW w:w="4876" w:type="dxa"/>
          </w:tcPr>
          <w:p>
            <w:pPr>
              <w:pStyle w:val="Normal6a"/>
            </w:pPr>
            <w:r>
              <w:rPr>
                <w:vertAlign w:val="superscript"/>
              </w:rPr>
              <w:t>76</w:t>
            </w:r>
            <w:r>
              <w:t xml:space="preserve"> </w:t>
            </w:r>
            <w:r>
              <w:t>Rozhodnutí Rady 2008/976/SVV ze dne 16. prosince 2008 o Evropské soudní síti (Úř. věst. L 348, 24.12.2008, s. 130).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Informace, které mají být shromážděny, jsou pro podezřelé a jejich právní poradce potenciálně významné.</w:t>
      </w:r>
      <w:r>
        <w:t xml:space="preserve"> </w:t>
      </w:r>
      <w:r>
        <w:t>V zájmu zajištění rovnosti zbraní by znění mělo být pozměněno tak, aby v něm bylo uvedeno, že by měly mít k dispozici pravidelně aktualizované informace.</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756.024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68</w:t>
    </w:r>
    <w:r>
      <w:fldChar w:fldCharType="end"/>
    </w:r>
    <w:r>
      <w:t>/</w:t>
    </w:r>
    <w:r>
      <w:fldChar w:fldCharType="begin"/>
    </w:r>
    <w:r>
      <w:instrText xml:space="preserve"> NUMPAGES </w:instrText>
    </w:r>
    <w:r>
      <w:fldChar w:fldCharType="separate"/>
    </w:r>
    <w:r>
      <w:t>68</w:t>
    </w:r>
    <w:r>
      <w:fldChar w:fldCharType="end"/>
    </w:r>
    <w:r>
      <w:tab/>
    </w:r>
    <w:r>
      <w:rPr>
        <w:rStyle w:val="HideTWBExt"/>
      </w:rPr>
      <w:t>&lt;PathFdR&gt;</w:t>
    </w:r>
    <w:r>
      <w:t>AM\1289747CS.docx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AM\1289747CS.docx</w:t>
    </w:r>
    <w:r>
      <w:rPr>
        <w:rStyle w:val="HideTWBExt"/>
      </w:rPr>
      <w:t>&lt;/PathFdR&gt;</w:t>
    </w:r>
    <w:r>
      <w:tab/>
    </w:r>
    <w:r>
      <w:fldChar w:fldCharType="begin"/>
    </w:r>
    <w:r>
      <w:instrText xml:space="preserve"> PAGE </w:instrText>
    </w:r>
    <w:r>
      <w:fldChar w:fldCharType="separate"/>
    </w:r>
    <w:r>
      <w:t>67</w:t>
    </w:r>
    <w:r>
      <w:fldChar w:fldCharType="end"/>
    </w:r>
    <w:r>
      <w:t>/</w:t>
    </w:r>
    <w:r>
      <w:fldChar w:fldCharType="begin"/>
    </w:r>
    <w:r>
      <w:instrText xml:space="preserve"> NUMPAGES </w:instrText>
    </w:r>
    <w:r>
      <w:fldChar w:fldCharType="separate"/>
    </w:r>
    <w:r>
      <w:t>68</w:t>
    </w:r>
    <w:r>
      <w:fldChar w:fldCharType="end"/>
    </w:r>
    <w:r>
      <w:tab/>
    </w:r>
    <w:r>
      <w:t>PE</w:t>
    </w:r>
    <w:r>
      <w:rPr>
        <w:rStyle w:val="HideTWBExt"/>
      </w:rPr>
      <w:t>&lt;NoPE&gt;</w:t>
    </w:r>
    <w:r>
      <w:t>756.024</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AM\1289747CS.docx</w:t>
    </w:r>
    <w:r>
      <w:rPr>
        <w:rStyle w:val="HideTWBExt"/>
      </w:rPr>
      <w:t>&lt;/PathFdR&gt;</w:t>
    </w:r>
    <w:r>
      <w:tab/>
    </w:r>
    <w:r>
      <w:tab/>
    </w:r>
    <w:r>
      <w:t>PE</w:t>
    </w:r>
    <w:r>
      <w:rPr>
        <w:rStyle w:val="HideTWBExt"/>
      </w:rPr>
      <w:t>&lt;NoPE&gt;</w:t>
    </w:r>
    <w:r>
      <w:t>756.024</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EPBody">
    <w:name w:val="EPBody"/>
    <w:basedOn w:val="Normal"/>
    <w:pPr>
      <w:widowControl w:val="0"/>
      <w:jc w:val="center"/>
    </w:pPr>
    <w:rPr>
      <w:rFonts w:ascii="Arial" w:eastAsia="Arial" w:hAnsi="Arial" w:cs="Arial"/>
      <w:i/>
      <w:sz w:val="22"/>
    </w:rPr>
  </w:style>
  <w:style w:type="paragraph" w:customStyle="1" w:styleId="CoverBold">
    <w:name w:val="CoverBold"/>
    <w:basedOn w:val="Normal"/>
    <w:pPr>
      <w:widowControl w:val="0"/>
      <w:ind w:left="1416"/>
    </w:pPr>
    <w:rPr>
      <w:b/>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68</Pages>
  <Words>16617</Words>
  <Characters>96676</Characters>
  <Application>Microsoft Office Word</Application>
  <DocSecurity>0</DocSecurity>
  <Lines>1</Lines>
  <Paragraphs>1192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1289747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35962</vt:lpwstr>
  </property>
  <property fmtid="{D5CDD505-2E9C-101B-9397-08002B2CF9AE}" pid="7" name="dmxml.render.traceId">
    <vt:lpwstr>6566e806c26accd1622f9f8a13e345d8</vt:lpwstr>
  </property>
  <property fmtid="{D5CDD505-2E9C-101B-9397-08002B2CF9AE}" pid="8" name="FooterPath">
    <vt:lpwstr>AM\1289747CS.docx</vt:lpwstr>
  </property>
  <property fmtid="{D5CDD505-2E9C-101B-9397-08002B2CF9AE}" pid="9" name="PE Number">
    <vt:lpwstr>756.024</vt:lpwstr>
  </property>
  <property fmtid="{D5CDD505-2E9C-101B-9397-08002B2CF9AE}" pid="10" name="UID">
    <vt:lpwstr>eu.europa.europarl-DIN1-2023-0000146955_01.00-cs-01.00_text-xml</vt:lpwstr>
  </property>
</Properties>
</file>