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Europos Parlamentas</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Piliečių laisvių, teisingumo ir vidaus reikalų komitetas</w:t>
      </w:r>
      <w:r>
        <w:rPr>
          <w:rStyle w:val="HideTWBExt"/>
        </w:rPr>
        <w:t>&lt;/Commission&gt;</w:t>
      </w:r>
    </w:p>
    <w:p>
      <w:pPr>
        <w:pStyle w:val="LineBottom"/>
      </w:pPr>
      <w:r>
        <w:t xml:space="preserve"> </w:t>
      </w:r>
    </w:p>
    <w:p>
      <w:pPr>
        <w:pStyle w:val="CoverReference"/>
      </w:pPr>
      <w:r>
        <w:rPr>
          <w:rStyle w:val="HideTWBExt"/>
        </w:rPr>
        <w:t>&lt;RefProc&gt;</w:t>
      </w:r>
      <w:r>
        <w:t>2023/0093</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{08/11/2023}</w:t>
      </w:r>
      <w:r>
        <w:t>8.11.2023</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35</w:t>
      </w:r>
      <w:r>
        <w:t xml:space="preserve"> - </w:t>
      </w:r>
      <w:r>
        <w:t>161</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Assita Kanko</w:t>
      </w:r>
      <w:r>
        <w:rPr>
          <w:rStyle w:val="HideTWBExt"/>
        </w:rPr>
        <w:t>&lt;/Rapporteur&gt;</w:t>
      </w:r>
    </w:p>
    <w:p>
      <w:pPr>
        <w:pStyle w:val="CoverNormal24a"/>
      </w:pPr>
      <w:r>
        <w:rPr>
          <w:rStyle w:val="HideTWBExt"/>
        </w:rPr>
        <w:t>&lt;DocRefPE&gt;</w:t>
      </w:r>
      <w:r>
        <w:t>(PE753.778v01-00)</w:t>
      </w:r>
      <w:r>
        <w:rPr>
          <w:rStyle w:val="HideTWBExt"/>
        </w:rPr>
        <w:t>&lt;/DocRefPE&gt;</w:t>
      </w:r>
    </w:p>
    <w:p>
      <w:pPr>
        <w:pStyle w:val="CoverNormal24a"/>
      </w:pPr>
      <w:r>
        <w:rPr>
          <w:rStyle w:val="HideTWBExt"/>
        </w:rPr>
        <w:t>&lt;Titre&gt;</w:t>
      </w:r>
      <w:r>
        <w:t>Baudžiamojo proceso perdavimas</w:t>
      </w:r>
      <w:r>
        <w:rPr>
          <w:rStyle w:val="HideTWBExt"/>
        </w:rPr>
        <w:t>&lt;/Titre&gt;</w:t>
      </w:r>
    </w:p>
    <w:p>
      <w:pPr>
        <w:pStyle w:val="CoverNormal"/>
      </w:pPr>
      <w:r>
        <w:rPr>
          <w:rStyle w:val="HideTWBExt"/>
        </w:rPr>
        <w:t>&lt;DocAmend&gt;</w:t>
      </w:r>
      <w:r>
        <w:t>Pasiūlymas dėl reglamento</w:t>
      </w:r>
      <w:r>
        <w:rPr>
          <w:rStyle w:val="HideTWBExt"/>
        </w:rPr>
        <w:t>&lt;/DocAmend&gt;</w:t>
      </w:r>
    </w:p>
    <w:p>
      <w:pPr>
        <w:pStyle w:val="CoverNormal24a"/>
      </w:pPr>
      <w:r>
        <w:rPr>
          <w:rStyle w:val="HideTWBExt"/>
        </w:rPr>
        <w:t>&lt;DocRef&gt;</w:t>
      </w:r>
      <w:r>
        <w:t>(COM(2023)0185 – C9-0128/2023 – 2023/0093(COD))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šis reglamentas turėtų būti taikomas visiems prašymams, pateiktiems vykstant baudžiamajam procesui</w:t>
            </w:r>
            <w:r>
              <w:rPr>
                <w:b/>
                <w:i/>
              </w:rPr>
              <w:t>. baudžiamasis procesas yra savarankiška Sąjungos teisės sąvoka, išaiškinta Europos Sąjungos Teisingumo Teismo, nedarant poveikio Europos Žmogaus Teisių Teismo praktikai, prasidedantis nuo to momento, kai valstybės narės kompetentingos institucijos informuoja asmenis, kad jie įtariami arba kaltinami įvykdę nusikalstamą veiką, ir besitęsiantis iki proceso pabaigos, t. y. kol galutinai išsprendžiamas klausimas, ar įtariamasis arba kaltinamasis įvykdė nusikalstamą veiką, įskaitant, jei taikytina, bausmės skyrimą ir sprendimą dėl apeliacinio skundo</w:t>
            </w:r>
            <w:r>
              <w:t>;</w:t>
            </w:r>
          </w:p>
        </w:tc>
        <w:tc>
          <w:tcPr>
            <w:tcW w:w="4876" w:type="dxa"/>
          </w:tcPr>
          <w:p>
            <w:pPr>
              <w:pStyle w:val="Normal6a"/>
            </w:pPr>
            <w:r>
              <w:t>(7)</w:t>
            </w:r>
            <w:r>
              <w:tab/>
            </w:r>
            <w:r>
              <w:t>šis reglamentas turėtų būti taikomas visiems prašymams, pateiktiems vykstant baudžiamajam procesui;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šis reglamentas turėtų būti taikomas visiems prašymams, pateiktiems vykstant baudžiamajam procesui</w:t>
            </w:r>
            <w:r>
              <w:rPr>
                <w:b/>
                <w:i/>
              </w:rPr>
              <w:t>. baudžiamasis procesas yra savarankiška Sąjungos teisės sąvoka, išaiškinta Europos Sąjungos Teisingumo Teismo, nedarant poveikio Europos Žmogaus Teisių Teismo praktikai, prasidedantis nuo to momento, kai valstybės narės kompetentingos institucijos informuoja asmenis, kad jie įtariami arba kaltinami įvykdę nusikalstamą veiką, ir besitęsiantis iki proceso pabaigos, t. y. kol galutinai išsprendžiamas klausimas, ar įtariamasis arba kaltinamasis įvykdė nusikalstamą veiką, įskaitant, jei taikytina, bausmės skyrimą ir sprendimą dėl apeliacinio skundo</w:t>
            </w:r>
            <w:r>
              <w:t>;</w:t>
            </w:r>
          </w:p>
        </w:tc>
        <w:tc>
          <w:tcPr>
            <w:tcW w:w="4876" w:type="dxa"/>
          </w:tcPr>
          <w:p>
            <w:pPr>
              <w:pStyle w:val="Normal6a"/>
            </w:pPr>
            <w:r>
              <w:t>(7)</w:t>
            </w:r>
            <w:r>
              <w:tab/>
            </w:r>
            <w:r>
              <w:t>šis reglamentas turėtų būti taikomas visiems prašymams, pateiktiems vykstant baudžiamajam procesui;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šiuo reglamentu nustatoma konkrečiais atvejais naudojama jurisdikcija, siekiant užtikrinti, kad, kai to reikia siekiant veiksmingai ir gerai vykdyti teisingumą, pagal šį reglamentą perduodant baudžiamąjį procesą prašomoji valstybė galėtų naudotis jurisdikcija nusikalstamų veikų, kurioms taikytina prašančiosios valstybės teisė, atžvilgiu. Prašomoji valstybė visada turėtų turėti jurisdikciją teisti už nusikalstamas veikas, dėl kurių prašoma perimti procesą, kai manoma, kad ta valstybė narė yra tinkamiausia vykdyti baudžiamąjį persekiojimą;</w:t>
            </w:r>
          </w:p>
        </w:tc>
        <w:tc>
          <w:tcPr>
            <w:tcW w:w="4876" w:type="dxa"/>
          </w:tcPr>
          <w:p>
            <w:pPr>
              <w:pStyle w:val="Normal6a"/>
            </w:pPr>
            <w:r>
              <w:t>(16)</w:t>
            </w:r>
            <w:r>
              <w:tab/>
            </w:r>
            <w:r>
              <w:t xml:space="preserve">šiuo reglamentu nustatoma konkrečiais atvejais naudojama jurisdikcija, siekiant užtikrinti, kad, kai to reikia siekiant veiksmingai ir gerai vykdyti teisingumą </w:t>
            </w:r>
            <w:r>
              <w:rPr>
                <w:b/>
                <w:i/>
              </w:rPr>
              <w:t>ir veiksmingai apsaugoti pagrindines įtariamųjų, kaltinamųjų ir aukų teises, įtvirtintas Sąjungos teisėje</w:t>
            </w:r>
            <w:r>
              <w:t>, pagal šį reglamentą perduodant baudžiamąjį procesą prašomoji valstybė galėtų naudotis jurisdikcija nusikalstamų veikų, kurioms taikytina prašančiosios valstybės teisė, atžvilgiu. Prašomoji valstybė visada turėtų turėti jurisdikciją teisti už nusikalstamas veikas, dėl kurių prašoma perimti procesą, kai manoma, kad ta valstybė narė yra tinkamiausia vykdyti baudžiamąjį persekiojimą;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(17)</w:t>
            </w:r>
            <w:r>
              <w:tab/>
            </w:r>
            <w:r>
              <w:t xml:space="preserve">tokia jurisdikcija turėtų būti nustatyta tais atvejais, kai prašomoji valstybė atsisako perduoti įtariamąjį arba kaltinamąjį, dėl kurio išduotas Europos arešto orderis ir kuris yra prašomojoje valstybėje ir yra </w:t>
            </w:r>
            <w:r>
              <w:rPr>
                <w:b/>
                <w:i/>
              </w:rPr>
              <w:t>tos valstybės</w:t>
            </w:r>
            <w:r>
              <w:t xml:space="preserve"> pilietis arba gyventojas, </w:t>
            </w:r>
            <w:r>
              <w:rPr>
                <w:b/>
                <w:i/>
              </w:rPr>
              <w:t>ir kai toks atsisakymas grindžiamas konkrečiais šiame reglamente nurodytais pagrindais.</w:t>
            </w:r>
            <w:r>
              <w:t xml:space="preserve"> </w:t>
            </w:r>
            <w:r>
              <w:rPr>
                <w:b/>
                <w:i/>
              </w:rPr>
              <w:t>Prašomoji valstybė</w:t>
            </w:r>
            <w:r>
              <w:t xml:space="preserve"> taip pat turėtų turėti jurisdikciją, kai daugiausia nusikalstamos veikos padarinių arba žalos buvo patirta prašomojoje valstybėje. Į žalą pagal prašomosios valstybės teisę turėtų būti atsižvelgiama visada, kai ji yra vienas iš nusikalstamos veikos sudėties požymių. Prašomoji valstybė taip pat turėtų turėti jurisdikciją, kai toje valstybėje jau vyksta baudžiamasis procesas prieš tą patį įtariamąjį arba kaltinamąjį dėl kitų faktinių aplinkybių, kad visi tokio asmens nusikalstamos veikos sudėties elementai galėtų būti nagrinėjami viename baudžiamajame procese, arba kai toje valstybėje vyksta baudžiamasis procesas prieš kitus asmenis dėl tų pačių ar susijusių faktinių aplinkybių; tai visų pirma gali būti svarbu atliekant su nusikalstama organizacija susijusį tyrimą ir vykdant jos baudžiamąjį persekiojimą vienoje valstybėje narėje. Abiem atvejais įtariamasis arba kaltinamasis perduodamame baudžiamajame procese turėtų būti prašomosios valstybės pilietis arba gyventojas;</w:t>
            </w:r>
          </w:p>
        </w:tc>
        <w:tc>
          <w:tcPr>
            <w:tcW w:w="4876" w:type="dxa"/>
          </w:tcPr>
          <w:p>
            <w:pPr>
              <w:pStyle w:val="Normal6a"/>
            </w:pPr>
            <w:r>
              <w:t>(17)</w:t>
            </w:r>
            <w:r>
              <w:tab/>
            </w:r>
            <w:r>
              <w:t xml:space="preserve">tokia jurisdikcija turėtų būti nustatyta </w:t>
            </w:r>
            <w:r>
              <w:rPr>
                <w:b/>
                <w:i/>
              </w:rPr>
              <w:t>remiantis konkrečiais šiame reglamente nurodytais pagrindais.</w:t>
            </w:r>
            <w:r>
              <w:t xml:space="preserve"> </w:t>
            </w:r>
            <w:r>
              <w:rPr>
                <w:b/>
                <w:i/>
              </w:rPr>
              <w:t>Prašomoji valstybė turėtų turėti jurisdikciją</w:t>
            </w:r>
            <w:r>
              <w:t xml:space="preserve"> tais atvejais, kai prašomoji valstybė atsisako perduoti įtariamąjį arba kaltinamąjį, dėl kurio išduotas Europos arešto orderis ir kuris yra prašomojoje valstybėje ir yra </w:t>
            </w:r>
            <w:r>
              <w:rPr>
                <w:b/>
                <w:i/>
              </w:rPr>
              <w:t>jos</w:t>
            </w:r>
            <w:r>
              <w:t xml:space="preserve"> pilietis arba gyventojas, </w:t>
            </w:r>
            <w:r>
              <w:rPr>
                <w:b/>
                <w:i/>
              </w:rPr>
              <w:t>jeigu nustato, kad išimtinėmis aplinkybėmis, remiantis konkrečiais ir objektyviais įrodymais, yra pagrįstų priežasčių manyti, kad konkrečiomis bylos aplinkybėmis tų asmenų perdavimas reikštų akivaizdų atitinkamos pagrindinės teisės, įtvirtintos Europos Sąjungos sutarties 6 straipsnyje ir Chartijoje, pažeidimą.</w:t>
            </w:r>
            <w:r>
              <w:t xml:space="preserve"> </w:t>
            </w:r>
            <w:r>
              <w:rPr>
                <w:b/>
                <w:i/>
              </w:rPr>
              <w:t>Ji</w:t>
            </w:r>
            <w:r>
              <w:t xml:space="preserve"> taip pat turėtų turėti jurisdikciją, kai daugiausia nusikalstamos veikos padarinių arba žalos buvo patirta prašomojoje valstybėje. Į žalą pagal prašomosios valstybės teisę turėtų būti atsižvelgiama visada, kai ji yra vienas iš nusikalstamos veikos sudėties požymių. Prašomoji valstybė taip pat turėtų turėti jurisdikciją, kai toje valstybėje jau vyksta baudžiamasis procesas prieš tą patį įtariamąjį arba kaltinamąjį dėl kitų faktinių aplinkybių, kad visi tokio asmens nusikalstamos veikos sudėties elementai galėtų būti nagrinėjami viename baudžiamajame procese, arba kai toje valstybėje vyksta baudžiamasis procesas prieš kitus asmenis dėl tų pačių ar susijusių faktinių aplinkybių; tai visų pirma gali būti svarbu atliekant su nusikalstama organizacija susijusį tyrimą ir vykdant jos baudžiamąjį persekiojimą vienoje valstybėje narėje. Abiem atvejais įtariamasis arba kaltinamasis perduodamame baudžiamajame procese turėtų būti prašomosios valstybės pilietis arba gyventojas;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 xml:space="preserve">kad būtų pasiektas šio reglamento tikslas ir užkirstas kelias jurisdikcijos kolizijoms, ypač atsižvelgiant į tas valstybes nares, kurių teisės sistemos grindžiamos privalomu baudžiamuoju persekiojimu arba baudžiamasis persekiojimas už tam tikras nusikalstamas veikas yra privalomas, prašančioji valstybė, prašydama perimti baudžiamąjį procesą, turėtų atsisakyti savo jurisdikcijos dėl atitinkamo asmens baudžiamojo persekiojimo už nusikalstamą veiką, dėl kurios prašoma perduoti tą asmenį. Tuo remdamosi prašančiosios valstybės kompetentingos institucijos turėtų </w:t>
            </w:r>
            <w:r>
              <w:rPr>
                <w:b/>
                <w:i/>
              </w:rPr>
              <w:t>turėti galimybę</w:t>
            </w:r>
            <w:r>
              <w:t xml:space="preserve"> nutraukti baudžiamąjį procesą, kurį jos pradėjo, valstybės narės, kuri, kaip nustatyta, yra tinkamesnė vykdyti baudžiamąjį persekiojimą, naudai, net jei pagal nacionalinę teisę jos būtų įpareigotos vykdyti baudžiamąjį persekiojimą. Toks jurisdikcijos atsisakymas neturėtų daryti poveikio šiame reglamente išdėstytoms nuostatoms dėl baudžiamojo proceso perdavimo prašančiojoje valstybėje padarinių;</w:t>
            </w:r>
          </w:p>
        </w:tc>
        <w:tc>
          <w:tcPr>
            <w:tcW w:w="4876" w:type="dxa"/>
          </w:tcPr>
          <w:p>
            <w:pPr>
              <w:pStyle w:val="Normal6a"/>
            </w:pPr>
            <w:r>
              <w:t>(18)</w:t>
            </w:r>
            <w:r>
              <w:tab/>
            </w:r>
            <w:r>
              <w:t>kad būtų pasiektas šio reglamento tikslas ir užkirstas kelias jurisdikcijos kolizijoms, ypač atsižvelgiant į tas valstybes nares, kurių teisės sistemos grindžiamos privalomu baudžiamuoju persekiojimu arba baudžiamasis persekiojimas už tam tikras nusikalstamas veikas yra privalomas, prašančioji valstybė, prašydama perimti baudžiamąjį procesą, turėtų atsisakyti savo jurisdikcijos dėl atitinkamo asmens baudžiamojo persekiojimo už nusikalstamą veiką, dėl kurios prašoma perduoti tą asmenį. Tuo remdamosi prašančiosios valstybės kompetentingos institucijos turėtų nutraukti baudžiamąjį procesą, kurį jos pradėjo, valstybės narės, kuri, kaip nustatyta, yra tinkamesnė vykdyti baudžiamąjį persekiojimą, naudai, net jei pagal nacionalinę teisę jos būtų įpareigotos vykdyti baudžiamąjį persekiojimą. Toks jurisdikcijos atsisakymas neturėtų daryti poveikio šiame reglamente išdėstytoms nuostatoms dėl baudžiamojo proceso perdavimo prašančiojoje valstybėje padarinių;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21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valstybės narės turėtų užtikrinti, kad taikant šį reglamentą būtų atsižvelgiama į pažeidžiamų asmenų poreikius. Remiantis Komisijos rekomendacija (2013/C 378/02)</w:t>
            </w:r>
            <w:r>
              <w:rPr>
                <w:vertAlign w:val="superscript"/>
              </w:rPr>
              <w:t>60</w:t>
            </w:r>
            <w:r>
              <w:t>, pažeidžiamais įtariamaisiais arba kaltinamaisiais turėtų būti laikomi visi įtariamieji arba kaltinamieji, kurie dėl savo amžiaus, psichinės ar fizinės būklės ar bet kurios negalios, kurią jie gali turėti, negali suprasti baudžiamojo proceso arba veiksmingai jame dalyvauti;</w:t>
            </w:r>
          </w:p>
        </w:tc>
        <w:tc>
          <w:tcPr>
            <w:tcW w:w="4876" w:type="dxa"/>
          </w:tcPr>
          <w:p>
            <w:pPr>
              <w:pStyle w:val="Normal6a"/>
            </w:pPr>
            <w:r>
              <w:t>(21)</w:t>
            </w:r>
            <w:r>
              <w:tab/>
            </w:r>
            <w:r>
              <w:t>valstybės narės turėtų užtikrinti, kad taikant šį reglamentą būtų atsižvelgiama į pažeidžiamų asmenų poreikius. Remiantis Komisijos rekomendacija (2013/C 378/02)</w:t>
            </w:r>
            <w:r>
              <w:rPr>
                <w:vertAlign w:val="superscript"/>
              </w:rPr>
              <w:t>60</w:t>
            </w:r>
            <w:r>
              <w:t>, pažeidžiamais įtariamaisiais arba kaltinamaisiais turėtų būti laikomi visi įtariamieji arba kaltinamieji, kurie dėl savo amžiaus, psichinės ar fizinės būklės ar bet kurios negalios, kurią jie gali turėti, negali suprasti baudžiamojo proceso arba veiksmingai jame dalyvauti</w:t>
            </w:r>
            <w:r>
              <w:rPr>
                <w:b/>
                <w:i/>
              </w:rPr>
              <w:t>.</w:t>
            </w:r>
            <w:r>
              <w:t xml:space="preserve"> </w:t>
            </w:r>
            <w:r>
              <w:rPr>
                <w:b/>
                <w:i/>
              </w:rPr>
              <w:t>Vertinant įtariamųjų arba kaltinamųjų pažeidžiamumą reikėtų atsižvelgti į jų imigracijos arba gyventojo statusą ir į tai, ar jie gali suprasti proceso kalbą prašančiojoje arba prašomojoje valstybėje narėje</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60</w:t>
            </w:r>
            <w:r>
              <w:t xml:space="preserve"> </w:t>
            </w:r>
            <w:r>
              <w:t>2013 m. lapkričio 27 d. Komisijos rekomendacija dėl procesinių garantijų pažeidžiamiems asmenims, įtariamiems ar kaltinamiems baudžiamosiose bylose (2013/C 378/02) (OL C 378, 2013 12 24, p. 8).</w:t>
            </w:r>
          </w:p>
        </w:tc>
        <w:tc>
          <w:tcPr>
            <w:tcW w:w="4876" w:type="dxa"/>
          </w:tcPr>
          <w:p>
            <w:pPr>
              <w:pStyle w:val="Normal6a"/>
            </w:pPr>
            <w:r>
              <w:rPr>
                <w:vertAlign w:val="superscript"/>
              </w:rPr>
              <w:t>60</w:t>
            </w:r>
            <w:r>
              <w:t xml:space="preserve"> </w:t>
            </w:r>
            <w:r>
              <w:t>2013 m. lapkričio 27 d. Komisijos rekomendacija dėl procesinių garantijų pažeidžiamiems asmenims, įtariamiems ar kaltinamiems baudžiamosiose bylose (2013/C 378/02) (OL C 378, 2013 12 24, p. 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(23)</w:t>
            </w:r>
            <w:r>
              <w:tab/>
            </w:r>
            <w:r>
              <w:t xml:space="preserve">šiuo reglamentu </w:t>
            </w:r>
            <w:r>
              <w:rPr>
                <w:b/>
                <w:i/>
              </w:rPr>
              <w:t>neturėtų būti</w:t>
            </w:r>
            <w:r>
              <w:t xml:space="preserve"> nustatoma prievolė teikti prašymą dėl baudžiamojo proceso perdavimo. Vertindama, ar turėtų būti pateiktas prašymas dėl baudžiamojo proceso perdavimo, prašančioji institucija </w:t>
            </w:r>
            <w:r>
              <w:rPr>
                <w:b/>
                <w:i/>
              </w:rPr>
              <w:t>turėtų išnagrinėti</w:t>
            </w:r>
            <w:r>
              <w:t xml:space="preserve">, ar toks perdavimas yra būtinas ir tinkamas. Šis vertinimas </w:t>
            </w:r>
            <w:r>
              <w:rPr>
                <w:b/>
                <w:i/>
              </w:rPr>
              <w:t>turėtų būti</w:t>
            </w:r>
            <w:r>
              <w:t xml:space="preserve"> atliekamas kiekvienu konkrečiu atveju, siekiant nustatyti, kuri valstybė narė yra tinkamiausia vykdyti baudžiamąjį persekiojimą už atitinkamą nusikalstamą veiką;</w:t>
            </w:r>
          </w:p>
        </w:tc>
        <w:tc>
          <w:tcPr>
            <w:tcW w:w="4876" w:type="dxa"/>
          </w:tcPr>
          <w:p>
            <w:pPr>
              <w:pStyle w:val="Normal6a"/>
            </w:pPr>
            <w:r>
              <w:t>(23)</w:t>
            </w:r>
            <w:r>
              <w:tab/>
            </w:r>
            <w:r>
              <w:t xml:space="preserve">šiuo reglamentu </w:t>
            </w:r>
            <w:r>
              <w:rPr>
                <w:b/>
                <w:i/>
              </w:rPr>
              <w:t>nėra</w:t>
            </w:r>
            <w:r>
              <w:t xml:space="preserve"> nustatoma prievolė teikti prašymą dėl baudžiamojo proceso perdavimo. Vertindama, ar turėtų būti pateiktas prašymas dėl baudžiamojo proceso perdavimo, prašančioji institucija </w:t>
            </w:r>
            <w:r>
              <w:rPr>
                <w:b/>
                <w:i/>
              </w:rPr>
              <w:t>išnagrinėja</w:t>
            </w:r>
            <w:r>
              <w:t>, ar toks perdavimas yra būtinas ir tinkamas. Šis vertinimas atliekamas kiekvienu konkrečiu atveju, siekiant nustatyti, kuri valstybė narė yra tinkamiausia vykdyti baudžiamąjį persekiojimą už atitinkamą nusikalstamą veiką;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25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jeigu įtariamasis arba kaltinamasis yra prašomosios valstybės pilietis arba gyventojas, baudžiamojo proceso perdavimas gali būti pagrįstas, siekiant užtikrinti įtariamojo arba kaltinamojo teisę dalyvauti nagrinėjant bylą teisme pagal Direktyvą (ES) 2016/343. Panašiai, kai dauguma aukų yra prašomosios valstybės piliečiai arba gyventojai, perdavimas gali būti pagrįstas, kad aukos galėtų lengvai dalyvauti baudžiamajame procese ir būti veiksmingai apklaustos kaip liudytojai proceso metu</w:t>
            </w:r>
            <w:r>
              <w:rPr>
                <w:b/>
                <w:i/>
              </w:rPr>
              <w:t>.</w:t>
            </w:r>
            <w:r>
              <w:t xml:space="preserve"> </w:t>
            </w:r>
            <w:r>
              <w:rPr>
                <w:b/>
                <w:i/>
              </w:rPr>
              <w:t>Tais atvejais, kai prašomojoje valstybėje, remiantis šiame reglamente nurodytais pagrindais, atsisakoma perduoti įtariamąjį arba kaltinamąjį, dėl kurio išduotas Europos arešto orderis, perdavimas taip pat gali būti pagrįstas, kai tas asmuo yra prašomojoje valstybėje, tačiau nėra tos valstybės pilietis ar gyventojas</w:t>
            </w:r>
            <w:r>
              <w:t>;</w:t>
            </w:r>
          </w:p>
        </w:tc>
        <w:tc>
          <w:tcPr>
            <w:tcW w:w="4876" w:type="dxa"/>
          </w:tcPr>
          <w:p>
            <w:pPr>
              <w:pStyle w:val="Normal6a"/>
            </w:pPr>
            <w:r>
              <w:t>(25)</w:t>
            </w:r>
            <w:r>
              <w:tab/>
            </w:r>
            <w:r>
              <w:t>jeigu įtariamasis arba kaltinamasis yra prašomosios valstybės pilietis arba gyventojas, baudžiamojo proceso perdavimas gali būti pagrįstas, siekiant užtikrinti įtariamojo arba kaltinamojo teisę dalyvauti nagrinėjant bylą teisme pagal Direktyvą (ES) 2016/343. Panašiai, kai dauguma aukų yra prašomosios valstybės piliečiai arba gyventojai, perdavimas gali būti pagrįstas, kad aukos galėtų lengvai dalyvauti baudžiamajame procese ir būti veiksmingai apklaustos kaip liudytojai proceso metu;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25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jeigu įtariamasis arba kaltinamasis yra prašomosios valstybės pilietis arba gyventojas, baudžiamojo proceso perdavimas gali būti pagrįstas, siekiant užtikrinti įtariamojo arba kaltinamojo teisę dalyvauti nagrinėjant bylą teisme pagal Direktyvą (ES) 2016/343. Panašiai, kai </w:t>
            </w:r>
            <w:r>
              <w:rPr>
                <w:b/>
                <w:i/>
              </w:rPr>
              <w:t>dauguma aukų</w:t>
            </w:r>
            <w:r>
              <w:t xml:space="preserve"> yra prašomosios valstybės piliečiai arba gyventojai, perdavimas gali būti pagrįstas, kad aukos galėtų lengvai dalyvauti baudžiamajame procese ir būti veiksmingai apklaustos kaip liudytojai proceso metu. Tais atvejais, kai prašomojoje valstybėje, remiantis šiame reglamente nurodytais pagrindais, atsisakoma perduoti įtariamąjį arba kaltinamąjį, dėl kurio išduotas Europos arešto orderis, perdavimas taip pat gali būti pagrįstas, kai tas asmuo yra prašomojoje valstybėje, tačiau nėra tos valstybės pilietis ar gyventojas;</w:t>
            </w:r>
          </w:p>
        </w:tc>
        <w:tc>
          <w:tcPr>
            <w:tcW w:w="4876" w:type="dxa"/>
          </w:tcPr>
          <w:p>
            <w:pPr>
              <w:pStyle w:val="Normal6a"/>
            </w:pPr>
            <w:r>
              <w:t>(25)</w:t>
            </w:r>
            <w:r>
              <w:tab/>
            </w:r>
            <w:r>
              <w:t xml:space="preserve">jeigu įtariamasis arba kaltinamasis yra prašomosios valstybės pilietis arba gyventojas, baudžiamojo proceso perdavimas gali būti pagrįstas, siekiant užtikrinti įtariamojo arba kaltinamojo teisę dalyvauti nagrinėjant bylą teisme pagal Direktyvą (ES) 2016/343. Panašiai, kai </w:t>
            </w:r>
            <w:r>
              <w:rPr>
                <w:b/>
                <w:i/>
              </w:rPr>
              <w:t>auka ar aukos</w:t>
            </w:r>
            <w:r>
              <w:t xml:space="preserve"> yra prašomosios valstybės piliečiai arba gyventojai, perdavimas gali būti pagrįstas, kad aukos galėtų lengvai dalyvauti baudžiamajame procese ir būti veiksmingai apklaustos kaip liudytojai proceso metu. Tais atvejais, kai prašomojoje valstybėje, remiantis šiame reglamente nurodytais pagrindais, atsisakoma perduoti įtariamąjį arba kaltinamąjį, dėl kurio išduotas Europos arešto orderis, perdavimas taip pat gali būti pagrįstas, kai tas asmuo yra prašomojoje valstybėje, tačiau nėra tos valstybės pilietis ar gyventojas;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(27)</w:t>
            </w:r>
            <w:r>
              <w:tab/>
            </w:r>
            <w:r>
              <w:t>baudžiamojo proceso perdavimas taip pat gali būti pagrįstas, kai prašomojoje valstybėje vyksta baudžiamasis procesas prieš įtariamąjį arba kaltinamąjį dėl tų pačių ar kitų faktinių aplinkybių arba kai prašomojoje valstybėje vyksta baudžiamasis procesas dėl tų pačių ar susijusių faktinių aplinkybių prieš kitus asmenis, pvz., kai vykdomas tarpvalstybinių nusikalstamų organizacijų baudžiamasis persekiojimas, t. y., kai skirtingose valstybėse narėse gali būti vykdomas skirtingų bendrai kaltinamų asmenų baudžiamasis persekiojimas. Be to, jei įtariamasis arba kaltinamasis prašomojoje valstybėje atlieka arba turi atlikti laisvės atėmimo bausmę už kitą nusikalstamą veiką, baudžiamojo proceso perdavimas gali būti pagrįstas siekiant užtikrinti nuteistojo teisę dalyvauti nagrinėjant bylą, dėl kurios pateiktas prašymas perimti baudžiamąjį procesą, teisme, kartu atliekant bausmę prašomojoje valstybėje. Prašančiosios institucijos taip pat turėtų tinkamai apsvarstyti, ar baudžiamojo proceso perdavimas galėtų padėti siekti socialinės atitinkamo asmens reabilitacijos tuo atveju, jei bausmė būtų vykdoma prašomojoje valstybėje: tam reikėtų atsižvelgti į asmens ryšį su prašomąja valstybe, kad ir kas tai, jo nuomone, būtų – šeimos buvimo vieta, kalbinės, kultūrinės, socialinės, ekonominės ar kitos sąsajos;</w:t>
            </w:r>
          </w:p>
        </w:tc>
        <w:tc>
          <w:tcPr>
            <w:tcW w:w="4876" w:type="dxa"/>
          </w:tcPr>
          <w:p>
            <w:pPr>
              <w:pStyle w:val="Normal6a"/>
            </w:pPr>
            <w:r>
              <w:t>(27)</w:t>
            </w:r>
            <w:r>
              <w:tab/>
            </w:r>
            <w:r>
              <w:t>baudžiamojo proceso perdavimas taip pat gali būti pagrįstas, kai prašomojoje valstybėje vyksta baudžiamasis procesas prieš įtariamąjį arba kaltinamąjį dėl tų pačių ar kitų faktinių aplinkybių arba kai prašomojoje valstybėje vyksta baudžiamasis procesas dėl tų pačių ar susijusių faktinių aplinkybių prieš kitus asmenis, pvz., kai vykdomas tarpvalstybinių nusikalstamų organizacijų baudžiamasis persekiojimas, t. y., kai skirtingose valstybėse narėse gali būti vykdomas skirtingų bendrai kaltinamų asmenų baudžiamasis persekiojimas. Be to, jei įtariamasis arba kaltinamasis prašomojoje valstybėje atlieka arba turi atlikti laisvės atėmimo bausmę už kitą nusikalstamą veiką, baudžiamojo proceso perdavimas gali būti pagrįstas siekiant užtikrinti nuteistojo teisę dalyvauti nagrinėjant bylą, dėl kurios pateiktas prašymas perimti baudžiamąjį procesą, teisme, kartu atliekant bausmę prašomojoje valstybėje. Prašančiosios institucijos taip pat turėtų tinkamai apsvarstyti, ar baudžiamojo proceso perdavimas galėtų padėti siekti socialinės atitinkamo asmens reabilitacijos tuo atveju, jei bausmė būtų vykdoma prašomojoje valstybėje: tam reikėtų atsižvelgti į asmens ryšį su prašomąja valstybe, kad ir kas tai, jo nuomone, būtų – šeimos buvimo vieta, kalbinės, kultūrinės, socialinės, ekonominės ar kitos sąsajos</w:t>
            </w:r>
            <w:r>
              <w:rPr>
                <w:b/>
                <w:i/>
              </w:rPr>
              <w:t>.</w:t>
            </w:r>
            <w:r>
              <w:t xml:space="preserve"> </w:t>
            </w:r>
            <w:r>
              <w:rPr>
                <w:b/>
                <w:i/>
              </w:rPr>
              <w:t>Be to, prašančiosios institucijos turėtų tinkamai apsvarstyti, ar baudžiamojo proceso perdavimas galėtų padėti pasiekti atkuriamojo teisingumo tikslus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29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įtariamieji, kaltinamieji arba aukos turėtų </w:t>
            </w:r>
            <w:r>
              <w:rPr>
                <w:b/>
                <w:i/>
              </w:rPr>
              <w:t>galėti</w:t>
            </w:r>
            <w:r>
              <w:t xml:space="preserve"> prašyti, kad su jais susijęs baudžiamasis procesas būtų perduotas kitai valstybei narei. </w:t>
            </w:r>
            <w:r>
              <w:rPr>
                <w:b/>
                <w:i/>
              </w:rPr>
              <w:t>Tačiau</w:t>
            </w:r>
            <w:r>
              <w:t xml:space="preserve"> tokiais prašymais prašančioji arba prašomoji institucija neįpareigojama prašyti perimti arba perduoti baudžiamąjį procesą. Jeigu institucijos sužino, kad vyksta paralelūs baudžiamieji procesai pagal įtariamojo, kaltinamojo, aukos arba jų vardu advokato pateiktą prašymą dėl perdavimo, jos privalo konsultuotis tarpusavyje pagal Pamatinį sprendimą 2009/948/TVR;</w:t>
            </w:r>
          </w:p>
        </w:tc>
        <w:tc>
          <w:tcPr>
            <w:tcW w:w="4876" w:type="dxa"/>
          </w:tcPr>
          <w:p>
            <w:pPr>
              <w:pStyle w:val="Normal6a"/>
            </w:pPr>
            <w:r>
              <w:t>(29)</w:t>
            </w:r>
            <w:r>
              <w:tab/>
            </w:r>
            <w:r>
              <w:t xml:space="preserve">įtariamieji, kaltinamieji arba aukos turėtų </w:t>
            </w:r>
            <w:r>
              <w:rPr>
                <w:b/>
                <w:i/>
              </w:rPr>
              <w:t>turėti teisę</w:t>
            </w:r>
            <w:r>
              <w:t xml:space="preserve"> prašyti, kad su jais susijęs baudžiamasis procesas būtų perduotas kitai valstybei narei. Tokiais prašymais prašančioji arba prašomoji institucija neįpareigojama prašyti perimti arba perduoti baudžiamąjį procesą</w:t>
            </w:r>
            <w:r>
              <w:rPr>
                <w:b/>
                <w:i/>
              </w:rPr>
              <w:t>. Tačiau šiuos prašymus turėtų tinkamai įvertinti kompetentingos institucijos, kurios priima pagrįstą sprendimą ir apie tai informuoja pareiškėjus ir kitas susijusias šalis</w:t>
            </w:r>
            <w:r>
              <w:t>. Jeigu institucijos sužino, kad vyksta paralelūs baudžiamieji procesai pagal įtariamojo, kaltinamojo, aukos arba jų vardu advokato pateiktą prašymą dėl perdavimo, jos privalo konsultuotis tarpusavyje pagal Pamatinį sprendimą 2009/948/TVR;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29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įtariamieji, kaltinamieji arba aukos turėtų galėti </w:t>
            </w:r>
            <w:r>
              <w:rPr>
                <w:b/>
                <w:i/>
              </w:rPr>
              <w:t>prašyti</w:t>
            </w:r>
            <w:r>
              <w:t xml:space="preserve">, kad su jais susijęs baudžiamasis procesas būtų perduotas kitai valstybei narei. Tačiau tokiais </w:t>
            </w:r>
            <w:r>
              <w:rPr>
                <w:b/>
                <w:i/>
              </w:rPr>
              <w:t>prašymais</w:t>
            </w:r>
            <w:r>
              <w:t xml:space="preserve"> prašančioji arba prašomoji institucija neįpareigojama prašyti perimti arba perduoti baudžiamąjį procesą. Jeigu institucijos sužino, kad vyksta paralelūs baudžiamieji procesai pagal įtariamojo, kaltinamojo, aukos arba jų vardu advokato pateiktą </w:t>
            </w:r>
            <w:r>
              <w:rPr>
                <w:b/>
                <w:i/>
              </w:rPr>
              <w:t>prašymą</w:t>
            </w:r>
            <w:r>
              <w:t xml:space="preserve"> dėl perdavimo, jos privalo konsultuotis tarpusavyje pagal Pamatinį sprendimą 2009/948/TVR;</w:t>
            </w:r>
          </w:p>
        </w:tc>
        <w:tc>
          <w:tcPr>
            <w:tcW w:w="4876" w:type="dxa"/>
          </w:tcPr>
          <w:p>
            <w:pPr>
              <w:pStyle w:val="Normal6a"/>
            </w:pPr>
            <w:r>
              <w:t>(29)</w:t>
            </w:r>
            <w:r>
              <w:tab/>
            </w:r>
            <w:r>
              <w:t xml:space="preserve">įtariamieji, kaltinamieji arba aukos turėtų galėti </w:t>
            </w:r>
            <w:r>
              <w:rPr>
                <w:b/>
                <w:i/>
              </w:rPr>
              <w:t>pasiūlyti</w:t>
            </w:r>
            <w:r>
              <w:t xml:space="preserve">, kad su jais susijęs baudžiamasis procesas būtų perduotas kitai valstybei narei. Tačiau tokiais </w:t>
            </w:r>
            <w:r>
              <w:rPr>
                <w:b/>
                <w:i/>
              </w:rPr>
              <w:t>pasiūlymais</w:t>
            </w:r>
            <w:r>
              <w:t xml:space="preserve"> prašančioji arba prašomoji institucija neįpareigojama prašyti perimti arba perduoti baudžiamąjį procesą. Jeigu institucijos sužino, kad vyksta paralelūs baudžiamieji procesai pagal įtariamojo, kaltinamojo, aukos arba jų vardu advokato pateiktą </w:t>
            </w:r>
            <w:r>
              <w:rPr>
                <w:b/>
                <w:i/>
              </w:rPr>
              <w:t>pasiūlymą</w:t>
            </w:r>
            <w:r>
              <w:t xml:space="preserve"> dėl perdavimo, jos privalo konsultuotis tarpusavyje pagal Pamatinį sprendimą 2009/948/TVR;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30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prašančioji institucija turėtų kuo greičiau informuoti įtariamąjį arba kaltinamąjį apie numatomą perdavimą ir pagal taikytiną nacionalinę teisę suteikti tokiam asmeniui galimybę pareikšti savo nuomonę žodžiu arba raštu, kad institucijos, prieš pateikdamos prašymą dėl perdavimo, galėtų atsižvelgti į jo teisėtus interesus. </w:t>
            </w:r>
            <w:r>
              <w:rPr>
                <w:b/>
                <w:i/>
              </w:rPr>
              <w:t>Vertindama</w:t>
            </w:r>
            <w:r>
              <w:t xml:space="preserve"> teisėtą įtariamojo arba kaltinamojo interesą būti informuotam apie numatomą perdavimą, prašančioji institucija </w:t>
            </w:r>
            <w:r>
              <w:rPr>
                <w:b/>
                <w:i/>
              </w:rPr>
              <w:t>turėtų atsižvelgti į poreikį užtikrinti tyrimo konfidencialumą ir į riziką, kad bus pakenkta baudžiamajam procesui prieš tą asmenį</w:t>
            </w:r>
            <w:r>
              <w:t>, pvz., kai tai būtina siekiant apsaugoti svarbų viešąjį interesą (taip gali būti tais atvejais, kai tokia informacija galėtų pakenkti vykdomiems slaptiesiems tyrimams arba padaryti didelę žalą valstybės narės, kurioje pradėtas baudžiamasis procesas, nacionaliniam saugumui). Jeigu prašančioji institucija, nepaisant pagrįstų pastangų, negali nustatyti įtariamojo arba kaltinamojo buvimo vietos, prievolė informuoti tokį asmenį turėtų būti taikoma nuo tada, kai pasikeičia šios aplinkybės;</w:t>
            </w:r>
          </w:p>
        </w:tc>
        <w:tc>
          <w:tcPr>
            <w:tcW w:w="4876" w:type="dxa"/>
          </w:tcPr>
          <w:p>
            <w:pPr>
              <w:pStyle w:val="Normal6a"/>
            </w:pPr>
            <w:r>
              <w:t>(30)</w:t>
            </w:r>
            <w:r>
              <w:tab/>
            </w:r>
            <w:r>
              <w:t xml:space="preserve">prašančioji institucija turėtų kuo greičiau informuoti įtariamąjį arba kaltinamąjį apie numatomą perdavimą ir pagal taikytiną nacionalinę teisę suteikti tokiam asmeniui galimybę </w:t>
            </w:r>
            <w:r>
              <w:rPr>
                <w:b/>
                <w:i/>
              </w:rPr>
              <w:t>prieš numatomą perdavimą </w:t>
            </w:r>
            <w:r>
              <w:t xml:space="preserve">pareikšti savo nuomonę žodžiu arba raštu, kad institucijos, prieš pateikdamos prašymą dėl perdavimo, galėtų atsižvelgti į jo teisėtus interesus. </w:t>
            </w:r>
            <w:r>
              <w:rPr>
                <w:b/>
                <w:i/>
              </w:rPr>
              <w:t>Valstybės narės turėtų numatyti, kad įtariamojo arba kaltinamojo teisė į informaciją apimtų teisę susipažinti su byla ir visas kitas procesines teises, kurios yra būtinos, kad jie galėtų veiksmingai pasinaudoti savo teise būti išklausytiems.</w:t>
            </w:r>
            <w:r>
              <w:t xml:space="preserve"> </w:t>
            </w:r>
            <w:r>
              <w:rPr>
                <w:b/>
                <w:i/>
              </w:rPr>
              <w:t>Įvertinusi</w:t>
            </w:r>
            <w:r>
              <w:t xml:space="preserve"> teisėtą įtariamojo arba kaltinamojo interesą būti informuotam apie numatomą perdavimą, prašančioji institucija </w:t>
            </w:r>
            <w:r>
              <w:rPr>
                <w:b/>
                <w:i/>
              </w:rPr>
              <w:t>gali nuspręsti išimties tvarka ir laikinai atidėti galimybę pasinaudoti teise būti informuotam apie prašomą perdavimą, kai tai būtina siekiant išvengti rimtų neigiamų pasekmių asmens gyvybei, laisvei ar fizinei neliečiamybei arba užtikrinti tyrimo konfidencialumą</w:t>
            </w:r>
            <w:r>
              <w:t>, pvz., kai tai būtina siekiant apsaugoti svarbų viešąjį interesą (taip gali būti tais atvejais, kai tokia informacija galėtų pakenkti vykdomiems slaptiesiems tyrimams arba padaryti didelę žalą valstybės narės, kurioje pradėtas baudžiamasis procesas, nacionaliniam saugumui). Jeigu prašančioji institucija, nepaisant pagrįstų pastangų, negali nustatyti įtariamojo arba kaltinamojo buvimo vietos, prievolė informuoti tokį asmenį turėtų būti taikoma nuo tada, kai pasikeičia šios aplinkybės;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30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prašančioji institucija turėtų kuo greičiau informuoti įtariamąjį arba kaltinamąjį apie numatomą perdavimą ir pagal taikytiną nacionalinę teisę suteikti tokiam asmeniui galimybę pareikšti savo nuomonę žodžiu arba raštu, kad institucijos, prieš pateikdamos prašymą dėl perdavimo, galėtų atsižvelgti į jo teisėtus interesus. Vertindama teisėtą įtariamojo arba kaltinamojo interesą būti informuotam apie numatomą perdavimą, prašančioji institucija turėtų atsižvelgti į poreikį užtikrinti tyrimo konfidencialumą ir į riziką, kad bus pakenkta baudžiamajam procesui prieš tą asmenį, pvz., kai tai būtina siekiant apsaugoti svarbų viešąjį interesą (taip gali būti tais atvejais, kai tokia informacija galėtų pakenkti vykdomiems slaptiesiems tyrimams arba padaryti didelę žalą valstybės narės, kurioje pradėtas baudžiamasis procesas, nacionaliniam saugumui). Jeigu prašančioji institucija, nepaisant pagrįstų pastangų, negali nustatyti įtariamojo arba kaltinamojo buvimo vietos, prievolė informuoti tokį asmenį turėtų būti taikoma nuo tada, kai pasikeičia šios aplinkybės;</w:t>
            </w:r>
          </w:p>
        </w:tc>
        <w:tc>
          <w:tcPr>
            <w:tcW w:w="4876" w:type="dxa"/>
          </w:tcPr>
          <w:p>
            <w:pPr>
              <w:pStyle w:val="Normal6a"/>
            </w:pPr>
            <w:r>
              <w:t>(30)</w:t>
            </w:r>
            <w:r>
              <w:tab/>
            </w:r>
            <w:r>
              <w:t xml:space="preserve">prašančioji institucija turėtų kuo greičiau informuoti įtariamąjį arba kaltinamąjį apie numatomą perdavimą ir pagal taikytiną nacionalinę teisę suteikti tokiam asmeniui galimybę pareikšti savo nuomonę žodžiu arba raštu, kad institucijos, prieš pateikdamos prašymą dėl perdavimo, galėtų atsižvelgti į jo teisėtus interesus. Vertindama teisėtą įtariamojo arba kaltinamojo interesą būti informuotam apie numatomą perdavimą, prašančioji institucija turėtų atsižvelgti į poreikį užtikrinti tyrimo konfidencialumą ir į riziką, kad bus pakenkta baudžiamajam procesui prieš tą asmenį, pvz., kai tai būtina siekiant apsaugoti svarbų viešąjį interesą (taip gali būti tais atvejais, kai tokia informacija galėtų pakenkti vykdomiems slaptiesiems tyrimams arba padaryti didelę žalą valstybės narės, kurioje pradėtas baudžiamasis procesas, nacionaliniam saugumui). Jeigu prašančioji institucija, nepaisant pagrįstų pastangų, negali nustatyti įtariamojo arba kaltinamojo buvimo vietos, </w:t>
            </w:r>
            <w:r>
              <w:rPr>
                <w:b/>
                <w:i/>
              </w:rPr>
              <w:t>prašančioji institucija gali prašyti prašomosios institucijos pagalbos atliekant šią užduotį.</w:t>
            </w:r>
            <w:r>
              <w:t xml:space="preserve"> </w:t>
            </w:r>
            <w:r>
              <w:rPr>
                <w:b/>
                <w:i/>
              </w:rPr>
              <w:t>Jeigu prašančioji institucija, nepaisant pagrįstų pastangų, negali nustatyti įtariamojo arba kaltinamojo buvimo vietos,</w:t>
            </w:r>
            <w:r>
              <w:t xml:space="preserve"> prievolė informuoti tokį asmenį turėtų būti taikoma nuo tada, kai pasikeičia šios aplinkybės;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30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prašančioji institucija turėtų kuo greičiau informuoti įtariamąjį arba kaltinamąjį apie numatomą perdavimą ir pagal taikytiną nacionalinę teisę suteikti tokiam asmeniui galimybę pareikšti savo nuomonę žodžiu arba raštu, kad institucijos, prieš pateikdamos prašymą dėl perdavimo, galėtų </w:t>
            </w:r>
            <w:r>
              <w:rPr>
                <w:b/>
                <w:i/>
              </w:rPr>
              <w:t>atsižvelgti į</w:t>
            </w:r>
            <w:r>
              <w:t xml:space="preserve"> jo teisėtus interesus. Vertindama teisėtą įtariamojo arba kaltinamojo interesą būti informuotam apie numatomą perdavimą, prašančioji institucija turėtų atsižvelgti į poreikį užtikrinti tyrimo konfidencialumą ir į riziką, kad bus pakenkta baudžiamajam procesui prieš tą asmenį, pvz., kai tai būtina siekiant apsaugoti svarbų viešąjį interesą (taip gali būti tais atvejais, kai tokia informacija galėtų pakenkti vykdomiems slaptiesiems tyrimams arba padaryti didelę žalą valstybės narės, kurioje pradėtas baudžiamasis procesas, nacionaliniam saugumui). Jeigu prašančioji institucija</w:t>
            </w:r>
            <w:r>
              <w:rPr>
                <w:b/>
                <w:i/>
              </w:rPr>
              <w:t>, nepaisant pagrįstų pastangų,</w:t>
            </w:r>
            <w:r>
              <w:t xml:space="preserve"> negali nustatyti įtariamojo arba kaltinamojo buvimo vietos, prievolė informuoti tokį asmenį turėtų būti taikoma nuo tada, kai pasikeičia šios aplinkybės;</w:t>
            </w:r>
          </w:p>
        </w:tc>
        <w:tc>
          <w:tcPr>
            <w:tcW w:w="4876" w:type="dxa"/>
          </w:tcPr>
          <w:p>
            <w:pPr>
              <w:pStyle w:val="Normal6a"/>
            </w:pPr>
            <w:r>
              <w:t>(30)</w:t>
            </w:r>
            <w:r>
              <w:tab/>
            </w:r>
            <w:r>
              <w:t xml:space="preserve">prašančioji institucija turėtų kuo greičiau informuoti įtariamąjį arba kaltinamąjį apie numatomą perdavimą ir pagal taikytiną nacionalinę teisę suteikti tokiam asmeniui galimybę pareikšti savo nuomonę žodžiu arba raštu, kad institucijos, prieš pateikdamos prašymą dėl perdavimo, galėtų </w:t>
            </w:r>
            <w:r>
              <w:rPr>
                <w:b/>
                <w:i/>
              </w:rPr>
              <w:t>užregistruoti</w:t>
            </w:r>
            <w:r>
              <w:t xml:space="preserve"> jo teisėtus interesus. Vertindama teisėtą įtariamojo arba kaltinamojo interesą būti informuotam apie numatomą perdavimą, prašančioji institucija turėtų atsižvelgti į poreikį užtikrinti tyrimo konfidencialumą ir į riziką, kad bus pakenkta baudžiamajam procesui prieš tą asmenį, pvz., kai tai būtina siekiant apsaugoti svarbų viešąjį interesą (taip gali būti tais atvejais, kai tokia informacija galėtų pakenkti vykdomiems slaptiesiems tyrimams arba padaryti didelę žalą valstybės narės, kurioje pradėtas baudžiamasis procesas, nacionaliniam saugumui). Jeigu prašančioji institucija negali nustatyti įtariamojo arba kaltinamojo buvimo vietos, prievolė informuoti tokį asmenį turėtų būti taikoma nuo tada, kai pasikeičia šios aplinkybės;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31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taikant šį reglamentą turėtų būti atsižvelgiama į Europos Parlamento ir Tarybos direktyvoje 2012/29/ES</w:t>
            </w:r>
            <w:r>
              <w:rPr>
                <w:vertAlign w:val="superscript"/>
              </w:rPr>
              <w:t>63</w:t>
            </w:r>
            <w:r>
              <w:t>nustatytas nusikaltimų aukų teises. Šis reglamentas neturėtų būti aiškinamas taip, kad juo užkertamas kelias valstybėms narėms pagal nacionalinę teisę suteikti aukoms daugiau teisių nei nustatyta Sąjungos teisėje;</w:t>
            </w:r>
          </w:p>
        </w:tc>
        <w:tc>
          <w:tcPr>
            <w:tcW w:w="4876" w:type="dxa"/>
          </w:tcPr>
          <w:p>
            <w:pPr>
              <w:pStyle w:val="Normal6a"/>
            </w:pPr>
            <w:r>
              <w:t>(31)</w:t>
            </w:r>
            <w:r>
              <w:tab/>
            </w:r>
            <w:r>
              <w:t>taikant šį reglamentą turėtų būti atsižvelgiama į Europos Parlamento ir Tarybos direktyvoje 2012/29/ES</w:t>
            </w:r>
            <w:r>
              <w:rPr>
                <w:vertAlign w:val="superscript"/>
              </w:rPr>
              <w:t>63</w:t>
            </w:r>
            <w:r>
              <w:t xml:space="preserve"> nustatytas nusikaltimų aukų teises</w:t>
            </w:r>
            <w:r>
              <w:rPr>
                <w:b/>
                <w:i/>
              </w:rPr>
              <w:t>.</w:t>
            </w:r>
            <w:r>
              <w:t xml:space="preserve"> </w:t>
            </w:r>
            <w:r>
              <w:rPr>
                <w:b/>
                <w:i/>
              </w:rPr>
              <w:t>Išimtiniais atvejais, pavyzdžiui, dėl didelio su byla susijusių aukų skaičiaus, kai sunku informuoti tam tikras aukas ir su jomis konsultuotis dėl ketinimo pateikti prašymą dėl proceso perdavimo, turėtų būti galima informaciją aukoms pateikti per spaudą, kompetentingos valdžios institucijos oficialiame tinklalapyje ar panašiu ryšių kanalu, kaip nustatyta Direktyvoje 2012/29/ES</w:t>
            </w:r>
            <w:r>
              <w:t>. Šis reglamentas neturėtų būti aiškinamas taip, kad juo užkertamas kelias valstybėms narėms pagal nacionalinę teisę suteikti aukoms daugiau teisių nei nustatyta Sąjungos teisėje;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63</w:t>
            </w:r>
            <w:r>
              <w:t xml:space="preserve"> </w:t>
            </w:r>
            <w:r>
              <w:t>2012 m. spalio 25 d. Europos Parlamento ir Tarybos direktyva 2012/29/ES, kuria nustatomi būtiniausi nusikaltimų aukų teisių, paramos joms ir jų apsaugos standartai ir kuria pakeičiamas Tarybos pamatinis sprendimas 2001/220/TVR (OL L 315, 2012 11 14, p. 57).</w:t>
            </w:r>
          </w:p>
        </w:tc>
        <w:tc>
          <w:tcPr>
            <w:tcW w:w="4876" w:type="dxa"/>
          </w:tcPr>
          <w:p>
            <w:pPr>
              <w:pStyle w:val="Normal6a"/>
            </w:pPr>
            <w:r>
              <w:rPr>
                <w:vertAlign w:val="superscript"/>
              </w:rPr>
              <w:t>63</w:t>
            </w:r>
            <w:r>
              <w:t xml:space="preserve"> </w:t>
            </w:r>
            <w:r>
              <w:t>2012 m. spalio 25 d. Europos Parlamento ir Tarybos direktyva 2012/29/ES, kuria nustatomi būtiniausi nusikaltimų aukų teisių, paramos joms ir jų apsaugos standartai ir kuria pakeičiamas Tarybos pamatinis sprendimas 2001/220/TVR (OL L 315, 2012 11 14, p. 57).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34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kai taikant šį reglamentą daromas neigiamas poveikis įtariamųjų, kaltinamųjų ir aukų teisėms, prašomoji valstybė turėtų užtikrinti, kad pagal Chartijos 47 straipsnį ir procedūras, taikytinas pagal nacionalinę teisę, jie galėtų pasinaudoti veiksmingomis teisių gynimo priemonėmis dėl sprendimo sutikti perimti baudžiamąjį procesą;</w:t>
            </w:r>
          </w:p>
        </w:tc>
        <w:tc>
          <w:tcPr>
            <w:tcW w:w="4876" w:type="dxa"/>
          </w:tcPr>
          <w:p>
            <w:pPr>
              <w:pStyle w:val="Normal6a"/>
            </w:pPr>
            <w:r>
              <w:t>(34)</w:t>
            </w:r>
            <w:r>
              <w:tab/>
            </w:r>
            <w:r>
              <w:t>kai taikant šį reglamentą daromas neigiamas poveikis įtariamųjų, kaltinamųjų ir aukų teisėms, prašomoji valstybė turėtų užtikrinti, kad pagal Chartijos 47 straipsnį ir procedūras, taikytinas pagal nacionalinę teisę, jie galėtų pasinaudoti veiksmingomis teisių gynimo priemonėmis dėl sprendimo sutikti perimti baudžiamąjį procesą</w:t>
            </w:r>
            <w:r>
              <w:rPr>
                <w:b/>
                <w:i/>
              </w:rPr>
              <w:t>.</w:t>
            </w:r>
            <w:r>
              <w:t xml:space="preserve"> </w:t>
            </w:r>
            <w:r>
              <w:rPr>
                <w:b/>
                <w:i/>
              </w:rPr>
              <w:t>13 straipsnyje nurodyti atsisakymo pagrindai gali būti papildomas vertinimo pagrindas siekiant nustatyti, ar reikėtų taikyti teisių gynimo priemonę.</w:t>
            </w:r>
            <w:r>
              <w:t xml:space="preserve"> </w:t>
            </w:r>
            <w:r>
              <w:rPr>
                <w:b/>
                <w:i/>
              </w:rPr>
              <w:t>Kai pagal 13 straipsnio 2 dalies b punktą suteikiama tam tikra diskrecija, prašomosios valstybės kompetentingai institucijai turėtų būti suteikti įgaliojimai patikrinti, ar prašomosios valstybės institucija nepadarė akivaizdžių klaidų naudodamasi šia diskrecija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34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 xml:space="preserve">kai taikant šį reglamentą daromas neigiamas poveikis įtariamųjų, kaltinamųjų ir aukų teisėms, prašomoji </w:t>
            </w:r>
            <w:r>
              <w:rPr>
                <w:b/>
                <w:i/>
              </w:rPr>
              <w:t>valstybė</w:t>
            </w:r>
            <w:r>
              <w:t xml:space="preserve"> turėtų užtikrinti, kad pagal Chartijos 47 straipsnį ir procedūras, taikytinas pagal nacionalinę teisę, jie galėtų pasinaudoti veiksmingomis teisių gynimo priemonėmis dėl sprendimo sutikti perimti baudžiamąjį procesą;</w:t>
            </w:r>
          </w:p>
        </w:tc>
        <w:tc>
          <w:tcPr>
            <w:tcW w:w="4876" w:type="dxa"/>
          </w:tcPr>
          <w:p>
            <w:pPr>
              <w:pStyle w:val="Normal6a"/>
            </w:pPr>
            <w:r>
              <w:t>(34)</w:t>
            </w:r>
            <w:r>
              <w:tab/>
            </w:r>
            <w:r>
              <w:t xml:space="preserve">kai taikant šį reglamentą daromas neigiamas poveikis įtariamųjų, kaltinamųjų ir aukų teisėms, </w:t>
            </w:r>
            <w:r>
              <w:rPr>
                <w:b/>
                <w:i/>
              </w:rPr>
              <w:t>prašančioji ir</w:t>
            </w:r>
            <w:r>
              <w:t xml:space="preserve"> prašomoji </w:t>
            </w:r>
            <w:r>
              <w:rPr>
                <w:b/>
                <w:i/>
              </w:rPr>
              <w:t>valstybės</w:t>
            </w:r>
            <w:r>
              <w:t xml:space="preserve"> turėtų užtikrinti, kad pagal Chartijos 47 straipsnį ir procedūras, taikytinas pagal nacionalinę teisę, jie galėtų pasinaudoti veiksmingomis teisių gynimo priemonėmis dėl sprendimo </w:t>
            </w:r>
            <w:r>
              <w:rPr>
                <w:b/>
                <w:i/>
              </w:rPr>
              <w:t>prašyti perduoti baudžiamąjį procesą,</w:t>
            </w:r>
            <w:r>
              <w:t xml:space="preserve"> sutikti </w:t>
            </w:r>
            <w:r>
              <w:rPr>
                <w:b/>
                <w:i/>
              </w:rPr>
              <w:t>arba atsisakyti</w:t>
            </w:r>
            <w:r>
              <w:t xml:space="preserve"> perimti baudžiamąjį procesą;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34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(34a)</w:t>
            </w:r>
            <w:r>
              <w:tab/>
            </w:r>
            <w:r>
              <w:rPr>
                <w:b/>
                <w:i/>
              </w:rPr>
              <w:t>valstybės narės numato, kad įtariamieji, kaltinamieji ir aukos turi teisę susipažinti su byla ir visas kitas procesines teises, kurios yra būtinos, kad jie galėtų veiksmingai pasinaudoti savo teise į veiksmingą teisių gynimo priemonę.</w:t>
            </w:r>
            <w:r>
              <w:t xml:space="preserve"> </w:t>
            </w:r>
            <w:r>
              <w:rPr>
                <w:b/>
                <w:i/>
              </w:rPr>
              <w:t>Teisė susipažinti su byla apima tik tuos dokumentus, kurie yra susiję su baudžiamojo proceso perdavimu ir su teisės į veiksmingą teisių gynimą įgyvendinimu;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36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(36)</w:t>
            </w:r>
            <w:r>
              <w:tab/>
            </w:r>
            <w:r>
              <w:t>prašančioji institucija, prieš pateikdama prašymą dėl baudžiamojo proceso perdavimo, turėtų konsultuotis su prašomąja institucija, kai tai būtina visų pirma siekiant nustatyti, ar baudžiamojo proceso perdavimas padės veiksmingai ir gerai vykdyti teisingumą ir ar tikėtina, kad prašomoji institucija pasirems vienu iš atsisakymo pagrindų pagal šį reglamentą;</w:t>
            </w:r>
          </w:p>
        </w:tc>
        <w:tc>
          <w:tcPr>
            <w:tcW w:w="4876" w:type="dxa"/>
          </w:tcPr>
          <w:p>
            <w:pPr>
              <w:pStyle w:val="Normal6a"/>
            </w:pPr>
            <w:r>
              <w:t>(36)</w:t>
            </w:r>
            <w:r>
              <w:tab/>
            </w:r>
            <w:r>
              <w:t>prašančioji institucija, prieš pateikdama prašymą dėl baudžiamojo proceso perdavimo, turėtų konsultuotis su prašomąja institucija, kai tai būtina visų pirma siekiant nustatyti, ar baudžiamojo proceso perdavimas padės veiksmingai ir gerai vykdyti teisingumą</w:t>
            </w:r>
            <w:r>
              <w:rPr>
                <w:b/>
                <w:i/>
              </w:rPr>
              <w:t>, jei tai netinkamai nepakenktų veiksmingai įtariamųjų, kaltinamųjų ar aukų pagrindinių teisių apsaugai,</w:t>
            </w:r>
            <w:r>
              <w:t xml:space="preserve"> ir ar tikėtina, kad prašomoji institucija pasirems vienu iš atsisakymo pagrindų pagal šį reglamentą;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38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(38)</w:t>
            </w:r>
            <w:r>
              <w:tab/>
            </w:r>
            <w:r>
              <w:t>kol prašomoji institucija nepriima sprendimo sutikti perimti baudžiamąjį procesą, prašančioji institucija turėtų turėti galimybę prašymą atsiimti, pavyzdžiui, jei sužino apie kitus elementus, dėl kurių perdavimas nebeatrodo pagrįstas;</w:t>
            </w:r>
          </w:p>
        </w:tc>
        <w:tc>
          <w:tcPr>
            <w:tcW w:w="4876" w:type="dxa"/>
          </w:tcPr>
          <w:p>
            <w:pPr>
              <w:pStyle w:val="Normal6a"/>
            </w:pPr>
            <w:r>
              <w:t>(38)</w:t>
            </w:r>
            <w:r>
              <w:tab/>
            </w:r>
            <w:r>
              <w:t>kol prašomoji institucija nepriima sprendimo sutikti perimti baudžiamąjį procesą, prašančioji institucija turėtų turėti galimybę prašymą atsiimti, pavyzdžiui, jei sužino apie kitus elementus, dėl kurių perdavimas nebeatrodo pagrįstas</w:t>
            </w:r>
            <w:r>
              <w:rPr>
                <w:b/>
                <w:i/>
              </w:rPr>
              <w:t>.</w:t>
            </w:r>
            <w:r>
              <w:t xml:space="preserve"> </w:t>
            </w:r>
            <w:r>
              <w:rPr>
                <w:b/>
                <w:i/>
              </w:rPr>
              <w:t>Sprendimas atsiimti prašymą turėtų būti pagrįstas raštu ir apie pagrindimą turėtų būti pranešta įtariamiesiems, kaltinamiesiems ir aukoms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39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(39)</w:t>
            </w:r>
            <w:r>
              <w:tab/>
            </w:r>
            <w:r>
              <w:t>prašomoji institucija turėtų nedelsdama ir ne vėliau kaip per 60 dienų nuo prašymo dėl baudžiamojo proceso perdavimo gavimo dienos informuoti prašančiąją instituciją apie savo pagrįstą sprendimą, ar ji sutinka perimti baudžiamąjį procesą. Tam tikrais atvejais, kai prašomoji institucija negali laikytis šio termino, pavyzdžiui, jei ji mano, kad reikia papildomos informacijos, jis gali būti pratęstas ne daugiau nei dar 30 dienų, kad būtų išvengta pernelyg didelio vėlavimo;</w:t>
            </w:r>
          </w:p>
        </w:tc>
        <w:tc>
          <w:tcPr>
            <w:tcW w:w="4876" w:type="dxa"/>
          </w:tcPr>
          <w:p>
            <w:pPr>
              <w:pStyle w:val="Normal6a"/>
            </w:pPr>
            <w:r>
              <w:t>(39)</w:t>
            </w:r>
            <w:r>
              <w:tab/>
            </w:r>
            <w:r>
              <w:t>prašomoji institucija turėtų nedelsdama ir ne vėliau kaip per 60 dienų nuo prašymo dėl baudžiamojo proceso perdavimo gavimo dienos informuoti prašančiąją instituciją apie savo pagrįstą sprendimą, ar ji sutinka perimti baudžiamąjį procesą. Tam tikrais atvejais, kai prašomoji institucija negali laikytis šio termino, pavyzdžiui, jei ji mano, kad reikia papildomos informacijos, jis gali būti pratęstas ne daugiau nei dar 30 dienų, kad būtų išvengta pernelyg didelio vėlavimo</w:t>
            </w:r>
            <w:r>
              <w:rPr>
                <w:b/>
                <w:i/>
              </w:rPr>
              <w:t>.</w:t>
            </w:r>
            <w:r>
              <w:t xml:space="preserve"> </w:t>
            </w:r>
            <w:r>
              <w:rPr>
                <w:b/>
                <w:i/>
              </w:rPr>
              <w:t>Kai kuriais atvejais prašančioji institucija gali nežinoti, kas yra prašomoji institucija, arba prašomoji institucija gali neturėti kompetencijos priimti sprendimą pagal 12 straipsnį.</w:t>
            </w:r>
            <w:r>
              <w:t xml:space="preserve"> </w:t>
            </w:r>
            <w:r>
              <w:rPr>
                <w:b/>
                <w:i/>
              </w:rPr>
              <w:t>Bet kuriuo atveju prašomosios valstybės narės kompetentinga institucija išduoda prašymo gavimo patvirtinimą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40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(40)</w:t>
            </w:r>
            <w:r>
              <w:tab/>
            </w:r>
            <w:r>
              <w:t xml:space="preserve">neturėtų būti atsisakoma perimti baudžiamąjį procesą remiantis kitais nei šiame reglamente nustatytais pagrindais. Kad prašomoji valstybė galėtų sutikti perimti baudžiamąjį procesą, joje turėtų būti įmanoma vykdyti baudžiamąjį persekiojimą dėl perduodamo baudžiamojo proceso faktinių aplinkybių. Prašomoji institucija neturėtų sutikti perimti baudžiamąjį procesą, kai elgesys, susijęs su prašomu perimti procesu, prašomojoje valstybėje nelaikomas nusikalstama veika arba kai prašomoji valstybė neturi jurisdikcijos tos nusikalstamos veikos atžvilgiu, išskyrus atvejus, kai ji naudojasi šiame reglamente numatyta jurisdikcija. Baudžiamąjį procesą perimti nereikėtų sutikti jei yra ir kitų kliūčių baudžiamajam persekiojimui prašomojoje valstybėje. Prašomoji institucija taip pat </w:t>
            </w:r>
            <w:r>
              <w:rPr>
                <w:b/>
                <w:i/>
              </w:rPr>
              <w:t>turėtų turėti</w:t>
            </w:r>
            <w:r>
              <w:t xml:space="preserve"> galimybę atsisakyti perimti baudžiamąjį procesą, jei pagal prašomosios valstybės įstatymus įtariamajam arba kaltinamajam taikomas imunitetas arba privilegija, pvz., kai tai yra tam tikrų kategorijų asmenys (pvz., diplomatai) arba konkrečiai saugomi santykiai (pvz., advokato teisė neatskleisti profesinės paslapties), arba jeigu prašomoji institucija mano, kad toks perdavimas nėra pagrįstas siekiant užtikrinti veiksmingą ir gerą teisingumo vykdymą, pavyzdžiui, netenkinamas nė vienas iš prašymo dėl baudžiamojo proceso perdavimo kriterijų, prašymo dėl perdavimo sertifikatas yra neišsamus arba prašančioji institucija jį netinkamai užpildė, todėl prašomoji institucija negali turėti reikiamos informacijos prašymui dėl baudžiamojo proceso perdavimo įvertinti;</w:t>
            </w:r>
          </w:p>
        </w:tc>
        <w:tc>
          <w:tcPr>
            <w:tcW w:w="4876" w:type="dxa"/>
          </w:tcPr>
          <w:p>
            <w:pPr>
              <w:pStyle w:val="Normal6a"/>
            </w:pPr>
            <w:r>
              <w:t>(40)</w:t>
            </w:r>
            <w:r>
              <w:tab/>
            </w:r>
            <w:r>
              <w:t xml:space="preserve">neturėtų būti atsisakoma perimti baudžiamąjį procesą remiantis kitais nei šiame reglamente nustatytais pagrindais. Kad prašomoji valstybė galėtų sutikti perimti baudžiamąjį procesą, joje turėtų būti įmanoma vykdyti baudžiamąjį persekiojimą dėl perduodamo baudžiamojo proceso faktinių aplinkybių. Prašomoji institucija neturėtų sutikti perimti baudžiamąjį procesą, kai elgesys, susijęs su prašomu perimti procesu, prašomojoje valstybėje nelaikomas nusikalstama veika arba kai prašomoji valstybė neturi jurisdikcijos tos nusikalstamos veikos atžvilgiu, išskyrus atvejus, kai ji naudojasi šiame reglamente numatyta jurisdikcija. Baudžiamąjį procesą perimti nereikėtų sutikti jei yra ir kitų kliūčių baudžiamajam persekiojimui prašomojoje valstybėje. Prašomoji institucija taip pat </w:t>
            </w:r>
            <w:r>
              <w:rPr>
                <w:b/>
                <w:i/>
              </w:rPr>
              <w:t>turi</w:t>
            </w:r>
            <w:r>
              <w:t xml:space="preserve"> galimybę atsisakyti perimti baudžiamąjį procesą, jei pagal prašomosios valstybės įstatymus įtariamajam arba kaltinamajam taikomas imunitetas arba privilegija, pvz., kai tai yra tam tikrų kategorijų asmenys (pvz., diplomatai) arba konkrečiai saugomi santykiai (pvz., advokato teisė neatskleisti profesinės paslapties), arba jeigu prašomoji institucija mano, kad toks perdavimas nėra pagrįstas siekiant užtikrinti veiksmingą ir gerą teisingumo vykdymą, pavyzdžiui, netenkinamas nė vienas iš prašymo dėl baudžiamojo proceso perdavimo kriterijų, prašymo dėl perdavimo sertifikatas yra neišsamus arba prašančioji institucija jį netinkamai užpildė, todėl prašomoji institucija negali turėti reikiamos informacijos prašymui dėl baudžiamojo proceso perdavimo įvertinti;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43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(43)</w:t>
            </w:r>
            <w:r>
              <w:tab/>
            </w:r>
            <w:r>
              <w:t xml:space="preserve">prašomajai institucijai sutikus perimti baudžiamąjį procesą, prašančiojoje valstybėje vykdomas baudžiamasis procesas turėtų būti sustabdytas arba nutrauktas, kad būtų išvengta priemonių dubliavimo prašančiojoje ir prašomojoje valstybėje. </w:t>
            </w:r>
            <w:r>
              <w:rPr>
                <w:b/>
                <w:i/>
              </w:rPr>
              <w:t>Tai neturėtų daryti poveikio tyrimams ar kitoms procesinėms priemonėms, kurių gali prireikti siekiant vykdyti sprendimus, grindžiamus tarpusavio pripažinimo priemonėmis, arba patenkinti savitarpio teisinės pagalbos prašymus, susijusius su perduodamu procesu.</w:t>
            </w:r>
            <w:r>
              <w:t xml:space="preserve"> </w:t>
            </w:r>
            <w:r>
              <w:rPr>
                <w:b/>
                <w:i/>
              </w:rPr>
              <w:t>Sąvoka „tyrimo ar kitos procesinės priemonės“</w:t>
            </w:r>
            <w:r>
              <w:t xml:space="preserve"> turėtų </w:t>
            </w:r>
            <w:r>
              <w:rPr>
                <w:b/>
                <w:i/>
              </w:rPr>
              <w:t>būti aiškinama plačiai:</w:t>
            </w:r>
            <w:r>
              <w:t xml:space="preserve"> </w:t>
            </w:r>
            <w:r>
              <w:rPr>
                <w:b/>
                <w:i/>
              </w:rPr>
              <w:t>tai ne tik įrodymų rinkimo priemonės, bet ir bet kokie procesiniai veiksmai, kuriais nustatomas kardomasis kalinimas ar bet kokia kita laikinoji priemonė.</w:t>
            </w:r>
            <w:r>
              <w:t xml:space="preserve"> </w:t>
            </w:r>
            <w:r>
              <w:rPr>
                <w:b/>
                <w:i/>
              </w:rPr>
              <w:t>Siekiant išvengti piktnaudžiavimo ir užtikrinti, kad baudžiamasis procesas nebūtų ilgam sustabdytas, jei prašomojoje</w:t>
            </w:r>
            <w:r>
              <w:t xml:space="preserve"> valstybėje </w:t>
            </w:r>
            <w:r>
              <w:rPr>
                <w:b/>
                <w:i/>
              </w:rPr>
              <w:t>buvo pasinaudota stabdomąjį poveikį turinčia teisių gynimo priemone, baudžiamasis procesas prašančiojoje valstybėje neturėtų būti sustabdytas ar nutrauktas tol, kol prašomojoje valstybėje nebus priimtas sprendimas dėl teisių gynimo priemonės</w:t>
            </w:r>
            <w:r>
              <w:t>;</w:t>
            </w:r>
          </w:p>
        </w:tc>
        <w:tc>
          <w:tcPr>
            <w:tcW w:w="4876" w:type="dxa"/>
          </w:tcPr>
          <w:p>
            <w:pPr>
              <w:pStyle w:val="Normal6a"/>
            </w:pPr>
            <w:r>
              <w:t>(43)</w:t>
            </w:r>
            <w:r>
              <w:tab/>
            </w:r>
            <w:r>
              <w:t xml:space="preserve">prašomajai institucijai sutikus perimti baudžiamąjį procesą, prašančiojoje valstybėje vykdomas baudžiamasis procesas turėtų būti sustabdytas arba nutrauktas, kad būtų išvengta priemonių dubliavimo prašančiojoje ir prašomojoje valstybėje. </w:t>
            </w:r>
            <w:r>
              <w:rPr>
                <w:b/>
                <w:i/>
              </w:rPr>
              <w:t>Prašančiosios valstybės</w:t>
            </w:r>
            <w:r>
              <w:t xml:space="preserve"> turėtų </w:t>
            </w:r>
            <w:r>
              <w:rPr>
                <w:b/>
                <w:i/>
              </w:rPr>
              <w:t>nebevykdyti įtariamo asmens baudžiamojo persekiojimo už nusikalstamą veiką, dėl kurios buvo sutikta perimti procesą, ir nebevykdyti anksčiau toje</w:t>
            </w:r>
            <w:r>
              <w:t xml:space="preserve"> valstybėje </w:t>
            </w:r>
            <w:r>
              <w:rPr>
                <w:b/>
                <w:i/>
              </w:rPr>
              <w:t>priimto teismo sprendimo prieš įtariamąjį ar kaltinamąjį dėl tos nusikalstamos veikos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43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(43a)</w:t>
            </w:r>
            <w:r>
              <w:tab/>
            </w:r>
            <w:r>
              <w:rPr>
                <w:b/>
                <w:i/>
              </w:rPr>
              <w:t>patvirtinus proceso perdavimą ir siekiant palengvinti veiksmingą perdavimo procesą, prašančiosios ir prašomosios institucijos gali tarpusavyje konsultuotis, kokius dokumentus ar jų dalis reikia perduoti ir prireikus išversti.</w:t>
            </w:r>
            <w:r>
              <w:t xml:space="preserve"> </w:t>
            </w:r>
            <w:r>
              <w:rPr>
                <w:b/>
                <w:i/>
              </w:rPr>
              <w:t>Vis dėlto sprendimas siųsti tik tam tikras dokumentų dalis turėtų būti subalansuotas ir priimtas kruopščiai apsvarsčius atitinkamus dokumentus, kad dėl to nenukentėtų proceso teisingumas;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46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(46)</w:t>
            </w:r>
            <w:r>
              <w:tab/>
            </w:r>
            <w:r>
              <w:rPr>
                <w:b/>
                <w:i/>
              </w:rPr>
              <w:t>jeigu prašomoji institucija nusprendžia nutraukti baudžiamąjį procesą, susijusį su faktinėmis aplinkybėmis, kuriomis grindžiamas prašymas dėl perdavimo, prašančioji institucija gali tęsti arba atnaujinti baudžiamąjį procesą, jei dėl to nebūtų pažeistas principas ne bis in idem, t. y., jei dėl tokio sprendimo tikrai nedraudžiama tęsti baudžiamojo persekiojimo pagal prašomosios valstybės teisę ir todėl toje valstybėje nekliudoma vykdyti kitus baudžiamuosius procesus dėl tų pačių veikų.</w:t>
            </w:r>
            <w:r>
              <w:t xml:space="preserve"> </w:t>
            </w:r>
            <w:r>
              <w:rPr>
                <w:b/>
                <w:i/>
              </w:rPr>
              <w:t>Aukos turėtų galėti pradėti arba prašyti atnaujinti baudžiamąjį procesą prašančiojoje valstybėje pagal tos valstybės nacionalinę teisę, jei tai nepažeidžia principo ne bis in idem;</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50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(50)</w:t>
            </w:r>
            <w:r>
              <w:tab/>
            </w:r>
            <w:r>
              <w:t xml:space="preserve">naudodamos standartinį sertifikatą, išverstą į visas oficialiąsias Sąjungos kalbas, prašančiosios ir prašomosios institucijos </w:t>
            </w:r>
            <w:r>
              <w:rPr>
                <w:b/>
                <w:i/>
              </w:rPr>
              <w:t>galėtų</w:t>
            </w:r>
            <w:r>
              <w:t xml:space="preserve"> lengviau </w:t>
            </w:r>
            <w:r>
              <w:rPr>
                <w:b/>
                <w:i/>
              </w:rPr>
              <w:t>bendradarbiauti ir keistis</w:t>
            </w:r>
            <w:r>
              <w:t xml:space="preserve"> informacija, todėl jos </w:t>
            </w:r>
            <w:r>
              <w:rPr>
                <w:b/>
                <w:i/>
              </w:rPr>
              <w:t>galėtų</w:t>
            </w:r>
            <w:r>
              <w:t xml:space="preserve"> greičiau ir veiksmingiau priimti sprendimą dėl perdavimo prašymo. Be to, taip </w:t>
            </w:r>
            <w:r>
              <w:rPr>
                <w:b/>
                <w:i/>
              </w:rPr>
              <w:t>būtų sumažintos</w:t>
            </w:r>
            <w:r>
              <w:t xml:space="preserve"> vertimo išlaidos ir </w:t>
            </w:r>
            <w:r>
              <w:rPr>
                <w:b/>
                <w:i/>
              </w:rPr>
              <w:t>pagerinta</w:t>
            </w:r>
            <w:r>
              <w:t xml:space="preserve"> prašymų kokybė;</w:t>
            </w:r>
          </w:p>
        </w:tc>
        <w:tc>
          <w:tcPr>
            <w:tcW w:w="4876" w:type="dxa"/>
          </w:tcPr>
          <w:p>
            <w:pPr>
              <w:pStyle w:val="Normal6a"/>
            </w:pPr>
            <w:r>
              <w:t>(50)</w:t>
            </w:r>
            <w:r>
              <w:tab/>
            </w:r>
            <w:r>
              <w:t xml:space="preserve">naudodamos standartinį sertifikatą, išverstą į visas oficialiąsias Sąjungos kalbas, prašančiosios ir prašomosios institucijos lengviau </w:t>
            </w:r>
            <w:r>
              <w:rPr>
                <w:b/>
                <w:i/>
              </w:rPr>
              <w:t>bendradarbiauja ir keičiasi</w:t>
            </w:r>
            <w:r>
              <w:t xml:space="preserve"> informacija, todėl jos </w:t>
            </w:r>
            <w:r>
              <w:rPr>
                <w:b/>
                <w:i/>
              </w:rPr>
              <w:t>gali</w:t>
            </w:r>
            <w:r>
              <w:t xml:space="preserve"> greičiau ir veiksmingiau priimti sprendimą dėl perdavimo prašymo. Be to, taip </w:t>
            </w:r>
            <w:r>
              <w:rPr>
                <w:b/>
                <w:i/>
              </w:rPr>
              <w:t>sumažinamos</w:t>
            </w:r>
            <w:r>
              <w:t xml:space="preserve"> vertimo išlaidos ir </w:t>
            </w:r>
            <w:r>
              <w:rPr>
                <w:b/>
                <w:i/>
              </w:rPr>
              <w:t>pagerinama</w:t>
            </w:r>
            <w:r>
              <w:t xml:space="preserve"> prašymų kokybė;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55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(55)</w:t>
            </w:r>
            <w:r>
              <w:tab/>
            </w:r>
            <w:r>
              <w:t xml:space="preserve">Komisija turėtų būti atsakinga už šios bazinio sistemos modelio programinės įrangos sukūrimą, techninę priežiūrą ir vystymą. Bazinio sistemos modelio programinę įrangą Komisija turėtų kurti ir vystyti, o jos techninę priežiūrą vykdyti taip, kad duomenų valdytojai galėtų užtikrinti, kad būtų laikomasi duomenų apsaugos reikalavimų ir principų, nustatytų Europos Parlamento ir Tarybos </w:t>
            </w:r>
            <w:r>
              <w:rPr>
                <w:b/>
                <w:i/>
              </w:rPr>
              <w:t>reglamentuose</w:t>
            </w:r>
            <w:r>
              <w:t xml:space="preserve"> (ES) 2018/1725</w:t>
            </w:r>
            <w:r>
              <w:rPr>
                <w:vertAlign w:val="superscript"/>
              </w:rPr>
              <w:t>69</w:t>
            </w:r>
            <w:r>
              <w:rPr>
                <w:b/>
                <w:i/>
              </w:rPr>
              <w:t>ir (ES) 2016/679</w:t>
            </w:r>
            <w:r>
              <w:rPr>
                <w:b/>
                <w:i/>
                <w:vertAlign w:val="superscript"/>
              </w:rPr>
              <w:t>70</w:t>
            </w:r>
            <w:r>
              <w:rPr>
                <w:b/>
                <w:i/>
              </w:rPr>
              <w:t>bei</w:t>
            </w:r>
            <w:r>
              <w:t xml:space="preserve"> Europos Parlamento ir Tarybos direktyvoje (ES) 2016/680</w:t>
            </w:r>
            <w:r>
              <w:rPr>
                <w:vertAlign w:val="superscript"/>
              </w:rPr>
              <w:t>71</w:t>
            </w:r>
            <w:r>
              <w:t>, visų pirma pritaikytosios ir standartizuotosios duomenų apsaugos ir aukšto lygio kibernetinės apsaugos prievolių; bazinio sistemos modelio programinėje įrangoje taip pat turėtų būti įdiegtos tinkamos techninės priemonės ir sudarytos sąlygos taikyti organizacines priemones, kurios yra būtinos siekiant užtikrinti tokį saugumo ir sąveikumo lygį, kuris yra tinkamas atsižvelgiant į tai, kad gali būti keičiamasi ir specialiųjų kategorijų duomenimis. Komisija netvarko asmens duomenų kurdama ir vystydama šią bazinio sistemos modelio programinę įrangą ir vykdydama jos techninę priežiūrą;</w:t>
            </w:r>
          </w:p>
        </w:tc>
        <w:tc>
          <w:tcPr>
            <w:tcW w:w="4876" w:type="dxa"/>
          </w:tcPr>
          <w:p>
            <w:pPr>
              <w:pStyle w:val="Normal6a"/>
            </w:pPr>
            <w:r>
              <w:t>(55)</w:t>
            </w:r>
            <w:r>
              <w:tab/>
            </w:r>
            <w:r>
              <w:t xml:space="preserve">Komisija turėtų būti atsakinga už šios bazinio sistemos modelio programinės įrangos sukūrimą, techninę priežiūrą ir vystymą. Bazinio sistemos modelio programinę įrangą Komisija turėtų kurti ir vystyti, o jos techninę priežiūrą vykdyti taip, kad duomenų valdytojai galėtų užtikrinti, kad būtų laikomasi duomenų apsaugos reikalavimų ir principų, nustatytų Europos Parlamento ir Tarybos </w:t>
            </w:r>
            <w:r>
              <w:rPr>
                <w:b/>
                <w:i/>
              </w:rPr>
              <w:t>reglamente</w:t>
            </w:r>
            <w:r>
              <w:t xml:space="preserve"> (ES) 2018/1725</w:t>
            </w:r>
            <w:r>
              <w:rPr>
                <w:vertAlign w:val="superscript"/>
              </w:rPr>
              <w:t>69</w:t>
            </w:r>
            <w:r>
              <w:t xml:space="preserve"> </w:t>
            </w:r>
            <w:r>
              <w:rPr>
                <w:b/>
                <w:i/>
              </w:rPr>
              <w:t>ir</w:t>
            </w:r>
            <w:r>
              <w:t xml:space="preserve"> Europos Parlamento ir Tarybos direktyvoje (ES) 2016/680</w:t>
            </w:r>
            <w:r>
              <w:rPr>
                <w:vertAlign w:val="superscript"/>
              </w:rPr>
              <w:t>71</w:t>
            </w:r>
            <w:r>
              <w:t>, visų pirma pritaikytosios ir standartizuotosios duomenų apsaugos ir aukšto lygio kibernetinės apsaugos prievolių; bazinio sistemos modelio programinėje įrangoje taip pat turėtų būti įdiegtos tinkamos techninės priemonės ir sudarytos sąlygos taikyti organizacines priemones, kurios yra būtinos siekiant užtikrinti tokį saugumo ir sąveikumo lygį, kuris yra tinkamas atsižvelgiant į tai, kad gali būti keičiamasi ir specialiųjų kategorijų duomenimis. Komisija netvarko asmens duomenų kurdama ir vystydama šią bazinio sistemos modelio programinę įrangą ir vykdydama jos techninę priežiūrą;</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69</w:t>
            </w:r>
            <w:r>
              <w:t xml:space="preserve"> </w:t>
            </w:r>
            <w:r>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tc>
        <w:tc>
          <w:tcPr>
            <w:tcW w:w="4876" w:type="dxa"/>
          </w:tcPr>
          <w:p>
            <w:pPr>
              <w:pStyle w:val="Normal6a"/>
            </w:pPr>
            <w:r>
              <w:rPr>
                <w:vertAlign w:val="superscript"/>
              </w:rPr>
              <w:t>69</w:t>
            </w:r>
            <w:r>
              <w:t xml:space="preserve"> </w:t>
            </w:r>
            <w:r>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70</w:t>
            </w:r>
            <w:r>
              <w:t xml:space="preserve"> </w:t>
            </w:r>
            <w:r>
              <w:rPr>
                <w:b/>
                <w:i/>
              </w:rPr>
              <w:t>2016 m. balandžio 27 d.</w:t>
            </w:r>
            <w:r>
              <w:t xml:space="preserve"> </w:t>
            </w:r>
            <w:r>
              <w:rPr>
                <w:b/>
                <w:i/>
              </w:rPr>
              <w:t>Europos Parlamento ir Tarybos reglamentas (ES) 2016/679 dėl fizinių asmenų apsaugos tvarkant asmens duomenis ir dėl laisvo tokių duomenų judėjimo ir kuriuo panaikinama Direktyva 95/46/EB (Bendrasis duomenų apsaugos reglamentas) (OL L 119, 2016 5 4, p. 1).</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71</w:t>
            </w:r>
            <w:r>
              <w:t xml:space="preserve"> </w:t>
            </w:r>
            <w:r>
              <w:t>2016 m. balandžio 27 d. Europos Parlamento ir Tarybos direktyva (ES) 2016/680 dėl fizinių asmenų apsaugos kompetentingoms institucijoms tvarkant asmens duomenis nusikalstamų veikų prevencijos, tyrimo, atskleidimo ar baudžiamojo persekiojimo už jas arba bausmių vykdymo tikslais ir dėl laisvo tokių duomenų judėjimo, ir kuria panaikinamas Tarybos pamatinis sprendimas 2008/977/TVR (OL L 119, 2016 5 4, p. 89).</w:t>
            </w:r>
          </w:p>
        </w:tc>
        <w:tc>
          <w:tcPr>
            <w:tcW w:w="4876" w:type="dxa"/>
          </w:tcPr>
          <w:p>
            <w:pPr>
              <w:pStyle w:val="Normal6a"/>
            </w:pPr>
            <w:r>
              <w:rPr>
                <w:vertAlign w:val="superscript"/>
              </w:rPr>
              <w:t>71</w:t>
            </w:r>
            <w:r>
              <w:t xml:space="preserve"> </w:t>
            </w:r>
            <w:r>
              <w:t>2016 m. balandžio 27 d. Europos Parlamento ir Tarybos direktyva (ES) 2016/680 dėl fizinių asmenų apsaugos kompetentingoms institucijoms tvarkant asmens duomenis nusikalstamų veikų prevencijos, tyrimo, atskleidimo ar baudžiamojo persekiojimo už jas arba bausmių vykdymo tikslais ir dėl laisvo tokių duomenų judėjimo, ir kuria panaikinamas Tarybos pamatinis sprendimas 2008/977/TVR (OL L 119, 2016 5 4, p. 89).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58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(58)</w:t>
            </w:r>
            <w:r>
              <w:tab/>
            </w:r>
            <w:r>
              <w:t xml:space="preserve">šiuo reglamentu turėtų būti sukurtas teisinis pagrindas valstybėms narėms keistis asmens duomenimis baudžiamojo proceso perdavimo tikslais pagal Direktyvos (ES) 2016/680 8 straipsnį ir 10 straipsnio a punktą. Tačiau visiems kitiems aspektams, pavyzdžiui, prašančiosios </w:t>
            </w:r>
            <w:r>
              <w:rPr>
                <w:b/>
                <w:i/>
              </w:rPr>
              <w:t>institucijos gautų</w:t>
            </w:r>
            <w:r>
              <w:t xml:space="preserve"> asmens duomenų saugojimo laikotarpiui ir prašančiosios </w:t>
            </w:r>
            <w:r>
              <w:rPr>
                <w:b/>
                <w:i/>
              </w:rPr>
              <w:t>bei prašomosios</w:t>
            </w:r>
            <w:r>
              <w:t xml:space="preserve"> institucijų vykdomam asmens duomenų tvarkymui turėtų būti taikomi valstybių narių nacionalinės teisės aktai, priimti pagal Direktyvą (ES) 2016/680. Tvarkant asmens duomenis pagal tą direktyvą prašančioji ir prašomoji institucijos turėtų būti laikomos duomenų valdytojais. Centrinės institucijos teikia administracinę paramą prašančiajai ir prašomajai institucijoms, o tada, kai jos </w:t>
            </w:r>
            <w:r>
              <w:rPr>
                <w:b/>
                <w:i/>
              </w:rPr>
              <w:t>tvarko asmens duomenis tų duomenų valdytojų vardu</w:t>
            </w:r>
            <w:r>
              <w:t xml:space="preserve">, jos turėtų būti laikomos </w:t>
            </w:r>
            <w:r>
              <w:rPr>
                <w:b/>
                <w:i/>
              </w:rPr>
              <w:t>atitinkamam</w:t>
            </w:r>
            <w:r>
              <w:t xml:space="preserve"> duomenų </w:t>
            </w:r>
            <w:r>
              <w:rPr>
                <w:b/>
                <w:i/>
              </w:rPr>
              <w:t>valdytojui dirbančiais tvarkytojais</w:t>
            </w:r>
            <w:r>
              <w:t>. Kai asmens duomenis pagal šį reglamentą tvarko Eurojustas, turėtų būti taikomas Europos Parlamento ir Tarybos reglamentas (ES) 2018/1725, nedarant poveikio konkrečioms Europos Parlamento ir Tarybos reglamente (ES) 2018/1727</w:t>
            </w:r>
            <w:r>
              <w:rPr>
                <w:vertAlign w:val="superscript"/>
              </w:rPr>
              <w:t>73</w:t>
            </w:r>
            <w:r>
              <w:t>nustatytoms duomenų apsaugos taisyklėms;</w:t>
            </w:r>
          </w:p>
        </w:tc>
        <w:tc>
          <w:tcPr>
            <w:tcW w:w="4876" w:type="dxa"/>
          </w:tcPr>
          <w:p>
            <w:pPr>
              <w:pStyle w:val="Normal6a"/>
            </w:pPr>
            <w:r>
              <w:t>(58)</w:t>
            </w:r>
            <w:r>
              <w:tab/>
            </w:r>
            <w:r>
              <w:t xml:space="preserve">šiuo reglamentu turėtų būti sukurtas teisinis pagrindas valstybėms narėms keistis asmens duomenimis baudžiamojo proceso perdavimo tikslais pagal Direktyvos (ES) 2016/680 8 straipsnį ir 10 straipsnio a punktą. Tačiau visiems kitiems aspektams, pavyzdžiui, prašančiosios </w:t>
            </w:r>
            <w:r>
              <w:rPr>
                <w:b/>
                <w:i/>
              </w:rPr>
              <w:t>ir, pagal šį reglamentą, prašomosios institucijų perduotų</w:t>
            </w:r>
            <w:r>
              <w:t xml:space="preserve"> asmens duomenų saugojimo laikotarpiui ir prašančiosios</w:t>
            </w:r>
            <w:r>
              <w:rPr>
                <w:b/>
                <w:i/>
              </w:rPr>
              <w:t>, prašomosios institucijų bei, kai aktualu, jų centrinių</w:t>
            </w:r>
            <w:r>
              <w:t xml:space="preserve"> institucijų vykdomam asmens duomenų tvarkymui turėtų būti taikomi valstybių narių nacionalinės teisės aktai, priimti pagal Direktyvą (ES) 2016/680. Tvarkant asmens duomenis pagal tą direktyvą prašančioji ir prašomoji institucijos turėtų būti laikomos duomenų valdytojais. Centrinės institucijos teikia administracinę paramą prašančiajai ir prašomajai institucijoms, o tada, kai jos </w:t>
            </w:r>
            <w:r>
              <w:rPr>
                <w:b/>
                <w:i/>
              </w:rPr>
              <w:t>yra kompetentingos institucijos, pagal šį reglamentą tvarkančios asmens duomenis</w:t>
            </w:r>
            <w:r>
              <w:t xml:space="preserve">, jos turėtų būti laikomos duomenų </w:t>
            </w:r>
            <w:r>
              <w:rPr>
                <w:b/>
                <w:i/>
              </w:rPr>
              <w:t>valdytojomis</w:t>
            </w:r>
            <w:r>
              <w:t>. Kai asmens duomenis pagal šį reglamentą tvarko Eurojustas, turėtų būti taikomas Europos Parlamento ir Tarybos reglamentas (ES) 2018/1725, nedarant poveikio konkrečioms Europos Parlamento ir Tarybos reglamente (ES) 2018/1727</w:t>
            </w:r>
            <w:r>
              <w:rPr>
                <w:vertAlign w:val="superscript"/>
              </w:rPr>
              <w:t>73</w:t>
            </w:r>
            <w:r>
              <w:t xml:space="preserve"> nustatytoms duomenų apsaugos taisyklėms;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73</w:t>
            </w:r>
            <w:r>
              <w:t xml:space="preserve"> </w:t>
            </w:r>
            <w:r>
              <w:t>2018 m. lapkričio 14 d. Europos Parlamento ir Tarybos reglamentas (ES) 2018/1727 dėl Europos Sąjungos bendradarbiavimo baudžiamosios teisenos srityje agentūros (Eurojusto) ir kuriuo pakeičiamas ir panaikinamas Tarybos sprendimas 2002/187/TVR, PE/37/2018/REV/1 (OL L 295, 2018 11 21, p. 138).</w:t>
            </w:r>
          </w:p>
        </w:tc>
        <w:tc>
          <w:tcPr>
            <w:tcW w:w="4876" w:type="dxa"/>
          </w:tcPr>
          <w:p>
            <w:pPr>
              <w:pStyle w:val="Normal6a"/>
            </w:pPr>
            <w:r>
              <w:rPr>
                <w:vertAlign w:val="superscript"/>
              </w:rPr>
              <w:t>73</w:t>
            </w:r>
            <w:r>
              <w:t xml:space="preserve"> </w:t>
            </w:r>
            <w:r>
              <w:t>2018 m. lapkričio 14 d. Europos Parlamento ir Tarybos reglamentas (ES) 2018/1727 dėl Europos Sąjungos bendradarbiavimo baudžiamosios teisenos srityje agentūros (Eurojusto) ir kuriuo pakeičiamas ir panaikinamas Tarybos sprendimas 2002/187/TVR, PE/37/2018/REV/1 (OL L 295, 2018 11 21, p. 138).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Šis reglamentas taikomas visais baudžiamojo proceso perdavimo Sąjungoje atvejais nuo to momento, kai nustatoma, kad asmuo yra įtariamasis.</w:t>
            </w:r>
          </w:p>
        </w:tc>
        <w:tc>
          <w:tcPr>
            <w:tcW w:w="4876" w:type="dxa"/>
          </w:tcPr>
          <w:p>
            <w:pPr>
              <w:pStyle w:val="Normal6a"/>
            </w:pPr>
            <w:r>
              <w:t>2.</w:t>
            </w:r>
            <w:r>
              <w:tab/>
            </w:r>
            <w:r>
              <w:t xml:space="preserve">Šis reglamentas taikomas visais baudžiamojo proceso perdavimo Sąjungoje atvejais </w:t>
            </w:r>
            <w:r>
              <w:rPr>
                <w:b/>
                <w:i/>
              </w:rPr>
              <w:t>bent</w:t>
            </w:r>
            <w:r>
              <w:t xml:space="preserve"> nuo to momento, kai nustatoma, kad asmuo yra įtariamasis.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Šis reglamentas taikomas visais baudžiamojo proceso </w:t>
            </w:r>
            <w:r>
              <w:rPr>
                <w:b/>
                <w:i/>
              </w:rPr>
              <w:t>perdavimo Sąjungoje atvejais nuo to momento, kai nustatoma, kad asmuo yra įtariamasis</w:t>
            </w:r>
            <w:r>
              <w:t>.</w:t>
            </w:r>
          </w:p>
        </w:tc>
        <w:tc>
          <w:tcPr>
            <w:tcW w:w="4876" w:type="dxa"/>
          </w:tcPr>
          <w:p>
            <w:pPr>
              <w:pStyle w:val="Normal6a"/>
            </w:pPr>
            <w:r>
              <w:t>2.</w:t>
            </w:r>
            <w:r>
              <w:tab/>
            </w:r>
            <w:r>
              <w:t>Šis reglamentas taikomas visais baudžiamojo proceso</w:t>
            </w:r>
            <w:r>
              <w:rPr>
                <w:b/>
                <w:i/>
              </w:rPr>
              <w:t>, vykstančio Sąjungos valstybėse narėse, perdavimo atvejais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1 pastraipos 3 punkto a papunktis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teisėjas, teismas, ikiteisminio tyrimo teisėjas </w:t>
            </w:r>
            <w:r>
              <w:rPr>
                <w:b/>
                <w:i/>
              </w:rPr>
              <w:t>ar</w:t>
            </w:r>
            <w:r>
              <w:t xml:space="preserve"> prokuroras, kompetentingas atitinkamoje byloje, arba</w:t>
            </w:r>
          </w:p>
        </w:tc>
        <w:tc>
          <w:tcPr>
            <w:tcW w:w="4876" w:type="dxa"/>
          </w:tcPr>
          <w:p>
            <w:pPr>
              <w:pStyle w:val="Normal6a"/>
            </w:pPr>
            <w:r>
              <w:t>a)</w:t>
            </w:r>
            <w:r>
              <w:tab/>
            </w:r>
            <w:r>
              <w:t>teisėjas, teismas, ikiteisminio tyrimo teisėjas</w:t>
            </w:r>
            <w:r>
              <w:rPr>
                <w:b/>
                <w:i/>
              </w:rPr>
              <w:t>, įtariamasis, kaltinamasis, įtariamojo arba kaltinamojo teisės konsultantas arba</w:t>
            </w:r>
            <w:r>
              <w:t xml:space="preserve"> prokuroras, kompetentingas atitinkamoje byloje, arba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„Prašančiosios institucijos“ apibrėžtis turėtų būti išplėsta įtraukiant nuorodą į įtariamuosius ir kaltinamuosius arba jų teisės konsultantus, atsižvelgiant į pagal 5 straipsnio 3 dalį suteiktas teises.</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1 pastraipos 6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auka – auka, apibrėžta Direktyvos 2012/29/ES 2 straipsnio 1 dalies a punkte.</w:t>
            </w:r>
          </w:p>
        </w:tc>
        <w:tc>
          <w:tcPr>
            <w:tcW w:w="4876" w:type="dxa"/>
          </w:tcPr>
          <w:p>
            <w:pPr>
              <w:pStyle w:val="Normal6a"/>
            </w:pPr>
            <w:r>
              <w:t>6)</w:t>
            </w:r>
            <w:r>
              <w:tab/>
            </w:r>
            <w:r>
              <w:t>auka – auka, apibrėžta Direktyvos 2012/29/ES 2 straipsnio 1 dalies a punkte</w:t>
            </w:r>
            <w:r>
              <w:rPr>
                <w:b/>
                <w:i/>
              </w:rPr>
              <w:t>, arba nacionalinėje teisėje apibrėžtas juridinis asmuo, kuris tiesiogiai dėl nusikalstamos veikos, kuri yra baudžiamojo proceso, kuriam taikomas šis reglamentas, objektas, patyrė žalą ar ekonominius nuostolius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1 pastraipos 6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auka – auka, apibrėžta Direktyvos 2012/29/ES 2 straipsnio 1 dalies a punkte.</w:t>
            </w:r>
          </w:p>
        </w:tc>
        <w:tc>
          <w:tcPr>
            <w:tcW w:w="4876" w:type="dxa"/>
          </w:tcPr>
          <w:p>
            <w:pPr>
              <w:pStyle w:val="Normal6a"/>
            </w:pPr>
            <w:r>
              <w:t>6)</w:t>
            </w:r>
            <w:r>
              <w:tab/>
            </w:r>
            <w:r>
              <w:t>auka – auka, apibrėžta Direktyvos 2012/29/ES 2 straipsnio 1 dalies a punkte</w:t>
            </w:r>
            <w:r>
              <w:rPr>
                <w:b/>
                <w:i/>
              </w:rPr>
              <w:t>, arba nacionalinėje teisėje apibrėžtas juridinis asmuo, kuris tiesiogiai dėl nusikalstamos veikos, kuri yra baudžiamojo proceso, kuriam taikomas šis reglamentas, objektas, patyrė žalą ar ekonominius nuostolius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1 dalies b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ji atsisako perduoti įtariamąjį arba kaltinamąjį, dėl kurio išduotas Europos arešto orderis ir kuris yra prašomosios valstybės pilietis arba gyventojas, jeigu nustato, kad išimtinėmis aplinkybėmis, remiantis konkrečiais ir objektyviais įrodymais, yra pagrįstų priežasčių manyti, kad konkrečiomis bylos aplinkybėmis tų asmenų perdavimas reikštų akivaizdų atitinkamos pagrindinės teisės, įtvirtintos Europos Sąjungos sutarties 6 straipsnyje ir Chartijoje, pažeidimą;</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1 dalies d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prašomojoje valstybėje vyksta baudžiamasis procesas prieš įtariamąjį arba kaltinamąjį dėl kitų faktinių aplinkybių ir įtariamasis arba kaltinamasis yra prašomosios valstybės pilietis arba gyventojas;</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1 dalies e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prašomojoje valstybėje vyksta baudžiamasis procesas prieš kitus asmenis dėl tų pačių faktinių aplinkybių arba jų dalies ir įtariamasis arba kaltinamasis baudžiamajame procese, kuris turi būti perduotas, yra prašomosios valstybės pilietis arba gyventojas.</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4 straipsnis</w:t>
            </w:r>
            <w:r>
              <w:tab/>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4 Bet kuri valstybė narė, pagal savo nacionalinę teisę turinti jurisdikciją vykdyti baudžiamąjį persekiojimą už nusikalstamą veiką, taikydama šį reglamentą, gali atsisakyti vykdyti baudžiamąjį procesą prieš įtariamąjį arba kaltinamąjį, jį sustabdyti arba nutraukti, kad su ta nusikalstama veika susijusį baudžiamąjį procesą būtų galima perduoti prašomajai valstybei.</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Bet kuri valstybė narė, pagal savo nacionalinę teisę turinti jurisdikciją vykdyti baudžiamąjį persekiojimą už nusikalstamą veiką, taikydama šį reglamentą, gali atsisakyti vykdyti baudžiamąjį procesą prieš įtariamąjį arba kaltinamąjį, jį sustabdyti arba nutraukti, kad su ta nusikalstama veika susijusį baudžiamąjį procesą būtų galima perduoti prašomajai valstybei.</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1 dalies 1 pastraipa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Atnaujinus sustabdytą procedūrą, jai turi būti taikoma teisminė peržiūra, siekiant užtikrinti, kad būtų atliktas nepriklausomas vertinimas, ar buvo pažeistas ne bis in idem principas.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Šiuo straipsniu turi būti užtikrinta, kad nebūtų pažeistas ne bis in idem principas.</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Prašymas dėl baudžiamojo proceso perdavimo gali būti pateiktas tik tuo atveju, jei prašančioji institucija mano, kad veiksmingo ir gero teisingumo vykdymo tikslo būtų geriau siekti atitinkamą baudžiamąjį procesą vykdant kitoje valstybėje narėje.</w:t>
            </w:r>
          </w:p>
        </w:tc>
        <w:tc>
          <w:tcPr>
            <w:tcW w:w="4876" w:type="dxa"/>
          </w:tcPr>
          <w:p>
            <w:pPr>
              <w:pStyle w:val="Normal6a"/>
            </w:pPr>
            <w:r>
              <w:t>1.</w:t>
            </w:r>
            <w:r>
              <w:tab/>
            </w:r>
            <w:r>
              <w:t xml:space="preserve">Prašymas dėl baudžiamojo proceso perdavimo gali būti pateiktas tik tuo atveju, jei prašančioji institucija mano, kad veiksmingo ir gero teisingumo vykdymo </w:t>
            </w:r>
            <w:r>
              <w:rPr>
                <w:b/>
                <w:i/>
              </w:rPr>
              <w:t>ir įtariamųjų arba kaltinamųjų, taip pat aukų pagrindinių teisių apsaugos</w:t>
            </w:r>
            <w:r>
              <w:t xml:space="preserve"> tikslo</w:t>
            </w:r>
            <w:r>
              <w:rPr>
                <w:b/>
                <w:i/>
              </w:rPr>
              <w:t>, įtvirtinto Sąjungos ir nacionalinėje teisėje,</w:t>
            </w:r>
            <w:r>
              <w:t xml:space="preserve"> būtų geriau siekti atitinkamą baudžiamąjį procesą vykdant kitoje valstybėje narėje.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dalies c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 xml:space="preserve">įtariamasis arba kaltinamasis yra prašomojoje valstybėje ir ta valstybė atsisako perduoti šį asmenį prašančiajai valstybei remdamasi Pagrindų sprendimo 2002/584/TVR 4 straipsnio 2 dalimi arba jo 4 straipsnio 3 dalimi, jei toks atsisakymas nėra grindžiamas galutiniu teismo sprendimu, priimtu dėl to šio asmens dėl tos pačios nusikalstamos veikos, kuriuo užkertamas kelias kitiems baudžiamiesiems procesams, arba remdamasi to pamatinio sprendimo 4 straipsnio 7 </w:t>
            </w:r>
            <w:r>
              <w:rPr>
                <w:b/>
                <w:i/>
              </w:rPr>
              <w:t>dalimi</w:t>
            </w:r>
            <w:r>
              <w:t>;</w:t>
            </w:r>
          </w:p>
        </w:tc>
        <w:tc>
          <w:tcPr>
            <w:tcW w:w="4876" w:type="dxa"/>
          </w:tcPr>
          <w:p>
            <w:pPr>
              <w:pStyle w:val="Normal6a"/>
            </w:pPr>
            <w:r>
              <w:t>c)</w:t>
            </w:r>
            <w:r>
              <w:tab/>
            </w:r>
            <w:r>
              <w:t xml:space="preserve">įtariamasis arba kaltinamasis yra prašomojoje valstybėje ir ta valstybė atsisako perduoti šį asmenį prašančiajai valstybei remdamasi Pagrindų sprendimo 2002/584/TVR 4 straipsnio 2 dalimi arba jo 4 straipsnio 3 dalimi, jei toks atsisakymas nėra grindžiamas galutiniu teismo sprendimu, priimtu dėl to šio asmens dėl tos pačios nusikalstamos veikos, kuriuo užkertamas kelias kitiems baudžiamiesiems procesams, arba remdamasi to pamatinio sprendimo 4 straipsnio 7 </w:t>
            </w:r>
            <w:r>
              <w:rPr>
                <w:b/>
                <w:i/>
              </w:rPr>
              <w:t>dalies a punktu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dalies i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w:t>
            </w:r>
            <w:r>
              <w:tab/>
            </w:r>
            <w:r>
              <w:rPr>
                <w:b/>
                <w:i/>
              </w:rPr>
              <w:t>dėl bausmės vykdymo prašomojoje valstybėje gali būti sudarytos palankesnės sąlygos nuteisto asmens socialinei reabilitacijai arba yra kitų priežasčių, dėl kurių bausmės vykdymas prašomojoje valstybėje yra tinkamesnis;</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dalies j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j)</w:t>
            </w:r>
            <w:r>
              <w:tab/>
            </w:r>
            <w:r>
              <w:t>dauguma aukų yra prašomosios valstybės piliečiai arba gyventojai.</w:t>
            </w:r>
          </w:p>
        </w:tc>
        <w:tc>
          <w:tcPr>
            <w:tcW w:w="4876" w:type="dxa"/>
          </w:tcPr>
          <w:p>
            <w:pPr>
              <w:pStyle w:val="Normal6a"/>
            </w:pPr>
            <w:r>
              <w:t>j)</w:t>
            </w:r>
            <w:r>
              <w:tab/>
            </w:r>
            <w:r>
              <w:rPr>
                <w:b/>
                <w:i/>
              </w:rPr>
              <w:t>auka arba</w:t>
            </w:r>
            <w:r>
              <w:t xml:space="preserve"> dauguma aukų yra prašomosios valstybės piliečiai arba gyventojai.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dalies j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ja)</w:t>
            </w:r>
            <w:r>
              <w:tab/>
            </w:r>
            <w:r>
              <w:rPr>
                <w:b/>
                <w:i/>
              </w:rPr>
              <w:t>pasikonsultavus su valstybių narių kompetentingomis institucijomis pagal Pamatinį sprendimą 2009/958/TVR dėl jurisdikcijos kolizijų prevencijos, buvo pasiektas susitarimas dėl lygiagrečių procesų sutelkimo vienoje valstybėje narėje.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2 dalies j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ja)</w:t>
            </w:r>
            <w:r>
              <w:tab/>
            </w:r>
            <w:r>
              <w:rPr>
                <w:b/>
                <w:i/>
              </w:rPr>
              <w:t>ar proceso perdavimas padėtų siekti atkuriamojo teisingumo tikslų.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Įtariamasis arba kaltinamasis, dauguma aukų arba jų vardu veikiantis advokatas taip pat gali prašyti prašančiosios arba prašomosios valstybės kompetentingų institucijų pradėti baudžiamojo proceso perdavimo procedūrą pagal šį reglamentą.</w:t>
            </w:r>
            <w:r>
              <w:t xml:space="preserve"> </w:t>
            </w:r>
            <w:r>
              <w:rPr>
                <w:b/>
                <w:i/>
              </w:rPr>
              <w:t>Tokiais šioje dalyje numatytais prašymais prašančioji arba prašomoji valstybė neįpareigojama prašyti perimti baudžiamąjį procesą arba jį perduoti prašomajai valstybei.</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Įtariamasis arba kaltinamasis, dauguma aukų arba jų vardu veikiantis advokatas </w:t>
            </w:r>
            <w:r>
              <w:rPr>
                <w:b/>
                <w:i/>
              </w:rPr>
              <w:t>taip pat gali</w:t>
            </w:r>
            <w:r>
              <w:t xml:space="preserve"> prašyti prašančiosios arba prašomosios valstybės kompetentingų institucijų pradėti baudžiamojo proceso perdavimo procedūrą pagal šį reglamentą. Tokiais šioje dalyje numatytais prašymais prašančioji arba prašomoji valstybė neįpareigojama prašyti perimti baudžiamąjį procesą arba jį perduoti prašomajai valstybei.</w:t>
            </w:r>
          </w:p>
        </w:tc>
        <w:tc>
          <w:tcPr>
            <w:tcW w:w="4876" w:type="dxa"/>
          </w:tcPr>
          <w:p>
            <w:pPr>
              <w:pStyle w:val="Normal6a"/>
            </w:pPr>
            <w:r>
              <w:t>3.</w:t>
            </w:r>
            <w:r>
              <w:tab/>
            </w:r>
            <w:r>
              <w:t xml:space="preserve">Įtariamasis arba kaltinamasis, </w:t>
            </w:r>
            <w:r>
              <w:rPr>
                <w:b/>
                <w:i/>
              </w:rPr>
              <w:t>auka arba</w:t>
            </w:r>
            <w:r>
              <w:t xml:space="preserve"> dauguma aukų arba jų vardu veikiantis advokatas </w:t>
            </w:r>
            <w:r>
              <w:rPr>
                <w:b/>
                <w:i/>
              </w:rPr>
              <w:t>turi teisę</w:t>
            </w:r>
            <w:r>
              <w:t xml:space="preserve"> prašyti prašančiosios arba prašomosios valstybės kompetentingų institucijų pradėti baudžiamojo proceso perdavimo procedūrą pagal šį reglamentą. Tokiais šioje dalyje numatytais prašymais prašančioji arba prašomoji valstybė neįpareigojama prašyti perimti baudžiamąjį procesą arba jį perduoti prašomajai valstybei.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Įtariamasis arba kaltinamasis, </w:t>
            </w:r>
            <w:r>
              <w:rPr>
                <w:b/>
                <w:i/>
              </w:rPr>
              <w:t>dauguma</w:t>
            </w:r>
            <w:r>
              <w:t xml:space="preserve"> aukų arba jų vardu veikiantis advokatas taip pat gali prašyti prašančiosios arba prašomosios valstybės kompetentingų institucijų pradėti baudžiamojo proceso perdavimo procedūrą pagal šį reglamentą. Tokiais šioje dalyje numatytais prašymais prašančioji arba prašomoji valstybė neįpareigojama prašyti perimti baudžiamąjį procesą arba jį perduoti prašomajai valstybei.</w:t>
            </w:r>
          </w:p>
        </w:tc>
        <w:tc>
          <w:tcPr>
            <w:tcW w:w="4876" w:type="dxa"/>
          </w:tcPr>
          <w:p>
            <w:pPr>
              <w:pStyle w:val="Normal6a"/>
            </w:pPr>
            <w:r>
              <w:t>3.</w:t>
            </w:r>
            <w:r>
              <w:tab/>
            </w:r>
            <w:r>
              <w:t xml:space="preserve">Įtariamasis arba kaltinamasis, </w:t>
            </w:r>
            <w:r>
              <w:rPr>
                <w:b/>
                <w:i/>
              </w:rPr>
              <w:t>viena arba daugiau</w:t>
            </w:r>
            <w:r>
              <w:t xml:space="preserve"> aukų arba jų vardu veikiantis advokatas taip pat gali prašyti prašančiosios arba prašomosios valstybės kompetentingų institucijų pradėti baudžiamojo proceso perdavimo procedūrą pagal šį reglamentą. Tokiais šioje dalyje numatytais prašymais prašančioji arba prašomoji valstybė neįpareigojama prašyti perimti baudžiamąjį procesą arba jį perduoti prašomajai valstybei.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3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Institucija, prašanti atlikti perdavimą pagal 1 dalį arba nagrinėjanti prašymą pagal 3 dalį, priima motyvuotą sprendimą ir apie tai informuoja pareiškėjus ir visas kitas susijusias šalis.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Prieš pateikdama prašymą dėl baudžiamojo proceso perdavimo prašančioji institucija, laikydamasi taikytinos nacionalinės teisės, tinkamai atsižvelgia į teisėtus įtariamojo arba kaltinamojo interesus </w:t>
            </w:r>
            <w:r>
              <w:rPr>
                <w:b/>
                <w:i/>
              </w:rPr>
              <w:t>ir užtikrina, kad būtų gerbiamos jo procesinės teisės pagal Sąjungos ir nacionalinę teisę</w:t>
            </w:r>
            <w:r>
              <w:t>.</w:t>
            </w:r>
          </w:p>
        </w:tc>
        <w:tc>
          <w:tcPr>
            <w:tcW w:w="4876" w:type="dxa"/>
          </w:tcPr>
          <w:p>
            <w:pPr>
              <w:pStyle w:val="Normal6a"/>
            </w:pPr>
            <w:r>
              <w:t>1.</w:t>
            </w:r>
            <w:r>
              <w:tab/>
            </w:r>
            <w:r>
              <w:t>Prieš pateikdama prašymą dėl baudžiamojo proceso perdavimo prašančioji institucija, laikydamasi taikytinos nacionalinės teisės, tinkamai atsižvelgia į teisėtus įtariamojo arba kaltinamojo interesus.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Įtariamasis arba kaltinamasis pagal taikytiną nacionalinę teisę informuojamas apie numatomą baudžiamojo proceso perdavimą jam suprantama kalba ir jam suteikiama galimybė pareikšti savo nuomonę žodžiu arba raštu, su sąlyga, kad tai nepakenks tyrimo konfidencialumui, išskyrus tuos atvejus, kai</w:t>
            </w:r>
            <w:r>
              <w:rPr>
                <w:b/>
                <w:i/>
              </w:rPr>
              <w:t>, nepaisant prašančiosios institucijos deramų pastangų,</w:t>
            </w:r>
            <w:r>
              <w:t xml:space="preserve"> įtariamojo arba kaltinamojo buvimo vietos </w:t>
            </w:r>
            <w:r>
              <w:rPr>
                <w:b/>
                <w:i/>
              </w:rPr>
              <w:t>negalima nustatyti</w:t>
            </w:r>
            <w:r>
              <w:t xml:space="preserve">. Kai prašančioji institucija mano, kad dėl įtariamojo arba kaltinamojo amžiaus arba fizinės ar psichinės būklės tai būtina, ta galimybė suteikiama jo teisiniam atstovui. </w:t>
            </w:r>
            <w:r>
              <w:rPr>
                <w:b/>
                <w:i/>
              </w:rPr>
              <w:t>Kai prašymas dėl baudžiamojo proceso perdavimo pateikiamas gavus įtariamojo arba kaltinamojo prašymą pagal 5 straipsnio 3 dalį, tokio konsultavimosi su prašymą pateikusiu įtariamuoju arba kaltinamuoju nereikalaujama.</w:t>
            </w:r>
          </w:p>
        </w:tc>
        <w:tc>
          <w:tcPr>
            <w:tcW w:w="4876" w:type="dxa"/>
          </w:tcPr>
          <w:p>
            <w:pPr>
              <w:pStyle w:val="Normal6a"/>
            </w:pPr>
            <w:r>
              <w:t>2.</w:t>
            </w:r>
            <w:r>
              <w:tab/>
            </w:r>
            <w:r>
              <w:t>Įtariamasis arba kaltinamasis</w:t>
            </w:r>
            <w:r>
              <w:rPr>
                <w:b/>
                <w:i/>
              </w:rPr>
              <w:t>, kuriam jau buvo pranešta apie kaltinimą,</w:t>
            </w:r>
            <w:r>
              <w:t xml:space="preserve"> pagal taikytiną nacionalinę teisę </w:t>
            </w:r>
            <w:r>
              <w:rPr>
                <w:b/>
                <w:i/>
              </w:rPr>
              <w:t>gali būti</w:t>
            </w:r>
            <w:r>
              <w:t xml:space="preserve"> informuojamas apie numatomą baudžiamojo proceso perdavimą jam suprantama kalba ir jam </w:t>
            </w:r>
            <w:r>
              <w:rPr>
                <w:b/>
                <w:i/>
              </w:rPr>
              <w:t>gali būti</w:t>
            </w:r>
            <w:r>
              <w:t xml:space="preserve"> suteikiama galimybė pareikšti savo nuomonę žodžiu arba raštu, su sąlyga, kad tai nepakenks tyrimo konfidencialumui </w:t>
            </w:r>
            <w:r>
              <w:rPr>
                <w:b/>
                <w:i/>
              </w:rPr>
              <w:t>arba nepadarys kitokios žalos tyrimui</w:t>
            </w:r>
            <w:r>
              <w:t xml:space="preserve">, išskyrus tuos atvejus, kai </w:t>
            </w:r>
            <w:r>
              <w:rPr>
                <w:b/>
                <w:i/>
              </w:rPr>
              <w:t>prašančioji institucija negali nustatyti</w:t>
            </w:r>
            <w:r>
              <w:t xml:space="preserve"> įtariamojo arba kaltinamojo buvimo vietos. Kai prašančioji institucija mano, kad dėl įtariamojo arba kaltinamojo amžiaus arba fizinės ar psichinės būklės tai būtina, ta galimybė </w:t>
            </w:r>
            <w:r>
              <w:rPr>
                <w:b/>
                <w:i/>
              </w:rPr>
              <w:t>gali būti</w:t>
            </w:r>
            <w:r>
              <w:t xml:space="preserve"> suteikiama jo teisiniam atstovui.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Įtariamasis arba kaltinamasis pagal taikytiną nacionalinę teisę informuojamas apie numatomą baudžiamojo proceso perdavimą jam suprantama kalba ir jam suteikiama galimybė pareikšti savo nuomonę žodžiu arba raštu, su sąlyga, kad tai nepakenks tyrimo konfidencialumui, išskyrus tuos atvejus, kai, nepaisant prašančiosios institucijos deramų pastangų, įtariamojo arba kaltinamojo buvimo vietos negalima nustatyti. Kai prašančioji institucija mano, kad dėl įtariamojo arba kaltinamojo amžiaus arba fizinės ar psichinės būklės tai būtina, ta galimybė suteikiama jo teisiniam atstovui. Kai prašymas dėl baudžiamojo proceso perdavimo pateikiamas gavus įtariamojo arba kaltinamojo prašymą pagal 5 straipsnio 3 dalį, tokio konsultavimosi su prašymą pateikusiu įtariamuoju arba kaltinamuoju nereikalaujama.</w:t>
            </w:r>
          </w:p>
        </w:tc>
        <w:tc>
          <w:tcPr>
            <w:tcW w:w="4876" w:type="dxa"/>
          </w:tcPr>
          <w:p>
            <w:pPr>
              <w:pStyle w:val="Normal6a"/>
            </w:pPr>
            <w:r>
              <w:t>2.</w:t>
            </w:r>
            <w:r>
              <w:tab/>
            </w:r>
            <w:r>
              <w:t xml:space="preserve">Įtariamasis arba kaltinamasis </w:t>
            </w:r>
            <w:r>
              <w:rPr>
                <w:b/>
                <w:i/>
              </w:rPr>
              <w:t>prireikus </w:t>
            </w:r>
            <w:r>
              <w:t>pagal taikytiną nacionalinę teisę informuojamas apie numatomą baudžiamojo proceso perdavimą jam suprantama kalba ir jam suteikiama galimybė pareikšti savo nuomonę žodžiu arba raštu, su sąlyga, kad tai nepakenks tyrimo konfidencialumui, išskyrus tuos atvejus, kai, nepaisant prašančiosios institucijos deramų pastangų, įtariamojo arba kaltinamojo buvimo vietos negalima nustatyti. Kai prašančioji institucija mano, kad dėl įtariamojo arba kaltinamojo amžiaus arba fizinės ar psichinės būklės tai būtina, ta galimybė suteikiama jo teisiniam atstovui. Kai prašymas dėl baudžiamojo proceso perdavimo pateikiamas gavus įtariamojo arba kaltinamojo prašymą pagal 5 straipsnio 3 dalį, tokio konsultavimosi su prašymą pateikusiu įtariamuoju arba kaltinamuoju nereikalaujama.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Įtariamasis arba kaltinamasis pagal taikytiną nacionalinę teisę informuojamas apie numatomą baudžiamojo proceso perdavimą jam suprantama kalba ir jam suteikiama galimybė pareikšti savo nuomonę žodžiu arba raštu, </w:t>
            </w:r>
            <w:r>
              <w:rPr>
                <w:b/>
                <w:i/>
              </w:rPr>
              <w:t>su sąlyga, kad tai nepakenks tyrimo konfidencialumui,</w:t>
            </w:r>
            <w:r>
              <w:t xml:space="preserve"> išskyrus tuos atvejus, kai, nepaisant prašančiosios institucijos deramų pastangų, įtariamojo arba kaltinamojo buvimo vietos negalima nustatyti. Kai prašančioji institucija mano, kad dėl įtariamojo arba kaltinamojo amžiaus arba fizinės ar psichinės būklės tai būtina, ta galimybė suteikiama jo teisiniam atstovui. Kai prašymas dėl baudžiamojo proceso perdavimo pateikiamas gavus įtariamojo arba kaltinamojo prašymą pagal 5 straipsnio 3 dalį, tokio konsultavimosi su prašymą pateikusiu įtariamuoju arba kaltinamuoju nereikalaujama.</w:t>
            </w:r>
          </w:p>
        </w:tc>
        <w:tc>
          <w:tcPr>
            <w:tcW w:w="4876" w:type="dxa"/>
          </w:tcPr>
          <w:p>
            <w:pPr>
              <w:pStyle w:val="Normal6a"/>
            </w:pPr>
            <w:r>
              <w:t>2.</w:t>
            </w:r>
            <w:r>
              <w:tab/>
            </w:r>
            <w:r>
              <w:t xml:space="preserve">Įtariamasis arba kaltinamasis pagal taikytiną nacionalinę teisę informuojamas apie numatomą baudžiamojo proceso perdavimą jam suprantama kalba ir jam suteikiama galimybė </w:t>
            </w:r>
            <w:r>
              <w:rPr>
                <w:b/>
                <w:i/>
              </w:rPr>
              <w:t>prieš numatomą perkėlimą</w:t>
            </w:r>
            <w:r>
              <w:t xml:space="preserve"> pareikšti savo nuomonę žodžiu arba raštu, išskyrus tuos atvejus, kai, nepaisant prašančiosios institucijos deramų pastangų, įtariamojo arba kaltinamojo buvimo vietos negalima nustatyti. Kai prašančioji institucija mano, kad dėl įtariamojo arba kaltinamojo amžiaus arba fizinės ar psichinės būklės tai būtina, ta galimybė </w:t>
            </w:r>
            <w:r>
              <w:rPr>
                <w:b/>
                <w:i/>
              </w:rPr>
              <w:t>prieš numatomą perkėlimą</w:t>
            </w:r>
            <w:r>
              <w:t xml:space="preserve"> suteikiama jo teisiniam atstovui. Kai prašymas dėl baudžiamojo proceso perdavimo pateikiamas gavus įtariamojo arba kaltinamojo prašymą pagal 5 straipsnio 3 dalį, tokio konsultavimosi su prašymą pateikusiu įtariamuoju arba kaltinamuoju nereikalaujama.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Prašančioji institucija, spręsdama, ar teikti prašymą dėl baudžiamojo proceso perdavimo, </w:t>
            </w:r>
            <w:r>
              <w:rPr>
                <w:b/>
                <w:i/>
              </w:rPr>
              <w:t>atsižvelgia į</w:t>
            </w:r>
            <w:r>
              <w:t xml:space="preserve"> 2 dalyje nurodytą įtariamojo arba kaltinamojo nuomonę.</w:t>
            </w:r>
          </w:p>
        </w:tc>
        <w:tc>
          <w:tcPr>
            <w:tcW w:w="4876" w:type="dxa"/>
          </w:tcPr>
          <w:p>
            <w:pPr>
              <w:pStyle w:val="Normal6a"/>
            </w:pPr>
            <w:r>
              <w:t>3.</w:t>
            </w:r>
            <w:r>
              <w:tab/>
            </w:r>
            <w:r>
              <w:t xml:space="preserve">Prašančioji institucija, spręsdama, ar teikti prašymą dėl baudžiamojo proceso perdavimo, </w:t>
            </w:r>
            <w:r>
              <w:rPr>
                <w:b/>
                <w:i/>
              </w:rPr>
              <w:t>užregistruoja</w:t>
            </w:r>
            <w:r>
              <w:t xml:space="preserve"> 2 dalyje nurodytą įtariamojo arba kaltinamojo nuomonę.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Kai prašomoji institucija priėmė sprendimą pagal 12 straipsnio 1 dalį, prašančioji institucija nedelsdama informuoja įtariamąjį arba kaltinamąjį jiems suprantama kalba apie tai, kad pateiktas prašymas dėl baudžiamojo proceso perdavimo, ir apie tai, ar prašomoji institucija jį priėmė arba atsisakė jį priimti, su sąlyga, kad tai nepakenks tyrimo konfidencialumui, išskyrus tuos atvejus, kai</w:t>
            </w:r>
            <w:r>
              <w:rPr>
                <w:b/>
                <w:i/>
              </w:rPr>
              <w:t>, nepaisant prašančiosios institucijos deramų pastangų,</w:t>
            </w:r>
            <w:r>
              <w:t xml:space="preserve"> įtariamojo arba kaltinamojo buvimo vietos </w:t>
            </w:r>
            <w:r>
              <w:rPr>
                <w:b/>
                <w:i/>
              </w:rPr>
              <w:t>negalima nustatyti</w:t>
            </w:r>
            <w:r>
              <w:t>. Kai prašomoji institucija priėmė sprendimą sutikti perimti baudžiamąjį procesą, įtariamasis arba kaltinamasis taip pat informuojamas apie jo teisę į teisių gynimo priemonę prašomojoje valstybėje ir su tokia teisių gynimo priemone susijusius terminus.</w:t>
            </w:r>
          </w:p>
        </w:tc>
        <w:tc>
          <w:tcPr>
            <w:tcW w:w="4876" w:type="dxa"/>
          </w:tcPr>
          <w:p>
            <w:pPr>
              <w:pStyle w:val="Normal6a"/>
            </w:pPr>
            <w:r>
              <w:t>4.</w:t>
            </w:r>
            <w:r>
              <w:tab/>
            </w:r>
            <w:r>
              <w:t xml:space="preserve">Kai prašomoji institucija priėmė sprendimą pagal 12 straipsnio 1 dalį, prašančioji institucija nedelsdama informuoja įtariamąjį arba kaltinamąjį jiems suprantama kalba apie tai, kad pateiktas prašymas dėl baudžiamojo proceso perdavimo, ir apie tai, ar prašomoji institucija jį priėmė arba atsisakė jį priimti, su sąlyga, kad tai nepakenks tyrimo konfidencialumui </w:t>
            </w:r>
            <w:r>
              <w:rPr>
                <w:b/>
                <w:i/>
              </w:rPr>
              <w:t>arba nepadarys kitokios žalos tyrimui</w:t>
            </w:r>
            <w:r>
              <w:t>, išskyrus tuos atvejus, kai</w:t>
            </w:r>
            <w:r>
              <w:rPr>
                <w:b/>
                <w:i/>
              </w:rPr>
              <w:t> prašančioji institucija negali nustatyti  </w:t>
            </w:r>
            <w:r>
              <w:t xml:space="preserve">įtariamojo arba kaltinamojo buvimo vietos. Kai prašomoji institucija priėmė sprendimą sutikti perimti baudžiamąjį procesą, įtariamasis arba kaltinamasis taip pat informuojamas apie jo teisę į teisių gynimo priemonę prašomojoje valstybėje ir su tokia teisių gynimo priemone susijusius terminus. </w:t>
            </w:r>
            <w:r>
              <w:rPr>
                <w:b/>
                <w:i/>
              </w:rPr>
              <w:t>Prireikus prašančioji institucija gali prašyti prašomosios institucijos pagalbos atliekant užduotis.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Kai prašomoji institucija priėmė sprendimą pagal 12 straipsnio 1 dalį, prašančioji institucija nedelsdama informuoja įtariamąjį arba kaltinamąjį jiems suprantama kalba apie tai, kad pateiktas prašymas dėl baudžiamojo proceso perdavimo, ir apie tai, ar prašomoji institucija jį priėmė arba atsisakė jį priimti, </w:t>
            </w:r>
            <w:r>
              <w:rPr>
                <w:b/>
                <w:i/>
              </w:rPr>
              <w:t>su sąlyga, kad tai nepakenks tyrimo konfidencialumui,</w:t>
            </w:r>
            <w:r>
              <w:t xml:space="preserve"> išskyrus tuos atvejus, kai, nepaisant prašančiosios institucijos deramų pastangų, įtariamojo arba kaltinamojo buvimo vietos negalima nustatyti. Kai prašomoji institucija priėmė sprendimą sutikti perimti baudžiamąjį procesą, įtariamasis arba kaltinamasis taip pat informuojamas apie jo teisę į teisių gynimo priemonę prašomojoje valstybėje ir su tokia teisių gynimo priemone susijusius terminus.</w:t>
            </w:r>
          </w:p>
        </w:tc>
        <w:tc>
          <w:tcPr>
            <w:tcW w:w="4876" w:type="dxa"/>
          </w:tcPr>
          <w:p>
            <w:pPr>
              <w:pStyle w:val="Normal6a"/>
            </w:pPr>
            <w:r>
              <w:t>4.</w:t>
            </w:r>
            <w:r>
              <w:tab/>
            </w:r>
            <w:r>
              <w:t>Kai prašomoji institucija priėmė sprendimą pagal 12 straipsnio 1 dalį, prašančioji institucija nedelsdama informuoja įtariamąjį arba kaltinamąjį jiems suprantama kalba apie tai, kad pateiktas prašymas dėl baudžiamojo proceso perdavimo, ir apie tai, ar prašomoji institucija jį priėmė arba atsisakė jį priimti, išskyrus tuos atvejus, kai, nepaisant prašančiosios institucijos deramų pastangų, įtariamojo arba kaltinamojo buvimo vietos negalima nustatyti. Kai prašomoji institucija priėmė sprendimą sutikti perimti baudžiamąjį procesą, įtariamasis arba kaltinamasis taip pat informuojamas apie jo teisę į teisių gynimo priemonę prašomojoje valstybėje ir su tokia teisių gynimo priemone susijusius terminus.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4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Valstybės narės numato, kad 2 ir 4 dalyse nustatyta teisė į informaciją apimtų įtariamojo arba kaltinamojo teisę susipažinti su byla ir visas kitas procesines teises, kurios yra būtinos, kad jie galėtų veiksmingai pasinaudoti savo teise būti išklausytam.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4 b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4b.</w:t>
            </w:r>
            <w:r>
              <w:tab/>
            </w:r>
            <w:r>
              <w:rPr>
                <w:b/>
                <w:i/>
              </w:rPr>
              <w:t>Valstybės narės gali išimties tvarka ir laikinai atidėti 2 ir 4 dalyse nurodytos informacijos teikimą tyrimo etape, jei tai pateisinama atsižvelgiant į konkrečias bylos aplinkybes, kai tai būtina siekiant: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išvengti rimtų neigiamų pasekmių asmens gyvybei, laisvei ar fizinei neliečiamybei;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užkirsti kelią situacijai, kai būtų pakenkta tyrimo konfidencialumui.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Kai tik nebereikia atidėti įtariamojo informavimo, kad būtų apsaugoti vykdomi tyrimai, pateikiama 2 ir 4 dalyse nurodyta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1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Prieš pateikdama prašymą dėl baudžiamojo proceso perdavimo prašančioji institucija, laikydamasi taikytinos nacionalinės teisės, tinkamai atsižvelgia į teisėtus aukos interesus </w:t>
            </w:r>
            <w:r>
              <w:rPr>
                <w:b/>
                <w:i/>
              </w:rPr>
              <w:t>ir užtikrina, kad būtų gerbiamos jos teisės pagal Sąjungos ir nacionalinę teisę</w:t>
            </w:r>
            <w:r>
              <w:t>.</w:t>
            </w:r>
          </w:p>
        </w:tc>
        <w:tc>
          <w:tcPr>
            <w:tcW w:w="4876" w:type="dxa"/>
          </w:tcPr>
          <w:p>
            <w:pPr>
              <w:pStyle w:val="Normal6a"/>
            </w:pPr>
            <w:r>
              <w:t>1.</w:t>
            </w:r>
            <w:r>
              <w:tab/>
            </w:r>
            <w:r>
              <w:t>Prieš pateikdama prašymą dėl baudžiamojo proceso perdavimo prašančioji institucija, laikydamasi taikytinos nacionalinės teisės, tinkamai atsižvelgia į teisėtus aukos interesus.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2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Kai auka gyvena prašančiojoje valstybėje, ji pagal taikytiną nacionalinę teisę informuojama apie numatomą baudžiamojo proceso perdavimą jai suprantama kalba ir jai suteikiama galimybė pareikšti savo nuomonę žodžiu arba raštu, </w:t>
            </w:r>
            <w:r>
              <w:rPr>
                <w:b/>
                <w:i/>
              </w:rPr>
              <w:t>su sąlyga, kad tai nepakenks tyrimo konfidencialumui</w:t>
            </w:r>
            <w:r>
              <w:t>. Kai prašančioji institucija mano, kad dėl aukos amžiaus ar jos fizinės arba psichinės būklės tai būtina, ta galimybė suteikiama jos teisiniam atstovui.</w:t>
            </w:r>
          </w:p>
        </w:tc>
        <w:tc>
          <w:tcPr>
            <w:tcW w:w="4876" w:type="dxa"/>
          </w:tcPr>
          <w:p>
            <w:pPr>
              <w:pStyle w:val="Normal6a"/>
            </w:pPr>
            <w:r>
              <w:t>2.</w:t>
            </w:r>
            <w:r>
              <w:tab/>
            </w:r>
            <w:r>
              <w:t xml:space="preserve">Kai auka gyvena prašančiojoje valstybėje, ji pagal taikytiną nacionalinę teisę informuojama apie numatomą baudžiamojo proceso perdavimą jai suprantama kalba ir jai suteikiama galimybė pareikšti savo nuomonę žodžiu arba raštu, </w:t>
            </w:r>
            <w:r>
              <w:rPr>
                <w:b/>
                <w:i/>
              </w:rPr>
              <w:t>išskyrus tuos atvejus, kai, nepaisant prašančiosios institucijos deramų pastangų, negalima nustatyti to asmens buvimo vietos.</w:t>
            </w:r>
            <w:r>
              <w:t xml:space="preserve"> </w:t>
            </w:r>
            <w:r>
              <w:rPr>
                <w:b/>
                <w:i/>
              </w:rPr>
              <w:t>Valstybės narės numato, kad aukos teisė į informaciją apimtų teisę susipažinti su byla ir visas kitas procesines teises, kurios yra būtinos, kad jie galėtų veiksmingai pasinaudoti savo teise būti išklausytiems</w:t>
            </w:r>
            <w:r>
              <w:t>. Kai prašančioji institucija mano, kad dėl aukos amžiaus ar jos fizinės arba psichinės būklės tai būtina, ta galimybė suteikiama jos teisiniam atstovui.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2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Kai auka</w:t>
            </w:r>
            <w:r>
              <w:t xml:space="preserve"> gyvena prašančiojoje valstybėje</w:t>
            </w:r>
            <w:r>
              <w:rPr>
                <w:b/>
                <w:i/>
              </w:rPr>
              <w:t>, ji</w:t>
            </w:r>
            <w:r>
              <w:t xml:space="preserve"> pagal taikytiną nacionalinę teisę </w:t>
            </w:r>
            <w:r>
              <w:rPr>
                <w:b/>
                <w:i/>
              </w:rPr>
              <w:t>informuojama</w:t>
            </w:r>
            <w:r>
              <w:t xml:space="preserve"> apie numatomą baudžiamojo proceso perdavimą </w:t>
            </w:r>
            <w:r>
              <w:rPr>
                <w:b/>
                <w:i/>
              </w:rPr>
              <w:t>jai</w:t>
            </w:r>
            <w:r>
              <w:t xml:space="preserve"> suprantama kalba ir </w:t>
            </w:r>
            <w:r>
              <w:rPr>
                <w:b/>
                <w:i/>
              </w:rPr>
              <w:t>jai</w:t>
            </w:r>
            <w:r>
              <w:t xml:space="preserve"> suteikiama galimybė pareikšti savo nuomonę žodžiu arba raštu, su sąlyga, kad tai nepakenks tyrimo konfidencialumui. Kai prašančioji institucija mano, kad dėl aukos amžiaus ar jos fizinės arba psichinės būklės tai būtina, ta galimybė suteikiama jos teisiniam atstovui.</w:t>
            </w:r>
          </w:p>
        </w:tc>
        <w:tc>
          <w:tcPr>
            <w:tcW w:w="4876" w:type="dxa"/>
          </w:tcPr>
          <w:p>
            <w:pPr>
              <w:pStyle w:val="Normal6a"/>
            </w:pPr>
            <w:r>
              <w:t>2.</w:t>
            </w:r>
            <w:r>
              <w:tab/>
            </w:r>
            <w:r>
              <w:rPr>
                <w:b/>
                <w:i/>
              </w:rPr>
              <w:t>Aukos, kurios</w:t>
            </w:r>
            <w:r>
              <w:t xml:space="preserve"> gyvena prašančiojoje valstybėje </w:t>
            </w:r>
            <w:r>
              <w:rPr>
                <w:b/>
                <w:i/>
              </w:rPr>
              <w:t>ir kurios paprašė suteikti informaciją, kaip nustatyta Direktyvos 2012/29/ES 6 straipsnio 1 dalies a punkte,</w:t>
            </w:r>
            <w:r>
              <w:t xml:space="preserve"> pagal taikytiną nacionalinę teisę </w:t>
            </w:r>
            <w:r>
              <w:rPr>
                <w:b/>
                <w:i/>
              </w:rPr>
              <w:t>gali būti informuojamos</w:t>
            </w:r>
            <w:r>
              <w:t xml:space="preserve"> apie numatomą baudžiamojo proceso perdavimą </w:t>
            </w:r>
            <w:r>
              <w:rPr>
                <w:b/>
                <w:i/>
              </w:rPr>
              <w:t>joms</w:t>
            </w:r>
            <w:r>
              <w:t xml:space="preserve"> suprantama kalba ir </w:t>
            </w:r>
            <w:r>
              <w:rPr>
                <w:b/>
                <w:i/>
              </w:rPr>
              <w:t>joms gali būti</w:t>
            </w:r>
            <w:r>
              <w:t xml:space="preserve"> suteikiama galimybė pareikšti savo nuomonę žodžiu arba raštu, su sąlyga, kad tai nepakenks tyrimo konfidencialumui </w:t>
            </w:r>
            <w:r>
              <w:rPr>
                <w:b/>
                <w:i/>
              </w:rPr>
              <w:t>arba nepadarys kitokios žalos tyrimui</w:t>
            </w:r>
            <w:r>
              <w:t xml:space="preserve">. Kai prašančioji institucija mano, kad dėl aukos amžiaus ar jos fizinės arba psichinės būklės tai būtina, ta galimybė </w:t>
            </w:r>
            <w:r>
              <w:rPr>
                <w:b/>
                <w:i/>
              </w:rPr>
              <w:t>gali būti</w:t>
            </w:r>
            <w:r>
              <w:t xml:space="preserve"> suteikiama jos teisiniam atstovui.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2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Kai auka gyvena prašančiojoje valstybėje, ji pagal taikytiną nacionalinę teisę informuojama apie numatomą baudžiamojo proceso perdavimą jai suprantama kalba ir jai suteikiama galimybė pareikšti savo nuomonę žodžiu arba raštu, su sąlyga, kad tai nepakenks tyrimo konfidencialumui. Kai prašančioji institucija mano, kad dėl aukos amžiaus ar jos fizinės arba psichinės būklės tai būtina, ta galimybė suteikiama jos teisiniam atstovui.</w:t>
            </w:r>
          </w:p>
        </w:tc>
        <w:tc>
          <w:tcPr>
            <w:tcW w:w="4876" w:type="dxa"/>
          </w:tcPr>
          <w:p>
            <w:pPr>
              <w:pStyle w:val="Normal6a"/>
            </w:pPr>
            <w:r>
              <w:t>2.</w:t>
            </w:r>
            <w:r>
              <w:tab/>
            </w:r>
            <w:r>
              <w:t xml:space="preserve">Kai auka gyvena prašančiojoje valstybėje, </w:t>
            </w:r>
            <w:r>
              <w:rPr>
                <w:b/>
                <w:i/>
              </w:rPr>
              <w:t>prireikus</w:t>
            </w:r>
            <w:r>
              <w:t xml:space="preserve"> ji pagal taikytiną nacionalinę teisę informuojama apie numatomą baudžiamojo proceso perdavimą jai suprantama kalba ir jai suteikiama galimybė pareikšti savo nuomonę žodžiu arba raštu, su sąlyga, kad tai nepakenks tyrimo konfidencialumui. Kai prašančioji institucija mano, kad dėl aukos amžiaus ar jos fizinės arba psichinės būklės tai būtina, ta galimybė suteikiama jos teisiniam atstovui.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Prašančioji institucija, spręsdama, ar teikti prašymą dėl baudžiamojo proceso perdavimo, </w:t>
            </w:r>
            <w:r>
              <w:rPr>
                <w:b/>
                <w:i/>
              </w:rPr>
              <w:t>atsižvelgia į</w:t>
            </w:r>
            <w:r>
              <w:t xml:space="preserve"> 2 dalyje nurodytą aukos nuomonę.</w:t>
            </w:r>
          </w:p>
        </w:tc>
        <w:tc>
          <w:tcPr>
            <w:tcW w:w="4876" w:type="dxa"/>
          </w:tcPr>
          <w:p>
            <w:pPr>
              <w:pStyle w:val="Normal6a"/>
            </w:pPr>
            <w:r>
              <w:t>3.</w:t>
            </w:r>
            <w:r>
              <w:tab/>
            </w:r>
            <w:r>
              <w:t xml:space="preserve">Prašančioji institucija, spręsdama, ar teikti prašymą dėl baudžiamojo proceso perdavimo, </w:t>
            </w:r>
            <w:r>
              <w:rPr>
                <w:b/>
                <w:i/>
              </w:rPr>
              <w:t>užregistruoja</w:t>
            </w:r>
            <w:r>
              <w:t xml:space="preserve"> 2 dalyje nurodytą aukos nuomonę.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Kai prašomoji institucija priėmė sprendimą pagal 12 straipsnio 1 dalį, prašančioji institucija nedelsdama informuoja prašančiojoje valstybėje gyvenančią auką </w:t>
            </w:r>
            <w:r>
              <w:rPr>
                <w:b/>
                <w:i/>
              </w:rPr>
              <w:t>jai</w:t>
            </w:r>
            <w:r>
              <w:t xml:space="preserve"> suprantama kalba apie tai, kad pateiktas prašymas dėl baudžiamojo proceso perdavimo, ir apie tai, ar prašomoji institucija jį priėmė arba atsisakė jį priimti, su sąlyga, kad tai nepakenks tyrimo konfidencialumui. Jeigu prašomoji institucija sutiko perimti baudžiamąjį procesą, auka taip pat informuojama apie jos teisę į teisių gynimo priemonę prašomojoje valstybėje ir su tokia teisių gynimo priemone susijusius terminus.</w:t>
            </w:r>
          </w:p>
        </w:tc>
        <w:tc>
          <w:tcPr>
            <w:tcW w:w="4876" w:type="dxa"/>
          </w:tcPr>
          <w:p>
            <w:pPr>
              <w:pStyle w:val="Normal6a"/>
            </w:pPr>
            <w:r>
              <w:t>4.</w:t>
            </w:r>
            <w:r>
              <w:tab/>
            </w:r>
            <w:r>
              <w:t xml:space="preserve">Kai prašomoji institucija priėmė sprendimą pagal 12 straipsnio 1 dalį, prašančioji institucija nedelsdama informuoja prašančiojoje valstybėje gyvenančią auką </w:t>
            </w:r>
            <w:r>
              <w:rPr>
                <w:b/>
                <w:i/>
              </w:rPr>
              <w:t>arba aukas, kurios paprašė suteikti informaciją, kaip nustatyta Direktyvoje 2012/29/ES, jai (joms)</w:t>
            </w:r>
            <w:r>
              <w:t xml:space="preserve"> suprantama kalba apie tai, kad pateiktas prašymas dėl baudžiamojo proceso perdavimo, ir apie tai, ar prašomoji institucija jį priėmė arba atsisakė jį priimti, su sąlyga, kad tai nepakenks tyrimo konfidencialumui </w:t>
            </w:r>
            <w:r>
              <w:rPr>
                <w:b/>
                <w:i/>
              </w:rPr>
              <w:t>arba nepadarys kitokios žalos tyrimui</w:t>
            </w:r>
            <w:r>
              <w:t xml:space="preserve">. Jeigu prašomoji institucija sutiko perimti baudžiamąjį procesą, auka taip pat informuojama apie jos teisę į teisių gynimo priemonę prašomojoje valstybėje ir su tokia teisių gynimo priemone susijusius terminus. </w:t>
            </w:r>
            <w:r>
              <w:rPr>
                <w:b/>
                <w:i/>
              </w:rPr>
              <w:t>Prireikus prašančioji institucija gali prašyti prašomosios institucijos pagalbos atliekant užduotis.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Kai prašomoji institucija priėmė sprendimą pagal 12 straipsnio 1 dalį, prašančioji institucija nedelsdama informuoja prašančiojoje valstybėje gyvenančią auką jai suprantama kalba apie tai, kad pateiktas prašymas dėl baudžiamojo proceso perdavimo, ir apie tai, ar prašomoji institucija jį priėmė arba atsisakė jį priimti, </w:t>
            </w:r>
            <w:r>
              <w:rPr>
                <w:b/>
                <w:i/>
              </w:rPr>
              <w:t>su sąlyga, kad tai nepakenks tyrimo konfidencialumui</w:t>
            </w:r>
            <w:r>
              <w:t>. Jeigu prašomoji institucija sutiko perimti baudžiamąjį procesą, auka taip pat informuojama apie jos teisę į teisių gynimo priemonę prašomojoje valstybėje ir su tokia teisių gynimo priemone susijusius terminus.</w:t>
            </w:r>
          </w:p>
        </w:tc>
        <w:tc>
          <w:tcPr>
            <w:tcW w:w="4876" w:type="dxa"/>
          </w:tcPr>
          <w:p>
            <w:pPr>
              <w:pStyle w:val="Normal6a"/>
            </w:pPr>
            <w:r>
              <w:t>4.</w:t>
            </w:r>
            <w:r>
              <w:tab/>
            </w:r>
            <w:r>
              <w:t>Kai prašomoji institucija priėmė sprendimą pagal 12 straipsnio 1 dalį, prašančioji institucija nedelsdama informuoja prašančiojoje valstybėje gyvenančią auką jai suprantama kalba apie tai, kad pateiktas prašymas dėl baudžiamojo proceso perdavimo, ir apie tai, ar prašomoji institucija jį priėmė arba atsisakė jį priimti, </w:t>
            </w:r>
            <w:r>
              <w:rPr>
                <w:b/>
                <w:i/>
              </w:rPr>
              <w:t>išskyrus tuos atvejus, kai, nepaisant prašančiosios institucijos deramų pastangų, negalima nustatyti to asmens buvimo vietos.</w:t>
            </w:r>
            <w:r>
              <w:t xml:space="preserve"> </w:t>
            </w:r>
            <w:r>
              <w:rPr>
                <w:b/>
                <w:i/>
              </w:rPr>
              <w:t>Valstybės narės numato, kad aukos teisė į informaciją apimtų teisę susipažinti su byla ir visas kitas procesines teises, kurios yra būtinos, kad jie galėtų veiksmingai pasinaudoti savo teise būti išklausytiems</w:t>
            </w:r>
            <w:r>
              <w:t>. Jeigu prašomoji institucija sutiko perimti baudžiamąjį procesą, auka taip pat informuojama apie jos teisę į teisių gynimo priemonę prašomojoje valstybėje ir su tokia teisių gynimo priemone susijusius terminus.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4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Valstybės narės gali išimties tvarka ir laikinai atidėti 2 ir 4 dalyse nurodytos informacijos teikimą tyrimo etape, jei tai pateisinama atsižvelgiant į konkrečias bylos aplinkybes, kai tai būtina siekiant: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išvengti rimtų neigiamų pasekmių asmens gyvybei, laisvei ar fizinei neliečiamybei;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užkirsti kelią situacijai, kai būtų pakenkta tyrimo konfidencialumui.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Kai tik nebereikia atidėti aukos informavimo, kad būtų apsaugoti vykdomi tyrimai, pateikiama 2 ir 4 dalyse nurodyta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4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Išimtiniais atvejais, pavyzdžiui, dėl didelio su byla susijusių aukų skaičiaus, turėtų būti galima 2 ir 4 dalyse nurodytą informaciją pateikti per spaudą, kompetentingos valdžios institucijos oficialiame tinklalapyje ar panašiu ryšių kanalu;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1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Įtariamieji, kaltinamieji ir aukos prašomojoje valstybėje turi teisę į veiksmingas teisių gynimo priemones dėl sprendimo sutikti perimti baudžiamąjį procesą.</w:t>
            </w:r>
          </w:p>
        </w:tc>
        <w:tc>
          <w:tcPr>
            <w:tcW w:w="4876" w:type="dxa"/>
          </w:tcPr>
          <w:p>
            <w:pPr>
              <w:pStyle w:val="Normal6a"/>
            </w:pPr>
            <w:r>
              <w:t>1.</w:t>
            </w:r>
            <w:r>
              <w:tab/>
            </w:r>
            <w:r>
              <w:t xml:space="preserve">Įtariamieji, kaltinamieji ir aukos </w:t>
            </w:r>
            <w:r>
              <w:rPr>
                <w:b/>
                <w:i/>
              </w:rPr>
              <w:t>prašančioje ir</w:t>
            </w:r>
            <w:r>
              <w:t xml:space="preserve"> prašomojoje valstybėje turi teisę į veiksmingas teisių gynimo priemones dėl sprendimo </w:t>
            </w:r>
            <w:r>
              <w:rPr>
                <w:b/>
                <w:i/>
              </w:rPr>
              <w:t>prašyti perduoti,</w:t>
            </w:r>
            <w:r>
              <w:t xml:space="preserve"> sutikti </w:t>
            </w:r>
            <w:r>
              <w:rPr>
                <w:b/>
                <w:i/>
              </w:rPr>
              <w:t>arba atsisakyti</w:t>
            </w:r>
            <w:r>
              <w:t xml:space="preserve"> perimti baudžiamąjį procesą.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Teise į teisių gynimo priemonę naudojamasi prašomosios valstybės teisme pagal tos valstybės teisę.</w:t>
            </w:r>
          </w:p>
        </w:tc>
        <w:tc>
          <w:tcPr>
            <w:tcW w:w="4876" w:type="dxa"/>
          </w:tcPr>
          <w:p>
            <w:pPr>
              <w:pStyle w:val="Normal6a"/>
            </w:pPr>
            <w:r>
              <w:t>2.</w:t>
            </w:r>
            <w:r>
              <w:tab/>
            </w:r>
            <w:r>
              <w:t xml:space="preserve">Teise į teisių gynimo priemonę naudojamasi prašomosios valstybės teisme pagal tos valstybės teisę. </w:t>
            </w:r>
            <w:r>
              <w:rPr>
                <w:b/>
                <w:i/>
              </w:rPr>
              <w:t>Teismas, atsižvelgdamas į atitinkamus šio reglamento straipsnius, išnagrinėja sprendimo sutikti perimti baudžiamąjį procesą teisėtumą ir, kai įmanoma, priima sprendimą dėl teisių gynimo priemonės per 60 dienų.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Teise į teisių gynimo priemonę naudojamasi prašomosios valstybės teisme pagal tos valstybės teisę.</w:t>
            </w:r>
          </w:p>
        </w:tc>
        <w:tc>
          <w:tcPr>
            <w:tcW w:w="4876" w:type="dxa"/>
          </w:tcPr>
          <w:p>
            <w:pPr>
              <w:pStyle w:val="Normal6a"/>
            </w:pPr>
            <w:r>
              <w:t>2.</w:t>
            </w:r>
            <w:r>
              <w:tab/>
            </w:r>
            <w:r>
              <w:t xml:space="preserve">Teise į teisių gynimo priemonę naudojamasi prašomosios valstybės teisme pagal tos valstybės teisę </w:t>
            </w:r>
            <w:r>
              <w:rPr>
                <w:b/>
                <w:i/>
              </w:rPr>
              <w:t>ir ja taip pat gali būti naudojamasi Europos Sąjungos Teisingumo Teisme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Turėtų būti numatyta galimybė pasinaudoti teisių gynimo priemone pagal SESV 267 straipsnį, o ne tik nacionaliniuose teismuose.</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Teise į teisių gynimo priemonę naudojamasi prašomosios valstybės teisme pagal </w:t>
            </w:r>
            <w:r>
              <w:rPr>
                <w:b/>
                <w:i/>
              </w:rPr>
              <w:t>tos valstybės</w:t>
            </w:r>
            <w:r>
              <w:t xml:space="preserve"> teisę.</w:t>
            </w:r>
          </w:p>
        </w:tc>
        <w:tc>
          <w:tcPr>
            <w:tcW w:w="4876" w:type="dxa"/>
          </w:tcPr>
          <w:p>
            <w:pPr>
              <w:pStyle w:val="Normal6a"/>
            </w:pPr>
            <w:r>
              <w:t>2.</w:t>
            </w:r>
            <w:r>
              <w:tab/>
            </w:r>
            <w:r>
              <w:t xml:space="preserve">Teise į teisių gynimo priemonę naudojamasi </w:t>
            </w:r>
            <w:r>
              <w:rPr>
                <w:b/>
                <w:i/>
              </w:rPr>
              <w:t>kompetentingame prašančiosios arba</w:t>
            </w:r>
            <w:r>
              <w:t xml:space="preserve"> prašomosios valstybės teisme pagal </w:t>
            </w:r>
            <w:r>
              <w:rPr>
                <w:b/>
                <w:i/>
              </w:rPr>
              <w:t>taikomą nacionalinę</w:t>
            </w:r>
            <w:r>
              <w:t xml:space="preserve">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Terminas, per kurį galima pasinaudoti teisių gynimo priemone, yra ne ilgesnis kaip </w:t>
            </w:r>
            <w:r>
              <w:rPr>
                <w:b/>
                <w:i/>
              </w:rPr>
              <w:t>20</w:t>
            </w:r>
            <w:r>
              <w:t xml:space="preserve"> dienų nuo </w:t>
            </w:r>
            <w:r>
              <w:rPr>
                <w:b/>
                <w:i/>
              </w:rPr>
              <w:t>12</w:t>
            </w:r>
            <w:r>
              <w:t xml:space="preserve"> straipsnio 1 dalyje </w:t>
            </w:r>
            <w:r>
              <w:rPr>
                <w:b/>
                <w:i/>
              </w:rPr>
              <w:t>nurodytos informacijos apie sprendimą</w:t>
            </w:r>
            <w:r>
              <w:t xml:space="preserve"> gavimo dienos.</w:t>
            </w:r>
          </w:p>
        </w:tc>
        <w:tc>
          <w:tcPr>
            <w:tcW w:w="4876" w:type="dxa"/>
          </w:tcPr>
          <w:p>
            <w:pPr>
              <w:pStyle w:val="Normal6a"/>
            </w:pPr>
            <w:r>
              <w:t>3.</w:t>
            </w:r>
            <w:r>
              <w:tab/>
            </w:r>
            <w:r>
              <w:t xml:space="preserve">Terminas, per kurį galima pasinaudoti teisių gynimo priemone, yra ne ilgesnis kaip </w:t>
            </w:r>
            <w:r>
              <w:rPr>
                <w:b/>
                <w:i/>
              </w:rPr>
              <w:t>30 darbo</w:t>
            </w:r>
            <w:r>
              <w:t xml:space="preserve"> dienų nuo </w:t>
            </w:r>
            <w:r>
              <w:rPr>
                <w:b/>
                <w:i/>
              </w:rPr>
              <w:t>informacijos apie prašymą, pateiktą pagal 5</w:t>
            </w:r>
            <w:r>
              <w:t xml:space="preserve"> straipsnio 1 </w:t>
            </w:r>
            <w:r>
              <w:rPr>
                <w:b/>
                <w:i/>
              </w:rPr>
              <w:t>dalį, ir apie 5 straipsnio 3a</w:t>
            </w:r>
            <w:r>
              <w:t xml:space="preserve"> dalyje </w:t>
            </w:r>
            <w:r>
              <w:rPr>
                <w:b/>
                <w:i/>
              </w:rPr>
              <w:t>ir 12 straipsnio 1 dalyje nurodytus sprendimus</w:t>
            </w:r>
            <w:r>
              <w:t xml:space="preserve"> gavimo dienos.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Terminas, per kurį galima pasinaudoti teisių gynimo priemone, yra ne ilgesnis kaip </w:t>
            </w:r>
            <w:r>
              <w:rPr>
                <w:b/>
                <w:i/>
              </w:rPr>
              <w:t>20</w:t>
            </w:r>
            <w:r>
              <w:t xml:space="preserve"> dienų nuo 12 straipsnio 1 dalyje nurodytos informacijos apie sprendimą gavimo dienos.</w:t>
            </w:r>
          </w:p>
        </w:tc>
        <w:tc>
          <w:tcPr>
            <w:tcW w:w="4876" w:type="dxa"/>
          </w:tcPr>
          <w:p>
            <w:pPr>
              <w:pStyle w:val="Normal6a"/>
            </w:pPr>
            <w:r>
              <w:t>3.</w:t>
            </w:r>
            <w:r>
              <w:tab/>
            </w:r>
            <w:r>
              <w:t xml:space="preserve">Terminas, per kurį galima pasinaudoti teisių gynimo priemone, yra ne ilgesnis kaip </w:t>
            </w:r>
            <w:r>
              <w:rPr>
                <w:b/>
                <w:i/>
              </w:rPr>
              <w:t>14</w:t>
            </w:r>
            <w:r>
              <w:t xml:space="preserve"> dienų nuo 12 straipsnio 1 dalyje nurodytos informacijos apie sprendimą gavimo dienos.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Kai prašymas dėl baudžiamojo proceso perdavimo pateikiamas po to, kai įtariamajam arba kaltinamajam pareiškiamas kaltinimas, naudojimasis teisių gynimo priemone dėl sprendimo sutikti perimti baudžiamąjį procesą turi stabdomąjį poveikį.</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Kai prašymas dėl baudžiamojo proceso perdavimo pateikiamas po to, kai įtariamajam arba kaltinamajam pareiškiamas kaltinimas,</w:t>
            </w:r>
            <w:r>
              <w:t xml:space="preserve"> naudojimasis teisių gynimo priemone dėl sprendimo sutikti perimti baudžiamąjį procesą turi stabdomąjį poveikį.</w:t>
            </w:r>
          </w:p>
        </w:tc>
        <w:tc>
          <w:tcPr>
            <w:tcW w:w="4876" w:type="dxa"/>
          </w:tcPr>
          <w:p>
            <w:pPr>
              <w:pStyle w:val="Normal6a"/>
            </w:pPr>
            <w:r>
              <w:t>4.</w:t>
            </w:r>
            <w:r>
              <w:tab/>
            </w:r>
            <w:r>
              <w:t xml:space="preserve">Naudojimasis teisių gynimo priemone dėl sprendimo </w:t>
            </w:r>
            <w:r>
              <w:rPr>
                <w:b/>
                <w:i/>
              </w:rPr>
              <w:t>prašyti perduoti arba</w:t>
            </w:r>
            <w:r>
              <w:t xml:space="preserve"> sutikti perimti baudžiamąjį procesą turi stabdomąjį poveikį.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5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Prašomoji institucija apie teisių gynimo priemones, kuriomis siekiama pasinaudoti pagal šį straipsnį, informuoja prašančiąją instituciją.</w:t>
            </w:r>
          </w:p>
        </w:tc>
        <w:tc>
          <w:tcPr>
            <w:tcW w:w="4876" w:type="dxa"/>
          </w:tcPr>
          <w:p>
            <w:pPr>
              <w:pStyle w:val="Normal6a"/>
            </w:pPr>
            <w:r>
              <w:t>5.</w:t>
            </w:r>
            <w:r>
              <w:tab/>
            </w:r>
            <w:r>
              <w:t xml:space="preserve">Prašomoji institucija apie teisių gynimo priemones, kuriomis siekiama pasinaudoti pagal šį straipsnį, </w:t>
            </w:r>
            <w:r>
              <w:rPr>
                <w:b/>
                <w:i/>
              </w:rPr>
              <w:t>ir apie jų galutinius rezultatus nepagrįstai nedelsiant</w:t>
            </w:r>
            <w:r>
              <w:t xml:space="preserve"> informuoja prašančiąją instituciją.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5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Prašančioji ir prašomoji institucija atitinkamai viena kitą informuoja apie teisių gynimo priemones, kuriomis siekiama pasinaudoti pagal šį straipsnį, ir apie jų galutinius rezultatus per penkias darbo dienas nuo sprendimo dėl teisių gynimo priemonių priėmimo.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7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Prašomoji institucija kuo greičiau patvirtina, kad gavo prašymą.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8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8a.</w:t>
            </w:r>
            <w:r>
              <w:tab/>
            </w:r>
            <w:r>
              <w:rPr>
                <w:b/>
                <w:i/>
              </w:rPr>
              <w:t>Prašomosios valstybės narės kompetentinga institucija išduoda prašymo gavimo patvirtinimą.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1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Įtariamasis arba kaltinamasis ir jo teisės patarėjai informuojami apie pokyčius, susijusius su bet kokiu prašymu, su sąlyga, kad tai nepakenks tyrimo konfidencialumui.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Įtariamasis arba kaltinamasis turėtų turėti teisę būti informuotas, jei tai nekenkia tyrimo konfidencialumui.</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1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Prašančioji institucija gali atsiimti prašymą dėl baudžiamojo proceso perdavimo bet kuriuo metu prieš gaudama prašomosios institucijos sprendimą sutikti perimti baudžiamąjį procesą pagal 12 straipsnį.</w:t>
            </w:r>
          </w:p>
        </w:tc>
        <w:tc>
          <w:tcPr>
            <w:tcW w:w="4876" w:type="dxa"/>
          </w:tcPr>
          <w:p>
            <w:pPr>
              <w:pStyle w:val="Normal6a"/>
            </w:pPr>
            <w:r>
              <w:t xml:space="preserve">Prašančioji institucija gali atsiimti prašymą dėl baudžiamojo proceso perdavimo bet kuriuo metu prieš gaudama prašomosios institucijos sprendimą sutikti perimti baudžiamąjį procesą pagal 12 straipsnį. </w:t>
            </w:r>
            <w:r>
              <w:rPr>
                <w:b/>
                <w:i/>
              </w:rPr>
              <w:t>Prašančioji institucija raštu pagrindžia sprendimą dėl panaikinimo ir pateikia trumpą paaiškinimą įtariamajam arba kaltinamajam ir nukentėjusiajam.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1 dalies 1 pastraipa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Prašančiosios institucijos sprendimui atsiimti prašymą turėtų būti taikoma teisminė peržiūra.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Toks sprendimas galėtų turėti neigiamų pasekmių įtariamojo teisėms, todėl tokia teisminė peržiūra turėtų būti galimybė.</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1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Prašomoji institucija priima pagrįstą sprendimą dėl to, ar sutinka perimti baudžiamąjį procesą, ir pagal savo nacionalinę teisę nusprendžia, kokių priemonių šiuo klausimu imtis.</w:t>
            </w:r>
          </w:p>
        </w:tc>
        <w:tc>
          <w:tcPr>
            <w:tcW w:w="4876" w:type="dxa"/>
          </w:tcPr>
          <w:p>
            <w:pPr>
              <w:pStyle w:val="Normal6a"/>
            </w:pPr>
            <w:r>
              <w:t>1.</w:t>
            </w:r>
            <w:r>
              <w:tab/>
            </w:r>
            <w:r>
              <w:t xml:space="preserve">Prašomoji institucija priima pagrįstą sprendimą dėl to, ar sutinka perimti baudžiamąjį procesą, ir pagal savo nacionalinę teisę nusprendžia, kokių priemonių šiuo klausimu imtis. </w:t>
            </w:r>
            <w:r>
              <w:rPr>
                <w:b/>
                <w:i/>
              </w:rPr>
              <w:t>Ji praneša prašančiajai institucijai apie savo motyvuotą sprendimą laikydamasi 14 straipsnyje nustatytų terminų.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5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Kai prašomoji institucija sutinka perimti baudžiamąjį procesą, prašančioji institucija nedelsdama persiunčia bylos medžiagos </w:t>
            </w:r>
            <w:r>
              <w:rPr>
                <w:b/>
                <w:i/>
              </w:rPr>
              <w:t>ar atitinkamų jos dalių</w:t>
            </w:r>
            <w:r>
              <w:t xml:space="preserve"> originalą arba patvirtintą kopiją kartu su jų vertimu į prašomosios valstybės oficialiąją kalbą arba bet kurią kitą kalbą, priimtiną prašomajai valstybei pagal 30 straipsnio 1 dalies c punktą. </w:t>
            </w:r>
            <w:r>
              <w:rPr>
                <w:b/>
                <w:i/>
              </w:rPr>
              <w:t>Prireikus prašančioji ir prašomoji institucija gali tarpusavyje konsultuotis, kokius dokumentus ar jų dalis reikia perduoti ir išversti.</w:t>
            </w:r>
          </w:p>
        </w:tc>
        <w:tc>
          <w:tcPr>
            <w:tcW w:w="4876" w:type="dxa"/>
          </w:tcPr>
          <w:p>
            <w:pPr>
              <w:pStyle w:val="Normal6a"/>
            </w:pPr>
            <w:r>
              <w:t>5.</w:t>
            </w:r>
            <w:r>
              <w:tab/>
            </w:r>
            <w:r>
              <w:t>Kai prašomoji institucija sutinka perimti baudžiamąjį procesą, prašančioji institucija nedelsdama persiunčia bylos medžiagos originalą arba patvirtintą kopiją kartu su jų vertimu į prašomosios valstybės oficialiąją kalbą arba bet kurią kitą kalbą, priimtiną prašomajai valstybei pagal 30 straipsnio 1 dalies c punktą.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5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Kai prašomoji institucija sutinka perimti baudžiamąjį procesą, prašančioji institucija nedelsdama persiunčia bylos medžiagos ar atitinkamų jos dalių originalą arba patvirtintą kopiją kartu su jų vertimu į prašomosios valstybės oficialiąją kalbą arba bet kurią kitą kalbą, priimtiną prašomajai valstybei pagal 30 straipsnio 1 dalies c punktą. Prireikus prašančioji ir prašomoji institucija gali tarpusavyje konsultuotis, kokius dokumentus ar jų dalis reikia perduoti ir išversti.</w:t>
            </w:r>
          </w:p>
        </w:tc>
        <w:tc>
          <w:tcPr>
            <w:tcW w:w="4876" w:type="dxa"/>
          </w:tcPr>
          <w:p>
            <w:pPr>
              <w:pStyle w:val="Normal6a"/>
            </w:pPr>
            <w:r>
              <w:t>5.</w:t>
            </w:r>
            <w:r>
              <w:tab/>
            </w:r>
            <w:r>
              <w:t xml:space="preserve">Kai prašomoji institucija sutinka perimti baudžiamąjį procesą, </w:t>
            </w:r>
            <w:r>
              <w:rPr>
                <w:b/>
                <w:i/>
              </w:rPr>
              <w:t>ir tik priėmus sprendimą dėl teisių gynimo priemonės,</w:t>
            </w:r>
            <w:r>
              <w:t xml:space="preserve"> prašančioji institucija nedelsdama persiunčia bylos medžiagos ar atitinkamų jos dalių originalą arba patvirtintą kopiją kartu su jų vertimu į prašomosios valstybės oficialiąją kalbą arba bet kurią kitą kalbą, priimtiną prašomajai valstybei pagal 30 straipsnio 1 dalies c punktą. Prireikus prašančioji ir prašomoji institucija gali tarpusavyje konsultuotis, kokius dokumentus ar jų dalis reikia perduoti ir išversti.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1 dalies a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pagal prašomosios valstybės teisę taikomas imunitetas arba privilegija, dėl kurių neįmanoma imtis veiksmų;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1 dalies f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jeigu prašomoji valstybė neturi jurisdikcijos dėl nusikalstamos veikos. </w:t>
            </w:r>
            <w:r>
              <w:rPr>
                <w:b/>
                <w:i/>
              </w:rPr>
              <w:t>Tokia jurisdikcija taip pat galėtų būti grindžiama 3 straipsniu.</w:t>
            </w:r>
          </w:p>
        </w:tc>
        <w:tc>
          <w:tcPr>
            <w:tcW w:w="4876" w:type="dxa"/>
          </w:tcPr>
          <w:p>
            <w:pPr>
              <w:pStyle w:val="Normal6a"/>
            </w:pPr>
            <w:r>
              <w:t>f)</w:t>
            </w:r>
            <w:r>
              <w:tab/>
            </w:r>
            <w:r>
              <w:t>jeigu prašomoji valstybė neturi jurisdikcijos dėl nusikalstamos veikos.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dalies a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w:t>
            </w:r>
            <w:r>
              <w:tab/>
            </w:r>
            <w:r>
              <w:rPr>
                <w:b/>
                <w:i/>
              </w:rPr>
              <w:t>pagal prašomosios valstybės teisę taikomas imunitetas arba privilegija, dėl kurių neįmanoma imtis veiksmų;</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dalies b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prašomoji institucija mano, kad baudžiamojo proceso perdavimas neatitinka veiksmingo ir gero teisingumo vykdymo interesų;</w:t>
            </w:r>
          </w:p>
        </w:tc>
        <w:tc>
          <w:tcPr>
            <w:tcW w:w="4876" w:type="dxa"/>
          </w:tcPr>
          <w:p>
            <w:pPr>
              <w:pStyle w:val="Normal6a"/>
            </w:pPr>
            <w:r>
              <w:t>b)</w:t>
            </w:r>
            <w:r>
              <w:tab/>
            </w:r>
            <w:r>
              <w:t xml:space="preserve">prašomoji institucija mano, kad baudžiamojo proceso perdavimas neatitinka veiksmingo ir gero teisingumo vykdymo interesų </w:t>
            </w:r>
            <w:r>
              <w:rPr>
                <w:b/>
                <w:i/>
              </w:rPr>
              <w:t>bei įtariamųjų arba kaltinamųjų, taip pat aukų pagrindinių teisių apsaugos, kaip įtvirtinta Sąjungos ir nacionalinėje teisėje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dalies d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veiksmai, kuriais grindžiamas procesas, nėra nusikalstama veika, už kurią baudžiama tais atvejais, kai veiksmai buvo atlikti, todėl pagal prašomosios valstybės teisę nėra prisiekimo.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a.</w:t>
            </w:r>
            <w:r>
              <w:tab/>
            </w:r>
            <w:r>
              <w:rPr>
                <w:b/>
                <w:i/>
              </w:rPr>
              <w:t>įtariama nusikalstama veika nėra nusikalstama veika toje vietoje, kurioje ji buvo padaryta, ir prašomoji valstybė pagal savo nacionalinę teisę neturi jurisdikcijos vykdyti baudžiamojo persekiojimo už nusikalstamą veiką.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Bet kuriuo iš 1 ir 2 dalyse nurodytų atvejų prašomoji institucija, prieš nuspręsdama atsisakyti perimti visą baudžiamąjį procesą arba jo dalį, konsultuojasi su prašančiąja institucija ir prireikus paprašo jos nedelsiant pateikti visą būtiną informaciją.</w:t>
            </w:r>
          </w:p>
        </w:tc>
        <w:tc>
          <w:tcPr>
            <w:tcW w:w="4876" w:type="dxa"/>
          </w:tcPr>
          <w:p>
            <w:pPr>
              <w:pStyle w:val="Normal6a"/>
            </w:pPr>
            <w:r>
              <w:t>3.</w:t>
            </w:r>
            <w:r>
              <w:tab/>
            </w:r>
            <w:r>
              <w:t xml:space="preserve">Bet kuriuo iš 1 ir 2 dalyse nurodytų atvejų prašomoji institucija, prieš nuspręsdama atsisakyti perimti visą baudžiamąjį procesą arba jo dalį, konsultuojasi su prašančiąja institucija ir prireikus paprašo jos nedelsiant pateikti visą būtiną informaciją. </w:t>
            </w:r>
            <w:r>
              <w:rPr>
                <w:b/>
                <w:i/>
              </w:rPr>
              <w:t>Be to, įtariamasis arba kaltinamasis ir jo teisės patarėjai informuojami apie pokyčius, susijusius su bet kokiu prašymu, su sąlyga, kad tai nepakenks tyrimo konfidencialumui.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Įtariamasis arba kaltinamasis turėtų turėti teisę būti informuotas, jei tai nekenkia tyrimo konfidencialumui.</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4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Bet kokiam sprendimui atsisakyti perduoti duomenis gali būti taikoma teisminė peržiūra tiek nacionaliniuose teismuose, tiek ESTT.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Toks sprendimas galėtų turėti neigiamų pasekmių įtariamojo teisėms, todėl tokia teisminė peržiūra turėtų būti įmanoma.</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Prašomoji institucija nedelsdama ir ne vėliau kaip per </w:t>
            </w:r>
            <w:r>
              <w:rPr>
                <w:b/>
                <w:i/>
              </w:rPr>
              <w:t>60</w:t>
            </w:r>
            <w:r>
              <w:t xml:space="preserve"> dienų nuo prašymo dėl baudžiamojo proceso perdavimo gavimo dienos informuoja prašančiąją instituciją apie savo sprendimą, ar ji sutinka perimti baudžiamąjį procesą.</w:t>
            </w:r>
          </w:p>
        </w:tc>
        <w:tc>
          <w:tcPr>
            <w:tcW w:w="4876" w:type="dxa"/>
          </w:tcPr>
          <w:p>
            <w:pPr>
              <w:pStyle w:val="Normal6a"/>
            </w:pPr>
            <w:r>
              <w:t>1.</w:t>
            </w:r>
            <w:r>
              <w:tab/>
            </w:r>
            <w:r>
              <w:t xml:space="preserve">Prašomoji institucija nedelsdama ir ne vėliau kaip per </w:t>
            </w:r>
            <w:r>
              <w:rPr>
                <w:b/>
                <w:i/>
              </w:rPr>
              <w:t>30</w:t>
            </w:r>
            <w:r>
              <w:t xml:space="preserve"> dienų</w:t>
            </w:r>
            <w:r>
              <w:rPr>
                <w:b/>
                <w:i/>
              </w:rPr>
              <w:t>, o skubiais atvejais ne vėliau kaip 7 dienos</w:t>
            </w:r>
            <w:r>
              <w:t xml:space="preserve"> nuo prašymo dėl baudžiamojo proceso perdavimo gavimo dienos informuoja prašančiąją instituciją apie savo sprendimą, ar ji sutinka perimti baudžiamąjį procesą.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Prašomoji institucija nedelsdama ir ne vėliau kaip per 60 dienų nuo prašymo dėl baudžiamojo proceso perdavimo gavimo dienos informuoja prašančiąją instituciją apie savo sprendimą, ar ji sutinka perimti baudžiamąjį procesą.</w:t>
            </w:r>
          </w:p>
        </w:tc>
        <w:tc>
          <w:tcPr>
            <w:tcW w:w="4876" w:type="dxa"/>
          </w:tcPr>
          <w:p>
            <w:pPr>
              <w:pStyle w:val="Normal6a"/>
            </w:pPr>
            <w:r>
              <w:t>1.</w:t>
            </w:r>
            <w:r>
              <w:tab/>
            </w:r>
            <w:r>
              <w:t xml:space="preserve">Prašomoji institucija nedelsdama ir ne vėliau kaip per 60 </w:t>
            </w:r>
            <w:r>
              <w:rPr>
                <w:b/>
                <w:i/>
              </w:rPr>
              <w:t>darbo</w:t>
            </w:r>
            <w:r>
              <w:t xml:space="preserve"> dienų nuo prašymo dėl baudžiamojo proceso perdavimo gavimo dienos informuoja prašančiąją instituciją apie savo sprendimą, ar ji sutinka perimti baudžiamąjį procesą.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a.</w:t>
            </w:r>
            <w:r>
              <w:tab/>
            </w:r>
            <w:r>
              <w:rPr>
                <w:b/>
                <w:i/>
              </w:rPr>
              <w:t>kai įtariamieji, kaltinamieji ir aukos naudojasi teise į veiksmingas teisių gynimo priemones prašančiojoje ir prašomojoje valstybėje dėl sprendimo prašyti, priimti arba atsisakyti perduoti baudžiamąjį procesą, prašančiosios arba prašomosios institucijos per 60 darbo dienų nusprendžia, ar prašyti, priimti arba atsisakyti perduoti baudžiamąjį procesą ir apie tokį sprendimą pranešti įtariamajam arba kaltinamajam ir nukentėjusiajam.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Jeigu konkrečiu atveju prašomoji institucija negali laikytis 1 dalyje nustatyto termino, ji nedelsdama apie tai praneša prašančiajai institucijai ir nurodo vėlavimo priežastis. Tokiu atveju 1 dalyje nustatytas terminas gali būti pratęstas ne daugiau kaip 30 dienų.</w:t>
            </w:r>
          </w:p>
        </w:tc>
        <w:tc>
          <w:tcPr>
            <w:tcW w:w="4876" w:type="dxa"/>
          </w:tcPr>
          <w:p>
            <w:pPr>
              <w:pStyle w:val="Normal6a"/>
            </w:pPr>
            <w:r>
              <w:t>2.</w:t>
            </w:r>
            <w:r>
              <w:tab/>
            </w:r>
            <w:r>
              <w:t xml:space="preserve">Jeigu konkrečiu atveju prašomoji institucija negali laikytis 1 dalyje nustatyto termino, ji nedelsdama apie tai praneša prašančiajai institucijai ir nurodo vėlavimo priežastis. Tokiu atveju 1 dalyje nustatytas terminas gali būti pratęstas ne daugiau kaip 30 </w:t>
            </w:r>
            <w:r>
              <w:rPr>
                <w:b/>
                <w:i/>
              </w:rPr>
              <w:t>darbo</w:t>
            </w:r>
            <w:r>
              <w:t xml:space="preserve"> dienų.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Jeigu konkrečiu atveju prašomoji institucija negali laikytis 1 dalyje nustatyto termino, ji nedelsdama apie tai praneša prašančiajai institucijai ir nurodo vėlavimo priežastis. Tokiu atveju 1 dalyje nustatytas terminas gali būti pratęstas ne daugiau kaip </w:t>
            </w:r>
            <w:r>
              <w:rPr>
                <w:b/>
                <w:i/>
              </w:rPr>
              <w:t>30</w:t>
            </w:r>
            <w:r>
              <w:t xml:space="preserve"> dienų.</w:t>
            </w:r>
          </w:p>
        </w:tc>
        <w:tc>
          <w:tcPr>
            <w:tcW w:w="4876" w:type="dxa"/>
          </w:tcPr>
          <w:p>
            <w:pPr>
              <w:pStyle w:val="Normal6a"/>
            </w:pPr>
            <w:r>
              <w:t>2.</w:t>
            </w:r>
            <w:r>
              <w:tab/>
            </w:r>
            <w:r>
              <w:t xml:space="preserve">Jeigu konkrečiu atveju prašomoji institucija negali laikytis 1 dalyje nustatyto termino, ji nedelsdama apie tai praneša prašančiajai institucijai ir nurodo vėlavimo priežastis. Tokiu atveju 1 dalyje nustatytas terminas gali būti pratęstas ne daugiau kaip </w:t>
            </w:r>
            <w:r>
              <w:rPr>
                <w:b/>
                <w:i/>
              </w:rPr>
              <w:t>15</w:t>
            </w:r>
            <w:r>
              <w:t xml:space="preserve"> dienų.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Konsultacijos </w:t>
            </w:r>
            <w:r>
              <w:rPr>
                <w:b/>
                <w:i/>
              </w:rPr>
              <w:t>gali vykti</w:t>
            </w:r>
            <w:r>
              <w:t xml:space="preserve"> ir prieš pateikiant prašymą dėl baudžiamojo proceso perdavimo, visų pirma siekiant nustatyti, ar perdavimas padės veiksmingai ir gerai vykdyti teisingumą. Norėdama pasiūlyti, kad prašančioji valstybė perduotų baudžiamąjį procesą, prašomoji institucija taip pat </w:t>
            </w:r>
            <w:r>
              <w:rPr>
                <w:b/>
                <w:i/>
              </w:rPr>
              <w:t>gali konsultuotis</w:t>
            </w:r>
            <w:r>
              <w:t xml:space="preserve"> su prašančiąja institucija dėl galimybės pateikti prašymą dėl baudžiamojo proceso perdavimo.</w:t>
            </w:r>
          </w:p>
        </w:tc>
        <w:tc>
          <w:tcPr>
            <w:tcW w:w="4876" w:type="dxa"/>
          </w:tcPr>
          <w:p>
            <w:pPr>
              <w:pStyle w:val="Normal6a"/>
            </w:pPr>
            <w:r>
              <w:t>2.</w:t>
            </w:r>
            <w:r>
              <w:tab/>
            </w:r>
            <w:r>
              <w:t xml:space="preserve">Konsultacijos </w:t>
            </w:r>
            <w:r>
              <w:rPr>
                <w:b/>
                <w:i/>
              </w:rPr>
              <w:t>vyksta</w:t>
            </w:r>
            <w:r>
              <w:t xml:space="preserve"> ir prieš pateikiant prašymą dėl baudžiamojo proceso perdavimo, visų pirma siekiant nustatyti, ar perdavimas padės veiksmingai ir gerai vykdyti teisingumą. Norėdama pasiūlyti, kad prašančioji valstybė perduotų baudžiamąjį procesą, prašomoji institucija taip pat </w:t>
            </w:r>
            <w:r>
              <w:rPr>
                <w:b/>
                <w:i/>
              </w:rPr>
              <w:t>konsultuojasi</w:t>
            </w:r>
            <w:r>
              <w:t xml:space="preserve"> su prašančiąja institucija dėl galimybės pateikti prašymą dėl baudžiamojo proceso perdavimo.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Į prašymus konsultuotis atsakoma nedelsiant.</w:t>
            </w:r>
          </w:p>
        </w:tc>
        <w:tc>
          <w:tcPr>
            <w:tcW w:w="4876" w:type="dxa"/>
          </w:tcPr>
          <w:p>
            <w:pPr>
              <w:pStyle w:val="Normal6a"/>
            </w:pPr>
            <w:r>
              <w:t>4.</w:t>
            </w:r>
            <w:r>
              <w:tab/>
            </w:r>
            <w:r>
              <w:t xml:space="preserve">Į prašymus konsultuotis atsakoma </w:t>
            </w:r>
            <w:r>
              <w:rPr>
                <w:b/>
                <w:i/>
              </w:rPr>
              <w:t>nepagrįstai</w:t>
            </w:r>
            <w:r>
              <w:t xml:space="preserve"> nedelsiant.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4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Įtariamasis arba kaltinamasis ir jo teisės patarėjai informuojami apie kosultacijas, susijusias su bet kokiu prašymu, su sąlyga, kad tai nepakenks tyrimo konfidencialumui.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Įtariamasis arba kaltinamasis turėtų turėti teisę būti informuotas, jei tai nekenkia tyrimo konfidencialumui.</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1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Prašančiosios ir prašomosios institucijos gali bet kuriuo procedūros etapu prašyti Eurojusto arba Europos teisminio tinklo pagalbos pagal savo atitinkamą kompetenciją. Visų pirma atitinkamais atvejais Eurojustas gali tarpininkauti konsultuojantis pagal 12 straipsnio 2 </w:t>
            </w:r>
            <w:r>
              <w:rPr>
                <w:b/>
                <w:i/>
              </w:rPr>
              <w:t>dalį</w:t>
            </w:r>
            <w:r>
              <w:t xml:space="preserve">, 13 straipsnio 3 dalį, 15 straipsnį ir 17 straipsnio 2 </w:t>
            </w:r>
            <w:r>
              <w:rPr>
                <w:b/>
                <w:i/>
              </w:rPr>
              <w:t>dalį</w:t>
            </w:r>
            <w:r>
              <w:t>.</w:t>
            </w:r>
          </w:p>
        </w:tc>
        <w:tc>
          <w:tcPr>
            <w:tcW w:w="4876" w:type="dxa"/>
          </w:tcPr>
          <w:p>
            <w:pPr>
              <w:pStyle w:val="Normal6a"/>
            </w:pPr>
            <w:r>
              <w:t xml:space="preserve">Prašančiosios ir prašomosios institucijos gali bet kuriuo procedūros etapu prašyti Eurojusto arba Europos teisminio tinklo pagalbos pagal savo atitinkamą kompetenciją. Visų pirma atitinkamais atvejais Eurojustas gali tarpininkauti konsultuojantis pagal </w:t>
            </w:r>
            <w:r>
              <w:rPr>
                <w:b/>
                <w:i/>
              </w:rPr>
              <w:t>9 straipsnio 7 dalį,</w:t>
            </w:r>
            <w:r>
              <w:t xml:space="preserve"> 12 straipsnio 2 </w:t>
            </w:r>
            <w:r>
              <w:rPr>
                <w:b/>
                <w:i/>
              </w:rPr>
              <w:t>ir į dalis</w:t>
            </w:r>
            <w:r>
              <w:t xml:space="preserve">, 13 straipsnio 3 dalį, 15 straipsnį ir 17 straipsnio 2 </w:t>
            </w:r>
            <w:r>
              <w:rPr>
                <w:b/>
                <w:i/>
              </w:rPr>
              <w:t>ir 19 dalis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Kiekviena valstybė narė padengia savo išlaidas, susijusias su baudžiamojo proceso perdavimu taikant šį reglamentą.</w:t>
            </w:r>
          </w:p>
        </w:tc>
        <w:tc>
          <w:tcPr>
            <w:tcW w:w="4876" w:type="dxa"/>
          </w:tcPr>
          <w:p>
            <w:pPr>
              <w:pStyle w:val="Normal6a"/>
            </w:pPr>
            <w:r>
              <w:t>1.</w:t>
            </w:r>
            <w:r>
              <w:tab/>
            </w:r>
            <w:r>
              <w:t xml:space="preserve">Kiekviena valstybė narė padengia savo išlaidas, susijusias su baudžiamojo proceso perdavimu taikant šį reglamentą. </w:t>
            </w:r>
            <w:r>
              <w:rPr>
                <w:b/>
                <w:i/>
              </w:rPr>
              <w:t>Įskaitant teisinę pagalbą, kurią įtariamasis arba kaltinamasis turi teisę gauti kiekvienoje valstybėje narėje, bet ja neapsiribojant.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Svarbu paaiškinti, kad išlaidas, atsirandančias dėl teisinės pagalbos teisių kiekvienoje valstybėje narėje, padengia atitinkamos valstybės narės.</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Ne vėliau kaip gavus pranešimą apie tai, kad prašomoji institucija sutinka perimti baudžiamąjį procesą, prašančiojoje valstybėje tas baudžiamasis procesas pagal nacionalinę teisę </w:t>
            </w:r>
            <w:r>
              <w:rPr>
                <w:b/>
                <w:i/>
              </w:rPr>
              <w:t>sustabdomas arba</w:t>
            </w:r>
            <w:r>
              <w:t xml:space="preserve"> nutraukiamas, išskyrus atvejus, kai pagal 8 straipsnį buvo pasinaudota stabdomąjį poveikį turinčia teisių gynimo priemone, tol, kol nebus priimtas galutinis sprendimas dėl teisių gynimo priemonės.</w:t>
            </w:r>
          </w:p>
        </w:tc>
        <w:tc>
          <w:tcPr>
            <w:tcW w:w="4876" w:type="dxa"/>
          </w:tcPr>
          <w:p>
            <w:pPr>
              <w:pStyle w:val="Normal6a"/>
            </w:pPr>
            <w:r>
              <w:t>1.</w:t>
            </w:r>
            <w:r>
              <w:tab/>
            </w:r>
            <w:r>
              <w:t>Ne vėliau kaip gavus pranešimą apie tai, kad prašomoji institucija sutinka perimti baudžiamąjį procesą, prašančiojoje valstybėje tas baudžiamasis procesas pagal nacionalinę teisę nutraukiamas, išskyrus atvejus, kai pagal 8 straipsnį buvo pasinaudota stabdomąjį poveikį turinčia teisių gynimo priemone, tol, kol nebus priimtas galutinis sprendimas dėl teisių gynimo priemonės.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2 dalies b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toliau taikyti anksčiau priimtas būtinas tyrimo ar kitas procesines priemones, įskaitant priemones, kuriomis siekiama užkirsti kelią įtariamajam arba kaltinamajam pasislėpti, kurios būtinos siekiant įvykdyti Pagrindų sprendimu 2002/584/TVR ar kitu tarpusavio pripažinimo dokumentu grindžiamą sprendimą arba atsakyti į savitarpio teisinės pagalbos prašymą.</w:t>
            </w:r>
          </w:p>
        </w:tc>
        <w:tc>
          <w:tcPr>
            <w:tcW w:w="4876" w:type="dxa"/>
          </w:tcPr>
          <w:p>
            <w:pPr>
              <w:pStyle w:val="Normal6a"/>
            </w:pPr>
            <w:r>
              <w:t>b)</w:t>
            </w:r>
            <w:r>
              <w:tab/>
            </w:r>
            <w:r>
              <w:t xml:space="preserve">toliau taikyti anksčiau priimtas būtinas tyrimo ar kitas procesines priemones, įskaitant priemones, kuriomis siekiama užkirsti kelią įtariamajam arba kaltinamajam pasislėpti, kurios būtinos siekiant įvykdyti Pagrindų sprendimu 2002/584/TVR ar kitu tarpusavio pripažinimo dokumentu grindžiamą sprendimą arba atsakyti į savitarpio teisinės pagalbos prašymą. </w:t>
            </w:r>
            <w:r>
              <w:rPr>
                <w:b/>
                <w:i/>
              </w:rPr>
              <w:t>Šios priemonės taip pat gali būti toliau taikomos, jei abipusio pripažinimo prašymas dar neišduotas, su sąlyga, kad jis gali būti pateiktas nepagrįstai nedelsiant, kai bus priimtas prašymas dėl perdavimo.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2 dalies b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w:t>
            </w:r>
            <w:r>
              <w:tab/>
            </w:r>
            <w:r>
              <w:rPr>
                <w:b/>
                <w:i/>
              </w:rPr>
              <w:t>kuo greičiau koordinuoti veiksmus su institucija, į kurią kreipiamasi, ir dalyvaujant Eurojustui, dėl laikinųjų priemonių, kurių jau imtasi prašančiojoje valstybėje narėje, išlaikymo.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2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a.</w:t>
            </w:r>
            <w:r>
              <w:tab/>
            </w:r>
            <w:r>
              <w:rPr>
                <w:b/>
                <w:i/>
              </w:rPr>
              <w:t>kai priimamas galutinis sprendimas dėl prašymo ir sutikimas su perdavimu, prašančioji valstybė nebegali vykdyti įtariamo asmens baudžiamojo persekiojimo už nusikalstamą veiką, dėl kurios buvo pateiktas prašymas perduoti procesą, ir nebevykdyti anksčiau toje valstybėje priimto teismo sprendimo prieš įtariamąjį dėl tos nusikalstamos veikos.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Prašančioji institucija gali tęsti arba atnaujinti baudžiamąjį procesą, jei prašomoji institucija informuoja ją apie savo sprendimą nutraukti baudžiamąjį procesą, susijusį su faktinėmis aplinkybėmis, kuriomis grindžiamas prašymas dėl baudžiamojo proceso perdavimo, išskyrus atvejus, kai tuo sprendimu pagal prašomosios valstybės nacionalinę teisę galutinai uždraudžiamas tolesnis baudžiamasis persekiojimas ir taip užkertamas kelias tolesniam baudžiamajam procesui dėl tų pačių veikų prašomojoje valstybėje.</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Prašančioji institucija gali tęsti arba atnaujinti baudžiamąjį procesą, jei prašomoji institucija informuoja ją apie savo sprendimą nutraukti baudžiamąjį procesą, susijusį su faktinėmis aplinkybėmis, kuriomis grindžiamas prašymas dėl baudžiamojo proceso perdavimo, išskyrus atvejus, kai tuo sprendimu pagal prašomosios valstybės nacionalinę teisę galutinai uždraudžiamas tolesnis baudžiamasis persekiojimas ir </w:t>
            </w:r>
            <w:r>
              <w:rPr>
                <w:b/>
                <w:i/>
              </w:rPr>
              <w:t>taip užkertamas</w:t>
            </w:r>
            <w:r>
              <w:t xml:space="preserve"> kelias tolesniam baudžiamajam procesui dėl tų pačių veikų prašomojoje valstybėje.</w:t>
            </w:r>
          </w:p>
        </w:tc>
        <w:tc>
          <w:tcPr>
            <w:tcW w:w="4876" w:type="dxa"/>
          </w:tcPr>
          <w:p>
            <w:pPr>
              <w:pStyle w:val="Normal6a"/>
            </w:pPr>
            <w:r>
              <w:t>3.</w:t>
            </w:r>
            <w:r>
              <w:tab/>
            </w:r>
            <w:r>
              <w:t xml:space="preserve">Prašančioji institucija gali tęsti arba atnaujinti baudžiamąjį procesą, jei prašomoji institucija informuoja ją apie savo sprendimą nutraukti baudžiamąjį procesą, susijusį su faktinėmis aplinkybėmis, kuriomis grindžiamas prašymas dėl baudžiamojo proceso perdavimo, išskyrus atvejus, kai tuo sprendimu pagal prašomosios valstybės nacionalinę teisę galutinai uždraudžiamas tolesnis baudžiamasis persekiojimas ir </w:t>
            </w:r>
            <w:r>
              <w:rPr>
                <w:b/>
                <w:i/>
              </w:rPr>
              <w:t>kuris buvo priimtas išnagrinėjus bylą iš esmės, todėl buvo užkirstas</w:t>
            </w:r>
            <w:r>
              <w:t xml:space="preserve"> kelias tolesniam baudžiamajam procesui dėl tų pačių veikų prašomojoje valstybėje.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Prašančioji institucija gali </w:t>
            </w:r>
            <w:r>
              <w:rPr>
                <w:b/>
                <w:i/>
              </w:rPr>
              <w:t>tęsti arba</w:t>
            </w:r>
            <w:r>
              <w:t xml:space="preserve"> atnaujinti baudžiamąjį procesą, jei prašomoji institucija informuoja ją apie savo sprendimą nutraukti baudžiamąjį procesą, susijusį su faktinėmis aplinkybėmis, kuriomis grindžiamas prašymas dėl baudžiamojo proceso perdavimo, išskyrus atvejus, kai tuo sprendimu pagal prašomosios valstybės nacionalinę teisę galutinai uždraudžiamas tolesnis baudžiamasis persekiojimas ir taip užkertamas kelias tolesniam baudžiamajam procesui dėl tų pačių veikų prašomojoje valstybėje.</w:t>
            </w:r>
          </w:p>
        </w:tc>
        <w:tc>
          <w:tcPr>
            <w:tcW w:w="4876" w:type="dxa"/>
          </w:tcPr>
          <w:p>
            <w:pPr>
              <w:pStyle w:val="Normal6a"/>
            </w:pPr>
            <w:r>
              <w:t>3.</w:t>
            </w:r>
            <w:r>
              <w:tab/>
            </w:r>
            <w:r>
              <w:t>Prašančioji institucija gali atnaujinti baudžiamąjį procesą, jei prašomoji institucija informuoja ją apie savo sprendimą nutraukti baudžiamąjį procesą, susijusį su faktinėmis aplinkybėmis, kuriomis grindžiamas prašymas dėl baudžiamojo proceso perdavimo, išskyrus atvejus, kai tuo sprendimu pagal prašomosios valstybės nacionalinę teisę galutinai uždraudžiamas tolesnis baudžiamasis persekiojimas ir taip užkertamas kelias tolesniam baudžiamajam procesui dėl tų pačių veikų prašomojoje valstybėje.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Jeigu procesas prašančiojoje valstybėje sustabdomas arba nutraukiamas pagal 1 dalį, žodis „tęsti“ šioje dalyje turėtų būti praleistas.</w:t>
      </w:r>
    </w:p>
    <w:p>
      <w:r>
        <w:rPr>
          <w:rStyle w:val="HideTWBExt"/>
        </w:rPr>
        <w:t>&lt;/Amend&gt;</w:t>
      </w:r>
    </w:p>
    <w:p>
      <w:pPr>
        <w:pStyle w:val="AmNumberTabs"/>
      </w:pPr>
      <w:r>
        <w:rPr>
          <w:rStyle w:val="HideTWBExt"/>
        </w:rPr>
        <w:t>&lt;Amend&gt;</w:t>
      </w:r>
      <w:r>
        <w:t>Pakeitimas</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3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Bet kokiam sprendimui atnaujinti bylą gali būti taikoma teisminė peržiūra tiek nacionaliniuose teismuose, tiek ESTT.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Toks sprendimas galėtų turėti neigiamų pasekmių įtariamojo teisėms, todėl tokia teisminė peržiūra turėtų būti įmanoma.</w:t>
      </w:r>
      <w:r>
        <w:t xml:space="preserve"> </w:t>
      </w:r>
      <w:r>
        <w:t>Be to, tai padėtų užtikrinti teisinį ne bis in idem principą.</w:t>
      </w:r>
    </w:p>
    <w:p>
      <w:r>
        <w:rPr>
          <w:rStyle w:val="HideTWBExt"/>
        </w:rPr>
        <w:t>&lt;/Amend&gt;</w:t>
      </w:r>
    </w:p>
    <w:p>
      <w:pPr>
        <w:pStyle w:val="AmNumberTabs"/>
      </w:pPr>
      <w:r>
        <w:rPr>
          <w:rStyle w:val="HideTWBExt"/>
        </w:rPr>
        <w:t>&lt;Amend&gt;</w:t>
      </w:r>
      <w:r>
        <w:t>Pakeitimas</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3 dalies nuostatomis nedaromas poveikis aukų teisei pradėti arba prašyti atnaujinti baudžiamąjį procesą prieš įtariamąjį arba kaltinamąjį prašančiojoje valstybėje, kai tai numatyta tos valstybės nacionalinėje teisėje, išskyrus atvejus, kai prašomosios institucijos sprendimu nutraukti baudžiamąjį procesą pagal prašomosios valstybės nacionalinę teisę galutinai uždraudžiamas tolesnis baudžiamasis persekiojimas ir taip užkertamas kelias tolesniam baudžiamajam procesui dėl tų pačių veikų toje valstybėje.</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3 dalies nuostatomis nedaromas poveikis aukų teisei pradėti arba prašyti atnaujinti baudžiamąjį procesą prieš įtariamąjį arba kaltinamąjį prašančiojoje valstybėje, kai tai numatyta tos valstybės nacionalinėje teisėje, išskyrus atvejus, kai prašomosios institucijos sprendimu nutraukti baudžiamąjį procesą pagal prašomosios valstybės nacionalinę teisę galutinai uždraudžiamas tolesnis baudžiamasis persekiojimas ir </w:t>
            </w:r>
            <w:r>
              <w:rPr>
                <w:b/>
                <w:i/>
              </w:rPr>
              <w:t>taip užkertamas</w:t>
            </w:r>
            <w:r>
              <w:t xml:space="preserve"> kelias tolesniam baudžiamajam procesui dėl tų pačių veikų toje valstybėje.</w:t>
            </w:r>
          </w:p>
        </w:tc>
        <w:tc>
          <w:tcPr>
            <w:tcW w:w="4876" w:type="dxa"/>
          </w:tcPr>
          <w:p>
            <w:pPr>
              <w:pStyle w:val="Normal6a"/>
            </w:pPr>
            <w:r>
              <w:t>4.</w:t>
            </w:r>
            <w:r>
              <w:tab/>
            </w:r>
            <w:r>
              <w:t xml:space="preserve">3 dalies nuostatomis nedaromas poveikis aukų teisei pradėti arba prašyti atnaujinti baudžiamąjį procesą prieš įtariamąjį arba kaltinamąjį prašančiojoje valstybėje, kai tai numatyta tos valstybės nacionalinėje teisėje, išskyrus atvejus, kai prašomosios institucijos sprendimu nutraukti baudžiamąjį procesą pagal prašomosios valstybės nacionalinę teisę galutinai uždraudžiamas tolesnis baudžiamasis persekiojimas ir </w:t>
            </w:r>
            <w:r>
              <w:rPr>
                <w:b/>
                <w:i/>
              </w:rPr>
              <w:t>šis sprendimas buvo priimtas išnagrinėjus bylą iš esmės, todėl buvo užkirstas</w:t>
            </w:r>
            <w:r>
              <w:t xml:space="preserve"> kelias tolesniam baudžiamajam procesui dėl tų pačių veikų toje valstybėje.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2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Jeigu tai neprieštarauja pagrindiniams prašomosios valstybės teisės principams, bet koks prašančiosios valstybės kompetentingų institucijų veiksmas, atliktas baudžiamojo proceso tikslais, bet kokia pasirengimo nagrinėti bylą priemonė arba bet koks veiksmas, kuriuo nutraukiamas ar sustabdomas senaties terminas, prašomojoje valstybėje turi tokią pačią galią </w:t>
            </w:r>
            <w:r>
              <w:rPr>
                <w:b/>
                <w:i/>
              </w:rPr>
              <w:t>kaip ir jos pačios institucijų teisėtai atlikti veiksmai</w:t>
            </w:r>
            <w:r>
              <w:t>.</w:t>
            </w:r>
          </w:p>
        </w:tc>
        <w:tc>
          <w:tcPr>
            <w:tcW w:w="4876" w:type="dxa"/>
          </w:tcPr>
          <w:p>
            <w:pPr>
              <w:pStyle w:val="Normal6a"/>
            </w:pPr>
            <w:r>
              <w:t>2.</w:t>
            </w:r>
            <w:r>
              <w:tab/>
            </w:r>
            <w:r>
              <w:t xml:space="preserve">Jeigu tai neprieštarauja pagrindiniams prašomosios valstybės teisės principams, bet koks prašančiosios valstybės kompetentingų institucijų veiksmas, atliktas baudžiamojo proceso tikslais, bet kokia pasirengimo nagrinėti bylą priemonė arba bet koks veiksmas, kuriuo nutraukiamas ar sustabdomas senaties terminas, prašomojoje valstybėje turi tokią pačią galią </w:t>
            </w:r>
            <w:r>
              <w:rPr>
                <w:b/>
                <w:i/>
              </w:rPr>
              <w:t>tik tuo atveju, jei toks veiksmas yra veiksmas, kuriuo nutraukiamas arba sustabdomas senaties terminas pagal nacionalinę teisę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3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Prašančiosios institucijos perduotų įrodymų prašomojoje valstybėje vykstančiame baudžiamajame procese negalima atsisakyti priimti tik dėl to, kad įrodymai buvo surinkti kitoje valstybėje narėje. Prašančiojoje valstybėje surinkti įrodymai gali būti naudojami prašomosios valstybės baudžiamajame procese, jeigu tokių įrodymų priimtinumas neprieštarauja pagrindiniams prašomosios valstybės teisės principams.</w:t>
            </w:r>
          </w:p>
        </w:tc>
        <w:tc>
          <w:tcPr>
            <w:tcW w:w="4876" w:type="dxa"/>
          </w:tcPr>
          <w:p>
            <w:pPr>
              <w:pStyle w:val="Normal6a"/>
            </w:pPr>
            <w:r>
              <w:t>3.</w:t>
            </w:r>
            <w:r>
              <w:tab/>
            </w:r>
            <w:r>
              <w:t xml:space="preserve">Prašančiosios institucijos perduotų įrodymų prašomojoje valstybėje vykstančiame baudžiamajame procese negalima atsisakyti priimti tik dėl to, kad įrodymai buvo surinkti kitoje valstybėje narėje. Prašančiojoje valstybėje surinkti </w:t>
            </w:r>
            <w:r>
              <w:rPr>
                <w:b/>
                <w:i/>
              </w:rPr>
              <w:t>ir priimtini</w:t>
            </w:r>
            <w:r>
              <w:t xml:space="preserve"> įrodymai gali būti naudojami prašomosios valstybės baudžiamajame procese, jeigu tokių įrodymų priimtinumas neprieštarauja pagrindiniams prašomosios valstybės teisės principams. </w:t>
            </w:r>
            <w:r>
              <w:rPr>
                <w:b/>
                <w:i/>
              </w:rPr>
              <w:t>Valstybės narės užtikrina, kad būtų taikomos veiksmingos teisių gynimo priemonės įrodymų priimtinumui įvertinti.</w:t>
            </w:r>
            <w:r>
              <w:t xml:space="preserve"> </w:t>
            </w:r>
            <w:r>
              <w:rPr>
                <w:b/>
                <w:i/>
              </w:rPr>
              <w:t>Prašomoji valstybė atsižvelgia į sėkmingą teisių gynimo priemonę, susijusią su įrodymų rinkimu, priimtinumu ar perdavimu valstybėje, kurioje įrodymai buvo surinkti.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3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Prašančiosios institucijos perduotų įrodymų prašomojoje valstybėje vykstančiame baudžiamajame procese negalima atsisakyti priimti tik dėl to, kad įrodymai buvo surinkti kitoje valstybėje narėje. </w:t>
            </w:r>
            <w:r>
              <w:rPr>
                <w:b/>
                <w:i/>
              </w:rPr>
              <w:t>Prašančiojoje</w:t>
            </w:r>
            <w:r>
              <w:t xml:space="preserve"> valstybėje surinkti įrodymai gali būti naudojami prašomosios valstybės baudžiamajame procese, jeigu tokių įrodymų priimtinumas neprieštarauja pagrindiniams prašomosios valstybės teisės principams.</w:t>
            </w:r>
          </w:p>
        </w:tc>
        <w:tc>
          <w:tcPr>
            <w:tcW w:w="4876" w:type="dxa"/>
          </w:tcPr>
          <w:p>
            <w:pPr>
              <w:pStyle w:val="Normal6a"/>
            </w:pPr>
            <w:r>
              <w:t>3.</w:t>
            </w:r>
            <w:r>
              <w:tab/>
            </w:r>
            <w:r>
              <w:t xml:space="preserve">Prašančiosios institucijos perduotų įrodymų prašomojoje valstybėje vykstančiame baudžiamajame procese negalima atsisakyti priimti tik dėl to, kad įrodymai buvo surinkti kitoje valstybėje narėje. </w:t>
            </w:r>
            <w:r>
              <w:rPr>
                <w:b/>
                <w:i/>
              </w:rPr>
              <w:t>Prašomojoje</w:t>
            </w:r>
            <w:r>
              <w:t xml:space="preserve"> valstybėje </w:t>
            </w:r>
            <w:r>
              <w:rPr>
                <w:b/>
                <w:i/>
              </w:rPr>
              <w:t>pagal lex loci</w:t>
            </w:r>
            <w:r>
              <w:t xml:space="preserve"> surinkti įrodymai gali būti naudojami prašomosios valstybės baudžiamajame procese, jeigu tokių įrodymų priimtinumas neprieštarauja pagrindiniams prašomosios valstybės teisės principams. </w:t>
            </w:r>
            <w:r>
              <w:rPr>
                <w:b/>
                <w:i/>
              </w:rPr>
              <w:t>Valstybės narės užtikrina, kad būtų taikomos veiksmingos teisių gynimo priemonės įrodymų priimtinumui įvertinti.</w:t>
            </w:r>
            <w:r>
              <w:t xml:space="preserve"> </w:t>
            </w:r>
            <w:r>
              <w:rPr>
                <w:b/>
                <w:i/>
              </w:rPr>
              <w:t>Prašomoji valstybė atsižvelgia į sėkmingą teisių gynimo priemonę dėl įrodymų pateikimo ar perdavimo toje valstybėje, kurioje įrodymai buvo surinkti.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Siekiant spręsti palankesnio teisinio reglamentavimo ieškojimo rizikos klausimą, įtraukta prašančioji valstybė.</w:t>
      </w:r>
    </w:p>
    <w:p>
      <w:r>
        <w:rPr>
          <w:rStyle w:val="HideTWBExt"/>
        </w:rPr>
        <w:t>&lt;/Amend&gt;</w:t>
      </w:r>
    </w:p>
    <w:p>
      <w:pPr>
        <w:pStyle w:val="AmNumberTabs"/>
      </w:pPr>
      <w:r>
        <w:rPr>
          <w:rStyle w:val="HideTWBExt"/>
        </w:rPr>
        <w:t>&lt;Amend&gt;</w:t>
      </w:r>
      <w:r>
        <w:t>Pakeitimas</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3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Prašančiosios institucijos perduotų įrodymų prašomojoje valstybėje vykstančiame baudžiamajame procese negalima atsisakyti priimti tik dėl to, kad įrodymai buvo surinkti kitoje valstybėje </w:t>
            </w:r>
            <w:r>
              <w:rPr>
                <w:b/>
                <w:i/>
              </w:rPr>
              <w:t>narėje.</w:t>
            </w:r>
            <w:r>
              <w:t xml:space="preserve"> </w:t>
            </w:r>
            <w:r>
              <w:rPr>
                <w:b/>
                <w:i/>
              </w:rPr>
              <w:t>Prašančiojoje valstybėje surinkti įrodymai gali būti naudojami prašomosios valstybės baudžiamajame procese, jeigu tokių</w:t>
            </w:r>
            <w:r>
              <w:t xml:space="preserve"> įrodymų </w:t>
            </w:r>
            <w:r>
              <w:rPr>
                <w:b/>
                <w:i/>
              </w:rPr>
              <w:t>priimtinumas neprieštarauja pagrindiniams prašomosios valstybės teisės principams</w:t>
            </w:r>
            <w:r>
              <w:t>.</w:t>
            </w:r>
          </w:p>
        </w:tc>
        <w:tc>
          <w:tcPr>
            <w:tcW w:w="4876" w:type="dxa"/>
          </w:tcPr>
          <w:p>
            <w:pPr>
              <w:pStyle w:val="Normal6a"/>
            </w:pPr>
            <w:r>
              <w:t>3.</w:t>
            </w:r>
            <w:r>
              <w:tab/>
            </w:r>
            <w:r>
              <w:t xml:space="preserve">Prašančiosios institucijos perduotų įrodymų prašomojoje valstybėje vykstančiame baudžiamajame procese negalima atsisakyti priimti tik dėl to, kad įrodymai buvo surinkti kitoje valstybėje </w:t>
            </w:r>
            <w:r>
              <w:rPr>
                <w:b/>
                <w:i/>
              </w:rPr>
              <w:t>narėje.T urėtų būti išlaikytas laisvas teisminis</w:t>
            </w:r>
            <w:r>
              <w:t xml:space="preserve"> įrodymų </w:t>
            </w:r>
            <w:r>
              <w:rPr>
                <w:b/>
                <w:i/>
              </w:rPr>
              <w:t>vertinimas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Jeigu prašomojoje valstybėje skiriama laisvės atėmimo bausmė arba priimamas sprendimas dėl įkalinimo, ši valstybė visus prašančiojoje valstybėje praleistus įkalinimo bausmės, kuri buvo skirta vykstant perduodamam baudžiamajam procesui, laikotarpius išskaičiuoja iš visos įkalinimo bausmės, kuri turi būti atlikta prašomojoje valstybėje skyrus laisvės atėmimo bausmę arba priėmus sprendimą dėl įkalinimo, trukmės. Tuo tikslu prašančioji institucija prašomajai institucijai perduoda visą informaciją apie įtariamojo arba kaltinamojo įkalinimo prašančiojoje valstybėje laikotarpį.</w:t>
            </w:r>
          </w:p>
        </w:tc>
        <w:tc>
          <w:tcPr>
            <w:tcW w:w="4876" w:type="dxa"/>
          </w:tcPr>
          <w:p>
            <w:pPr>
              <w:pStyle w:val="Normal6a"/>
            </w:pPr>
            <w:r>
              <w:t>4.</w:t>
            </w:r>
            <w:r>
              <w:tab/>
            </w:r>
            <w:r>
              <w:t xml:space="preserve">Jeigu prašomojoje valstybėje skiriama laisvės atėmimo bausmė arba priimamas sprendimas dėl įkalinimo, ši valstybė visus prašančiojoje valstybėje praleistus įkalinimo bausmės, kuri buvo skirta vykstant perduodamam baudžiamajam procesui, laikotarpius išskaičiuoja iš visos įkalinimo bausmės, kuri turi būti atlikta prašomojoje valstybėje skyrus laisvės atėmimo bausmę arba priėmus sprendimą dėl įkalinimo, trukmės. Tuo tikslu prašančioji institucija prašomajai institucijai perduoda visą informaciją apie įtariamojo arba kaltinamojo įkalinimo prašančiojoje valstybėje laikotarpį. </w:t>
            </w:r>
            <w:r>
              <w:rPr>
                <w:b/>
                <w:i/>
              </w:rPr>
              <w:t>Be to, tais atvejais, kai asmeniui taikoma sulaikymo procedūra prašomojoje valstybėje, turėtų būti atsižvelgiama į visus prašančiojoje valstybėje praleistus sulaikymo laikotarpius, kad būtų galima nustatyti bet kokius ilgiausius tokiam laikinajam sulaikymui taikytinus terminus ir įvertinti tos priemonės proporcingumą prašančiojoje valstybėje.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Jeigu prašomojoje valstybėje skiriama laisvės atėmimo bausmė arba priimamas sprendimas dėl įkalinimo, ši valstybė visus prašančiojoje valstybėje praleistus įkalinimo bausmės, kuri buvo skirta vykstant perduodamam baudžiamajam procesui, laikotarpius išskaičiuoja iš visos įkalinimo bausmės, kuri turi būti atlikta prašomojoje valstybėje skyrus laisvės atėmimo bausmę arba priėmus sprendimą dėl įkalinimo, trukmės. Tuo tikslu prašančioji institucija prašomajai institucijai perduoda visą informaciją apie įtariamojo arba kaltinamojo įkalinimo prašančiojoje valstybėje laikotarpį.</w:t>
            </w:r>
          </w:p>
        </w:tc>
        <w:tc>
          <w:tcPr>
            <w:tcW w:w="4876" w:type="dxa"/>
          </w:tcPr>
          <w:p>
            <w:pPr>
              <w:pStyle w:val="Normal6a"/>
            </w:pPr>
            <w:r>
              <w:t>4.</w:t>
            </w:r>
            <w:r>
              <w:tab/>
            </w:r>
            <w:r>
              <w:t xml:space="preserve">Jeigu prašomojoje valstybėje skiriama laisvės atėmimo bausmė arba priimamas sprendimas dėl įkalinimo, ši valstybė visus prašančiojoje valstybėje praleistus įkalinimo bausmės, kuri buvo skirta vykstant perduodamam baudžiamajam procesui, laikotarpius išskaičiuoja iš visos įkalinimo bausmės, kuri turi būti atlikta prašomojoje valstybėje skyrus laisvės atėmimo bausmę arba priėmus sprendimą dėl įkalinimo, trukmės. Tuo tikslu prašančioji institucija prašomajai institucijai perduoda visą informaciją apie įtariamojo arba kaltinamojo įkalinimo prašančiojoje valstybėje laikotarpį. </w:t>
            </w:r>
            <w:r>
              <w:rPr>
                <w:b/>
                <w:i/>
              </w:rPr>
              <w:t>Tačiau valstybės, į kurią kreipiamasi, kompetentinga institucija gali nuspręsti, kad visa atlikta bausmė arba jos dalis turi būti ignoruojami, jei tai nepateisinama atsižvelgiant į nuteistojo elgesį po nusikalstamos veikos.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6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Už nusikalstamą veiką taikoma prašomosios valstybės teisėje nustatyta bausmė, jeigu toje teisėje nenumatyta kitaip. </w:t>
            </w:r>
            <w:r>
              <w:rPr>
                <w:b/>
                <w:i/>
              </w:rPr>
              <w:t>Kai nusikalstama veika padaryta prašančiosios valstybės teritorijoje, prašomoji institucija pagal taikytiną nacionalinę teisę gali atsižvelgti į prašančiosios valstybės teisėje nustatytą maksimalią bausmę.</w:t>
            </w:r>
            <w:r>
              <w:t xml:space="preserve"> </w:t>
            </w:r>
            <w:r>
              <w:rPr>
                <w:b/>
                <w:i/>
              </w:rPr>
              <w:t>Kai jurisdikcija grindžiama išimtinai 3 straipsniu, prašomojoje valstybėje paskirta bausmė negali būti griežtesnė nei prašančiosios valstybės teisėje nustatyta maksimali bausmė.</w:t>
            </w:r>
          </w:p>
        </w:tc>
        <w:tc>
          <w:tcPr>
            <w:tcW w:w="4876" w:type="dxa"/>
          </w:tcPr>
          <w:p>
            <w:pPr>
              <w:pStyle w:val="Normal6a"/>
            </w:pPr>
            <w:r>
              <w:t>6.</w:t>
            </w:r>
            <w:r>
              <w:tab/>
            </w:r>
            <w:r>
              <w:t>Už nusikalstamą veiką taikoma prašomosios valstybės teisėje nustatyta bausmė, jeigu toje teisėje nenumatyta kitaip.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21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Prašomoji institucija informuoja prašančiąją instituciją apie baudžiamojo proceso nutraukimą arba apie bet kokį sprendimą, priimtą pasibaigus baudžiamajam procesui, įskaitant tai, ar tuo sprendimu pagal prašomosios valstybės nacionalinę teisę galutinai uždraudžiamas tolesnis baudžiamasis persekiojimas ir todėl užkertamas kelias tolesniam baudžiamajam procesui dėl tų pačių veikų toje valstybėje, arba pateikia jai kitą svarbią informaciją. Ji prašančiajai institucijai perduoda baudžiamojo proceso pabaigoje priimto sprendimo rašytinę kopiją.</w:t>
            </w:r>
          </w:p>
        </w:tc>
        <w:tc>
          <w:tcPr>
            <w:tcW w:w="4876" w:type="dxa"/>
          </w:tcPr>
          <w:p>
            <w:pPr>
              <w:pStyle w:val="Normal6a"/>
            </w:pPr>
            <w:r>
              <w:t>Prašomoji institucija informuoja prašančiąją instituciją</w:t>
            </w:r>
            <w:r>
              <w:rPr>
                <w:b/>
                <w:i/>
              </w:rPr>
              <w:t>, įtariamąjį arba kaltinamąąjį ir jų patarėjus teisės klausimais</w:t>
            </w:r>
            <w:r>
              <w:t xml:space="preserve"> apie baudžiamojo proceso nutraukimą arba apie bet kokį sprendimą, priimtą pasibaigus baudžiamajam procesui, įskaitant tai, ar tuo sprendimu pagal prašomosios valstybės nacionalinę teisę galutinai uždraudžiamas tolesnis baudžiamasis persekiojimas ir todėl užkertamas kelias tolesniam baudžiamajam procesui dėl tų pačių veikų toje valstybėje, arba pateikia jai kitą svarbią informaciją. Ji prašančiajai institucijai </w:t>
            </w:r>
            <w:r>
              <w:rPr>
                <w:b/>
                <w:i/>
              </w:rPr>
              <w:t>ir įtariamajam arba kaltinamajam bei jų patarėjams teisės klausimais</w:t>
            </w:r>
            <w:r>
              <w:t xml:space="preserve"> perduoda baudžiamojo proceso pabaigoje priimto sprendimo rašytinę kopiją.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Įtariamasis arba kaltinamasis turėtų turėti teisę būti informuotas.</w:t>
      </w:r>
    </w:p>
    <w:p>
      <w:r>
        <w:rPr>
          <w:rStyle w:val="HideTWBExt"/>
        </w:rPr>
        <w:t>&lt;/Amend&gt;</w:t>
      </w:r>
    </w:p>
    <w:p>
      <w:pPr>
        <w:pStyle w:val="AmNumberTabs"/>
      </w:pPr>
      <w:r>
        <w:rPr>
          <w:rStyle w:val="HideTWBExt"/>
        </w:rPr>
        <w:t>&lt;Amend&gt;</w:t>
      </w:r>
      <w:r>
        <w:t>Pakeitimas</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21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Prašomoji</w:t>
            </w:r>
            <w:r>
              <w:t xml:space="preserve"> institucija informuoja prašančiąją instituciją apie baudžiamojo proceso nutraukimą arba apie bet kokį sprendimą, priimtą pasibaigus baudžiamajam procesui, įskaitant tai, ar tuo sprendimu pagal prašomosios valstybės nacionalinę teisę galutinai uždraudžiamas tolesnis baudžiamasis persekiojimas ir todėl užkertamas kelias tolesniam baudžiamajam procesui dėl tų pačių veikų toje valstybėje, arba pateikia jai kitą svarbią informaciją. Ji prašančiajai institucijai perduoda baudžiamojo proceso pabaigoje priimto sprendimo rašytinę kopiją.</w:t>
            </w:r>
          </w:p>
        </w:tc>
        <w:tc>
          <w:tcPr>
            <w:tcW w:w="4876" w:type="dxa"/>
          </w:tcPr>
          <w:p>
            <w:pPr>
              <w:pStyle w:val="Normal6a"/>
            </w:pPr>
            <w:r>
              <w:rPr>
                <w:b/>
                <w:i/>
              </w:rPr>
              <w:t>Kompetentinga</w:t>
            </w:r>
            <w:r>
              <w:t xml:space="preserve"> institucija </w:t>
            </w:r>
            <w:r>
              <w:rPr>
                <w:b/>
                <w:i/>
              </w:rPr>
              <w:t>prašomojoje valstybėje narėje</w:t>
            </w:r>
            <w:r>
              <w:t xml:space="preserve"> informuoja prašančiąją instituciją apie baudžiamojo proceso nutraukimą arba apie bet kokį sprendimą, priimtą pasibaigus baudžiamajam procesui, įskaitant tai, ar tuo sprendimu pagal prašomosios valstybės nacionalinę teisę galutinai uždraudžiamas tolesnis baudžiamasis persekiojimas ir todėl užkertamas kelias tolesniam baudžiamajam procesui dėl tų pačių veikų toje valstybėje, arba pateikia jai kitą svarbią informaciją. Ji prašančiajai institucijai perduoda baudžiamojo proceso pabaigoje priimto sprendimo rašytinę kopiją.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straipsnio 1 dalies įžanginė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Valstybės narės reguliariai renka išsamius statistinius duomenis, kad Komisija galėtų stebėti, kaip taikomas šis reglamentas.</w:t>
            </w:r>
            <w:r>
              <w:t xml:space="preserve"> </w:t>
            </w:r>
            <w:r>
              <w:rPr>
                <w:b/>
                <w:i/>
              </w:rPr>
              <w:t>Institucijos tuos statistinius duomenis saugo ir kasmet siunčia juos Komisijai.</w:t>
            </w:r>
            <w:r>
              <w:t xml:space="preserve"> </w:t>
            </w:r>
            <w:r>
              <w:rPr>
                <w:b/>
                <w:i/>
              </w:rPr>
              <w:t>Jos gali tvarkyti</w:t>
            </w:r>
            <w:r>
              <w:t xml:space="preserve"> asmens </w:t>
            </w:r>
            <w:r>
              <w:rPr>
                <w:b/>
                <w:i/>
              </w:rPr>
              <w:t>duomenis, reikalingus statistikai rengti</w:t>
            </w:r>
            <w:r>
              <w:t>. Šie statistiniai duomenys:</w:t>
            </w:r>
          </w:p>
        </w:tc>
        <w:tc>
          <w:tcPr>
            <w:tcW w:w="4876" w:type="dxa"/>
          </w:tcPr>
          <w:p>
            <w:pPr>
              <w:pStyle w:val="Normal6a"/>
            </w:pPr>
            <w:r>
              <w:t>1.</w:t>
            </w:r>
            <w:r>
              <w:tab/>
            </w:r>
            <w:r>
              <w:rPr>
                <w:b/>
                <w:i/>
              </w:rPr>
              <w:t>Statistiniai duomenys, skirti stebėti, kaip Komisija taiko šį reglamentą, renkami reguliariai.</w:t>
            </w:r>
            <w:r>
              <w:t xml:space="preserve"> </w:t>
            </w:r>
            <w:r>
              <w:rPr>
                <w:b/>
                <w:i/>
              </w:rPr>
              <w:t>Tokie statistiniai duomenys turėtų būti renkami per reglamente numatytą decentralizuotą IT sistemą ir tik tuo atveju, jei atitinkamoje valstybėje narėje jie prieinami centriniu lygmeniu. Statistikai parengti reikalingi</w:t>
            </w:r>
            <w:r>
              <w:t xml:space="preserve"> asmens </w:t>
            </w:r>
            <w:r>
              <w:rPr>
                <w:b/>
                <w:i/>
              </w:rPr>
              <w:t>duomenys gali būti tvarkomi</w:t>
            </w:r>
            <w:r>
              <w:t xml:space="preserve">. Šie statistiniai duomenys </w:t>
            </w:r>
            <w:r>
              <w:rPr>
                <w:b/>
                <w:i/>
              </w:rPr>
              <w:t>yra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straipsnio 1 dalies c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tyrimų ir baudžiamųjų persekiojimų, kurie nebuvo vykdomi po sutikimo perimti baudžiamąjį procesą, skaičius;</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straipsnio 1 dalies e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teisių gynimo priemonių, kuriomis norėta pasinaudoti dėl sprendimų perimti baudžiamąjį procesą, skaičius, nurodant, ar jomis pasinaudoti norėjo įtariamasis, kaltinamasis ar auka, ir sėkmingai užginčytų sprendimų skaičius;</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straipsnio 1 dalies f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praėjus ketveriems metams nuo 23 straipsnio 1 dalyje nurodytų įgyvendinimo aktų įsigaliojimo dienos – pagal 25 straipsnio 2 dalį patirtos išlaidos.</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30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Komisija pagal 1 dalį gautą informaciją viešai skelbia specialioje interneto svetainėje arba Tarybos sprendimu 2008/976/TVR</w:t>
            </w:r>
            <w:r>
              <w:rPr>
                <w:vertAlign w:val="superscript"/>
              </w:rPr>
              <w:t>76</w:t>
            </w:r>
            <w:r>
              <w:t>sukurto Europos teisminio tinklo svetainėje.</w:t>
            </w:r>
          </w:p>
        </w:tc>
        <w:tc>
          <w:tcPr>
            <w:tcW w:w="4876" w:type="dxa"/>
          </w:tcPr>
          <w:p>
            <w:pPr>
              <w:pStyle w:val="Normal6a"/>
            </w:pPr>
            <w:r>
              <w:t>2.</w:t>
            </w:r>
            <w:r>
              <w:tab/>
            </w:r>
            <w:r>
              <w:t xml:space="preserve">Komisija pagal 1 dalį gautą </w:t>
            </w:r>
            <w:r>
              <w:rPr>
                <w:b/>
                <w:i/>
              </w:rPr>
              <w:t>naujausią</w:t>
            </w:r>
            <w:r>
              <w:t xml:space="preserve"> informaciją viešai skelbia specialioje interneto svetainėje arba Tarybos sprendimu 2008/976/TVR 76 sukurto Europos teisminio tinklo </w:t>
            </w:r>
            <w:r>
              <w:rPr>
                <w:b/>
                <w:i/>
              </w:rPr>
              <w:t>neapribotos prieigos</w:t>
            </w:r>
            <w:r>
              <w:t xml:space="preserve"> svetainėje.</w:t>
            </w:r>
            <w:r>
              <w:rPr>
                <w:vertAlign w:val="superscript"/>
              </w:rPr>
              <w:t>76</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76</w:t>
            </w:r>
            <w:r>
              <w:t xml:space="preserve"> </w:t>
            </w:r>
            <w:r>
              <w:t xml:space="preserve">2008 m. gruodžio 16 d. Tarybos sprendimas 2008/976/TVR dėl Europos teisminio tinklo (OL L 348, </w:t>
            </w:r>
            <w:r>
              <w:rPr>
                <w:b/>
                <w:i/>
              </w:rPr>
              <w:t>2008 12 24</w:t>
            </w:r>
            <w:r>
              <w:t>, p. 130).</w:t>
            </w:r>
          </w:p>
        </w:tc>
        <w:tc>
          <w:tcPr>
            <w:tcW w:w="4876" w:type="dxa"/>
          </w:tcPr>
          <w:p>
            <w:pPr>
              <w:pStyle w:val="Normal6a"/>
            </w:pPr>
            <w:r>
              <w:rPr>
                <w:vertAlign w:val="superscript"/>
              </w:rPr>
              <w:t>76</w:t>
            </w:r>
            <w:r>
              <w:t xml:space="preserve"> </w:t>
            </w:r>
            <w:r>
              <w:t xml:space="preserve">2008 m. gruodžio 16 d. Tarybos sprendimas 2008/976/TVR dėl Europos teisminio tinklo (OL L 348, </w:t>
            </w:r>
            <w:r>
              <w:rPr>
                <w:b/>
                <w:i/>
              </w:rPr>
              <w:t>2008 12 24</w:t>
            </w:r>
            <w:r>
              <w:t>, p. 130).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Informacija, kurią reikia lyginti, gali būti svarbi įtariamiesiems ir jų teisės konsultantams.</w:t>
      </w:r>
      <w:r>
        <w:t xml:space="preserve"> </w:t>
      </w:r>
      <w:r>
        <w:t>Todėl, siekiant užtikrinti šalių lygiateisiškumą, tekstas turėtų būti iš dalies pakeistas įtraukiant nuostatą, kad informacija joms taip pat turėtų būti prieinama ir nuolat atnaujinama.</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756.024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70</w:t>
    </w:r>
    <w:r>
      <w:fldChar w:fldCharType="end"/>
    </w:r>
    <w:r>
      <w:t>/</w:t>
    </w:r>
    <w:r>
      <w:fldChar w:fldCharType="begin"/>
    </w:r>
    <w:r>
      <w:instrText xml:space="preserve"> NUMPAGES </w:instrText>
    </w:r>
    <w:r>
      <w:fldChar w:fldCharType="separate"/>
    </w:r>
    <w:r>
      <w:t>70</w:t>
    </w:r>
    <w:r>
      <w:fldChar w:fldCharType="end"/>
    </w:r>
    <w:r>
      <w:tab/>
    </w:r>
    <w:r>
      <w:rPr>
        <w:rStyle w:val="HideTWBExt"/>
      </w:rPr>
      <w:t>&lt;PathFdR&gt;</w:t>
    </w:r>
    <w:r>
      <w:t>AM\1289747LT.docx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AM\1289747LT.docx</w:t>
    </w:r>
    <w:r>
      <w:rPr>
        <w:rStyle w:val="HideTWBExt"/>
      </w:rPr>
      <w:t>&lt;/PathFdR&gt;</w:t>
    </w:r>
    <w:r>
      <w:tab/>
    </w:r>
    <w:r>
      <w:fldChar w:fldCharType="begin"/>
    </w:r>
    <w:r>
      <w:instrText xml:space="preserve"> PAGE </w:instrText>
    </w:r>
    <w:r>
      <w:fldChar w:fldCharType="separate"/>
    </w:r>
    <w:r>
      <w:t>69</w:t>
    </w:r>
    <w:r>
      <w:fldChar w:fldCharType="end"/>
    </w:r>
    <w:r>
      <w:t>/</w:t>
    </w:r>
    <w:r>
      <w:fldChar w:fldCharType="begin"/>
    </w:r>
    <w:r>
      <w:instrText xml:space="preserve"> NUMPAGES </w:instrText>
    </w:r>
    <w:r>
      <w:fldChar w:fldCharType="separate"/>
    </w:r>
    <w:r>
      <w:t>70</w:t>
    </w:r>
    <w:r>
      <w:fldChar w:fldCharType="end"/>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AM\1289747LT.docx</w:t>
    </w:r>
    <w:r>
      <w:rPr>
        <w:rStyle w:val="HideTWBExt"/>
      </w:rPr>
      <w:t>&lt;/PathFdR&gt;</w:t>
    </w:r>
    <w:r>
      <w:tab/>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70</Pages>
  <Words>15079</Words>
  <Characters>105378</Characters>
  <Application>Microsoft Office Word</Application>
  <DocSecurity>0</DocSecurity>
  <Lines>1</Lines>
  <Paragraphs>1192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1289747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36564</vt:lpwstr>
  </property>
  <property fmtid="{D5CDD505-2E9C-101B-9397-08002B2CF9AE}" pid="7" name="dmxml.render.traceId">
    <vt:lpwstr>65671ea1b9384cd05264a0da483777dc</vt:lpwstr>
  </property>
  <property fmtid="{D5CDD505-2E9C-101B-9397-08002B2CF9AE}" pid="8" name="FooterPath">
    <vt:lpwstr>AM\1289747LT.docx</vt:lpwstr>
  </property>
  <property fmtid="{D5CDD505-2E9C-101B-9397-08002B2CF9AE}" pid="9" name="PE Number">
    <vt:lpwstr>756.024</vt:lpwstr>
  </property>
  <property fmtid="{D5CDD505-2E9C-101B-9397-08002B2CF9AE}" pid="10" name="UID">
    <vt:lpwstr>eu.europa.europarl-DIN1-2023-0000146955_01.00-lt-01.00_text-xml</vt:lpwstr>
  </property>
</Properties>
</file>