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3.6.0 -->
  <w:body>
    <w:tbl>
      <w:tblPr>
        <w:tblW w:w="0" w:type="auto"/>
        <w:jc w:val="center"/>
        <w:tblLayout w:type="fixed"/>
        <w:tblCellMar>
          <w:top w:w="0" w:type="dxa"/>
          <w:left w:w="108" w:type="dxa"/>
          <w:bottom w:w="0" w:type="dxa"/>
          <w:right w:w="108" w:type="dxa"/>
        </w:tblCellMar>
      </w:tblPr>
      <w:tblGrid>
        <w:gridCol w:w="6804"/>
        <w:gridCol w:w="2268"/>
      </w:tblGrid>
      <w:tr>
        <w:tblPrEx>
          <w:tblW w:w="0" w:type="auto"/>
          <w:jc w:val="center"/>
          <w:tblLayout w:type="fixed"/>
          <w:tblCellMar>
            <w:top w:w="0" w:type="dxa"/>
            <w:left w:w="108" w:type="dxa"/>
            <w:bottom w:w="0" w:type="dxa"/>
            <w:right w:w="108" w:type="dxa"/>
          </w:tblCellMar>
        </w:tblPrEx>
        <w:trPr>
          <w:trHeight w:hRule="exact" w:val="1417"/>
          <w:jc w:val="center"/>
        </w:trPr>
        <w:tc>
          <w:tcPr>
            <w:tcW w:w="6804" w:type="dxa"/>
            <w:vAlign w:val="center"/>
          </w:tcPr>
          <w:p>
            <w:pPr>
              <w:pStyle w:val="EPName"/>
            </w:pPr>
            <w:r>
              <w:t>Parlament Europejski</w:t>
            </w:r>
          </w:p>
          <w:p>
            <w:pPr>
              <w:pStyle w:val="EPTerm"/>
              <w:jc w:val="left"/>
            </w:pPr>
            <w:r>
              <w:t>2019-2024</w:t>
            </w:r>
          </w:p>
        </w:tc>
        <w:tc>
          <w:tcPr>
            <w:tcW w:w="2268" w:type="dxa"/>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{LIBE}</w:t>
      </w:r>
      <w:r>
        <w:t>Komisja Wolności Obywatelskich, Sprawiedliwości i Spraw Wewnętrznych</w:t>
      </w:r>
      <w:r>
        <w:rPr>
          <w:rStyle w:val="HideTWBExt"/>
        </w:rPr>
        <w:t>&lt;/Commission&gt;</w:t>
      </w:r>
    </w:p>
    <w:p>
      <w:pPr>
        <w:pStyle w:val="LineBottom"/>
      </w:pPr>
      <w:r>
        <w:t xml:space="preserve"> </w:t>
      </w:r>
    </w:p>
    <w:p>
      <w:pPr>
        <w:pStyle w:val="CoverReference"/>
      </w:pPr>
      <w:r>
        <w:rPr>
          <w:rStyle w:val="HideTWBExt"/>
        </w:rPr>
        <w:t>&lt;RefProc&gt;</w:t>
      </w:r>
      <w:r>
        <w:t>2023/0093</w:t>
      </w:r>
      <w:r>
        <w:rPr>
          <w:rStyle w:val="HideTWBExt"/>
        </w:rPr>
        <w:t>&lt;/RefProc&gt;</w:t>
      </w:r>
      <w:r>
        <w:rPr>
          <w:rStyle w:val="HideTWBExt"/>
        </w:rPr>
        <w:t>&lt;RefTypeProc&gt;</w:t>
      </w:r>
      <w:r>
        <w:t>(COD)</w:t>
      </w:r>
      <w:r>
        <w:rPr>
          <w:rStyle w:val="HideTWBExt"/>
        </w:rPr>
        <w:t>&lt;/RefTypeProc&gt;</w:t>
      </w:r>
    </w:p>
    <w:p>
      <w:pPr>
        <w:pStyle w:val="CoverDate"/>
      </w:pPr>
      <w:r>
        <w:rPr>
          <w:rStyle w:val="HideTWBExt"/>
        </w:rPr>
        <w:t>&lt;Date&gt;</w:t>
      </w:r>
      <w:r>
        <w:rPr>
          <w:rStyle w:val="HideTWBInt"/>
        </w:rPr>
        <w:t>{08/11/2023}</w:t>
      </w:r>
      <w:r>
        <w:t>8.11.2023</w:t>
      </w:r>
      <w:r>
        <w:rPr>
          <w:rStyle w:val="HideTWBExt"/>
        </w:rPr>
        <w:t>&lt;/Date&gt;</w:t>
      </w:r>
    </w:p>
    <w:p>
      <w:pPr>
        <w:pStyle w:val="CoverDocType"/>
      </w:pPr>
      <w:r>
        <w:rPr>
          <w:rStyle w:val="HideTWBExt"/>
        </w:rPr>
        <w:t>&lt;TypeAM&gt;</w:t>
      </w:r>
      <w:r>
        <w:t>POPRAWKI</w:t>
      </w:r>
      <w:r>
        <w:rPr>
          <w:rStyle w:val="HideTWBExt"/>
        </w:rPr>
        <w:t>&lt;/TypeAM&gt;</w:t>
      </w:r>
    </w:p>
    <w:p>
      <w:pPr>
        <w:pStyle w:val="CoverDocType24a"/>
      </w:pPr>
      <w:r>
        <w:rPr>
          <w:rStyle w:val="HideTWBExt"/>
        </w:rPr>
        <w:t>&lt;RangeAM&gt;</w:t>
      </w:r>
      <w:r>
        <w:t>35</w:t>
      </w:r>
      <w:r>
        <w:t xml:space="preserve"> - </w:t>
      </w:r>
      <w:r>
        <w:t>161</w:t>
      </w:r>
      <w:r>
        <w:rPr>
          <w:rStyle w:val="HideTWBExt"/>
        </w:rPr>
        <w:t>&lt;/RangeAM&gt;</w:t>
      </w:r>
    </w:p>
    <w:p>
      <w:pPr>
        <w:pStyle w:val="CoverBold"/>
      </w:pPr>
      <w:r>
        <w:rPr>
          <w:rStyle w:val="HideTWBExt"/>
        </w:rPr>
        <w:t>&lt;TitreType&gt;</w:t>
      </w:r>
      <w:r>
        <w:t>Projekt sprawozdania</w:t>
      </w:r>
      <w:r>
        <w:rPr>
          <w:rStyle w:val="HideTWBExt"/>
        </w:rPr>
        <w:t>&lt;/TitreType&gt;</w:t>
      </w:r>
    </w:p>
    <w:p>
      <w:pPr>
        <w:pStyle w:val="CoverBold"/>
      </w:pPr>
      <w:r>
        <w:rPr>
          <w:rStyle w:val="HideTWBExt"/>
        </w:rPr>
        <w:t>&lt;Rapporteur&gt;</w:t>
      </w:r>
      <w:r>
        <w:t>Assita Kanko</w:t>
      </w:r>
      <w:r>
        <w:rPr>
          <w:rStyle w:val="HideTWBExt"/>
        </w:rPr>
        <w:t>&lt;/Rapporteur&gt;</w:t>
      </w:r>
    </w:p>
    <w:p>
      <w:pPr>
        <w:pStyle w:val="CoverNormal24a"/>
      </w:pPr>
      <w:r>
        <w:rPr>
          <w:rStyle w:val="HideTWBExt"/>
        </w:rPr>
        <w:t>&lt;DocRefPE&gt;</w:t>
      </w:r>
      <w:r>
        <w:t>(PE753.778v01-00)</w:t>
      </w:r>
      <w:r>
        <w:rPr>
          <w:rStyle w:val="HideTWBExt"/>
        </w:rPr>
        <w:t>&lt;/DocRefPE&gt;</w:t>
      </w:r>
    </w:p>
    <w:p>
      <w:pPr>
        <w:pStyle w:val="CoverNormal24a"/>
      </w:pPr>
      <w:r>
        <w:rPr>
          <w:rStyle w:val="HideTWBExt"/>
        </w:rPr>
        <w:t>&lt;Titre&gt;</w:t>
      </w:r>
      <w:r>
        <w:t>Przekazywanie postępowania w sprawach karnych</w:t>
      </w:r>
      <w:r>
        <w:rPr>
          <w:rStyle w:val="HideTWBExt"/>
        </w:rPr>
        <w:t>&lt;/Titre&gt;</w:t>
      </w:r>
    </w:p>
    <w:p>
      <w:pPr>
        <w:pStyle w:val="CoverNormal"/>
      </w:pPr>
      <w:r>
        <w:rPr>
          <w:rStyle w:val="HideTWBExt"/>
        </w:rPr>
        <w:t>&lt;DocAmend&gt;</w:t>
      </w:r>
      <w:r>
        <w:t>Wniosek dotyczący rozporządzenia</w:t>
      </w:r>
      <w:r>
        <w:rPr>
          <w:rStyle w:val="HideTWBExt"/>
        </w:rPr>
        <w:t>&lt;/DocAmend&gt;</w:t>
      </w:r>
    </w:p>
    <w:p>
      <w:pPr>
        <w:pStyle w:val="CoverNormal24a"/>
      </w:pPr>
      <w:r>
        <w:rPr>
          <w:rStyle w:val="HideTWBExt"/>
        </w:rPr>
        <w:t>&lt;DocRef&gt;</w:t>
      </w:r>
      <w:r>
        <w:t>(COM(2023)0185 – C9-0128/2023 – 2023/0093(COD))</w:t>
      </w:r>
      <w:r>
        <w:rPr>
          <w:rStyle w:val="HideTWBExt"/>
        </w:rPr>
        <w:t>&lt;/DocRef&gt;</w:t>
      </w:r>
    </w:p>
    <w:p>
      <w:r>
        <w:br w:type="page"/>
      </w:r>
      <w:r>
        <w:t>AM_Com_LegReport</w:t>
      </w:r>
    </w:p>
    <w:p>
      <w:pPr>
        <w:pStyle w:val="AmNumberTabs"/>
      </w:pPr>
      <w:r>
        <w:br w:type="page"/>
      </w:r>
      <w:r>
        <w:rPr>
          <w:rStyle w:val="HideTWBExt"/>
        </w:rPr>
        <w:t>&lt;RepeatBlock-Amend&gt;</w:t>
      </w:r>
      <w:r>
        <w:rPr>
          <w:rStyle w:val="HideTWBExt"/>
        </w:rPr>
        <w:t>&lt;Amend&gt;</w:t>
      </w:r>
      <w:r>
        <w:t>Poprawka</w:t>
      </w:r>
      <w:r>
        <w:tab/>
      </w:r>
      <w:r>
        <w:tab/>
      </w:r>
      <w:r>
        <w:rPr>
          <w:rStyle w:val="HideTWBExt"/>
        </w:rPr>
        <w:t>&lt;NumAm&gt;</w:t>
      </w:r>
      <w:r>
        <w:t>35</w:t>
      </w:r>
      <w:r>
        <w:rPr>
          <w:rStyle w:val="HideTWBExt"/>
        </w:rPr>
        <w:t>&lt;/NumAm&gt;</w:t>
      </w:r>
    </w:p>
    <w:p>
      <w:pPr>
        <w:pStyle w:val="NormalBold"/>
      </w:pPr>
      <w:r>
        <w:rPr>
          <w:rStyle w:val="HideTWBExt"/>
        </w:rPr>
        <w:t>&lt;RepeatBlock-By&gt;</w:t>
      </w:r>
      <w:r>
        <w:rPr>
          <w:rStyle w:val="HideTWBExt"/>
        </w:rPr>
        <w:t>&lt;Members&gt;</w:t>
      </w:r>
      <w:r>
        <w:t>Evin Incir</w:t>
      </w:r>
      <w:r>
        <w:rPr>
          <w:rStyle w:val="HideTWBExt"/>
        </w:rPr>
        <w:t>&lt;/Members&gt;</w:t>
      </w:r>
    </w:p>
    <w:p>
      <w:pPr>
        <w:pStyle w:val="NormalBold"/>
      </w:pPr>
      <w:r>
        <w:rPr>
          <w:rStyle w:val="HideTWBExt"/>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Motyw 7</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proponowany przez Komisję</w:t>
            </w:r>
          </w:p>
        </w:tc>
        <w:tc>
          <w:tcPr>
            <w:tcW w:w="4876" w:type="dxa"/>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Pr>
          <w:p>
            <w:pPr>
              <w:pStyle w:val="Normal6a"/>
            </w:pPr>
            <w:r>
              <w:t>(7)</w:t>
            </w:r>
            <w:r>
              <w:tab/>
            </w:r>
            <w:r>
              <w:t xml:space="preserve">Przedmiotowe rozporządzenie powinno mieć zastosowanie do wszystkich wniosków składanych w ramach postępowania karnego. </w:t>
            </w:r>
            <w:r>
              <w:rPr>
                <w:b/>
                <w:i/>
              </w:rPr>
              <w:t>Postępowanie karne jest autonomicznym pojęciem prawa Unii interpretowanym przez Trybunał Sprawiedliwości Unii Europejskiej, niezależnie od orzecznictwa Europejskiego Trybunału Praw Człowieka, począwszy od momentu, w którym właściwe organy państwa członkowskiego poinformowały daną osobę, że jest ona podejrzana lub oskarżona o popełnienie przestępstwa, aż do zakończenia tego postępowania, rozumianego jako ostateczne rozstrzygnięcie kwestii, czy podejrzany lub oskarżony popełnił przestępstwo, w tym, w stosownych przypadkach, skazanie i rozstrzygnięcie wszelkich odwołań.</w:t>
            </w:r>
          </w:p>
        </w:tc>
        <w:tc>
          <w:tcPr>
            <w:tcW w:w="4876" w:type="dxa"/>
          </w:tcPr>
          <w:p>
            <w:pPr>
              <w:pStyle w:val="Normal6a"/>
            </w:pPr>
            <w:r>
              <w:t>(7)</w:t>
            </w:r>
            <w:r>
              <w:tab/>
            </w:r>
            <w:r>
              <w:t>Przedmiotowe rozporządzenie powinno mieć zastosowanie do wszystkich wniosków składanych w ramach postępowania karnego.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36</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Motyw 7</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proponowany przez Komisję</w:t>
            </w:r>
          </w:p>
        </w:tc>
        <w:tc>
          <w:tcPr>
            <w:tcW w:w="4876" w:type="dxa"/>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Pr>
          <w:p>
            <w:pPr>
              <w:pStyle w:val="Normal6a"/>
            </w:pPr>
            <w:r>
              <w:t>(7)</w:t>
            </w:r>
            <w:r>
              <w:tab/>
            </w:r>
            <w:r>
              <w:t xml:space="preserve">Przedmiotowe rozporządzenie powinno mieć zastosowanie do wszystkich wniosków składanych w ramach postępowania karnego. </w:t>
            </w:r>
            <w:r>
              <w:rPr>
                <w:b/>
                <w:i/>
              </w:rPr>
              <w:t>Postępowanie karne jest autonomicznym pojęciem prawa Unii interpretowanym przez Trybunał Sprawiedliwości Unii Europejskiej, niezależnie od orzecznictwa Europejskiego Trybunału Praw Człowieka, począwszy od momentu, w którym właściwe organy państwa członkowskiego poinformowały daną osobę, że jest ona podejrzana lub oskarżona o popełnienie przestępstwa, aż do zakończenia tego postępowania, rozumianego jako ostateczne rozstrzygnięcie kwestii, czy podejrzany lub oskarżony popełnił przestępstwo, w tym, w stosownych przypadkach, skazanie i rozstrzygnięcie wszelkich odwołań.</w:t>
            </w:r>
          </w:p>
        </w:tc>
        <w:tc>
          <w:tcPr>
            <w:tcW w:w="4876" w:type="dxa"/>
          </w:tcPr>
          <w:p>
            <w:pPr>
              <w:pStyle w:val="Normal6a"/>
            </w:pPr>
            <w:r>
              <w:t>(7)</w:t>
            </w:r>
            <w:r>
              <w:tab/>
            </w:r>
            <w:r>
              <w:t>Przedmiotowe rozporządzenie powinno mieć zastosowanie do wszystkich wniosków składanych w ramach postępowania karnego.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37</w:t>
      </w:r>
      <w:r>
        <w:rPr>
          <w:rStyle w:val="HideTWBExt"/>
        </w:rPr>
        <w:t>&lt;/NumAm&gt;</w:t>
      </w:r>
    </w:p>
    <w:p>
      <w:pPr>
        <w:pStyle w:val="NormalBold"/>
      </w:pPr>
      <w:r>
        <w:rPr>
          <w:rStyle w:val="HideTWBExt"/>
        </w:rPr>
        <w:t>&lt;RepeatBlock-By&gt;</w:t>
      </w:r>
      <w:r>
        <w:rPr>
          <w:rStyle w:val="HideTWBExt"/>
        </w:rPr>
        <w:t>&lt;Members&gt;</w:t>
      </w:r>
      <w:r>
        <w:t>Saskia Bricmont</w:t>
      </w:r>
      <w:r>
        <w:rPr>
          <w:rStyle w:val="HideTWBExt"/>
        </w:rPr>
        <w:t>&lt;/Members&gt;</w:t>
      </w:r>
    </w:p>
    <w:p>
      <w:pPr>
        <w:pStyle w:val="NormalBold"/>
      </w:pPr>
      <w:r>
        <w:rPr>
          <w:rStyle w:val="HideTWBExt"/>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Motyw 16</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proponowany przez Komisję</w:t>
            </w:r>
          </w:p>
        </w:tc>
        <w:tc>
          <w:tcPr>
            <w:tcW w:w="4876" w:type="dxa"/>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Pr>
          <w:p>
            <w:pPr>
              <w:pStyle w:val="Normal6a"/>
            </w:pPr>
            <w:r>
              <w:t>(16)</w:t>
            </w:r>
            <w:r>
              <w:tab/>
            </w:r>
            <w:r>
              <w:t xml:space="preserve">W przedmiotowym rozporządzeniu przewiduje się jurysdykcję w szczególnych przypadkach, co służy zapewnieniu, aby do celów przekazania postępowania karnego zgodnie z tym rozporządzeniem państwo, do którego kierowany jest wniosek, mogło sprawować jurysdykcję w zakresie przestępstw, do których zastosowanie ma prawo państwa wnioskującego, jeżeli </w:t>
            </w:r>
            <w:r>
              <w:rPr>
                <w:b/>
                <w:i/>
              </w:rPr>
              <w:t>wymaga</w:t>
            </w:r>
            <w:r>
              <w:t xml:space="preserve"> tego skuteczne i prawidłowe sprawowanie wymiaru sprawiedliwości. Państwo, do którego kierowany jest wniosek, powinno sprawować jurysdykcję w zakresie orzekania w sprawach przestępstw, w odniesieniu do których występuje się o przekazanie, w każdym przypadku, w którym uznaje się to państwo członkowskie za najodpowiedniejsze do przeprowadzenia ścigania.</w:t>
            </w:r>
          </w:p>
        </w:tc>
        <w:tc>
          <w:tcPr>
            <w:tcW w:w="4876" w:type="dxa"/>
          </w:tcPr>
          <w:p>
            <w:pPr>
              <w:pStyle w:val="Normal6a"/>
            </w:pPr>
            <w:r>
              <w:t>(16)</w:t>
            </w:r>
            <w:r>
              <w:tab/>
            </w:r>
            <w:r>
              <w:t xml:space="preserve">W przedmiotowym rozporządzeniu przewiduje się jurysdykcję w szczególnych przypadkach, co służy zapewnieniu, aby do celów przekazania postępowania karnego zgodnie z tym rozporządzeniem państwo, do którego kierowany jest wniosek, mogło sprawować jurysdykcję w zakresie przestępstw, do których zastosowanie ma prawo państwa wnioskującego, jeżeli </w:t>
            </w:r>
            <w:r>
              <w:rPr>
                <w:b/>
                <w:i/>
              </w:rPr>
              <w:t>wymagają</w:t>
            </w:r>
            <w:r>
              <w:t xml:space="preserve"> tego skuteczne i prawidłowe sprawowanie wymiaru sprawiedliwości </w:t>
            </w:r>
            <w:r>
              <w:rPr>
                <w:b/>
                <w:i/>
              </w:rPr>
              <w:t>oraz skuteczna ochrona podstawowych praw podejrzanych lub oskarżonych, a także ofiar, zgodnie z prawem UE</w:t>
            </w:r>
            <w:r>
              <w:t>. Państwo, do którego kierowany jest wniosek, powinno sprawować jurysdykcję w zakresie orzekania w sprawach przestępstw, w odniesieniu do których występuje się o przekazanie, w każdym przypadku, w którym uznaje się to państwo członkowskie za najodpowiedniejsze do przeprowadzenia ścigania.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38</w:t>
      </w:r>
      <w:r>
        <w:rPr>
          <w:rStyle w:val="HideTWBExt"/>
        </w:rPr>
        <w:t>&lt;/NumAm&gt;</w:t>
      </w:r>
    </w:p>
    <w:p>
      <w:pPr>
        <w:pStyle w:val="NormalBold"/>
      </w:pPr>
      <w:r>
        <w:rPr>
          <w:rStyle w:val="HideTWBExt"/>
        </w:rPr>
        <w:t>&lt;RepeatBlock-By&gt;</w:t>
      </w:r>
      <w:r>
        <w:rPr>
          <w:rStyle w:val="HideTWBExt"/>
        </w:rPr>
        <w:t>&lt;Members&gt;</w:t>
      </w:r>
      <w:r>
        <w:t>Saskia Bricmont</w:t>
      </w:r>
      <w:r>
        <w:rPr>
          <w:rStyle w:val="HideTWBExt"/>
        </w:rPr>
        <w:t>&lt;/Members&gt;</w:t>
      </w:r>
    </w:p>
    <w:p>
      <w:pPr>
        <w:pStyle w:val="NormalBold"/>
      </w:pPr>
      <w:r>
        <w:rPr>
          <w:rStyle w:val="HideTWBExt"/>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Motyw 17</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proponowany przez Komisję</w:t>
            </w:r>
          </w:p>
        </w:tc>
        <w:tc>
          <w:tcPr>
            <w:tcW w:w="4876" w:type="dxa"/>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Pr>
          <w:p>
            <w:pPr>
              <w:pStyle w:val="Normal6a"/>
            </w:pPr>
            <w:r>
              <w:t>(17)</w:t>
            </w:r>
            <w:r>
              <w:tab/>
            </w:r>
            <w:r>
              <w:t xml:space="preserve">Jurysdykcja taka powinna </w:t>
            </w:r>
            <w:r>
              <w:rPr>
                <w:b/>
                <w:i/>
              </w:rPr>
              <w:t>zostać ustanowiona</w:t>
            </w:r>
            <w:r>
              <w:t xml:space="preserve"> w sytuacjach, w których państwo, do którego kierowany jest wniosek, odmawia przekazania podejrzanego lub oskarżonego, wobec którego wydano europejski nakaz aresztowania i który przebywa w państwie, do którego kierowany jest wniosek, i jest obywatelem tego państwa lub w nim zamieszkuje, jeżeli </w:t>
            </w:r>
            <w:r>
              <w:rPr>
                <w:b/>
                <w:i/>
              </w:rPr>
              <w:t>taka odmowa opiera się na szczególnych podstawach wymienionych w przedmiotowym rozporządzeniu.</w:t>
            </w:r>
            <w:r>
              <w:t xml:space="preserve"> </w:t>
            </w:r>
            <w:r>
              <w:rPr>
                <w:b/>
                <w:i/>
              </w:rPr>
              <w:t>Państwo, do którego kierowany jest wniosek</w:t>
            </w:r>
            <w:r>
              <w:t>, powinno sprawować jurysdykcję również wtedy, gdy przestępstwo wywołuje skutki lub powoduje szkody głównie w państwie, do którego kierowany jest wniosek. Szkodę należy brać pod uwagę w każdym przypadku, gdy stanowi ona jedno z ustawowych znamion przestępstwa, zgodnie z prawem państwa, do którego kierowany jest wniosek. Państwo, do którego kierowany jest wniosek, powinno sprawować jurysdykcję także w przypadku, gdy w państwie tym toczy się już postępowanie karne przeciwko temu samemu podejrzanemu lub oskarżonemu w odniesieniu do innych okoliczności faktycznych, tak aby można było orzec w przedmiocie całej karalności takiej osoby w jednym postępowaniu karnym, lub gdy w sprawie tych samych lub powiązanych okoliczności faktycznych w państwie tym toczy się postępowanie karne przeciwko innym osobom, co może w szczególności mieć znaczenie dla skoncentrowania w jednym państwie członkowskim postępowania przygotowawczego oraz ścigania w związku z daną organizacją przestępczą. W obu przypadkach podejrzany lub oskarżony w postępowaniu karnym powinien być obywatelem państwa, do którego kierowany jest wniosek, lub w nim zamieszkiwać.</w:t>
            </w:r>
          </w:p>
        </w:tc>
        <w:tc>
          <w:tcPr>
            <w:tcW w:w="4876" w:type="dxa"/>
          </w:tcPr>
          <w:p>
            <w:pPr>
              <w:pStyle w:val="Normal6a"/>
            </w:pPr>
            <w:r>
              <w:t>(17)</w:t>
            </w:r>
            <w:r>
              <w:tab/>
            </w:r>
            <w:r>
              <w:t xml:space="preserve">Jurysdykcja taka powinna </w:t>
            </w:r>
            <w:r>
              <w:rPr>
                <w:b/>
                <w:i/>
              </w:rPr>
              <w:t>opierać się na szczególnych podstawach wymienionych w niniejszym rozporządzeniu.</w:t>
            </w:r>
            <w:r>
              <w:t xml:space="preserve"> </w:t>
            </w:r>
            <w:r>
              <w:rPr>
                <w:b/>
                <w:i/>
              </w:rPr>
              <w:t>Państwo, do którego kierowany jest wniosek, powinno sprawować jurysdykcję</w:t>
            </w:r>
            <w:r>
              <w:t xml:space="preserve"> w sytuacjach, w których państwo, do którego kierowany jest wniosek, odmawia przekazania podejrzanego lub oskarżonego, wobec którego wydano europejski nakaz aresztowania i który przebywa w państwie, do którego kierowany jest wniosek, i jest obywatelem tego państwa lub w nim zamieszkuje, jeżeli </w:t>
            </w:r>
            <w:r>
              <w:rPr>
                <w:b/>
                <w:i/>
              </w:rPr>
              <w:t>stwierdzi, że – w wyjątkowych sytuacjach – istnieją istotne podstawy, by sądzić, na podstawie konkretnych i obiektywnych dowodów, że przekazanie danej osoby stanowiłoby, w szczególnych okolicznościach danej sprawy, oczywiste naruszenie odpowiedniego prawa podstawowego</w:t>
            </w:r>
            <w:r>
              <w:t xml:space="preserve">, </w:t>
            </w:r>
            <w:r>
              <w:rPr>
                <w:b/>
                <w:i/>
              </w:rPr>
              <w:t>o którym mowa w art. 6 Traktatu o Unii Europejskiej i w Karcie.</w:t>
            </w:r>
            <w:r>
              <w:t xml:space="preserve"> Powinno sprawować jurysdykcję również wtedy, gdy przestępstwo wywołuje skutki lub powoduje szkody głównie w państwie, do którego kierowany jest wniosek. Szkodę należy brać pod uwagę w każdym przypadku, gdy stanowi ona jedno z ustawowych znamion przestępstwa, zgodnie z prawem państwa, do którego kierowany jest wniosek. Państwo, do którego kierowany jest wniosek, powinno sprawować jurysdykcję także w przypadku, gdy w państwie tym toczy się już postępowanie karne przeciwko temu samemu podejrzanemu lub oskarżonemu w odniesieniu do innych okoliczności faktycznych, tak aby można było orzec w przedmiocie całej karalności takiej osoby w jednym postępowaniu karnym, lub gdy w sprawie tych samych lub powiązanych okoliczności faktycznych w państwie tym toczy się postępowanie karne przeciwko innym osobom, co może w szczególności mieć znaczenie dla skoncentrowania w jednym państwie członkowskim postępowania przygotowawczego oraz ścigania w związku z daną organizacją przestępczą. W obu przypadkach podejrzany lub oskarżony w postępowaniu karnym powinien być obywatelem państwa, do którego kierowany jest wniosek, lub w nim zamieszkiwać.</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39</w:t>
      </w:r>
      <w:r>
        <w:rPr>
          <w:rStyle w:val="HideTWBExt"/>
        </w:rPr>
        <w:t>&lt;/NumAm&gt;</w:t>
      </w:r>
    </w:p>
    <w:p>
      <w:pPr>
        <w:pStyle w:val="NormalBold"/>
      </w:pPr>
      <w:r>
        <w:rPr>
          <w:rStyle w:val="HideTWBExt"/>
        </w:rPr>
        <w:t>&lt;RepeatBlock-By&gt;</w:t>
      </w:r>
      <w:r>
        <w:rPr>
          <w:rStyle w:val="HideTWBExt"/>
        </w:rPr>
        <w:t>&lt;Members&gt;</w:t>
      </w:r>
      <w:r>
        <w:t>Saskia Bricmont</w:t>
      </w:r>
      <w:r>
        <w:rPr>
          <w:rStyle w:val="HideTWBExt"/>
        </w:rPr>
        <w:t>&lt;/Members&gt;</w:t>
      </w:r>
    </w:p>
    <w:p>
      <w:pPr>
        <w:pStyle w:val="NormalBold"/>
      </w:pPr>
      <w:r>
        <w:rPr>
          <w:rStyle w:val="HideTWBExt"/>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Motyw 18</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proponowany przez Komisję</w:t>
            </w:r>
          </w:p>
        </w:tc>
        <w:tc>
          <w:tcPr>
            <w:tcW w:w="4876" w:type="dxa"/>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Pr>
          <w:p>
            <w:pPr>
              <w:pStyle w:val="Normal6a"/>
            </w:pPr>
            <w:r>
              <w:t>(18)</w:t>
            </w:r>
            <w:r>
              <w:tab/>
            </w:r>
            <w:r>
              <w:t xml:space="preserve">Aby osiągnąć cel przedmiotowego rozporządzenia i zapobiec konfliktom jurysdykcji, ze szczególnym uwzględnieniem tych państw członkowskich, których systemy prawne – lub ściganie niektórych przestępstw – oparte są na zasadzie legalizmu, państwo wnioskujące powinno, zwracając się o przekazanie postępowania karnego, zrzec się swojej jurysdykcji w zakresie ścigania danej osoby za przestępstwo, którego dotyczy wniosek o przekazanie. Na tej podstawie właściwe organy państwa wnioskującego powinny </w:t>
            </w:r>
            <w:r>
              <w:rPr>
                <w:b/>
                <w:i/>
              </w:rPr>
              <w:t>mieć możliwość umorzenia postępowania karnego wszczętego</w:t>
            </w:r>
            <w:r>
              <w:t xml:space="preserve"> przed nimi na rzecz państwa członkowskiego uznanego za odpowiedniejsze do przeprowadzenia ścigania, nawet jeżeli byłyby one zobowiązane do ścigania na podstawie prawa krajowego. Takie zrzeczenie się jurysdykcji powinno pozostawać bez uszczerbku dla przepisów dotyczących skutków przekazania postępowania karnego w państwie wnioskującym, określonych w przedmiotowym rozporządzeniu.</w:t>
            </w:r>
          </w:p>
        </w:tc>
        <w:tc>
          <w:tcPr>
            <w:tcW w:w="4876" w:type="dxa"/>
          </w:tcPr>
          <w:p>
            <w:pPr>
              <w:pStyle w:val="Normal6a"/>
            </w:pPr>
            <w:r>
              <w:t>(18)</w:t>
            </w:r>
            <w:r>
              <w:tab/>
            </w:r>
            <w:r>
              <w:t xml:space="preserve">Aby osiągnąć cel przedmiotowego rozporządzenia i zapobiec konfliktom jurysdykcji, ze szczególnym uwzględnieniem tych państw członkowskich, których systemy prawne – lub ściganie niektórych przestępstw – oparte są na zasadzie legalizmu, państwo wnioskujące powinno, zwracając się o przekazanie postępowania karnego, zrzec się swojej jurysdykcji w zakresie ścigania danej osoby za przestępstwo, którego dotyczy wniosek o przekazanie. Na tej podstawie właściwe organy państwa wnioskującego powinny </w:t>
            </w:r>
            <w:r>
              <w:rPr>
                <w:b/>
                <w:i/>
              </w:rPr>
              <w:t>umorzyć postępowanie karne wszczęte</w:t>
            </w:r>
            <w:r>
              <w:t xml:space="preserve"> przed nimi na rzecz państwa członkowskiego uznanego za odpowiedniejsze do przeprowadzenia ścigania, nawet jeżeli byłyby one zobowiązane do ścigania na podstawie prawa krajowego. Takie zrzeczenie się jurysdykcji powinno pozostawać bez uszczerbku dla przepisów dotyczących skutków przekazania postępowania karnego w państwie wnioskującym, określonych w przedmiotowym rozporządzeniu.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40</w:t>
      </w:r>
      <w:r>
        <w:rPr>
          <w:rStyle w:val="HideTWBExt"/>
        </w:rPr>
        <w:t>&lt;/NumAm&gt;</w:t>
      </w:r>
    </w:p>
    <w:p>
      <w:pPr>
        <w:pStyle w:val="NormalBold"/>
      </w:pPr>
      <w:r>
        <w:rPr>
          <w:rStyle w:val="HideTWBExt"/>
        </w:rPr>
        <w:t>&lt;RepeatBlock-By&gt;</w:t>
      </w:r>
      <w:r>
        <w:rPr>
          <w:rStyle w:val="HideTWBExt"/>
        </w:rPr>
        <w:t>&lt;Members&gt;</w:t>
      </w:r>
      <w:r>
        <w:t>Saskia Bricmont</w:t>
      </w:r>
      <w:r>
        <w:rPr>
          <w:rStyle w:val="HideTWBExt"/>
        </w:rPr>
        <w:t>&lt;/Members&gt;</w:t>
      </w:r>
    </w:p>
    <w:p>
      <w:pPr>
        <w:pStyle w:val="NormalBold"/>
      </w:pPr>
      <w:r>
        <w:rPr>
          <w:rStyle w:val="HideTWBExt"/>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Motyw 21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proponowany przez Komisję</w:t>
            </w:r>
          </w:p>
        </w:tc>
        <w:tc>
          <w:tcPr>
            <w:tcW w:w="4876" w:type="dxa"/>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Pr>
          <w:p>
            <w:pPr>
              <w:pStyle w:val="Normal6a"/>
            </w:pPr>
            <w:r>
              <w:t>(21)</w:t>
            </w:r>
            <w:r>
              <w:tab/>
            </w:r>
            <w:r>
              <w:t>Państwa członkowskie powinny zapewnić, aby przy stosowaniu niniejszego rozporządzenia uwzględniano potrzeby osób wymagających szczególnego traktowania. Zgodnie z zaleceniem Komisji (2013/C 378/02)</w:t>
            </w:r>
            <w:r>
              <w:rPr>
                <w:vertAlign w:val="superscript"/>
              </w:rPr>
              <w:t>60</w:t>
            </w:r>
            <w:r>
              <w:t>podejrzanych lub oskarżonych wymagających szczególnego traktowania należy rozumieć jako wszystkich podejrzanych lub oskarżonych, którzy nie są w stanie zrozumieć postępowania karnego i skutecznie w nim uczestniczyć ze względu na swój wiek, stan umysłowy lub fizyczny bądź niepełnosprawność.</w:t>
            </w:r>
          </w:p>
        </w:tc>
        <w:tc>
          <w:tcPr>
            <w:tcW w:w="4876" w:type="dxa"/>
          </w:tcPr>
          <w:p>
            <w:pPr>
              <w:pStyle w:val="Normal6a"/>
            </w:pPr>
            <w:r>
              <w:t>(21)</w:t>
            </w:r>
            <w:r>
              <w:tab/>
            </w:r>
            <w:r>
              <w:t>Państwa członkowskie powinny zapewnić, aby przy stosowaniu niniejszego rozporządzenia uwzględniano potrzeby osób wymagających szczególnego traktowania. Zgodnie z zaleceniem Komisji (2013/C 378/02)</w:t>
            </w:r>
            <w:r>
              <w:rPr>
                <w:vertAlign w:val="superscript"/>
              </w:rPr>
              <w:t>60</w:t>
            </w:r>
            <w:r>
              <w:t xml:space="preserve"> podejrzanych lub oskarżonych wymagających szczególnego traktowania należy rozumieć jako wszystkich podejrzanych lub oskarżonych, którzy nie są w stanie zrozumieć postępowania karnego i skutecznie w nim uczestniczyć ze względu na swój wiek, stan umysłowy lub fizyczny bądź niepełnosprawność. </w:t>
            </w:r>
            <w:r>
              <w:rPr>
                <w:b/>
                <w:i/>
              </w:rPr>
              <w:t>Przy ocenie potrzeby szczególnego traktowania należy wziąć pod uwagę status imigracyjny lub status pobytu podejrzanych lub oskarżonych oraz to, czy są oni w stanie zrozumieć język postępowania we wnioskującym państwie członkowskie lub w państwie członkowskim, do którego kierowany jest wniosek.</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_________________</w:t>
            </w:r>
          </w:p>
        </w:tc>
        <w:tc>
          <w:tcPr>
            <w:tcW w:w="4876" w:type="dxa"/>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Pr>
          <w:p>
            <w:pPr>
              <w:pStyle w:val="Normal6a"/>
            </w:pPr>
            <w:r>
              <w:rPr>
                <w:vertAlign w:val="superscript"/>
              </w:rPr>
              <w:t>60</w:t>
            </w:r>
            <w:r>
              <w:t xml:space="preserve"> </w:t>
            </w:r>
            <w:r>
              <w:t>Zalecenie Komisji z dnia 27 listopada 2013 r. w sprawie gwarancji procesowych dla osób wymagających szczególnego traktowania podejrzanych lub oskarżonych w postępowaniu karnym (2013/C 378/02) (Dz.U. C 378 z 24.12.2013, s.</w:t>
            </w:r>
            <w:r>
              <w:rPr>
                <w:b/>
                <w:i/>
              </w:rPr>
              <w:t xml:space="preserve"> 8)</w:t>
            </w:r>
            <w:r>
              <w:t>.</w:t>
            </w:r>
          </w:p>
        </w:tc>
        <w:tc>
          <w:tcPr>
            <w:tcW w:w="4876" w:type="dxa"/>
          </w:tcPr>
          <w:p>
            <w:pPr>
              <w:pStyle w:val="Normal6a"/>
            </w:pPr>
            <w:r>
              <w:rPr>
                <w:vertAlign w:val="superscript"/>
              </w:rPr>
              <w:t>60</w:t>
            </w:r>
            <w:r>
              <w:t xml:space="preserve"> </w:t>
            </w:r>
            <w:r>
              <w:t>Zalecenie Komisji z dnia 27 listopada 2013 r. w sprawie gwarancji procesowych dla osób wymagających szczególnego traktowania podejrzanych lub oskarżonych w postępowaniu karnym (2013/C 378/02) (Dz.U. C 378 z 24.12.2013, s.</w:t>
            </w:r>
            <w:r>
              <w:rPr>
                <w:b/>
                <w:i/>
              </w:rPr>
              <w:t> 8)</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41</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Motyw 23</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proponowany przez Komisję</w:t>
            </w:r>
          </w:p>
        </w:tc>
        <w:tc>
          <w:tcPr>
            <w:tcW w:w="4876" w:type="dxa"/>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Pr>
          <w:p>
            <w:pPr>
              <w:pStyle w:val="Normal6a"/>
            </w:pPr>
            <w:r>
              <w:t>(23)</w:t>
            </w:r>
            <w:r>
              <w:tab/>
            </w:r>
            <w:r>
              <w:t xml:space="preserve">Przedmiotowe rozporządzenie nie </w:t>
            </w:r>
            <w:r>
              <w:rPr>
                <w:b/>
                <w:i/>
              </w:rPr>
              <w:t>powinno nakładać</w:t>
            </w:r>
            <w:r>
              <w:t xml:space="preserve"> żadnego obowiązku występowania z wnioskiem o przekazanie postępowania karnego. Oceniając, czy należy złożyć wniosek o przekazanie postępowania karnego, organ wnioskujący </w:t>
            </w:r>
            <w:r>
              <w:rPr>
                <w:b/>
                <w:i/>
              </w:rPr>
              <w:t>powinien przeanalizować</w:t>
            </w:r>
            <w:r>
              <w:t xml:space="preserve">, czy takie przekazanie jest konieczne i właściwe. Ocenę tę </w:t>
            </w:r>
            <w:r>
              <w:rPr>
                <w:b/>
                <w:i/>
              </w:rPr>
              <w:t>należy przeprowadzać</w:t>
            </w:r>
            <w:r>
              <w:t xml:space="preserve"> indywidualnie dla każdego przypadku w celu zidentyfikowania państwa członkowskiego, które jest najodpowiedniejsze do ścigania danego przestępstwa.</w:t>
            </w:r>
          </w:p>
        </w:tc>
        <w:tc>
          <w:tcPr>
            <w:tcW w:w="4876" w:type="dxa"/>
          </w:tcPr>
          <w:p>
            <w:pPr>
              <w:pStyle w:val="Normal6a"/>
            </w:pPr>
            <w:r>
              <w:t>(23)</w:t>
            </w:r>
            <w:r>
              <w:tab/>
            </w:r>
            <w:r>
              <w:t xml:space="preserve">Przedmiotowe rozporządzenie nie </w:t>
            </w:r>
            <w:r>
              <w:rPr>
                <w:b/>
                <w:i/>
              </w:rPr>
              <w:t>nakłada</w:t>
            </w:r>
            <w:r>
              <w:t xml:space="preserve"> żadnego obowiązku występowania z wnioskiem o przekazanie postępowania karnego. Oceniając, czy należy złożyć wniosek o przekazanie postępowania karnego, organ wnioskujący </w:t>
            </w:r>
            <w:r>
              <w:rPr>
                <w:b/>
                <w:i/>
              </w:rPr>
              <w:t>analizuje</w:t>
            </w:r>
            <w:r>
              <w:t xml:space="preserve">, czy takie przekazanie jest konieczne i właściwe. Ocenę tę </w:t>
            </w:r>
            <w:r>
              <w:rPr>
                <w:b/>
                <w:i/>
              </w:rPr>
              <w:t>przeprowadza się</w:t>
            </w:r>
            <w:r>
              <w:t xml:space="preserve"> indywidualnie dla każdego przypadku w celu zidentyfikowania państwa członkowskiego, które jest najodpowiedniejsze do ścigania danego przestępstwa.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42</w:t>
      </w:r>
      <w:r>
        <w:rPr>
          <w:rStyle w:val="HideTWBExt"/>
        </w:rPr>
        <w:t>&lt;/NumAm&gt;</w:t>
      </w:r>
    </w:p>
    <w:p>
      <w:pPr>
        <w:pStyle w:val="NormalBold"/>
      </w:pPr>
      <w:r>
        <w:rPr>
          <w:rStyle w:val="HideTWBExt"/>
        </w:rPr>
        <w:t>&lt;RepeatBlock-By&gt;</w:t>
      </w:r>
      <w:r>
        <w:rPr>
          <w:rStyle w:val="HideTWBExt"/>
        </w:rPr>
        <w:t>&lt;Members&gt;</w:t>
      </w:r>
      <w:r>
        <w:t>Saskia Bricmont</w:t>
      </w:r>
      <w:r>
        <w:rPr>
          <w:rStyle w:val="HideTWBExt"/>
        </w:rPr>
        <w:t>&lt;/Members&gt;</w:t>
      </w:r>
    </w:p>
    <w:p>
      <w:pPr>
        <w:pStyle w:val="NormalBold"/>
      </w:pPr>
      <w:r>
        <w:rPr>
          <w:rStyle w:val="HideTWBExt"/>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Motyw 25</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proponowany przez Komisję</w:t>
            </w:r>
          </w:p>
        </w:tc>
        <w:tc>
          <w:tcPr>
            <w:tcW w:w="4876" w:type="dxa"/>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Pr>
          <w:p>
            <w:pPr>
              <w:pStyle w:val="Normal6a"/>
            </w:pPr>
            <w:r>
              <w:t>(25)</w:t>
            </w:r>
            <w:r>
              <w:tab/>
            </w:r>
            <w:r>
              <w:t xml:space="preserve">Jeżeli podejrzany lub oskarżony jest obywatelem państwa, do którego kierowany jest wniosek, lub w tym państwie zamieszkuje, przekazanie postępowania karnego może być uzasadnione celem, jakim jest zapewnienie prawa podejrzanego lub oskarżonego do obecności na rozprawie, zgodnie z dyrektywą (UE) 2016/343. Podobnie jeżeli większość ofiar to obywatele lub mieszkańcy państwa, do którego kierowany jest wniosek, przekazanie może być uzasadnione celem, jakim jest umożliwienie ofiarom przystępnego udziału w postępowaniu karnym i skutecznego przesłuchania w charakterze świadków w toku postępowania. </w:t>
            </w:r>
            <w:r>
              <w:rPr>
                <w:b/>
                <w:i/>
              </w:rPr>
              <w:t>W przypadkach, w których w państwie, do którego kierowany jest wniosek, odmówiono przekazania podejrzanego lub oskarżonego, wobec którego wydano europejski nakaz aresztowania, z powodów określonych w przedmiotowym rozporządzeniu, przekazanie może być również uzasadnione, jeżeli osoba ta przebywa w państwie, do którego kierowany jest wniosek, a nie jest obywatelem tego państwa ani nie ma w nim miejsca zamieszkania.</w:t>
            </w:r>
          </w:p>
        </w:tc>
        <w:tc>
          <w:tcPr>
            <w:tcW w:w="4876" w:type="dxa"/>
          </w:tcPr>
          <w:p>
            <w:pPr>
              <w:pStyle w:val="Normal6a"/>
            </w:pPr>
            <w:r>
              <w:t>(25)</w:t>
            </w:r>
            <w:r>
              <w:tab/>
            </w:r>
            <w:r>
              <w:t>Jeżeli podejrzany lub oskarżony jest obywatelem państwa, do którego kierowany jest wniosek, lub w tym państwie zamieszkuje, przekazanie postępowania karnego może być uzasadnione celem, jakim jest zapewnienie prawa podejrzanego lub oskarżonego do obecności na rozprawie, zgodnie z dyrektywą (UE) 2016/343. Podobnie jeżeli większość ofiar to obywatele lub mieszkańcy państwa, do którego kierowany jest wniosek, przekazanie może być uzasadnione celem, jakim jest umożliwienie ofiarom przystępnego udziału w postępowaniu karnym i skutecznego przesłuchania w charakterze świadków w toku postępowania.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43</w:t>
      </w:r>
      <w:r>
        <w:rPr>
          <w:rStyle w:val="HideTWBExt"/>
        </w:rPr>
        <w:t>&lt;/NumAm&gt;</w:t>
      </w:r>
    </w:p>
    <w:p>
      <w:pPr>
        <w:pStyle w:val="NormalBold"/>
      </w:pPr>
      <w:r>
        <w:rPr>
          <w:rStyle w:val="HideTWBExt"/>
        </w:rPr>
        <w:t>&lt;RepeatBlock-By&gt;</w:t>
      </w:r>
      <w:r>
        <w:rPr>
          <w:rStyle w:val="HideTWBExt"/>
        </w:rPr>
        <w:t>&lt;Members&gt;</w:t>
      </w:r>
      <w:r>
        <w:t>Evin Incir</w:t>
      </w:r>
      <w:r>
        <w:rPr>
          <w:rStyle w:val="HideTWBExt"/>
        </w:rPr>
        <w:t>&lt;/Members&gt;</w:t>
      </w:r>
    </w:p>
    <w:p>
      <w:pPr>
        <w:pStyle w:val="NormalBold"/>
      </w:pPr>
      <w:r>
        <w:rPr>
          <w:rStyle w:val="HideTWBExt"/>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Motyw 25</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proponowany przez Komisję</w:t>
            </w:r>
          </w:p>
        </w:tc>
        <w:tc>
          <w:tcPr>
            <w:tcW w:w="4876" w:type="dxa"/>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Pr>
          <w:p>
            <w:pPr>
              <w:pStyle w:val="Normal6a"/>
            </w:pPr>
            <w:r>
              <w:t>(25)</w:t>
            </w:r>
            <w:r>
              <w:tab/>
            </w:r>
            <w:r>
              <w:t xml:space="preserve">Jeżeli podejrzany lub oskarżony jest obywatelem państwa, do którego kierowany jest wniosek, lub w tym państwie zamieszkuje, przekazanie postępowania karnego może być uzasadnione celem, jakim jest zapewnienie prawa podejrzanego lub oskarżonego do obecności na rozprawie, zgodnie z dyrektywą (UE) 2016/343. Podobnie jeżeli </w:t>
            </w:r>
            <w:r>
              <w:rPr>
                <w:b/>
                <w:i/>
              </w:rPr>
              <w:t>większość ofiar</w:t>
            </w:r>
            <w:r>
              <w:t xml:space="preserve"> to obywatele lub mieszkańcy państwa, do którego kierowany jest wniosek, przekazanie może być uzasadnione celem, jakim jest umożliwienie ofiarom przystępnego udziału w postępowaniu karnym i skutecznego przesłuchania w charakterze świadków w toku postępowania. W przypadkach, w których w państwie, do którego kierowany jest wniosek, odmówiono przekazania podejrzanego lub oskarżonego, wobec którego wydano europejski nakaz aresztowania, z powodów określonych w przedmiotowym rozporządzeniu, przekazanie może być również uzasadnione, jeżeli osoba ta przebywa w państwie, do którego kierowany jest wniosek, a nie jest obywatelem tego państwa ani nie ma w nim miejsca zamieszkania.</w:t>
            </w:r>
          </w:p>
        </w:tc>
        <w:tc>
          <w:tcPr>
            <w:tcW w:w="4876" w:type="dxa"/>
          </w:tcPr>
          <w:p>
            <w:pPr>
              <w:pStyle w:val="Normal6a"/>
            </w:pPr>
            <w:r>
              <w:t>(25)</w:t>
            </w:r>
            <w:r>
              <w:tab/>
            </w:r>
            <w:r>
              <w:t xml:space="preserve">Jeżeli podejrzany lub oskarżony jest obywatelem państwa, do którego kierowany jest wniosek, lub w tym państwie zamieszkuje, przekazanie postępowania karnego może być uzasadnione celem, jakim jest zapewnienie prawa podejrzanego lub oskarżonego do obecności na rozprawie, zgodnie z dyrektywą (UE) 2016/343. Podobnie jeżeli </w:t>
            </w:r>
            <w:r>
              <w:rPr>
                <w:b/>
                <w:i/>
              </w:rPr>
              <w:t>ofiara lub ofiary</w:t>
            </w:r>
            <w:r>
              <w:t xml:space="preserve"> to obywatele lub mieszkańcy państwa, do którego kierowany jest wniosek, przekazanie może być uzasadnione celem, jakim jest umożliwienie ofiarom przystępnego udziału w postępowaniu karnym i skutecznego przesłuchania w charakterze świadków w toku postępowania. W przypadkach, w których w państwie, do którego kierowany jest wniosek, odmówiono przekazania podejrzanego lub oskarżonego, wobec którego wydano europejski nakaz aresztowania, z powodów określonych w przedmiotowym rozporządzeniu, przekazanie może być również uzasadnione, jeżeli osoba ta przebywa w państwie, do którego kierowany jest wniosek, a nie jest obywatelem tego państwa ani nie ma w nim miejsca zamieszkania.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44</w:t>
      </w:r>
      <w:r>
        <w:rPr>
          <w:rStyle w:val="HideTWBExt"/>
        </w:rPr>
        <w:t>&lt;/NumAm&gt;</w:t>
      </w:r>
    </w:p>
    <w:p>
      <w:pPr>
        <w:pStyle w:val="NormalBold"/>
      </w:pPr>
      <w:r>
        <w:rPr>
          <w:rStyle w:val="HideTWBExt"/>
        </w:rPr>
        <w:t>&lt;RepeatBlock-By&gt;</w:t>
      </w:r>
      <w:r>
        <w:rPr>
          <w:rStyle w:val="HideTWBExt"/>
        </w:rPr>
        <w:t>&lt;Members&gt;</w:t>
      </w:r>
      <w:r>
        <w:t>Saskia Bricmont</w:t>
      </w:r>
      <w:r>
        <w:rPr>
          <w:rStyle w:val="HideTWBExt"/>
        </w:rPr>
        <w:t>&lt;/Members&gt;</w:t>
      </w:r>
    </w:p>
    <w:p>
      <w:pPr>
        <w:pStyle w:val="NormalBold"/>
      </w:pPr>
      <w:r>
        <w:rPr>
          <w:rStyle w:val="HideTWBExt"/>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Motyw 27</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proponowany przez Komisję</w:t>
            </w:r>
          </w:p>
        </w:tc>
        <w:tc>
          <w:tcPr>
            <w:tcW w:w="4876" w:type="dxa"/>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Pr>
          <w:p>
            <w:pPr>
              <w:pStyle w:val="Normal6a"/>
            </w:pPr>
            <w:r>
              <w:t>(27)</w:t>
            </w:r>
            <w:r>
              <w:tab/>
            </w:r>
            <w:r>
              <w:t>Przekazanie postępowania karnego może być również uzasadnione, gdy w państwie, do którego kierowany jest wniosek, toczy się przeciwko podejrzanemu lub oskarżonemu postępowanie karne w odniesieniu do tych samych lub innych okoliczności faktycznych lub gdy w państwie, do którego kierowany jest wniosek, toczy się postępowanie karne w odniesieniu do tych samych lub powiązanych okoliczności faktycznych przeciwko innym osobom, np. w przypadkach ścigania transgranicznych organizacji przestępczych, gdy różni współoskarżeni mogą być ścigani w różnych państwach członkowskich. Ponadto, jeżeli podejrzany lub oskarżony odbywa lub ma odbyć karę pozbawienia wolności za inne przestępstwo w państwie, do którego kierowany jest wniosek, przekazanie postępowania karnego może być uzasadnione celem, jakim jest zapewnienie prawa osoby skazanej do obecności na rozprawie, w związku z którą ma nastąpić przekazanie postępowania karnego, podczas odbywania kary w państwie, do którego skierowano wniosek. Organy wnioskujące powinny także należycie rozważyć, czy przekazanie postępowania karnego mogłoby przyczynić się do resocjalizacji danej osoby w przypadku, gdyby kara miała zostać wykonana w państwie, do którego kierowany jest wniosek: w tym celu należy wziąć pod uwagę przywiązanie danej osoby do państwa, do którego kierowany jest wniosek, to czy uważa je ona za miejsce powiązań rodzinnych, językowych, kulturowych, społecznych lub ekonomicznych oraz wszelkie inne powiązania z państwem, do którego kierowany jest wniosek.</w:t>
            </w:r>
          </w:p>
        </w:tc>
        <w:tc>
          <w:tcPr>
            <w:tcW w:w="4876" w:type="dxa"/>
          </w:tcPr>
          <w:p>
            <w:pPr>
              <w:pStyle w:val="Normal6a"/>
            </w:pPr>
            <w:r>
              <w:t>(27)</w:t>
            </w:r>
            <w:r>
              <w:tab/>
            </w:r>
            <w:r>
              <w:t xml:space="preserve">Przekazanie postępowania karnego może być również uzasadnione, gdy w państwie, do którego kierowany jest wniosek, toczy się przeciwko podejrzanemu lub oskarżonemu postępowanie karne w odniesieniu do tych samych lub innych okoliczności faktycznych lub gdy w państwie, do którego kierowany jest wniosek, toczy się postępowanie karne w odniesieniu do tych samych lub powiązanych okoliczności faktycznych przeciwko innym osobom, np. w przypadkach ścigania transgranicznych organizacji przestępczych, gdy różni współoskarżeni mogą być ścigani w różnych państwach członkowskich. Ponadto, jeżeli podejrzany lub oskarżony odbywa lub ma odbyć karę pozbawienia wolności za inne przestępstwo w państwie, do którego kierowany jest wniosek, przekazanie postępowania karnego może być uzasadnione celem, jakim jest zapewnienie prawa osoby skazanej do obecności na rozprawie, w związku z którą ma nastąpić przekazanie postępowania karnego, podczas odbywania kary w państwie, do którego skierowano wniosek. Organy wnioskujące powinny także należycie rozważyć, czy przekazanie postępowania karnego mogłoby przyczynić się do resocjalizacji danej osoby w przypadku, gdyby kara miała zostać wykonana w państwie, do którego kierowany jest wniosek: w tym celu należy wziąć pod uwagę przywiązanie danej osoby do państwa, do którego kierowany jest wniosek, to czy uważa je ona za miejsce powiązań rodzinnych, językowych, kulturowych, społecznych lub ekonomicznych oraz wszelkie inne powiązania z państwem, do którego kierowany jest wniosek. </w:t>
            </w:r>
            <w:r>
              <w:rPr>
                <w:b/>
                <w:i/>
              </w:rPr>
              <w:t>Ponadto organy wnioskujące powinny należycie rozważyć, czy przekazanie postępowania karnego mogłoby ułatwić osiągnięcie celów sprawiedliwości naprawczej.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45</w:t>
      </w:r>
      <w:r>
        <w:rPr>
          <w:rStyle w:val="HideTWBExt"/>
        </w:rPr>
        <w:t>&lt;/NumAm&gt;</w:t>
      </w:r>
    </w:p>
    <w:p>
      <w:pPr>
        <w:pStyle w:val="NormalBold"/>
      </w:pPr>
      <w:r>
        <w:rPr>
          <w:rStyle w:val="HideTWBExt"/>
        </w:rPr>
        <w:t>&lt;RepeatBlock-By&gt;</w:t>
      </w:r>
      <w:r>
        <w:rPr>
          <w:rStyle w:val="HideTWBExt"/>
        </w:rPr>
        <w:t>&lt;Members&gt;</w:t>
      </w:r>
      <w:r>
        <w:t>Saskia Bricmont</w:t>
      </w:r>
      <w:r>
        <w:rPr>
          <w:rStyle w:val="HideTWBExt"/>
        </w:rPr>
        <w:t>&lt;/Members&gt;</w:t>
      </w:r>
    </w:p>
    <w:p>
      <w:pPr>
        <w:pStyle w:val="NormalBold"/>
      </w:pPr>
      <w:r>
        <w:rPr>
          <w:rStyle w:val="HideTWBExt"/>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Motyw 29</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proponowany przez Komisję</w:t>
            </w:r>
          </w:p>
        </w:tc>
        <w:tc>
          <w:tcPr>
            <w:tcW w:w="4876" w:type="dxa"/>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Pr>
          <w:p>
            <w:pPr>
              <w:pStyle w:val="Normal6a"/>
            </w:pPr>
            <w:r>
              <w:t>(29)</w:t>
            </w:r>
            <w:r>
              <w:tab/>
            </w:r>
            <w:r>
              <w:t xml:space="preserve">Podejrzani, oskarżeni lub ofiary powinni mieć </w:t>
            </w:r>
            <w:r>
              <w:rPr>
                <w:b/>
                <w:i/>
              </w:rPr>
              <w:t>możliwość</w:t>
            </w:r>
            <w:r>
              <w:t xml:space="preserve"> wystąpienia z wnioskiem o przekazanie dotyczących ich postępowań karnych do innego państwa członkowskiego. Wnioski te nie powinny </w:t>
            </w:r>
            <w:r>
              <w:rPr>
                <w:b/>
                <w:i/>
              </w:rPr>
              <w:t>jednak</w:t>
            </w:r>
            <w:r>
              <w:t xml:space="preserve"> nakładać na organ wnioskujący lub organ, do którego kierowany jest wniosek, obowiązku złożenia wniosku o przekazanie postępowania karnego lub przekazania takiego postępowania. Jeżeli w następstwie wniosku o przekazanie złożonego przez podejrzanego, oskarżonego, ofiarę lub adwokata działającego w ich imieniu organy dowiadują się o równoległym postępowaniu karnym, są one zobowiązane do przeprowadzenia wzajemnych konsultacji zgodnie z decyzją ramową 2009/948/WSiSW.</w:t>
            </w:r>
          </w:p>
        </w:tc>
        <w:tc>
          <w:tcPr>
            <w:tcW w:w="4876" w:type="dxa"/>
          </w:tcPr>
          <w:p>
            <w:pPr>
              <w:pStyle w:val="Normal6a"/>
            </w:pPr>
            <w:r>
              <w:t>(29)</w:t>
            </w:r>
            <w:r>
              <w:tab/>
            </w:r>
            <w:r>
              <w:t xml:space="preserve">Podejrzani, oskarżeni lub ofiary powinni mieć </w:t>
            </w:r>
            <w:r>
              <w:rPr>
                <w:b/>
                <w:i/>
              </w:rPr>
              <w:t>prawo do</w:t>
            </w:r>
            <w:r>
              <w:t xml:space="preserve"> wystąpienia z wnioskiem o przekazanie dotyczących ich postępowań karnych do innego państwa członkowskiego. Wnioski te nie powinny nakładać na organ wnioskujący lub organ, do którego kierowany jest wniosek, obowiązku złożenia wniosku o przekazanie postępowania karnego lub przekazania takiego postępowania</w:t>
            </w:r>
            <w:r>
              <w:rPr>
                <w:b/>
                <w:i/>
              </w:rPr>
              <w:t>. Wnioski te powinny jednak być należycie oceniane przez właściwe organy, które wydają uzasadnioną decyzję i informują o niej wnioskodawców oraz wszelkie inne zainteresowane strony</w:t>
            </w:r>
            <w:r>
              <w:t>. Jeżeli w następstwie wniosku o przekazanie złożonego przez podejrzanego, oskarżonego, ofiarę lub adwokata działającego w ich imieniu organy dowiadują się o równoległym postępowaniu karnym, są one zobowiązane do przeprowadzenia wzajemnych konsultacji zgodnie z decyzją ramową 2009/948/WSiSW.</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46</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Motyw 29</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proponowany przez Komisję</w:t>
            </w:r>
          </w:p>
        </w:tc>
        <w:tc>
          <w:tcPr>
            <w:tcW w:w="4876" w:type="dxa"/>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Pr>
          <w:p>
            <w:pPr>
              <w:pStyle w:val="Normal6a"/>
            </w:pPr>
            <w:r>
              <w:t>(29)</w:t>
            </w:r>
            <w:r>
              <w:tab/>
            </w:r>
            <w:r>
              <w:t xml:space="preserve">Podejrzani, oskarżeni lub ofiary powinni mieć możliwość </w:t>
            </w:r>
            <w:r>
              <w:rPr>
                <w:b/>
                <w:i/>
              </w:rPr>
              <w:t>wystąpienia z wnioskiem o przekazanie</w:t>
            </w:r>
            <w:r>
              <w:t xml:space="preserve"> dotyczących ich postępowań karnych do innego państwa członkowskiego. </w:t>
            </w:r>
            <w:r>
              <w:rPr>
                <w:b/>
                <w:i/>
              </w:rPr>
              <w:t>Wnioski</w:t>
            </w:r>
            <w:r>
              <w:t xml:space="preserve"> te nie powinny jednak nakładać na organ wnioskujący lub organ, do którego kierowany jest wniosek, obowiązku złożenia wniosku o przekazanie postępowania karnego lub przekazania takiego postępowania. Jeżeli w następstwie </w:t>
            </w:r>
            <w:r>
              <w:rPr>
                <w:b/>
                <w:i/>
              </w:rPr>
              <w:t>wniosku o przekazanie złożonego</w:t>
            </w:r>
            <w:r>
              <w:t xml:space="preserve"> przez podejrzanego, oskarżonego, ofiarę lub adwokata działającego w ich imieniu organy dowiadują się o równoległym postępowaniu karnym, są one zobowiązane do przeprowadzenia wzajemnych konsultacji zgodnie z decyzją ramową 2009/948/WSiSW.</w:t>
            </w:r>
          </w:p>
        </w:tc>
        <w:tc>
          <w:tcPr>
            <w:tcW w:w="4876" w:type="dxa"/>
          </w:tcPr>
          <w:p>
            <w:pPr>
              <w:pStyle w:val="Normal6a"/>
            </w:pPr>
            <w:r>
              <w:t>(29)</w:t>
            </w:r>
            <w:r>
              <w:tab/>
            </w:r>
            <w:r>
              <w:t xml:space="preserve">Podejrzani, oskarżeni lub ofiary powinni mieć możliwość </w:t>
            </w:r>
            <w:r>
              <w:rPr>
                <w:b/>
                <w:i/>
              </w:rPr>
              <w:t>zasugerowania przekazania</w:t>
            </w:r>
            <w:r>
              <w:t xml:space="preserve"> dotyczących ich postępowań karnych do innego państwa członkowskiego. </w:t>
            </w:r>
            <w:r>
              <w:rPr>
                <w:b/>
                <w:i/>
              </w:rPr>
              <w:t>Sugestie</w:t>
            </w:r>
            <w:r>
              <w:t xml:space="preserve"> te nie powinny jednak nakładać na organ wnioskujący lub organ, do którego kierowany jest wniosek, obowiązku złożenia wniosku o przekazanie postępowania karnego lub przekazania takiego postępowania. Jeżeli w następstwie </w:t>
            </w:r>
            <w:r>
              <w:rPr>
                <w:b/>
                <w:i/>
              </w:rPr>
              <w:t>sugestii przekazania przedłożonej</w:t>
            </w:r>
            <w:r>
              <w:t xml:space="preserve"> przez podejrzanego, oskarżonego, ofiarę lub adwokata działającego w ich imieniu organy dowiadują się o równoległym postępowaniu karnym, są one zobowiązane do przeprowadzenia wzajemnych konsultacji zgodnie z decyzją ramową 2009/948/WSiSW.</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47</w:t>
      </w:r>
      <w:r>
        <w:rPr>
          <w:rStyle w:val="HideTWBExt"/>
        </w:rPr>
        <w:t>&lt;/NumAm&gt;</w:t>
      </w:r>
    </w:p>
    <w:p>
      <w:pPr>
        <w:pStyle w:val="NormalBold"/>
      </w:pPr>
      <w:r>
        <w:rPr>
          <w:rStyle w:val="HideTWBExt"/>
        </w:rPr>
        <w:t>&lt;RepeatBlock-By&gt;</w:t>
      </w:r>
      <w:r>
        <w:rPr>
          <w:rStyle w:val="HideTWBExt"/>
        </w:rPr>
        <w:t>&lt;Members&gt;</w:t>
      </w:r>
      <w:r>
        <w:t>Saskia Bricmont</w:t>
      </w:r>
      <w:r>
        <w:rPr>
          <w:rStyle w:val="HideTWBExt"/>
        </w:rPr>
        <w:t>&lt;/Members&gt;</w:t>
      </w:r>
    </w:p>
    <w:p>
      <w:pPr>
        <w:pStyle w:val="NormalBold"/>
      </w:pPr>
      <w:r>
        <w:rPr>
          <w:rStyle w:val="HideTWBExt"/>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Motyw 30</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proponowany przez Komisję</w:t>
            </w:r>
          </w:p>
        </w:tc>
        <w:tc>
          <w:tcPr>
            <w:tcW w:w="4876" w:type="dxa"/>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Pr>
          <w:p>
            <w:pPr>
              <w:pStyle w:val="Normal6a"/>
            </w:pPr>
            <w:r>
              <w:t>(30)</w:t>
            </w:r>
            <w:r>
              <w:tab/>
            </w:r>
            <w:r>
              <w:t xml:space="preserve">Organ wnioskujący powinien jak najszybciej poinformować podejrzanego lub oskarżonego o planowanym przekazaniu i zapewnić takiej osobie możliwość wyrażenia swojej opinii ustnie lub pisemnie, zgodnie z mającym zastosowanie prawem krajowym, aby umożliwić organom uwzględnienie jej uzasadnionych interesów przed złożeniem wniosku o przekazanie. </w:t>
            </w:r>
            <w:r>
              <w:rPr>
                <w:b/>
                <w:i/>
              </w:rPr>
              <w:t>Oceniając uzasadniony interes podejrzanego lub oskarżonego dotyczący pozyskania</w:t>
            </w:r>
            <w:r>
              <w:t xml:space="preserve"> informacji o planowanym przekazaniu, organ wnioskujący </w:t>
            </w:r>
            <w:r>
              <w:rPr>
                <w:b/>
                <w:i/>
              </w:rPr>
              <w:t>powinien wziąć pod uwagę potrzebę zapewnienia poufności postępowania przygotowawczego oraz ryzyko szkody dla postępowania karnego przeciwko tej osobie</w:t>
            </w:r>
            <w:r>
              <w:t>, np. gdy konieczne jest zabezpieczenie ważnego interesu publicznego, jak w sytuacji, w której takie informacje mogłyby zaszkodzić toczącym się utajonym dochodzeniom lub poważnie zaszkodzić bezpieczeństwu narodowemu państwa członkowskiego, w którym wszczęto postępowanie karne. Jeżeli organ wnioskujący nie może ustalić miejsca pobytu podejrzanego lub oskarżonego mimo podjęcia starań w rozsądnym zakresie, obowiązek poinformowania takiej osoby powinien mieć zastosowanie od momentu zmiany powyższej okoliczności.</w:t>
            </w:r>
          </w:p>
        </w:tc>
        <w:tc>
          <w:tcPr>
            <w:tcW w:w="4876" w:type="dxa"/>
          </w:tcPr>
          <w:p>
            <w:pPr>
              <w:pStyle w:val="Normal6a"/>
            </w:pPr>
            <w:r>
              <w:t>(30)</w:t>
            </w:r>
            <w:r>
              <w:tab/>
            </w:r>
            <w:r>
              <w:t xml:space="preserve">Organ wnioskujący powinien jak najszybciej poinformować podejrzanego lub oskarżonego o planowanym przekazaniu i zapewnić takiej osobie możliwość wyrażenia swojej opinii ustnie lub pisemnie </w:t>
            </w:r>
            <w:r>
              <w:rPr>
                <w:b/>
                <w:i/>
              </w:rPr>
              <w:t>przed zamierzonym przekazaniem</w:t>
            </w:r>
            <w:r>
              <w:t xml:space="preserve">, zgodnie z mającym zastosowanie prawem krajowym, aby umożliwić organom uwzględnienie jej uzasadnionych interesów przed złożeniem wniosku o przekazanie. </w:t>
            </w:r>
            <w:r>
              <w:rPr>
                <w:b/>
                <w:i/>
              </w:rPr>
              <w:t>Państwa członkowskie powinny zapewniać, aby prawo podejrzanych lub oskarżonych do informacji obejmowało prawo do dostępu do akt sprawy, a także wszelkie inne prawa procesowe, które są niezbędne do tego, aby dane osoby mogły skutecznie korzystać z prawa do bycia wysłuchanym.</w:t>
            </w:r>
            <w:r>
              <w:t xml:space="preserve"> </w:t>
            </w:r>
            <w:r>
              <w:rPr>
                <w:b/>
                <w:i/>
              </w:rPr>
              <w:t>Po ocenieniu, czy podejrzany lub oskarżony ma uzasadniony interes w pozyskaniu</w:t>
            </w:r>
            <w:r>
              <w:t xml:space="preserve"> informacji o planowanym przekazaniu, organ wnioskujący </w:t>
            </w:r>
            <w:r>
              <w:rPr>
                <w:b/>
                <w:i/>
              </w:rPr>
              <w:t>może w drodze wyjątku i tymczasowo odroczyć prawo do pozyskania informacji o przekazaniu, którego dotyczy wniosek, jeżeli jest to konieczne, aby zapobiec poważnym negatywnym skutkom dla życia, wolności lub integralności cielesnej osoby lub zapewnić poufność postępowania przygotowawczego</w:t>
            </w:r>
            <w:r>
              <w:t>, np. gdy konieczne jest zabezpieczenie ważnego interesu publicznego, jak w sytuacji, w której takie informacje mogłyby zaszkodzić toczącym się utajonym dochodzeniom lub poważnie zaszkodzić bezpieczeństwu narodowemu państwa członkowskiego, w którym wszczęto postępowanie karne</w:t>
            </w:r>
            <w:r>
              <w:rPr>
                <w:b/>
                <w:i/>
              </w:rPr>
              <w:t>.</w:t>
            </w:r>
            <w:r>
              <w:t>. Jeżeli organ wnioskujący nie może ustalić miejsca pobytu podejrzanego lub oskarżonego mimo podjęcia starań w rozsądnym zakresie, obowiązek poinformowania takiej osoby powinien mieć zastosowanie od momentu zmiany powyższej okoliczności.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48</w:t>
      </w:r>
      <w:r>
        <w:rPr>
          <w:rStyle w:val="HideTWBExt"/>
        </w:rPr>
        <w:t>&lt;/NumAm&gt;</w:t>
      </w:r>
    </w:p>
    <w:p>
      <w:pPr>
        <w:pStyle w:val="NormalBold"/>
      </w:pPr>
      <w:r>
        <w:rPr>
          <w:rStyle w:val="HideTWBExt"/>
        </w:rPr>
        <w:t>&lt;RepeatBlock-By&gt;</w:t>
      </w:r>
      <w:r>
        <w:rPr>
          <w:rStyle w:val="HideTWBExt"/>
        </w:rPr>
        <w:t>&lt;Members&gt;</w:t>
      </w:r>
      <w:r>
        <w:t>Evin Incir</w:t>
      </w:r>
      <w:r>
        <w:rPr>
          <w:rStyle w:val="HideTWBExt"/>
        </w:rPr>
        <w:t>&lt;/Members&gt;</w:t>
      </w:r>
    </w:p>
    <w:p>
      <w:pPr>
        <w:pStyle w:val="NormalBold"/>
      </w:pPr>
      <w:r>
        <w:rPr>
          <w:rStyle w:val="HideTWBExt"/>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Motyw 30</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proponowany przez Komisję</w:t>
            </w:r>
          </w:p>
        </w:tc>
        <w:tc>
          <w:tcPr>
            <w:tcW w:w="4876" w:type="dxa"/>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Pr>
          <w:p>
            <w:pPr>
              <w:pStyle w:val="Normal6a"/>
            </w:pPr>
            <w:r>
              <w:t>(30)</w:t>
            </w:r>
            <w:r>
              <w:tab/>
            </w:r>
            <w:r>
              <w:t>Organ wnioskujący powinien jak najszybciej poinformować podejrzanego lub oskarżonego o planowanym przekazaniu i zapewnić takiej osobie możliwość wyrażenia swojej opinii ustnie lub pisemnie, zgodnie z mającym zastosowanie prawem krajowym, aby umożliwić organom uwzględnienie jej uzasadnionych interesów przed złożeniem wniosku o przekazanie. Oceniając uzasadniony interes podejrzanego lub oskarżonego dotyczący pozyskania informacji o planowanym przekazaniu, organ wnioskujący powinien wziąć pod uwagę potrzebę zapewnienia poufności postępowania przygotowawczego oraz ryzyko szkody dla postępowania karnego przeciwko tej osobie, np. gdy konieczne jest zabezpieczenie ważnego interesu publicznego, jak w sytuacji, w której takie informacje mogłyby zaszkodzić toczącym się utajonym dochodzeniom lub poważnie zaszkodzić bezpieczeństwu narodowemu państwa członkowskiego, w którym wszczęto postępowanie karne. Jeżeli organ wnioskujący nie może ustalić miejsca pobytu podejrzanego lub oskarżonego mimo podjęcia starań w rozsądnym zakresie, obowiązek poinformowania takiej osoby powinien mieć zastosowanie od momentu zmiany powyższej okoliczności.</w:t>
            </w:r>
          </w:p>
        </w:tc>
        <w:tc>
          <w:tcPr>
            <w:tcW w:w="4876" w:type="dxa"/>
          </w:tcPr>
          <w:p>
            <w:pPr>
              <w:pStyle w:val="Normal6a"/>
            </w:pPr>
            <w:r>
              <w:t>(30)</w:t>
            </w:r>
            <w:r>
              <w:tab/>
            </w:r>
            <w:r>
              <w:t xml:space="preserve">Organ wnioskujący powinien jak najszybciej poinformować podejrzanego lub oskarżonego o planowanym przekazaniu i zapewnić takiej osobie możliwość wyrażenia swojej opinii ustnie lub pisemnie, zgodnie z mającym zastosowanie prawem krajowym, aby umożliwić organom uwzględnienie jej uzasadnionych interesów przed złożeniem wniosku o przekazanie. Oceniając uzasadniony interes podejrzanego lub oskarżonego dotyczący pozyskania informacji o planowanym przekazaniu, organ wnioskujący powinien wziąć pod uwagę potrzebę zapewnienia poufności postępowania przygotowawczego oraz ryzyko szkody dla postępowania karnego przeciwko tej osobie, np. gdy konieczne jest zabezpieczenie ważnego interesu publicznego, jak w sytuacji, w której takie informacje mogłyby zaszkodzić toczącym się utajonym dochodzeniom lub poważnie zaszkodzić bezpieczeństwu narodowemu państwa członkowskiego, w którym wszczęto postępowanie karne. Jeżeli organ wnioskujący nie może ustalić miejsca pobytu podejrzanego lub oskarżonego mimo podjęcia starań w rozsądnym zakresie, </w:t>
            </w:r>
            <w:r>
              <w:rPr>
                <w:b/>
                <w:i/>
              </w:rPr>
              <w:t>wówczas może zwrócić się o pomoc w wykonaniu tego zadania do organu, do którego kierowany jest wniosek.</w:t>
            </w:r>
            <w:r>
              <w:t xml:space="preserve"> </w:t>
            </w:r>
            <w:r>
              <w:rPr>
                <w:b/>
                <w:i/>
              </w:rPr>
              <w:t>Jeżeli organ wnioskujący nie może ustalić miejsca pobytu podejrzanego lub oskarżonego mimo podjęcia starań w rozsądnym zakresie,</w:t>
            </w:r>
            <w:r>
              <w:t xml:space="preserve"> obowiązek poinformowania takiej osoby powinien mieć zastosowanie od momentu zmiany powyższej okoliczności.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49</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Motyw 30</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proponowany przez Komisję</w:t>
            </w:r>
          </w:p>
        </w:tc>
        <w:tc>
          <w:tcPr>
            <w:tcW w:w="4876" w:type="dxa"/>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Pr>
          <w:p>
            <w:pPr>
              <w:pStyle w:val="Normal6a"/>
            </w:pPr>
            <w:r>
              <w:t>(30)</w:t>
            </w:r>
            <w:r>
              <w:tab/>
            </w:r>
            <w:r>
              <w:t xml:space="preserve">Organ wnioskujący powinien jak najszybciej poinformować podejrzanego lub oskarżonego o planowanym przekazaniu i zapewnić takiej osobie możliwość wyrażenia swojej opinii ustnie lub pisemnie, zgodnie z mającym zastosowanie prawem krajowym, aby umożliwić organom </w:t>
            </w:r>
            <w:r>
              <w:rPr>
                <w:b/>
                <w:i/>
              </w:rPr>
              <w:t>uwzględnienie</w:t>
            </w:r>
            <w:r>
              <w:t xml:space="preserve"> jej uzasadnionych interesów przed złożeniem wniosku o przekazanie. Oceniając uzasadniony interes podejrzanego lub oskarżonego dotyczący pozyskania informacji o planowanym przekazaniu, organ wnioskujący powinien wziąć pod uwagę potrzebę zapewnienia poufności postępowania przygotowawczego oraz ryzyko szkody dla postępowania karnego przeciwko tej osobie, np. gdy konieczne jest zabezpieczenie ważnego interesu publicznego, jak w sytuacji, w której takie informacje mogłyby zaszkodzić toczącym się utajonym dochodzeniom lub poważnie zaszkodzić bezpieczeństwu narodowemu państwa członkowskiego, w którym wszczęto postępowanie karne. Jeżeli organ wnioskujący nie może ustalić miejsca pobytu podejrzanego lub oskarżonego </w:t>
            </w:r>
            <w:r>
              <w:rPr>
                <w:b/>
                <w:i/>
              </w:rPr>
              <w:t>mimo podjęcia starań w rozsądnym zakresie</w:t>
            </w:r>
            <w:r>
              <w:t>, obowiązek poinformowania takiej osoby powinien mieć zastosowanie od momentu zmiany powyższej okoliczności.</w:t>
            </w:r>
          </w:p>
        </w:tc>
        <w:tc>
          <w:tcPr>
            <w:tcW w:w="4876" w:type="dxa"/>
          </w:tcPr>
          <w:p>
            <w:pPr>
              <w:pStyle w:val="Normal6a"/>
            </w:pPr>
            <w:r>
              <w:t>(30)</w:t>
            </w:r>
            <w:r>
              <w:tab/>
            </w:r>
            <w:r>
              <w:t xml:space="preserve">Organ wnioskujący powinien jak najszybciej poinformować podejrzanego lub oskarżonego o planowanym przekazaniu i zapewnić takiej osobie możliwość wyrażenia swojej opinii ustnie lub pisemnie, zgodnie z mającym zastosowanie prawem krajowym, aby umożliwić organom </w:t>
            </w:r>
            <w:r>
              <w:rPr>
                <w:b/>
                <w:i/>
              </w:rPr>
              <w:t>zarejestrowanie</w:t>
            </w:r>
            <w:r>
              <w:t xml:space="preserve"> jej uzasadnionych interesów przed złożeniem wniosku o przekazanie. Oceniając uzasadniony interes podejrzanego lub oskarżonego dotyczący pozyskania informacji o planowanym przekazaniu, organ wnioskujący powinien wziąć pod uwagę potrzebę zapewnienia poufności postępowania przygotowawczego oraz ryzyko szkody dla postępowania karnego przeciwko tej osobie, np. gdy konieczne jest zabezpieczenie ważnego interesu publicznego, jak w sytuacji, w której takie informacje mogłyby zaszkodzić toczącym się utajonym dochodzeniom lub poważnie zaszkodzić bezpieczeństwu narodowemu państwa członkowskiego, w którym wszczęto postępowanie karne. Jeżeli organ wnioskujący nie może ustalić miejsca pobytu podejrzanego lub oskarżonego, obowiązek poinformowania takiej osoby powinien mieć zastosowanie od momentu zmiany powyższej okoliczności.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50</w:t>
      </w:r>
      <w:r>
        <w:rPr>
          <w:rStyle w:val="HideTWBExt"/>
        </w:rPr>
        <w:t>&lt;/NumAm&gt;</w:t>
      </w:r>
    </w:p>
    <w:p>
      <w:pPr>
        <w:pStyle w:val="NormalBold"/>
      </w:pPr>
      <w:r>
        <w:rPr>
          <w:rStyle w:val="HideTWBExt"/>
        </w:rPr>
        <w:t>&lt;RepeatBlock-By&gt;</w:t>
      </w:r>
      <w:r>
        <w:rPr>
          <w:rStyle w:val="HideTWBExt"/>
        </w:rPr>
        <w:t>&lt;Members&gt;</w:t>
      </w:r>
      <w:r>
        <w:t>Evin Incir</w:t>
      </w:r>
      <w:r>
        <w:rPr>
          <w:rStyle w:val="HideTWBExt"/>
        </w:rPr>
        <w:t>&lt;/Members&gt;</w:t>
      </w:r>
    </w:p>
    <w:p>
      <w:pPr>
        <w:pStyle w:val="NormalBold"/>
      </w:pPr>
      <w:r>
        <w:rPr>
          <w:rStyle w:val="HideTWBExt"/>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Motyw 31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proponowany przez Komisję</w:t>
            </w:r>
          </w:p>
        </w:tc>
        <w:tc>
          <w:tcPr>
            <w:tcW w:w="4876" w:type="dxa"/>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Pr>
          <w:p>
            <w:pPr>
              <w:pStyle w:val="Normal6a"/>
            </w:pPr>
            <w:r>
              <w:t>(31)</w:t>
            </w:r>
            <w:r>
              <w:tab/>
            </w:r>
            <w:r>
              <w:t>Stosując przedmiotowe rozporządzenie należy uwzględnić prawa ofiar określone w dyrektywie Parlamentu Europejskiego i Rady 2012/29/UE</w:t>
            </w:r>
            <w:r>
              <w:rPr>
                <w:vertAlign w:val="superscript"/>
              </w:rPr>
              <w:t>63</w:t>
            </w:r>
            <w:r>
              <w:t>. Przedmiotowego rozporządzenia nie należy interpretować jako uniemożliwiającego państwom członkowskim przyznawanie ofiarom na mocy prawa krajowego szerszych uprawnień niż te, które określa prawo Unii.</w:t>
            </w:r>
          </w:p>
        </w:tc>
        <w:tc>
          <w:tcPr>
            <w:tcW w:w="4876" w:type="dxa"/>
          </w:tcPr>
          <w:p>
            <w:pPr>
              <w:pStyle w:val="Normal6a"/>
            </w:pPr>
            <w:r>
              <w:t>(31)</w:t>
            </w:r>
            <w:r>
              <w:tab/>
            </w:r>
            <w:r>
              <w:t>Stosując przedmiotowe rozporządzenie należy uwzględnić prawa ofiar określone w dyrektywie Parlamentu Europejskiego i Rady 2012/29/UE</w:t>
            </w:r>
            <w:r>
              <w:rPr>
                <w:vertAlign w:val="superscript"/>
              </w:rPr>
              <w:t>63</w:t>
            </w:r>
            <w:r>
              <w:t xml:space="preserve">. </w:t>
            </w:r>
            <w:r>
              <w:rPr>
                <w:b/>
                <w:i/>
              </w:rPr>
              <w:t>W wyjątkowych przypadkach, na przykład ze względu na dużą liczbę ofiar uczestniczących w danej sprawie, gdy trudno jest poinformować niektóre ofiary o zamiarze wystąpienia z wnioskiem o przekazanie postępowania i skonsultować się z nimi, powinna istnieć możliwość poinformowania ofiar za pośrednictwem prasy, oficjalnej strony internetowej właściwego organu lub podobnego kanału komunikacji, zgodnie z dyrektywą 2012/29/UE.</w:t>
            </w:r>
            <w:r>
              <w:t xml:space="preserve"> Przedmiotowego rozporządzenia nie należy interpretować jako uniemożliwiającego państwom członkowskim przyznawanie ofiarom na mocy prawa krajowego szerszych uprawnień niż te, które określa prawo Unii.</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_________________</w:t>
            </w:r>
          </w:p>
        </w:tc>
        <w:tc>
          <w:tcPr>
            <w:tcW w:w="4876" w:type="dxa"/>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Pr>
          <w:p>
            <w:pPr>
              <w:pStyle w:val="Normal6a"/>
            </w:pPr>
            <w:r>
              <w:rPr>
                <w:vertAlign w:val="superscript"/>
              </w:rPr>
              <w:t>63</w:t>
            </w:r>
            <w:r>
              <w:t xml:space="preserve"> </w:t>
            </w:r>
            <w:r>
              <w:t>Dyrektywa Parlamentu Europejskiego i Rady 2012/29/UE z dnia 25 października 2012 r. ustanawiająca normy minimalne w zakresie praw, wsparcia i ochrony ofiar przestępstw oraz zastępująca decyzję ramową Rady 2001/220/WSiSW (Dz.U. L 315 z 14.11.2012, s. 57).</w:t>
            </w:r>
          </w:p>
        </w:tc>
        <w:tc>
          <w:tcPr>
            <w:tcW w:w="4876" w:type="dxa"/>
          </w:tcPr>
          <w:p>
            <w:pPr>
              <w:pStyle w:val="Normal6a"/>
            </w:pPr>
            <w:r>
              <w:rPr>
                <w:vertAlign w:val="superscript"/>
              </w:rPr>
              <w:t>63</w:t>
            </w:r>
            <w:r>
              <w:t xml:space="preserve"> </w:t>
            </w:r>
            <w:r>
              <w:t>Dyrektywa Parlamentu Europejskiego i Rady 2012/29/UE z dnia 25 października 2012 r. ustanawiająca normy minimalne w zakresie praw, wsparcia i ochrony ofiar przestępstw oraz zastępująca decyzję ramową Rady 2001/220/WSiSW (Dz.U. L 315 z 14.11.2012, s. 57).</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51</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Motyw 34</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proponowany przez Komisję</w:t>
            </w:r>
          </w:p>
        </w:tc>
        <w:tc>
          <w:tcPr>
            <w:tcW w:w="4876" w:type="dxa"/>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Pr>
          <w:p>
            <w:pPr>
              <w:pStyle w:val="Normal6a"/>
            </w:pPr>
            <w:r>
              <w:t>(34)</w:t>
            </w:r>
            <w:r>
              <w:tab/>
            </w:r>
            <w:r>
              <w:t>Państwo, do którego kierowany jest wniosek, powinno zapewnić podejrzanym i oskarżonym, a także ofiarom, dostęp do skutecznych środków odwoławczych od decyzji o wyrażeniu zgody na przekazanie postępowania karnego, zgodnie z art. 47 Karty i z procedurami mającymi zastosowanie na mocy prawa krajowego, jeżeli stosowanie niniejszego rozporządzenia ma niekorzystny wpływ na prawa tych osób.</w:t>
            </w:r>
          </w:p>
        </w:tc>
        <w:tc>
          <w:tcPr>
            <w:tcW w:w="4876" w:type="dxa"/>
          </w:tcPr>
          <w:p>
            <w:pPr>
              <w:pStyle w:val="Normal6a"/>
            </w:pPr>
            <w:r>
              <w:t>(34)</w:t>
            </w:r>
            <w:r>
              <w:tab/>
            </w:r>
            <w:r>
              <w:t xml:space="preserve">Państwo, do którego kierowany jest wniosek, powinno zapewnić podejrzanym i oskarżonym, a także ofiarom, dostęp do skutecznych środków odwoławczych od decyzji o wyrażeniu zgody na przekazanie postępowania karnego, zgodnie z art. 47 Karty i z procedurami mającymi zastosowanie na mocy prawa krajowego, jeżeli stosowanie niniejszego rozporządzenia ma niekorzystny wpływ na prawa tych osób. </w:t>
            </w:r>
            <w:r>
              <w:rPr>
                <w:b/>
                <w:i/>
              </w:rPr>
              <w:t>Podstawy odmowy, o których mowa w art. 13, mogą służyć jako dodatkowa podstawa oceny w celu ustalenia, czy należy skorzystać ze środka odwoławczego.</w:t>
            </w:r>
            <w:r>
              <w:t xml:space="preserve"> </w:t>
            </w:r>
            <w:r>
              <w:rPr>
                <w:b/>
                <w:i/>
              </w:rPr>
              <w:t>Jeżeli przyznano swobodę uznania na podstawie art. 13 ust. 2 lit. b), właściwy organ w państwie, do którego kierowany jest wniosek, powinien być uprawniony do sprawdzenia, czy organ w państwie, do którego kierowany jest wniosek, popełnił oczywiste błędy w korzystaniu z tej swobody uznania.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52</w:t>
      </w:r>
      <w:r>
        <w:rPr>
          <w:rStyle w:val="HideTWBExt"/>
        </w:rPr>
        <w:t>&lt;/NumAm&gt;</w:t>
      </w:r>
    </w:p>
    <w:p>
      <w:pPr>
        <w:pStyle w:val="NormalBold"/>
      </w:pPr>
      <w:r>
        <w:rPr>
          <w:rStyle w:val="HideTWBExt"/>
        </w:rPr>
        <w:t>&lt;RepeatBlock-By&gt;</w:t>
      </w:r>
      <w:r>
        <w:rPr>
          <w:rStyle w:val="HideTWBExt"/>
        </w:rPr>
        <w:t>&lt;Members&gt;</w:t>
      </w:r>
      <w:r>
        <w:t>Saskia Bricmont</w:t>
      </w:r>
      <w:r>
        <w:rPr>
          <w:rStyle w:val="HideTWBExt"/>
        </w:rPr>
        <w:t>&lt;/Members&gt;</w:t>
      </w:r>
    </w:p>
    <w:p>
      <w:pPr>
        <w:pStyle w:val="NormalBold"/>
      </w:pPr>
      <w:r>
        <w:rPr>
          <w:rStyle w:val="HideTWBExt"/>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Motyw 34</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proponowany przez Komisję</w:t>
            </w:r>
          </w:p>
        </w:tc>
        <w:tc>
          <w:tcPr>
            <w:tcW w:w="4876" w:type="dxa"/>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Pr>
          <w:p>
            <w:pPr>
              <w:pStyle w:val="Normal6a"/>
            </w:pPr>
            <w:r>
              <w:t>(34)</w:t>
            </w:r>
            <w:r>
              <w:tab/>
            </w:r>
            <w:r>
              <w:t xml:space="preserve">Państwo, do którego kierowany jest wniosek, </w:t>
            </w:r>
            <w:r>
              <w:rPr>
                <w:b/>
                <w:i/>
              </w:rPr>
              <w:t>powinno</w:t>
            </w:r>
            <w:r>
              <w:t xml:space="preserve"> zapewnić podejrzanym i oskarżonym, a także ofiarom, dostęp do skutecznych środków odwoławczych od decyzji o wyrażeniu zgody na przekazanie postępowania karnego</w:t>
            </w:r>
            <w:r>
              <w:rPr>
                <w:b/>
                <w:i/>
              </w:rPr>
              <w:t>,</w:t>
            </w:r>
            <w:r>
              <w:t xml:space="preserve"> zgodnie z art. 47 Karty i z procedurami mającymi zastosowanie na mocy prawa krajowego, jeżeli stosowanie niniejszego rozporządzenia ma niekorzystny wpływ na prawa tych osób.</w:t>
            </w:r>
          </w:p>
        </w:tc>
        <w:tc>
          <w:tcPr>
            <w:tcW w:w="4876" w:type="dxa"/>
          </w:tcPr>
          <w:p>
            <w:pPr>
              <w:pStyle w:val="Normal6a"/>
            </w:pPr>
            <w:r>
              <w:t>(34)</w:t>
            </w:r>
            <w:r>
              <w:tab/>
            </w:r>
            <w:r>
              <w:t xml:space="preserve">Państwo </w:t>
            </w:r>
            <w:r>
              <w:rPr>
                <w:b/>
                <w:i/>
              </w:rPr>
              <w:t>wnioskujące i państwo</w:t>
            </w:r>
            <w:r>
              <w:t xml:space="preserve">, do którego kierowany jest wniosek, </w:t>
            </w:r>
            <w:r>
              <w:rPr>
                <w:b/>
                <w:i/>
              </w:rPr>
              <w:t>powinny</w:t>
            </w:r>
            <w:r>
              <w:t xml:space="preserve"> zapewnić podejrzanym i oskarżonym, a także ofiarom, dostęp do skutecznych środków odwoławczych od decyzji o </w:t>
            </w:r>
            <w:r>
              <w:rPr>
                <w:b/>
                <w:i/>
              </w:rPr>
              <w:t>wystąpieniu z wnioskiem o przekazanie postępowania karnego, o</w:t>
            </w:r>
            <w:r>
              <w:t xml:space="preserve"> wyrażeniu zgody na przekazanie postępowania karnego </w:t>
            </w:r>
            <w:r>
              <w:rPr>
                <w:b/>
                <w:i/>
              </w:rPr>
              <w:t>lub o odmowie wyrażenia takiej zgody</w:t>
            </w:r>
            <w:r>
              <w:t> zgodnie z art. 47 Karty i z procedurami mającymi zastosowanie na mocy prawa krajowego, jeżeli stosowanie niniejszego rozporządzenia ma niekorzystny wpływ na prawa tych osób.</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53</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Motyw 34 a (nowy)</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proponowany przez Komisję</w:t>
            </w:r>
          </w:p>
        </w:tc>
        <w:tc>
          <w:tcPr>
            <w:tcW w:w="4876" w:type="dxa"/>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(34a)</w:t>
            </w:r>
            <w:r>
              <w:tab/>
            </w:r>
            <w:r>
              <w:rPr>
                <w:b/>
                <w:i/>
              </w:rPr>
              <w:t>Państwa członkowskie zapewniają, aby podejrzani, oskarżeni i ofiary mieli prawo do dostępu do akt sprawy, a także aby przysługiwały im wszelkie inne prawa procesowe, które są niezbędne do tego, aby mogli skutecznie korzystać z prawa do skutecznego środka odwoławczego.</w:t>
            </w:r>
            <w:r>
              <w:t xml:space="preserve"> </w:t>
            </w:r>
            <w:r>
              <w:rPr>
                <w:b/>
                <w:i/>
              </w:rPr>
              <w:t>Dostęp do akt jest ograniczony do dokumentów związanych z przekazaniem postępowania karnego i do celów skorzystania przez daną osobę z przysługującego jej prawa do skutecznego środka odwoławczego.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54</w:t>
      </w:r>
      <w:r>
        <w:rPr>
          <w:rStyle w:val="HideTWBExt"/>
        </w:rPr>
        <w:t>&lt;/NumAm&gt;</w:t>
      </w:r>
    </w:p>
    <w:p>
      <w:pPr>
        <w:pStyle w:val="NormalBold"/>
      </w:pPr>
      <w:r>
        <w:rPr>
          <w:rStyle w:val="HideTWBExt"/>
        </w:rPr>
        <w:t>&lt;RepeatBlock-By&gt;</w:t>
      </w:r>
      <w:r>
        <w:rPr>
          <w:rStyle w:val="HideTWBExt"/>
        </w:rPr>
        <w:t>&lt;Members&gt;</w:t>
      </w:r>
      <w:r>
        <w:t>Saskia Bricmont</w:t>
      </w:r>
      <w:r>
        <w:rPr>
          <w:rStyle w:val="HideTWBExt"/>
        </w:rPr>
        <w:t>&lt;/Members&gt;</w:t>
      </w:r>
    </w:p>
    <w:p>
      <w:pPr>
        <w:pStyle w:val="NormalBold"/>
      </w:pPr>
      <w:r>
        <w:rPr>
          <w:rStyle w:val="HideTWBExt"/>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Motyw 36</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proponowany przez Komisję</w:t>
            </w:r>
          </w:p>
        </w:tc>
        <w:tc>
          <w:tcPr>
            <w:tcW w:w="4876" w:type="dxa"/>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Pr>
          <w:p>
            <w:pPr>
              <w:pStyle w:val="Normal6a"/>
            </w:pPr>
            <w:r>
              <w:t>(36)</w:t>
            </w:r>
            <w:r>
              <w:tab/>
            </w:r>
            <w:r>
              <w:t>Organ wnioskujący powinien skonsultować się z organem, do którego kierowany jest wniosek, przed wydaniem wniosku o przekazanie postępowania karnego, w szczególności gdy jest to konieczne do ustalenia, czy przekazanie postępowania karnego leży w interesie skutecznego i prawidłowego sprawowania wymiaru sprawiedliwości, a także czy jest prawdopodobne, że organ, do którego kierowany jest wniosek, powoła się na jedną z podstaw odmowy na podstawie przedmiotowego rozporządzenia.</w:t>
            </w:r>
          </w:p>
        </w:tc>
        <w:tc>
          <w:tcPr>
            <w:tcW w:w="4876" w:type="dxa"/>
          </w:tcPr>
          <w:p>
            <w:pPr>
              <w:pStyle w:val="Normal6a"/>
            </w:pPr>
            <w:r>
              <w:t>(36)</w:t>
            </w:r>
            <w:r>
              <w:tab/>
            </w:r>
            <w:r>
              <w:t xml:space="preserve">Organ wnioskujący powinien skonsultować się z organem, do którego kierowany jest wniosek, przed wydaniem wniosku o przekazanie postępowania karnego, w szczególności gdy jest to konieczne do ustalenia, czy przekazanie postępowania karnego leży w interesie skutecznego i prawidłowego sprawowania wymiaru sprawiedliwości, </w:t>
            </w:r>
            <w:r>
              <w:rPr>
                <w:b/>
                <w:i/>
              </w:rPr>
              <w:t>chyba że nadmiernie zagrażałoby to skutecznej ochronie podstawowych praw podejrzanych, oskarżonych lub ofiar,</w:t>
            </w:r>
            <w:r>
              <w:t xml:space="preserve"> a także czy jest prawdopodobne, że organ, do którego kierowany jest wniosek, powoła się na jedną z podstaw odmowy na podstawie przedmiotowego rozporządzenia.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55</w:t>
      </w:r>
      <w:r>
        <w:rPr>
          <w:rStyle w:val="HideTWBExt"/>
        </w:rPr>
        <w:t>&lt;/NumAm&gt;</w:t>
      </w:r>
    </w:p>
    <w:p>
      <w:pPr>
        <w:pStyle w:val="NormalBold"/>
      </w:pPr>
      <w:r>
        <w:rPr>
          <w:rStyle w:val="HideTWBExt"/>
        </w:rPr>
        <w:t>&lt;RepeatBlock-By&gt;</w:t>
      </w:r>
      <w:r>
        <w:rPr>
          <w:rStyle w:val="HideTWBExt"/>
        </w:rPr>
        <w:t>&lt;Members&gt;</w:t>
      </w:r>
      <w:r>
        <w:t>Saskia Bricmont</w:t>
      </w:r>
      <w:r>
        <w:rPr>
          <w:rStyle w:val="HideTWBExt"/>
        </w:rPr>
        <w:t>&lt;/Members&gt;</w:t>
      </w:r>
    </w:p>
    <w:p>
      <w:pPr>
        <w:pStyle w:val="NormalBold"/>
      </w:pPr>
      <w:r>
        <w:rPr>
          <w:rStyle w:val="HideTWBExt"/>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Motyw 38</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proponowany przez Komisję</w:t>
            </w:r>
          </w:p>
        </w:tc>
        <w:tc>
          <w:tcPr>
            <w:tcW w:w="4876" w:type="dxa"/>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Pr>
          <w:p>
            <w:pPr>
              <w:pStyle w:val="Normal6a"/>
            </w:pPr>
            <w:r>
              <w:t>(38)</w:t>
            </w:r>
            <w:r>
              <w:tab/>
            </w:r>
            <w:r>
              <w:t>Dopóki organ, do którego kierowany jest wniosek, nie podejmie decyzji o wyrażeniu zgody na przekazanie postępowania karnego, organ wnioskujący powinien mieć możliwość wycofania wniosku, na przykład gdy pozyska wiedzę o dodatkowych aspektach, w związku z którymi przekazanie nie będzie wydawać się już uzasadnione.</w:t>
            </w:r>
          </w:p>
        </w:tc>
        <w:tc>
          <w:tcPr>
            <w:tcW w:w="4876" w:type="dxa"/>
          </w:tcPr>
          <w:p>
            <w:pPr>
              <w:pStyle w:val="Normal6a"/>
            </w:pPr>
            <w:r>
              <w:t>(38)</w:t>
            </w:r>
            <w:r>
              <w:tab/>
            </w:r>
            <w:r>
              <w:t xml:space="preserve">Dopóki organ, do którego kierowany jest wniosek, nie podejmie decyzji o wyrażeniu zgody na przekazanie postępowania karnego, organ wnioskujący powinien mieć możliwość wycofania wniosku, na przykład gdy pozyska wiedzę o dodatkowych aspektach, w związku z którymi przekazanie nie będzie wydawać się już uzasadnione. </w:t>
            </w:r>
            <w:r>
              <w:rPr>
                <w:b/>
                <w:i/>
              </w:rPr>
              <w:t>Decyzja o wycofaniu wniosku powinna być uzasadniona na piśmie, a uzasadnienie należy przekazać podejrzanym lub oskarżonym oraz ofiarom.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56</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Motyw 39</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proponowany przez Komisję</w:t>
            </w:r>
          </w:p>
        </w:tc>
        <w:tc>
          <w:tcPr>
            <w:tcW w:w="4876" w:type="dxa"/>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Pr>
          <w:p>
            <w:pPr>
              <w:pStyle w:val="Normal6a"/>
            </w:pPr>
            <w:r>
              <w:t>(39)</w:t>
            </w:r>
            <w:r>
              <w:tab/>
            </w:r>
            <w:r>
              <w:t>Organ, do którego kierowany jest wniosek, powinien poinformować organ wnioskujący o swojej uzasadnionej decyzji w sprawie wyrażenia zgody na przekazanie mu postępowania karnego niezwłocznie i nie później niż 60 dni po otrzymaniu wniosku o przekazanie postępowania karnego. W szczególnych przypadkach, gdy organ, do którego kierowany jest wniosek, nie jest w stanie dotrzymać tego terminu, na przykład jeżeli uzna, że konieczne są dodatkowe informacje, termin może zostać przedłużony jedynie o kolejne 30 dni, aby uniknąć nadmiernych opóźnień.</w:t>
            </w:r>
          </w:p>
        </w:tc>
        <w:tc>
          <w:tcPr>
            <w:tcW w:w="4876" w:type="dxa"/>
          </w:tcPr>
          <w:p>
            <w:pPr>
              <w:pStyle w:val="Normal6a"/>
            </w:pPr>
            <w:r>
              <w:t>(39)</w:t>
            </w:r>
            <w:r>
              <w:tab/>
            </w:r>
            <w:r>
              <w:t xml:space="preserve">Organ, do którego kierowany jest wniosek, powinien poinformować organ wnioskujący o swojej uzasadnionej decyzji w sprawie wyrażenia zgody na przekazanie mu postępowania karnego niezwłocznie i nie później niż 60 dni po otrzymaniu wniosku o przekazanie postępowania karnego. W szczególnych przypadkach, gdy organ, do którego kierowany jest wniosek, nie jest w stanie dotrzymać tego terminu, na przykład jeżeli uzna, że konieczne są dodatkowe informacje, termin może zostać przedłużony jedynie o kolejne 30 dni, aby uniknąć nadmiernych opóźnień. </w:t>
            </w:r>
            <w:r>
              <w:rPr>
                <w:b/>
                <w:i/>
              </w:rPr>
              <w:t>W niektórych przypadkach organ, do którego kierowany jest wniosek, może nie być znany organowi wnioskującemu lub może nie być właściwy do podjęcia decyzji na podstawie art. 12.</w:t>
            </w:r>
            <w:r>
              <w:t xml:space="preserve"> </w:t>
            </w:r>
            <w:r>
              <w:rPr>
                <w:b/>
                <w:i/>
              </w:rPr>
              <w:t>Ostatecznie właściwy organ w państwie członkowskim, do którego kierowany jest wniosek, wydaje potwierdzenie otrzymania wniosku.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57</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Motyw 40</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proponowany przez Komisję</w:t>
            </w:r>
          </w:p>
        </w:tc>
        <w:tc>
          <w:tcPr>
            <w:tcW w:w="4876" w:type="dxa"/>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Pr>
          <w:p>
            <w:pPr>
              <w:pStyle w:val="Normal6a"/>
            </w:pPr>
            <w:r>
              <w:t>(40)</w:t>
            </w:r>
            <w:r>
              <w:tab/>
            </w:r>
            <w:r>
              <w:t xml:space="preserve">Odmowy w sprawie przekazania postępowania karnego nie należy udzielać z powodów innych niż przewidziane w przedmiotowym rozporządzeniu. Aby zgoda na przekazanie postępowania karnego mogła być wyrażona, w państwie, do którego kierowany jest wniosek, możliwe powinno być ściganie czynów leżących u podstaw postępowania karnego. Organ, do którego kierowany jest wniosek, nie powinien wyrazić zgody na przekazanie mu postępowania karnego, jeżeli czyn, którego dotyczy wniosek, nie jest przestępstwem w państwie, do którego kierowany jest wniosek, lub gdy państwo, do którego kierowany jest wniosek, nie sprawuje jurysdykcji w zakresie tego przestępstwa, chyba że sprawuje jurysdykcję przewidzianą przedmiotowym rozporządzeniem. Ponadto nie należy wyrażać zgody na przekazanie postępowania karnego w przypadku innych przeszkód w ściganiu w państwie, do którego kierowany jest wniosek. Organ, do którego kierowany jest wniosek, </w:t>
            </w:r>
            <w:r>
              <w:rPr>
                <w:b/>
                <w:i/>
              </w:rPr>
              <w:t>powinien mieć</w:t>
            </w:r>
            <w:r>
              <w:t xml:space="preserve"> również możliwość odmowy przekazania postępowania karnego, jeżeli podejrzany lub oskarżony korzysta z immunitetu lub przywileju zgodnie z prawem państwa, do którego kierowany jest wniosek, np. w przypadku niektórych kategorii osób (takich jak dyplomaci) lub szczególnie chronionych relacji (takich jak przywilej adwokata i jego klienta), lub jeżeli organ, do którego kierowany jest wniosek, uważa, że takie przekazanie nie jest uzasadnione interesem skutecznego i prawidłowego sprawowania wymiaru sprawiedliwości, na przykład ze względu na to, że nie jest spełnione żadne z kryteriów wymaganych do złożenia wniosku o przekazanie postępowania karnego lub jeżeli zaświadczenie dotyczące wniosku o przekazanie jest niekompletne lub nieprawidłowo wypełnione przez organ wnioskujący, co nie pozwala organowi, do którego kierowany jest wniosek, na uzyskanie informacji niezbędnych do oceny wniosku o przekazanie postępowania karnego.</w:t>
            </w:r>
          </w:p>
        </w:tc>
        <w:tc>
          <w:tcPr>
            <w:tcW w:w="4876" w:type="dxa"/>
          </w:tcPr>
          <w:p>
            <w:pPr>
              <w:pStyle w:val="Normal6a"/>
            </w:pPr>
            <w:r>
              <w:t>(40)</w:t>
            </w:r>
            <w:r>
              <w:tab/>
            </w:r>
            <w:r>
              <w:t xml:space="preserve">Odmowy w sprawie przekazania postępowania karnego nie należy udzielać z powodów innych niż przewidziane w przedmiotowym rozporządzeniu. Aby zgoda na przekazanie postępowania karnego mogła być wyrażona, w państwie, do którego kierowany jest wniosek, możliwe powinno być ściganie czynów leżących u podstaw postępowania karnego. Organ, do którego kierowany jest wniosek, nie powinien wyrazić zgody na przekazanie mu postępowania karnego, jeżeli czyn, którego dotyczy wniosek, nie jest przestępstwem w państwie, do którego kierowany jest wniosek, lub gdy państwo, do którego kierowany jest wniosek, nie sprawuje jurysdykcji w zakresie tego przestępstwa, chyba że sprawuje jurysdykcję przewidzianą przedmiotowym rozporządzeniem. Ponadto nie należy wyrażać zgody na przekazanie postępowania karnego w przypadku innych przeszkód w ściganiu w państwie, do którego kierowany jest wniosek. Organ, do którego kierowany jest wniosek, </w:t>
            </w:r>
            <w:r>
              <w:rPr>
                <w:b/>
                <w:i/>
              </w:rPr>
              <w:t>ma</w:t>
            </w:r>
            <w:r>
              <w:t xml:space="preserve"> również możliwość odmowy przekazania postępowania karnego, jeżeli podejrzany lub oskarżony korzysta z immunitetu lub przywileju zgodnie z prawem państwa, do którego kierowany jest wniosek, np. w przypadku niektórych kategorii osób (takich jak dyplomaci) lub szczególnie chronionych relacji (takich jak przywilej adwokata i jego klienta), lub jeżeli organ, do którego kierowany jest wniosek, uważa, że takie przekazanie nie jest uzasadnione interesem skutecznego i prawidłowego sprawowania wymiaru sprawiedliwości, na przykład ze względu na to, że nie jest spełnione żadne z kryteriów wymaganych do złożenia wniosku o przekazanie postępowania karnego lub jeżeli zaświadczenie dotyczące wniosku o przekazanie jest niekompletne lub nieprawidłowo wypełnione przez organ wnioskujący, co nie pozwala organowi, do którego kierowany jest wniosek, na uzyskanie informacji niezbędnych do oceny wniosku o przekazanie postępowania karnego.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58</w:t>
      </w:r>
      <w:r>
        <w:rPr>
          <w:rStyle w:val="HideTWBExt"/>
        </w:rPr>
        <w:t>&lt;/NumAm&gt;</w:t>
      </w:r>
    </w:p>
    <w:p>
      <w:pPr>
        <w:pStyle w:val="NormalBold"/>
      </w:pPr>
      <w:r>
        <w:rPr>
          <w:rStyle w:val="HideTWBExt"/>
        </w:rPr>
        <w:t>&lt;RepeatBlock-By&gt;</w:t>
      </w:r>
      <w:r>
        <w:rPr>
          <w:rStyle w:val="HideTWBExt"/>
        </w:rPr>
        <w:t>&lt;Members&gt;</w:t>
      </w:r>
      <w:r>
        <w:t>Saskia Bricmont</w:t>
      </w:r>
      <w:r>
        <w:rPr>
          <w:rStyle w:val="HideTWBExt"/>
        </w:rPr>
        <w:t>&lt;/Members&gt;</w:t>
      </w:r>
    </w:p>
    <w:p>
      <w:pPr>
        <w:pStyle w:val="NormalBold"/>
      </w:pPr>
      <w:r>
        <w:rPr>
          <w:rStyle w:val="HideTWBExt"/>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Motyw 43</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proponowany przez Komisję</w:t>
            </w:r>
          </w:p>
        </w:tc>
        <w:tc>
          <w:tcPr>
            <w:tcW w:w="4876" w:type="dxa"/>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Pr>
          <w:p>
            <w:pPr>
              <w:pStyle w:val="Normal6a"/>
            </w:pPr>
            <w:r>
              <w:t>(43)</w:t>
            </w:r>
            <w:r>
              <w:tab/>
            </w:r>
            <w:r>
              <w:t xml:space="preserve">Wyrażenie zgody na przekazanie postępowania karnego przez organ, do którego kierowany jest wniosek, powinno skutkować zawieszeniem lub umorzeniem postępowania karnego w państwie wnioskującym, aby uniknąć powielania środków w państwie wnioskującym i państwie, do którego kierowany jest wniosek. </w:t>
            </w:r>
            <w:r>
              <w:rPr>
                <w:b/>
                <w:i/>
              </w:rPr>
              <w:t>Powinno to pozostawać bez uszczerbku dla postępowań przygotowawczych lub innych środków procesowych, które mogą być niezbędne do wykonania decyzji opartych na instrumentach wzajemnego uznawania lub do zastosowania się do wniosków o wzajemną pomoc prawną związanych z postępowaniem, którego dotyczy</w:t>
            </w:r>
            <w:r>
              <w:t xml:space="preserve"> przekazanie</w:t>
            </w:r>
            <w:r>
              <w:rPr>
                <w:b/>
                <w:i/>
              </w:rPr>
              <w:t>.</w:t>
            </w:r>
            <w:r>
              <w:t xml:space="preserve"> </w:t>
            </w:r>
            <w:r>
              <w:rPr>
                <w:b/>
                <w:i/>
              </w:rPr>
              <w:t>Pojęciu „czynności dochodzeniowych lub innych środków procesowych” należy nadać wykładnię rozszerzającą, jako obejmującemu nie tylko wszelkie środki służące gromadzeniu materiału dowodowego, lecz także wszelkie czynności procesowe skutkujące zastosowaniem tymczasowego aresztowania lub wszelkie inne środki tymczasowe.</w:t>
            </w:r>
            <w:r>
              <w:t xml:space="preserve"> </w:t>
            </w:r>
            <w:r>
              <w:rPr>
                <w:b/>
                <w:i/>
              </w:rPr>
              <w:t>Aby uniknąć nadużywania środków zaskarżenia i zapewnić, aby postępowanie karne nie podlegało zawieszeniu na dłuższy czas w sytuacji, gdy w</w:t>
            </w:r>
            <w:r>
              <w:t xml:space="preserve"> państwie</w:t>
            </w:r>
            <w:r>
              <w:rPr>
                <w:b/>
                <w:i/>
              </w:rPr>
              <w:t>, do którego kierowany jest wniosek, powołano się na środek odwoławczy o skutku zawieszającym, nie należy zawieszać ani umarzać postępowania karnego w państwie wnioskującym do czasu podjęcia decyzji w sprawie środka odwoławczego w państwie, do którego kierowany jest wniosek</w:t>
            </w:r>
            <w:r>
              <w:t>.</w:t>
            </w:r>
          </w:p>
        </w:tc>
        <w:tc>
          <w:tcPr>
            <w:tcW w:w="4876" w:type="dxa"/>
          </w:tcPr>
          <w:p>
            <w:pPr>
              <w:pStyle w:val="Normal6a"/>
            </w:pPr>
            <w:r>
              <w:t>(43)</w:t>
            </w:r>
            <w:r>
              <w:tab/>
            </w:r>
            <w:r>
              <w:t xml:space="preserve">Wyrażenie zgody na przekazanie postępowania karnego przez organ, do którego kierowany jest wniosek, powinno skutkować zawieszeniem lub umorzeniem postępowania karnego w państwie wnioskującym, aby uniknąć powielania środków w państwie wnioskującym i państwie, do którego kierowany jest wniosek. </w:t>
            </w:r>
            <w:r>
              <w:rPr>
                <w:b/>
                <w:i/>
              </w:rPr>
              <w:t>Państwa wnioskujące nie powinny ścigać podejrzanego w związku z przestępstwem, w odniesieniu do którego wyrażono zgodę na</w:t>
            </w:r>
            <w:r>
              <w:t xml:space="preserve"> przekazanie </w:t>
            </w:r>
            <w:r>
              <w:rPr>
                <w:b/>
                <w:i/>
              </w:rPr>
              <w:t>postępowania, ani wykonywać wyroku, który wcześniej wydano w tym</w:t>
            </w:r>
            <w:r>
              <w:t xml:space="preserve"> państwie </w:t>
            </w:r>
            <w:r>
              <w:rPr>
                <w:b/>
                <w:i/>
              </w:rPr>
              <w:t>wobec podejrzanego lub oskarżonego w związku z tym przestępstwem</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59</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Motyw 43 a (nowy)</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proponowany przez Komisję</w:t>
            </w:r>
          </w:p>
        </w:tc>
        <w:tc>
          <w:tcPr>
            <w:tcW w:w="4876" w:type="dxa"/>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(43a)</w:t>
            </w:r>
            <w:r>
              <w:tab/>
            </w:r>
            <w:r>
              <w:rPr>
                <w:b/>
                <w:i/>
              </w:rPr>
              <w:t>Po udzieleniu zgody na przekazanie postępowania i w celu ułatwienia sprawnego procesu przekazania organy wnioskujące i organy, do których kierowany jest wniosek, mogą konsultować się z sobą, aby określić niezbędne dokumenty lub fragmenty takich dokumentów, które należy przekazać, a w razie potrzeby także przetłumaczyć.</w:t>
            </w:r>
            <w:r>
              <w:t xml:space="preserve"> </w:t>
            </w:r>
            <w:r>
              <w:rPr>
                <w:b/>
                <w:i/>
              </w:rPr>
              <w:t>Decyzja o przekazaniu tylko fragmentów dokumentów powinna być jednak wyważona i oparta na starannym rozpatrzeniu danych dokumentów, tak aby nie szkodzić rzetelności postępowania.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60</w:t>
      </w:r>
      <w:r>
        <w:rPr>
          <w:rStyle w:val="HideTWBExt"/>
        </w:rPr>
        <w:t>&lt;/NumAm&gt;</w:t>
      </w:r>
    </w:p>
    <w:p>
      <w:pPr>
        <w:pStyle w:val="NormalBold"/>
      </w:pPr>
      <w:r>
        <w:rPr>
          <w:rStyle w:val="HideTWBExt"/>
        </w:rPr>
        <w:t>&lt;RepeatBlock-By&gt;</w:t>
      </w:r>
      <w:r>
        <w:rPr>
          <w:rStyle w:val="HideTWBExt"/>
        </w:rPr>
        <w:t>&lt;Members&gt;</w:t>
      </w:r>
      <w:r>
        <w:t>Saskia Bricmont</w:t>
      </w:r>
      <w:r>
        <w:rPr>
          <w:rStyle w:val="HideTWBExt"/>
        </w:rPr>
        <w:t>&lt;/Members&gt;</w:t>
      </w:r>
    </w:p>
    <w:p>
      <w:pPr>
        <w:pStyle w:val="NormalBold"/>
      </w:pPr>
      <w:r>
        <w:rPr>
          <w:rStyle w:val="HideTWBExt"/>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Motyw 46</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proponowany przez Komisję</w:t>
            </w:r>
          </w:p>
        </w:tc>
        <w:tc>
          <w:tcPr>
            <w:tcW w:w="4876" w:type="dxa"/>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(46)</w:t>
            </w:r>
            <w:r>
              <w:tab/>
            </w:r>
            <w:r>
              <w:rPr>
                <w:b/>
                <w:i/>
              </w:rPr>
              <w:t>Jeżeli organ, do którego kierowany jest wniosek, podejmie decyzję o umorzeniu postępowania karnego dotyczącego okoliczności faktycznych leżących u podstaw wniosku o przekazanie, organ wnioskujący może kontynuować lub wznowić postępowanie karne, jeżeli nie pociągałoby to za sobą naruszenia zasady ne bis in idem, tj. jeżeli decyzja ta nie wyklucza definitywnie dalszego ścigania na mocy prawa państwa, do którego kierowany jest wniosek, a tym samym nie uniemożliwia dalszych postępowań w tym państwie w odniesieniu do tych samych czynów.</w:t>
            </w:r>
            <w:r>
              <w:t xml:space="preserve"> </w:t>
            </w:r>
            <w:r>
              <w:rPr>
                <w:b/>
                <w:i/>
              </w:rPr>
              <w:t>Ofiary powinny mieć możliwość wszczęcia postępowania karnego w państwie wnioskującym zgodnie z prawem krajowym tego państwa lub złożenia wniosku o wznowienie takiego postępowania, pod warunkiem że nie pociągałoby to za sobą naruszenia zasady ne bis in idem.</w:t>
            </w:r>
          </w:p>
        </w:tc>
        <w:tc>
          <w:tcPr>
            <w:tcW w:w="4876" w:type="dxa"/>
          </w:tcPr>
          <w:p>
            <w:pPr>
              <w:pStyle w:val="Normal6a"/>
            </w:pPr>
            <w:r>
              <w:rPr>
                <w:b/>
                <w:i/>
              </w:rPr>
              <w:t>skreśla się</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61</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Motyw 50</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proponowany przez Komisję</w:t>
            </w:r>
          </w:p>
        </w:tc>
        <w:tc>
          <w:tcPr>
            <w:tcW w:w="4876" w:type="dxa"/>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Pr>
          <w:p>
            <w:pPr>
              <w:pStyle w:val="Normal6a"/>
            </w:pPr>
            <w:r>
              <w:t>(50)</w:t>
            </w:r>
            <w:r>
              <w:tab/>
            </w:r>
            <w:r>
              <w:t xml:space="preserve">Współpracę i wymianę informacji między organami wnioskującymi a organami, do których kierowane są wnioski, </w:t>
            </w:r>
            <w:r>
              <w:rPr>
                <w:b/>
                <w:i/>
              </w:rPr>
              <w:t>ułatwiłoby sstosowanie</w:t>
            </w:r>
            <w:r>
              <w:t xml:space="preserve"> standardowego zaświadczenia przetłumaczonego na wszystkie języki urzędowe Unii, umożliwiając szybsze i skuteczniejsze podejmowanie decyzji w sprawie wniosku o przekazanie. Obniża to również koszty tłumaczeń pisemnych i przyczynia się do zwiększenia jakości wniosków.</w:t>
            </w:r>
          </w:p>
        </w:tc>
        <w:tc>
          <w:tcPr>
            <w:tcW w:w="4876" w:type="dxa"/>
          </w:tcPr>
          <w:p>
            <w:pPr>
              <w:pStyle w:val="Normal6a"/>
            </w:pPr>
            <w:r>
              <w:t>(50)</w:t>
            </w:r>
            <w:r>
              <w:tab/>
            </w:r>
            <w:r>
              <w:t xml:space="preserve">Współpracę i wymianę informacji między organami wnioskującymi a organami, do których kierowane są wnioski, </w:t>
            </w:r>
            <w:r>
              <w:rPr>
                <w:b/>
                <w:i/>
              </w:rPr>
              <w:t>ułatwia stosowanie</w:t>
            </w:r>
            <w:r>
              <w:t xml:space="preserve"> standardowego zaświadczenia przetłumaczonego na wszystkie języki urzędowe Unii, umożliwiając szybsze i skuteczniejsze podejmowanie decyzji w sprawie wniosku o przekazanie. Obniża to również koszty tłumaczeń pisemnych i przyczynia się do zwiększenia jakości wniosków.</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62</w:t>
      </w:r>
      <w:r>
        <w:rPr>
          <w:rStyle w:val="HideTWBExt"/>
        </w:rPr>
        <w:t>&lt;/NumAm&gt;</w:t>
      </w:r>
    </w:p>
    <w:p>
      <w:pPr>
        <w:pStyle w:val="NormalBold"/>
      </w:pPr>
      <w:r>
        <w:rPr>
          <w:rStyle w:val="HideTWBExt"/>
        </w:rPr>
        <w:t>&lt;RepeatBlock-By&gt;</w:t>
      </w:r>
      <w:r>
        <w:rPr>
          <w:rStyle w:val="HideTWBExt"/>
        </w:rPr>
        <w:t>&lt;Members&gt;</w:t>
      </w:r>
      <w:r>
        <w:t>Saskia Bricmont</w:t>
      </w:r>
      <w:r>
        <w:rPr>
          <w:rStyle w:val="HideTWBExt"/>
        </w:rPr>
        <w:t>&lt;/Members&gt;</w:t>
      </w:r>
    </w:p>
    <w:p>
      <w:pPr>
        <w:pStyle w:val="NormalBold"/>
      </w:pPr>
      <w:r>
        <w:rPr>
          <w:rStyle w:val="HideTWBExt"/>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Motyw 55</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proponowany przez Komisję</w:t>
            </w:r>
          </w:p>
        </w:tc>
        <w:tc>
          <w:tcPr>
            <w:tcW w:w="4876" w:type="dxa"/>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Pr>
          <w:p>
            <w:pPr>
              <w:pStyle w:val="Normal6a"/>
            </w:pPr>
            <w:r>
              <w:t>(55)</w:t>
            </w:r>
            <w:r>
              <w:tab/>
            </w:r>
            <w:r>
              <w:t>Komisja powinna być odpowiedzialna za stworzenie, utrzymanie i rozwój oprogramowania wzorcowego. Komisja powinna zaprojektować, opracować i utrzymywać oprogramowanie wzorcowe w sposób umożliwiający administratorom zapewnienie zgodności z wymogami i zasadami ochrony danych określonymi w rozporządzeniach Parlamentu Europejskiego i Rady (UE) 2018/1725</w:t>
            </w:r>
            <w:r>
              <w:rPr>
                <w:vertAlign w:val="superscript"/>
              </w:rPr>
              <w:t>69</w:t>
            </w:r>
            <w:r>
              <w:rPr>
                <w:b/>
                <w:i/>
              </w:rPr>
              <w:t>i (UE) 2016/679</w:t>
            </w:r>
            <w:r>
              <w:rPr>
                <w:b/>
                <w:i/>
                <w:vertAlign w:val="superscript"/>
              </w:rPr>
              <w:t>70</w:t>
            </w:r>
            <w:r>
              <w:t>oraz w dyrektywie Parlamentu Europejskiego i Rady (UE) 2016/680</w:t>
            </w:r>
            <w:r>
              <w:rPr>
                <w:vertAlign w:val="superscript"/>
              </w:rPr>
              <w:t>71</w:t>
            </w:r>
            <w:r>
              <w:t>, w szczególności z obowiązkami uwzględnienia ochrony danych w fazie projektowania i domyślnej ochrony danych, a także z obowiązkiem zapewnienia wysokiego poziomu cyberbezpieczeństwa. Oprogramowanie wzorcowe powinno również obejmować odpowiednie środki techniczne i umożliwiać stosowanie środków organizacyjnych niezbędnych do zapewnienia odpowiedniego poziomu bezpieczeństwa i interoperacyjności, z uwzględnieniem możliwości wymiany szczególnych kategorii danych. Komisja nie przetwarza danych osobowych w kontekście tworzenia, utrzymywania i rozwoju oprogramowania wzorcowego.</w:t>
            </w:r>
          </w:p>
        </w:tc>
        <w:tc>
          <w:tcPr>
            <w:tcW w:w="4876" w:type="dxa"/>
          </w:tcPr>
          <w:p>
            <w:pPr>
              <w:pStyle w:val="Normal6a"/>
            </w:pPr>
            <w:r>
              <w:t>(55)</w:t>
            </w:r>
            <w:r>
              <w:tab/>
            </w:r>
            <w:r>
              <w:t>Komisja powinna być odpowiedzialna za stworzenie, utrzymanie i rozwój oprogramowania wzorcowego. Komisja powinna zaprojektować, opracować i utrzymywać oprogramowanie wzorcowe w sposób umożliwiający administratorom zapewnienie zgodności z wymogami i zasadami ochrony danych określonymi w rozporządzeniach Parlamentu Europejskiego i Rady (UE) 2018/1725</w:t>
            </w:r>
            <w:r>
              <w:rPr>
                <w:vertAlign w:val="superscript"/>
              </w:rPr>
              <w:t>69</w:t>
            </w:r>
            <w:r>
              <w:rPr>
                <w:b/>
                <w:i/>
              </w:rPr>
              <w:t> </w:t>
            </w:r>
            <w:r>
              <w:t>oraz w dyrektywie Parlamentu Europejskiego i Rady (UE) 2016/680</w:t>
            </w:r>
            <w:r>
              <w:rPr>
                <w:vertAlign w:val="superscript"/>
              </w:rPr>
              <w:t>71</w:t>
            </w:r>
            <w:r>
              <w:t>, w szczególności z obowiązkami uwzględnienia ochrony danych w fazie projektowania i domyślnej ochrony danych, a także z obowiązkiem zapewnienia wysokiego poziomu cyberbezpieczeństwa. Oprogramowanie wzorcowe powinno również obejmować odpowiednie środki techniczne i umożliwiać stosowanie środków organizacyjnych niezbędnych do zapewnienia odpowiedniego poziomu bezpieczeństwa i interoperacyjności, z uwzględnieniem możliwości wymiany szczególnych kategorii danych. Komisja nie przetwarza danych osobowych w kontekście tworzenia, utrzymywania i rozwoju oprogramowania wzorcowego.</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_________________</w:t>
            </w:r>
          </w:p>
        </w:tc>
        <w:tc>
          <w:tcPr>
            <w:tcW w:w="4876" w:type="dxa"/>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Pr>
          <w:p>
            <w:pPr>
              <w:pStyle w:val="Normal6a"/>
            </w:pPr>
            <w:r>
              <w:rPr>
                <w:vertAlign w:val="superscript"/>
              </w:rPr>
              <w:t>69</w:t>
            </w:r>
            <w:r>
              <w:t xml:space="preserve"> </w:t>
            </w:r>
            <w:r>
              <w:t>Rozporządzenie Parlamentu Europejskiego i Rady (UE) 2018/1725 z dnia 23 października 2018 r. w sprawie ochrony osób fizycznych w związku z przetwarzaniem danych osobowych przez instytucje, organy i jednostki organizacyjne Unii i swobodnego przepływu takich danych oraz uchylenia rozporządzenia (WE) nr 45/2001 i decyzji nr 1247/2002/WE (Dz.U. L 295 z 21.11.2018, s. 39).</w:t>
            </w:r>
          </w:p>
        </w:tc>
        <w:tc>
          <w:tcPr>
            <w:tcW w:w="4876" w:type="dxa"/>
          </w:tcPr>
          <w:p>
            <w:pPr>
              <w:pStyle w:val="Normal6a"/>
            </w:pPr>
            <w:r>
              <w:rPr>
                <w:vertAlign w:val="superscript"/>
              </w:rPr>
              <w:t>69</w:t>
            </w:r>
            <w:r>
              <w:t xml:space="preserve"> </w:t>
            </w:r>
            <w:r>
              <w:t>Rozporządzenie Parlamentu Europejskiego i Rady (UE) 2018/1725 z dnia 23 października 2018 r. w sprawie ochrony osób fizycznych w związku z przetwarzaniem danych osobowych przez instytucje, organy i jednostki organizacyjne Unii i swobodnego przepływu takich danych oraz uchylenia rozporządzenia (WE) nr 45/2001 i decyzji nr 1247/2002/WE (Dz.U. L 295 z 21.11.2018, s. 39).</w:t>
            </w:r>
          </w:p>
        </w:tc>
      </w:tr>
      <w:tr>
        <w:tblPrEx>
          <w:tblW w:w="0" w:type="auto"/>
          <w:jc w:val="center"/>
          <w:tblLayout w:type="fixed"/>
          <w:tblCellMar>
            <w:left w:w="340" w:type="dxa"/>
            <w:right w:w="340" w:type="dxa"/>
          </w:tblCellMar>
        </w:tblPrEx>
        <w:trPr>
          <w:jc w:val="center"/>
        </w:trPr>
        <w:tc>
          <w:tcPr>
            <w:tcW w:w="4876" w:type="dxa"/>
          </w:tcPr>
          <w:p>
            <w:pPr>
              <w:pStyle w:val="Normal6a"/>
            </w:pPr>
            <w:r>
              <w:rPr>
                <w:b/>
                <w:i/>
                <w:vertAlign w:val="superscript"/>
              </w:rPr>
              <w:t>70</w:t>
            </w:r>
            <w:r>
              <w:t xml:space="preserve"> </w:t>
            </w:r>
            <w:r>
              <w:rPr>
                <w:b/>
                <w:i/>
              </w:rPr>
              <w:t>Rozporządzenie Parlamentu Europejskiego i Rady (UE) 2016/679 z dnia 27 kwietnia 2016 r. w sprawie ochrony osób fizycznych w związku z przetwarzaniem danych osobowych i w sprawie swobodnego przepływu takich danych oraz uchylenia dyrektywy 95/46/WE (ogólne rozporządzenie o ochronie danych) (Dz.U.</w:t>
            </w:r>
            <w:r>
              <w:t xml:space="preserve"> </w:t>
            </w:r>
            <w:r>
              <w:rPr>
                <w:b/>
                <w:i/>
              </w:rPr>
              <w:t>L 119 z 4.5.2016, s. 1).</w:t>
            </w:r>
          </w:p>
        </w:tc>
        <w:tc>
          <w:tcPr>
            <w:tcW w:w="4876" w:type="dxa"/>
          </w:tcPr>
          <w:p/>
        </w:tc>
      </w:tr>
      <w:tr>
        <w:tblPrEx>
          <w:tblW w:w="0" w:type="auto"/>
          <w:jc w:val="center"/>
          <w:tblLayout w:type="fixed"/>
          <w:tblCellMar>
            <w:left w:w="340" w:type="dxa"/>
            <w:right w:w="340" w:type="dxa"/>
          </w:tblCellMar>
        </w:tblPrEx>
        <w:trPr>
          <w:jc w:val="center"/>
        </w:trPr>
        <w:tc>
          <w:tcPr>
            <w:tcW w:w="4876" w:type="dxa"/>
          </w:tcPr>
          <w:p>
            <w:pPr>
              <w:pStyle w:val="Normal6a"/>
            </w:pPr>
            <w:r>
              <w:rPr>
                <w:vertAlign w:val="superscript"/>
              </w:rPr>
              <w:t>71</w:t>
            </w:r>
            <w:r>
              <w:t xml:space="preserve"> </w:t>
            </w:r>
            <w:r>
              <w:t>Dyrektywa Parlamentu Europejskiego i Rady (UE) 2016/680 z dnia 27 kwietnia 2016 r. w sprawie ochrony osób fizycznych w związku z przetwarzaniem danych osobowych przez właściwe organy do celów zapobiegania przestępczości, prowadzenia postępowań przygotowawczych, wykrywania i ścigania czynów zabronionych i wykonywania kar, w sprawie swobodnego przepływu takich danych oraz uchylająca decyzję ramową Rady 2008/977/WSiSW (Dz.U. L 119 z 4.5.2016, s. 89).</w:t>
            </w:r>
          </w:p>
        </w:tc>
        <w:tc>
          <w:tcPr>
            <w:tcW w:w="4876" w:type="dxa"/>
          </w:tcPr>
          <w:p>
            <w:pPr>
              <w:pStyle w:val="Normal6a"/>
            </w:pPr>
            <w:r>
              <w:rPr>
                <w:vertAlign w:val="superscript"/>
              </w:rPr>
              <w:t>71</w:t>
            </w:r>
            <w:r>
              <w:t xml:space="preserve"> </w:t>
            </w:r>
            <w:r>
              <w:t>Dyrektywa Parlamentu Europejskiego i Rady (UE) 2016/680 z dnia 27 kwietnia 2016 r. w sprawie ochrony osób fizycznych w związku z przetwarzaniem danych osobowych przez właściwe organy do celów zapobiegania przestępczości, prowadzenia postępowań przygotowawczych, wykrywania i ścigania czynów zabronionych i wykonywania kar, w sprawie swobodnego przepływu takich danych oraz uchylająca decyzję ramową Rady 2008/977/WSiSW (Dz.U. L 119 z 4.5.2016, s. 89).</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63</w:t>
      </w:r>
      <w:r>
        <w:rPr>
          <w:rStyle w:val="HideTWBExt"/>
        </w:rPr>
        <w:t>&lt;/NumAm&gt;</w:t>
      </w:r>
    </w:p>
    <w:p>
      <w:pPr>
        <w:pStyle w:val="NormalBold"/>
      </w:pPr>
      <w:r>
        <w:rPr>
          <w:rStyle w:val="HideTWBExt"/>
        </w:rPr>
        <w:t>&lt;RepeatBlock-By&gt;</w:t>
      </w:r>
      <w:r>
        <w:rPr>
          <w:rStyle w:val="HideTWBExt"/>
        </w:rPr>
        <w:t>&lt;Members&gt;</w:t>
      </w:r>
      <w:r>
        <w:t>Saskia Bricmont</w:t>
      </w:r>
      <w:r>
        <w:rPr>
          <w:rStyle w:val="HideTWBExt"/>
        </w:rPr>
        <w:t>&lt;/Members&gt;</w:t>
      </w:r>
    </w:p>
    <w:p>
      <w:pPr>
        <w:pStyle w:val="NormalBold"/>
      </w:pPr>
      <w:r>
        <w:rPr>
          <w:rStyle w:val="HideTWBExt"/>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Motyw 58</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proponowany przez Komisję</w:t>
            </w:r>
          </w:p>
        </w:tc>
        <w:tc>
          <w:tcPr>
            <w:tcW w:w="4876" w:type="dxa"/>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Pr>
          <w:p>
            <w:pPr>
              <w:pStyle w:val="Normal6a"/>
            </w:pPr>
            <w:r>
              <w:t>(58)</w:t>
            </w:r>
            <w:r>
              <w:tab/>
            </w:r>
            <w:r>
              <w:t>Przedmiotowe rozporządzenie powinno stworzyć podstawę prawną wymiany danych osobowych między państwami członkowskimi do celów przekazywania postępowania karnego zgodnie z art. 8 i art. 10 lit.</w:t>
            </w:r>
            <w:r>
              <w:rPr>
                <w:b/>
                <w:i/>
              </w:rPr>
              <w:t xml:space="preserve"> a)</w:t>
            </w:r>
            <w:r>
              <w:t xml:space="preserve"> dyrektywy (UE) 2016/680. Jednak w odniesieniu do wszelkich innych aspektów, takich jak okres przechowywania danych osobowych </w:t>
            </w:r>
            <w:r>
              <w:rPr>
                <w:b/>
                <w:i/>
              </w:rPr>
              <w:t>otrzymanych</w:t>
            </w:r>
            <w:r>
              <w:t xml:space="preserve"> przez organ wnioskujący</w:t>
            </w:r>
            <w:r>
              <w:rPr>
                <w:b/>
                <w:i/>
              </w:rPr>
              <w:t>,</w:t>
            </w:r>
            <w:r>
              <w:t xml:space="preserve"> przetwarzanie danych osobowych przez organy wnioskujące i organy, do których kierowane są wnioski, powinno podlegać przepisom krajowym państw członkowskich przyjętym zgodnie z dyrektywą (UE) 2016/680. Organ wnioskujący i organ, do którego kierowany jest wniosek, należy uznać za administratorów w odniesieniu do przetwarzania danych osobowych na mocy tej dyrektywy. Organy centralne udzielają wsparcia administracyjnego organom wnioskującym i organom, do których kierowane są wnioski, </w:t>
            </w:r>
            <w:r>
              <w:rPr>
                <w:b/>
                <w:i/>
              </w:rPr>
              <w:t>o</w:t>
            </w:r>
            <w:r>
              <w:t xml:space="preserve"> oraz – w zakresie, w jakim </w:t>
            </w:r>
            <w:r>
              <w:rPr>
                <w:b/>
                <w:i/>
              </w:rPr>
              <w:t>przetwarzają one</w:t>
            </w:r>
            <w:r>
              <w:t xml:space="preserve"> dane osobowe </w:t>
            </w:r>
            <w:r>
              <w:rPr>
                <w:b/>
                <w:i/>
              </w:rPr>
              <w:t>w imieniu tych administratorów</w:t>
            </w:r>
            <w:r>
              <w:t xml:space="preserve"> – należy je uznać za </w:t>
            </w:r>
            <w:r>
              <w:rPr>
                <w:b/>
                <w:i/>
              </w:rPr>
              <w:t>podmioty przetwarzające dane danego administratora</w:t>
            </w:r>
            <w:r>
              <w:t>. W odniesieniu do przetwarzania danych osobowych przez Eurojust zastosowanie w kontekście przedmiotowego rozporządzenia powinno mieć rozporządzenie Parlamentu Europejskiego i Rady (UE) 2018/1725, bez uszczerbku dla szczegółowych przepisów o ochronie danych zawartych w rozporządzeniu Parlamentu Europejskiego i Rady (UE) 2018/1727</w:t>
            </w:r>
            <w:r>
              <w:rPr>
                <w:vertAlign w:val="superscript"/>
              </w:rPr>
              <w:t>73</w:t>
            </w:r>
            <w:r>
              <w:t>.</w:t>
            </w:r>
          </w:p>
        </w:tc>
        <w:tc>
          <w:tcPr>
            <w:tcW w:w="4876" w:type="dxa"/>
          </w:tcPr>
          <w:p>
            <w:pPr>
              <w:pStyle w:val="Normal6a"/>
            </w:pPr>
            <w:r>
              <w:t>(58)</w:t>
            </w:r>
            <w:r>
              <w:tab/>
            </w:r>
            <w:r>
              <w:t>Przedmiotowe rozporządzenie powinno stworzyć podstawę prawną wymiany danych osobowych między państwami członkowskimi do celów przekazywania postępowania karnego zgodnie z art. 8 i art. 10 lit.</w:t>
            </w:r>
            <w:r>
              <w:rPr>
                <w:b/>
                <w:i/>
              </w:rPr>
              <w:t> a)</w:t>
            </w:r>
            <w:r>
              <w:t xml:space="preserve"> dyrektywy (UE) 2016/680. Jednak w odniesieniu do wszelkich innych aspektów, takich jak okres przechowywania danych osobowych </w:t>
            </w:r>
            <w:r>
              <w:rPr>
                <w:b/>
                <w:i/>
              </w:rPr>
              <w:t>przekazanych</w:t>
            </w:r>
            <w:r>
              <w:t xml:space="preserve"> przez organ wnioskujący </w:t>
            </w:r>
            <w:r>
              <w:rPr>
                <w:b/>
                <w:i/>
              </w:rPr>
              <w:t>i organ, do którego kierowany jest wniosek, na podstawie niniejszego rozporządzenia oraz</w:t>
            </w:r>
            <w:r>
              <w:t xml:space="preserve"> przetwarzanie danych osobowych przez organy wnioskujące i organy, do których kierowane są wnioski, </w:t>
            </w:r>
            <w:r>
              <w:rPr>
                <w:b/>
                <w:i/>
              </w:rPr>
              <w:t>oraz ich organy centralne, jeżeli są zaangażowane,</w:t>
            </w:r>
            <w:r>
              <w:t xml:space="preserve"> powinno podlegać przepisom krajowym państw członkowskich przyjętym zgodnie z dyrektywą (UE) 2016/680. Organ wnioskujący i organ, do którego kierowany jest wniosek, należy uznać za administratorów w odniesieniu do przetwarzania danych osobowych na mocy tej dyrektywy. Organy centralne udzielają wsparcia administracyjnego organom wnioskującym i organom, do których kierowane są wnioski, oraz – w zakresie, w jakim </w:t>
            </w:r>
            <w:r>
              <w:rPr>
                <w:b/>
                <w:i/>
              </w:rPr>
              <w:t>są organami właściwymi przetwarzającymi</w:t>
            </w:r>
            <w:r>
              <w:t xml:space="preserve"> dane osobowe </w:t>
            </w:r>
            <w:r>
              <w:rPr>
                <w:b/>
                <w:i/>
              </w:rPr>
              <w:t>na podstawie niniejszego rozporządzenia</w:t>
            </w:r>
            <w:r>
              <w:t xml:space="preserve"> – należy je uznać za </w:t>
            </w:r>
            <w:r>
              <w:rPr>
                <w:b/>
                <w:i/>
              </w:rPr>
              <w:t>administratorów</w:t>
            </w:r>
            <w:r>
              <w:t>. W odniesieniu do przetwarzania danych osobowych przez Eurojust zastosowanie w kontekście przedmiotowego rozporządzenia powinno mieć rozporządzenie Parlamentu Europejskiego i Rady (UE) 2018/1725, bez uszczerbku dla szczegółowych przepisów o ochronie danych zawartych w rozporządzeniu Parlamentu Europejskiego i Rady (UE) 2018/1727</w:t>
            </w:r>
            <w:r>
              <w:rPr>
                <w:vertAlign w:val="superscript"/>
              </w:rPr>
              <w:t>73</w:t>
            </w:r>
            <w:r>
              <w:t>.</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_________________</w:t>
            </w:r>
          </w:p>
        </w:tc>
        <w:tc>
          <w:tcPr>
            <w:tcW w:w="4876" w:type="dxa"/>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Pr>
          <w:p>
            <w:pPr>
              <w:pStyle w:val="Normal6a"/>
            </w:pPr>
            <w:r>
              <w:rPr>
                <w:vertAlign w:val="superscript"/>
              </w:rPr>
              <w:t>73</w:t>
            </w:r>
            <w:r>
              <w:t xml:space="preserve"> </w:t>
            </w:r>
            <w:r>
              <w:t>Rozporządzenie Parlamentu Europejskiego i Rady (UE) 2018/1727 z dnia 14 listopada 2018 r. w sprawie Agencji Unii Europejskiej ds. Współpracy Wymiarów Sprawiedliwości w Sprawach Karnych (Eurojust) oraz zastąpienia i uchylenia decyzji Rady 2002/187/WSiSW, PE/37/2018/REV/1 (Dz.U. L 295 z 21.11.2018, s. 138).</w:t>
            </w:r>
          </w:p>
        </w:tc>
        <w:tc>
          <w:tcPr>
            <w:tcW w:w="4876" w:type="dxa"/>
          </w:tcPr>
          <w:p>
            <w:pPr>
              <w:pStyle w:val="Normal6a"/>
            </w:pPr>
            <w:r>
              <w:rPr>
                <w:vertAlign w:val="superscript"/>
              </w:rPr>
              <w:t>73</w:t>
            </w:r>
            <w:r>
              <w:t xml:space="preserve"> </w:t>
            </w:r>
            <w:r>
              <w:t>Rozporządzenie Parlamentu Europejskiego i Rady (UE) 2018/1727 z dnia 14 listopada 2018 r. w sprawie Agencji Unii Europejskiej ds. Współpracy Wymiarów Sprawiedliwości w Sprawach Karnych (Eurojust) oraz zastąpienia i uchylenia decyzji Rady 2002/187/WSiSW, PE/37/2018/REV/1 (Dz.U. L 295 z 21.11.2018, s. 138).</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64</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Artykuł 1 – ustęp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proponowany przez Komisję</w:t>
            </w:r>
          </w:p>
        </w:tc>
        <w:tc>
          <w:tcPr>
            <w:tcW w:w="4876" w:type="dxa"/>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Niniejsze rozporządzenie ma zastosowanie we wszystkich przypadkach przekazywania postępowania karnego w Unii od momentu uznania danej osoby za podejrzaną.</w:t>
            </w:r>
          </w:p>
        </w:tc>
        <w:tc>
          <w:tcPr>
            <w:tcW w:w="4876" w:type="dxa"/>
          </w:tcPr>
          <w:p>
            <w:pPr>
              <w:pStyle w:val="Normal6a"/>
            </w:pPr>
            <w:r>
              <w:t>2.</w:t>
            </w:r>
            <w:r>
              <w:tab/>
            </w:r>
            <w:r>
              <w:t xml:space="preserve">Niniejsze rozporządzenie ma zastosowanie we wszystkich przypadkach przekazywania postępowania karnego w Unii </w:t>
            </w:r>
            <w:r>
              <w:rPr>
                <w:b/>
                <w:i/>
              </w:rPr>
              <w:t>najpóźniej</w:t>
            </w:r>
            <w:r>
              <w:t xml:space="preserve"> od momentu uznania danej osoby za podejrzaną.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65</w:t>
      </w:r>
      <w:r>
        <w:rPr>
          <w:rStyle w:val="HideTWBExt"/>
        </w:rPr>
        <w:t>&lt;/NumAm&gt;</w:t>
      </w:r>
    </w:p>
    <w:p>
      <w:pPr>
        <w:pStyle w:val="NormalBold"/>
      </w:pPr>
      <w:r>
        <w:rPr>
          <w:rStyle w:val="HideTWBExt"/>
        </w:rPr>
        <w:t>&lt;RepeatBlock-By&gt;</w:t>
      </w:r>
      <w:r>
        <w:rPr>
          <w:rStyle w:val="HideTWBExt"/>
        </w:rPr>
        <w:t>&lt;Members&gt;</w:t>
      </w:r>
      <w:r>
        <w:t>Evin Incir</w:t>
      </w:r>
      <w:r>
        <w:rPr>
          <w:rStyle w:val="HideTWBExt"/>
        </w:rPr>
        <w:t>&lt;/Members&gt;</w:t>
      </w:r>
    </w:p>
    <w:p>
      <w:pPr>
        <w:pStyle w:val="NormalBold"/>
      </w:pPr>
      <w:r>
        <w:rPr>
          <w:rStyle w:val="HideTWBExt"/>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Artykuł 1 – ustęp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proponowany przez Komisję</w:t>
            </w:r>
          </w:p>
        </w:tc>
        <w:tc>
          <w:tcPr>
            <w:tcW w:w="4876" w:type="dxa"/>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 xml:space="preserve">Niniejsze rozporządzenie ma zastosowanie we wszystkich przypadkach przekazywania postępowania karnego </w:t>
            </w:r>
            <w:r>
              <w:rPr>
                <w:b/>
                <w:i/>
              </w:rPr>
              <w:t>w Unii od momentu uznania danej osoby za podejrzaną</w:t>
            </w:r>
            <w:r>
              <w:t>.</w:t>
            </w:r>
          </w:p>
        </w:tc>
        <w:tc>
          <w:tcPr>
            <w:tcW w:w="4876" w:type="dxa"/>
          </w:tcPr>
          <w:p>
            <w:pPr>
              <w:pStyle w:val="Normal6a"/>
            </w:pPr>
            <w:r>
              <w:t>2.</w:t>
            </w:r>
            <w:r>
              <w:tab/>
            </w:r>
            <w:r>
              <w:t xml:space="preserve">Niniejsze rozporządzenie ma zastosowanie we wszystkich przypadkach przekazywania postępowania karnego </w:t>
            </w:r>
            <w:r>
              <w:rPr>
                <w:b/>
                <w:i/>
              </w:rPr>
              <w:t>prowadzonego w państwach członkowskich Unii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66</w:t>
      </w:r>
      <w:r>
        <w:rPr>
          <w:rStyle w:val="HideTWBExt"/>
        </w:rPr>
        <w:t>&lt;/NumAm&gt;</w:t>
      </w:r>
    </w:p>
    <w:p>
      <w:pPr>
        <w:pStyle w:val="NormalBold"/>
      </w:pPr>
      <w:r>
        <w:rPr>
          <w:rStyle w:val="HideTWBExt"/>
        </w:rPr>
        <w:t>&lt;RepeatBlock-By&gt;</w:t>
      </w:r>
      <w:r>
        <w:rPr>
          <w:rStyle w:val="HideTWBExt"/>
        </w:rPr>
        <w:t>&lt;Members&gt;</w:t>
      </w:r>
      <w:r>
        <w:t>Morten Petersen</w:t>
      </w:r>
      <w:r>
        <w:rPr>
          <w:rStyle w:val="HideTWBExt"/>
        </w:rPr>
        <w:t>&lt;/Members&gt;</w:t>
      </w:r>
    </w:p>
    <w:p>
      <w:pPr>
        <w:pStyle w:val="NormalBold"/>
      </w:pPr>
      <w:r>
        <w:rPr>
          <w:rStyle w:val="HideTWBExt"/>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Artykuł 2 – akapit 1 – punkt 3 – litera a</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proponowany przez Komisję</w:t>
            </w:r>
          </w:p>
        </w:tc>
        <w:tc>
          <w:tcPr>
            <w:tcW w:w="4876" w:type="dxa"/>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Pr>
          <w:p>
            <w:pPr>
              <w:pStyle w:val="Normal6a"/>
            </w:pPr>
            <w:r>
              <w:t>a)</w:t>
            </w:r>
            <w:r>
              <w:tab/>
            </w:r>
            <w:r>
              <w:t>sędziego, sąd, sędziego śledczego lub prokuratora właściwego w danej sprawie lub</w:t>
            </w:r>
          </w:p>
        </w:tc>
        <w:tc>
          <w:tcPr>
            <w:tcW w:w="4876" w:type="dxa"/>
          </w:tcPr>
          <w:p>
            <w:pPr>
              <w:pStyle w:val="Normal6a"/>
            </w:pPr>
            <w:r>
              <w:t>a)</w:t>
            </w:r>
            <w:r>
              <w:tab/>
            </w:r>
            <w:r>
              <w:t>sędziego, sąd, sędziego śledczego</w:t>
            </w:r>
            <w:r>
              <w:rPr>
                <w:b/>
                <w:i/>
              </w:rPr>
              <w:t>, podejrzanego, oskarżonego, doradcę prawnego podejrzanego lub oskarżonego</w:t>
            </w:r>
            <w:r>
              <w:t> lub prokuratora właściwego w danej sprawie lub</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Uzasadnienie</w:t>
      </w:r>
      <w:r>
        <w:rPr>
          <w:rStyle w:val="HideTWBExt"/>
        </w:rPr>
        <w:t>&lt;/TitreJust&gt;</w:t>
      </w:r>
    </w:p>
    <w:p>
      <w:pPr>
        <w:pStyle w:val="AmJustText"/>
      </w:pPr>
      <w:r>
        <w:t>Definicję „organu wnioskującego” należy rozszerzyć, tak by obejmowała podejrzanych i oskarżonych lub ich doradców prawnych zgodnie z prawami przyznanymi na podstawie art. 5 ust. 3.</w:t>
      </w:r>
    </w:p>
    <w:p>
      <w:r>
        <w:rPr>
          <w:rStyle w:val="HideTWBExt"/>
        </w:rPr>
        <w:t>&lt;/Amend&gt;</w:t>
      </w:r>
    </w:p>
    <w:p>
      <w:pPr>
        <w:pStyle w:val="AmNumberTabs"/>
      </w:pPr>
      <w:r>
        <w:rPr>
          <w:rStyle w:val="HideTWBExt"/>
        </w:rPr>
        <w:t>&lt;Amend&gt;</w:t>
      </w:r>
      <w:r>
        <w:t>Poprawka</w:t>
      </w:r>
      <w:r>
        <w:tab/>
      </w:r>
      <w:r>
        <w:tab/>
      </w:r>
      <w:r>
        <w:rPr>
          <w:rStyle w:val="HideTWBExt"/>
        </w:rPr>
        <w:t>&lt;NumAm&gt;</w:t>
      </w:r>
      <w:r>
        <w:t>67</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Artykuł 2 – akapit 1 – punkt 6</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proponowany przez Komisję</w:t>
            </w:r>
          </w:p>
        </w:tc>
        <w:tc>
          <w:tcPr>
            <w:tcW w:w="4876" w:type="dxa"/>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Pr>
          <w:p>
            <w:pPr>
              <w:pStyle w:val="Normal6a"/>
            </w:pPr>
            <w:r>
              <w:t>6)</w:t>
            </w:r>
            <w:r>
              <w:tab/>
            </w:r>
            <w:r>
              <w:t>„ofiara” oznacza ofiarę zdefiniowaną w art. 2 ust. 1 lit. a) dyrektywy 2012/29/UE.</w:t>
            </w:r>
          </w:p>
        </w:tc>
        <w:tc>
          <w:tcPr>
            <w:tcW w:w="4876" w:type="dxa"/>
          </w:tcPr>
          <w:p>
            <w:pPr>
              <w:pStyle w:val="Normal6a"/>
            </w:pPr>
            <w:r>
              <w:t>6)</w:t>
            </w:r>
            <w:r>
              <w:tab/>
            </w:r>
            <w:r>
              <w:t xml:space="preserve">„ofiara” oznacza ofiarę zdefiniowaną w art. 2 ust. 1 lit. a) dyrektywy 2012/29/UE </w:t>
            </w:r>
            <w:r>
              <w:rPr>
                <w:b/>
                <w:i/>
              </w:rPr>
              <w:t>lub osobę prawną zdefiniowaną w prawie krajowym, która poniosła szkodę lub stratę majątkową bezpośrednio w wyniku przestępstwa będącego przedmiotem postępowania karnego, do którego stosuje się niniejsze rozporządzenie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68</w:t>
      </w:r>
      <w:r>
        <w:rPr>
          <w:rStyle w:val="HideTWBExt"/>
        </w:rPr>
        <w:t>&lt;/NumAm&gt;</w:t>
      </w:r>
    </w:p>
    <w:p>
      <w:pPr>
        <w:pStyle w:val="NormalBold"/>
      </w:pPr>
      <w:r>
        <w:rPr>
          <w:rStyle w:val="HideTWBExt"/>
        </w:rPr>
        <w:t>&lt;RepeatBlock-By&gt;</w:t>
      </w:r>
      <w:r>
        <w:rPr>
          <w:rStyle w:val="HideTWBExt"/>
        </w:rPr>
        <w:t>&lt;Members&gt;</w:t>
      </w:r>
      <w:r>
        <w:t>Saskia Bricmont</w:t>
      </w:r>
      <w:r>
        <w:rPr>
          <w:rStyle w:val="HideTWBExt"/>
        </w:rPr>
        <w:t>&lt;/Members&gt;</w:t>
      </w:r>
    </w:p>
    <w:p>
      <w:pPr>
        <w:pStyle w:val="NormalBold"/>
      </w:pPr>
      <w:r>
        <w:rPr>
          <w:rStyle w:val="HideTWBExt"/>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Artykuł 2 – akapit 1 – punkt 6</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proponowany przez Komisję</w:t>
            </w:r>
          </w:p>
        </w:tc>
        <w:tc>
          <w:tcPr>
            <w:tcW w:w="4876" w:type="dxa"/>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Pr>
          <w:p>
            <w:pPr>
              <w:pStyle w:val="Normal6a"/>
            </w:pPr>
            <w:r>
              <w:t>6)</w:t>
            </w:r>
            <w:r>
              <w:tab/>
            </w:r>
            <w:r>
              <w:t>„ofiara” oznacza ofiarę zdefiniowaną w art. 2 ust. 1 lit. a) dyrektywy 2012/29/UE.</w:t>
            </w:r>
          </w:p>
        </w:tc>
        <w:tc>
          <w:tcPr>
            <w:tcW w:w="4876" w:type="dxa"/>
          </w:tcPr>
          <w:p>
            <w:pPr>
              <w:pStyle w:val="Normal6a"/>
            </w:pPr>
            <w:r>
              <w:t>6)</w:t>
            </w:r>
            <w:r>
              <w:tab/>
            </w:r>
            <w:r>
              <w:t xml:space="preserve">„ofiara” oznacza ofiarę zdefiniowaną w art. 2 ust. 1 lit. a) dyrektywy 2012/29/UE </w:t>
            </w:r>
            <w:r>
              <w:rPr>
                <w:b/>
                <w:i/>
              </w:rPr>
              <w:t>lub osobę prawną zdefiniowaną w prawie krajowym, która poniosła szkodę lub stratę majątkową bezpośrednio w wyniku przestępstwa będącego przedmiotem postępowania karnego, do którego stosuje się niniejsze rozporządzenie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69</w:t>
      </w:r>
      <w:r>
        <w:rPr>
          <w:rStyle w:val="HideTWBExt"/>
        </w:rPr>
        <w:t>&lt;/NumAm&gt;</w:t>
      </w:r>
    </w:p>
    <w:p>
      <w:pPr>
        <w:pStyle w:val="NormalBold"/>
      </w:pPr>
      <w:r>
        <w:rPr>
          <w:rStyle w:val="HideTWBExt"/>
        </w:rPr>
        <w:t>&lt;RepeatBlock-By&gt;</w:t>
      </w:r>
      <w:r>
        <w:rPr>
          <w:rStyle w:val="HideTWBExt"/>
        </w:rPr>
        <w:t>&lt;Members&gt;</w:t>
      </w:r>
      <w:r>
        <w:t>Saskia Bricmont</w:t>
      </w:r>
      <w:r>
        <w:rPr>
          <w:rStyle w:val="HideTWBExt"/>
        </w:rPr>
        <w:t>&lt;/Members&gt;</w:t>
      </w:r>
    </w:p>
    <w:p>
      <w:pPr>
        <w:pStyle w:val="NormalBold"/>
      </w:pPr>
      <w:r>
        <w:rPr>
          <w:rStyle w:val="HideTWBExt"/>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Artykuł 3 – ustęp 1 – litera b</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proponowany przez Komisję</w:t>
            </w:r>
          </w:p>
        </w:tc>
        <w:tc>
          <w:tcPr>
            <w:tcW w:w="4876" w:type="dxa"/>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b)</w:t>
            </w:r>
            <w:r>
              <w:tab/>
            </w:r>
            <w:r>
              <w:rPr>
                <w:b/>
                <w:i/>
              </w:rPr>
              <w:t>odmawia ono przekazania podejrzanego lub oskarżonego, wobec którego wydano europejski nakaz aresztowania i który przebywa w państwie, do którego kierowany jest wniosek, i który jest obywatelem tego państwa lub w nim zamieszkuje, jeżeli stwierdzi, że – w wyjątkowych sytuacjach – istnieją istotne podstawy, by sądzić, na podstawie konkretnych i obiektywnych dowodów, że przekazanie danej osoby stanowiłoby, w szczególnych okolicznościach danej sprawy, oczywiste naruszenie odpowiedniego prawa podstawowego, o którym mowa w art. 6 Traktatu o Unii Europejskiej i w Karcie;</w:t>
            </w:r>
          </w:p>
        </w:tc>
        <w:tc>
          <w:tcPr>
            <w:tcW w:w="4876" w:type="dxa"/>
          </w:tcPr>
          <w:p>
            <w:pPr>
              <w:pStyle w:val="Normal6a"/>
            </w:pPr>
            <w:r>
              <w:rPr>
                <w:b/>
                <w:i/>
              </w:rPr>
              <w:t>skreśla się</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70</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Artykuł 3 – ustęp 1 – litera d</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proponowany przez Komisję</w:t>
            </w:r>
          </w:p>
        </w:tc>
        <w:tc>
          <w:tcPr>
            <w:tcW w:w="4876" w:type="dxa"/>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d)</w:t>
            </w:r>
            <w:r>
              <w:tab/>
            </w:r>
            <w:r>
              <w:rPr>
                <w:b/>
                <w:i/>
              </w:rPr>
              <w:t>przeciwko podejrzanemu lub oskarżonemu toczy się w państwie, do którego kierowany jest wniosek, postępowanie karne w odniesieniu do innych okoliczności faktycznych, a podejrzany lub oskarżony jest obywatelem państwa, do którego kierowany jest wniosek, lub w nim zamieszkuje;</w:t>
            </w:r>
          </w:p>
        </w:tc>
        <w:tc>
          <w:tcPr>
            <w:tcW w:w="4876" w:type="dxa"/>
          </w:tcPr>
          <w:p>
            <w:pPr>
              <w:pStyle w:val="Normal6a"/>
            </w:pPr>
            <w:r>
              <w:rPr>
                <w:b/>
                <w:i/>
              </w:rPr>
              <w:t>skreśla się</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71</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Artykuł 3 – ustęp 1 – litera e</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proponowany przez Komisję</w:t>
            </w:r>
          </w:p>
        </w:tc>
        <w:tc>
          <w:tcPr>
            <w:tcW w:w="4876" w:type="dxa"/>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e)</w:t>
            </w:r>
            <w:r>
              <w:tab/>
            </w:r>
            <w:r>
              <w:rPr>
                <w:b/>
                <w:i/>
              </w:rPr>
              <w:t>w państwie, do którego kierowany jest wniosek, toczy się postępowanie karne w odniesieniu do tych samych lub częściowo tych samych okoliczności faktycznych przeciwko innym osobom, a podejrzany lub oskarżony w postępowaniu karnym, które miałoby być przedmiotem przeniesienia, jest obywatelem państwa, do którego kierowany jest wniosek, lub w nim zamieszkuje.</w:t>
            </w:r>
          </w:p>
        </w:tc>
        <w:tc>
          <w:tcPr>
            <w:tcW w:w="4876" w:type="dxa"/>
          </w:tcPr>
          <w:p>
            <w:pPr>
              <w:pStyle w:val="Normal6a"/>
            </w:pPr>
            <w:r>
              <w:rPr>
                <w:b/>
                <w:i/>
              </w:rPr>
              <w:t>skreśla się</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72</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Artykuł 4</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proponowany przez Komisję</w:t>
            </w:r>
          </w:p>
        </w:tc>
        <w:tc>
          <w:tcPr>
            <w:tcW w:w="4876" w:type="dxa"/>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Pr>
          <w:p>
            <w:pPr>
              <w:pStyle w:val="Normal6a"/>
              <w:jc w:val="center"/>
            </w:pPr>
            <w:r>
              <w:rPr>
                <w:b/>
                <w:i/>
              </w:rPr>
              <w:t>Artykuł 4</w:t>
            </w:r>
            <w:r>
              <w:tab/>
            </w:r>
          </w:p>
        </w:tc>
        <w:tc>
          <w:tcPr>
            <w:tcW w:w="4876" w:type="dxa"/>
          </w:tcPr>
          <w:p>
            <w:pPr>
              <w:pStyle w:val="Normal6a"/>
            </w:pPr>
            <w:r>
              <w:rPr>
                <w:b/>
                <w:i/>
              </w:rPr>
              <w:t>skreśla się</w:t>
            </w:r>
          </w:p>
        </w:tc>
      </w:tr>
      <w:tr>
        <w:tblPrEx>
          <w:tblW w:w="0" w:type="auto"/>
          <w:jc w:val="center"/>
          <w:tblLayout w:type="fixed"/>
          <w:tblCellMar>
            <w:left w:w="340" w:type="dxa"/>
            <w:right w:w="340" w:type="dxa"/>
          </w:tblCellMar>
        </w:tblPrEx>
        <w:trPr>
          <w:jc w:val="center"/>
        </w:trPr>
        <w:tc>
          <w:tcPr>
            <w:tcW w:w="4876" w:type="dxa"/>
          </w:tcPr>
          <w:p>
            <w:pPr>
              <w:pStyle w:val="Normal6a"/>
              <w:jc w:val="center"/>
            </w:pPr>
            <w:r>
              <w:rPr>
                <w:b/>
                <w:i/>
              </w:rPr>
              <w:t>4 Każde państwo członkowskie sprawujące na mocy swojego prawa krajowego jurysdykcję do ścigania przestępstwa może, do celów stosowania niniejszego rozporządzenia, zrezygnować z postępowania karnego przeciwko podejrzanemu lub oskarżonemu, zawiesić je lub umorzyć, aby umożliwić przekazanie postępowania karnego w odniesieniu do tego przestępstwa państwu, do którego kierowany jest wniosek.</w:t>
            </w:r>
          </w:p>
        </w:tc>
        <w:tc>
          <w:tcPr>
            <w:tcW w:w="4876" w:type="dxa"/>
          </w:tcPr>
          <w:p>
            <w:pPr>
              <w:pStyle w:val="Normal6a"/>
            </w:pPr>
          </w:p>
        </w:tc>
      </w:tr>
      <w:tr>
        <w:tblPrEx>
          <w:tblW w:w="0" w:type="auto"/>
          <w:jc w:val="center"/>
          <w:tblLayout w:type="fixed"/>
          <w:tblCellMar>
            <w:left w:w="340" w:type="dxa"/>
            <w:right w:w="340" w:type="dxa"/>
          </w:tblCellMar>
        </w:tblPrEx>
        <w:trPr>
          <w:jc w:val="center"/>
        </w:trPr>
        <w:tc>
          <w:tcPr>
            <w:tcW w:w="4876" w:type="dxa"/>
          </w:tcPr>
          <w:p>
            <w:pPr>
              <w:pStyle w:val="Normal6a"/>
            </w:pPr>
            <w:r>
              <w:rPr>
                <w:b/>
                <w:i/>
              </w:rPr>
              <w:t>Każde państwo członkowskie sprawujące na mocy swojego prawa krajowego jurysdykcję do ścigania przestępstwa może, do celów stosowania niniejszego rozporządzenia, zrezygnować z postępowania karnego przeciwko podejrzanemu lub oskarżonemu, zawiesić je lub umorzyć, aby umożliwić przekazanie postępowania karnego w odniesieniu do tego przestępstwa państwu, do którego kierowany jest wniosek.</w:t>
            </w:r>
          </w:p>
        </w:tc>
        <w:tc>
          <w:tcPr>
            <w:tcW w:w="4876" w:type="dxa"/>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73</w:t>
      </w:r>
      <w:r>
        <w:rPr>
          <w:rStyle w:val="HideTWBExt"/>
        </w:rPr>
        <w:t>&lt;/NumAm&gt;</w:t>
      </w:r>
    </w:p>
    <w:p>
      <w:pPr>
        <w:pStyle w:val="NormalBold"/>
      </w:pPr>
      <w:r>
        <w:rPr>
          <w:rStyle w:val="HideTWBExt"/>
        </w:rPr>
        <w:t>&lt;RepeatBlock-By&gt;</w:t>
      </w:r>
      <w:r>
        <w:rPr>
          <w:rStyle w:val="HideTWBExt"/>
        </w:rPr>
        <w:t>&lt;Members&gt;</w:t>
      </w:r>
      <w:r>
        <w:t>Morten Petersen</w:t>
      </w:r>
      <w:r>
        <w:rPr>
          <w:rStyle w:val="HideTWBExt"/>
        </w:rPr>
        <w:t>&lt;/Members&gt;</w:t>
      </w:r>
    </w:p>
    <w:p>
      <w:pPr>
        <w:pStyle w:val="NormalBold"/>
      </w:pPr>
      <w:r>
        <w:rPr>
          <w:rStyle w:val="HideTWBExt"/>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Artykuł 4 – ustęp 1 – akapit 1 (nowy)</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proponowany przez Komisję</w:t>
            </w:r>
          </w:p>
        </w:tc>
        <w:tc>
          <w:tcPr>
            <w:tcW w:w="4876" w:type="dxa"/>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W przypadku wznowienia zawieszonego postępowania musi ono podlegać kontroli sądowej w celu zapewnienia niezależnej oceny, czy naruszona jest zasada ne bis in idem.</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Uzasadnienie</w:t>
      </w:r>
      <w:r>
        <w:rPr>
          <w:rStyle w:val="HideTWBExt"/>
        </w:rPr>
        <w:t>&lt;/TitreJust&gt;</w:t>
      </w:r>
    </w:p>
    <w:p>
      <w:pPr>
        <w:pStyle w:val="AmJustText"/>
      </w:pPr>
      <w:r>
        <w:t>Artykuł ten musi zapewniać przestrzeganie zasady ne bis in idem.</w:t>
      </w:r>
    </w:p>
    <w:p>
      <w:r>
        <w:rPr>
          <w:rStyle w:val="HideTWBExt"/>
        </w:rPr>
        <w:t>&lt;/Amend&gt;</w:t>
      </w:r>
    </w:p>
    <w:p>
      <w:pPr>
        <w:pStyle w:val="AmNumberTabs"/>
      </w:pPr>
      <w:r>
        <w:rPr>
          <w:rStyle w:val="HideTWBExt"/>
        </w:rPr>
        <w:t>&lt;Amend&gt;</w:t>
      </w:r>
      <w:r>
        <w:t>Poprawka</w:t>
      </w:r>
      <w:r>
        <w:tab/>
      </w:r>
      <w:r>
        <w:tab/>
      </w:r>
      <w:r>
        <w:rPr>
          <w:rStyle w:val="HideTWBExt"/>
        </w:rPr>
        <w:t>&lt;NumAm&gt;</w:t>
      </w:r>
      <w:r>
        <w:t>74</w:t>
      </w:r>
      <w:r>
        <w:rPr>
          <w:rStyle w:val="HideTWBExt"/>
        </w:rPr>
        <w:t>&lt;/NumAm&gt;</w:t>
      </w:r>
    </w:p>
    <w:p>
      <w:pPr>
        <w:pStyle w:val="NormalBold"/>
      </w:pPr>
      <w:r>
        <w:rPr>
          <w:rStyle w:val="HideTWBExt"/>
        </w:rPr>
        <w:t>&lt;RepeatBlock-By&gt;</w:t>
      </w:r>
      <w:r>
        <w:rPr>
          <w:rStyle w:val="HideTWBExt"/>
        </w:rPr>
        <w:t>&lt;Members&gt;</w:t>
      </w:r>
      <w:r>
        <w:t>Saskia Bricmont</w:t>
      </w:r>
      <w:r>
        <w:rPr>
          <w:rStyle w:val="HideTWBExt"/>
        </w:rPr>
        <w:t>&lt;/Members&gt;</w:t>
      </w:r>
    </w:p>
    <w:p>
      <w:pPr>
        <w:pStyle w:val="NormalBold"/>
      </w:pPr>
      <w:r>
        <w:rPr>
          <w:rStyle w:val="HideTWBExt"/>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Artykuł 5 – ustęp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proponowany przez Komisję</w:t>
            </w:r>
          </w:p>
        </w:tc>
        <w:tc>
          <w:tcPr>
            <w:tcW w:w="4876" w:type="dxa"/>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Wniosek o przekazanie postępowania karnego można złożyć tylko wtedy, gdy organ wnioskujący uzna, że cel, jakim jest skuteczne i prawidłowe sprawowanie wymiaru sprawiedliwości, można skuteczniej osiągnąć w drodze przeprowadzenia odpowiedniego postępowania karnego w innym państwie członkowskim.</w:t>
            </w:r>
          </w:p>
        </w:tc>
        <w:tc>
          <w:tcPr>
            <w:tcW w:w="4876" w:type="dxa"/>
          </w:tcPr>
          <w:p>
            <w:pPr>
              <w:pStyle w:val="Normal6a"/>
            </w:pPr>
            <w:r>
              <w:t>1.</w:t>
            </w:r>
            <w:r>
              <w:tab/>
            </w:r>
            <w:r>
              <w:t xml:space="preserve">Wniosek o przekazanie postępowania karnego można złożyć tylko wtedy, gdy organ wnioskujący uzna, że cel, jakim jest skuteczne i prawidłowe sprawowanie wymiaru sprawiedliwości </w:t>
            </w:r>
            <w:r>
              <w:rPr>
                <w:b/>
                <w:i/>
              </w:rPr>
              <w:t>oraz ochrona podstawowych praw podejrzanych lub oskarżonych, a także ofiar, zgodnie z prawem Unii i prawem krajowym</w:t>
            </w:r>
            <w:r>
              <w:t>, można skuteczniej osiągnąć w drodze przeprowadzenia odpowiedniego postępowania karnego w innym państwie członkowskim.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75</w:t>
      </w:r>
      <w:r>
        <w:rPr>
          <w:rStyle w:val="HideTWBExt"/>
        </w:rPr>
        <w:t>&lt;/NumAm&gt;</w:t>
      </w:r>
    </w:p>
    <w:p>
      <w:pPr>
        <w:pStyle w:val="NormalBold"/>
      </w:pPr>
      <w:r>
        <w:rPr>
          <w:rStyle w:val="HideTWBExt"/>
        </w:rPr>
        <w:t>&lt;RepeatBlock-By&gt;</w:t>
      </w:r>
      <w:r>
        <w:rPr>
          <w:rStyle w:val="HideTWBExt"/>
        </w:rPr>
        <w:t>&lt;Members&gt;</w:t>
      </w:r>
      <w:r>
        <w:t>Saskia Bricmont</w:t>
      </w:r>
      <w:r>
        <w:rPr>
          <w:rStyle w:val="HideTWBExt"/>
        </w:rPr>
        <w:t>&lt;/Members&gt;</w:t>
      </w:r>
    </w:p>
    <w:p>
      <w:pPr>
        <w:pStyle w:val="NormalBold"/>
      </w:pPr>
      <w:r>
        <w:rPr>
          <w:rStyle w:val="HideTWBExt"/>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Artykuł 5 – ustęp 2 – litera c</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proponowany przez Komisję</w:t>
            </w:r>
          </w:p>
        </w:tc>
        <w:tc>
          <w:tcPr>
            <w:tcW w:w="4876" w:type="dxa"/>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Pr>
          <w:p>
            <w:pPr>
              <w:pStyle w:val="Normal6a"/>
            </w:pPr>
            <w:r>
              <w:t>c)</w:t>
            </w:r>
            <w:r>
              <w:tab/>
            </w:r>
            <w:r>
              <w:t>podejrzany lub oskarżony znajduje się w państwie, do którego kierowany jest wniosek, i państwo to odmawia przekazania tej osoby państwu wnioskującemu, czy to na podstawie art. 4 ust. 2 lub art. 4 ust. 3 decyzji ramowej 2002/584/WSiSW – jeżeli taka odmowa nie opiera się na prawomocnym wyroku wydanym wobec tej osoby w odniesieniu do tego samego przestępstwa, co uniemożliwia dalsze postępowanie karne, czy też na podstawie art. 4 ust. 7 wspomnianej decyzji ramowej;</w:t>
            </w:r>
          </w:p>
        </w:tc>
        <w:tc>
          <w:tcPr>
            <w:tcW w:w="4876" w:type="dxa"/>
          </w:tcPr>
          <w:p>
            <w:pPr>
              <w:pStyle w:val="Normal6a"/>
            </w:pPr>
            <w:r>
              <w:t>c)</w:t>
            </w:r>
            <w:r>
              <w:tab/>
            </w:r>
            <w:r>
              <w:t xml:space="preserve">podejrzany lub oskarżony znajduje się w państwie, do którego kierowany jest wniosek, i państwo to odmawia przekazania tej osoby państwu wnioskującemu, czy to na podstawie art. 4 ust. 2 lub art. 4 ust. 3 decyzji ramowej 2002/584/WSiSW – jeżeli taka odmowa nie opiera się na prawomocnym wyroku wydanym wobec tej osoby w odniesieniu do tego samego przestępstwa, co uniemożliwia dalsze postępowanie karne, czy też na podstawie art. 4 ust. 7 </w:t>
            </w:r>
            <w:r>
              <w:rPr>
                <w:b/>
                <w:i/>
              </w:rPr>
              <w:t>lit. a)</w:t>
            </w:r>
            <w:r>
              <w:t xml:space="preserve"> wspomnianej decyzji ramowej;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76</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Artykuł 5 – ustęp 2 – litera i</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proponowany przez Komisję</w:t>
            </w:r>
          </w:p>
        </w:tc>
        <w:tc>
          <w:tcPr>
            <w:tcW w:w="4876" w:type="dxa"/>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i)</w:t>
            </w:r>
            <w:r>
              <w:tab/>
            </w:r>
            <w:r>
              <w:rPr>
                <w:b/>
                <w:i/>
              </w:rPr>
              <w:t>wykonanie kary w państwie, do którego kierowany jest wniosek, może zwiększyć szanse na resocjalizację osoby skazanej lub istnieją inne powody stosowniejszego wykonania kary w państwie, do którego kierowany jest wniosek;</w:t>
            </w:r>
          </w:p>
        </w:tc>
        <w:tc>
          <w:tcPr>
            <w:tcW w:w="4876" w:type="dxa"/>
          </w:tcPr>
          <w:p>
            <w:pPr>
              <w:pStyle w:val="Normal6a"/>
            </w:pPr>
            <w:r>
              <w:rPr>
                <w:b/>
                <w:i/>
              </w:rPr>
              <w:t>skreśla się</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77</w:t>
      </w:r>
      <w:r>
        <w:rPr>
          <w:rStyle w:val="HideTWBExt"/>
        </w:rPr>
        <w:t>&lt;/NumAm&gt;</w:t>
      </w:r>
    </w:p>
    <w:p>
      <w:pPr>
        <w:pStyle w:val="NormalBold"/>
      </w:pPr>
      <w:r>
        <w:rPr>
          <w:rStyle w:val="HideTWBExt"/>
        </w:rPr>
        <w:t>&lt;RepeatBlock-By&gt;</w:t>
      </w:r>
      <w:r>
        <w:rPr>
          <w:rStyle w:val="HideTWBExt"/>
        </w:rPr>
        <w:t>&lt;Members&gt;</w:t>
      </w:r>
      <w:r>
        <w:t>Saskia Bricmont</w:t>
      </w:r>
      <w:r>
        <w:rPr>
          <w:rStyle w:val="HideTWBExt"/>
        </w:rPr>
        <w:t>&lt;/Members&gt;</w:t>
      </w:r>
    </w:p>
    <w:p>
      <w:pPr>
        <w:pStyle w:val="NormalBold"/>
      </w:pPr>
      <w:r>
        <w:rPr>
          <w:rStyle w:val="HideTWBExt"/>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Artykuł 5 – ustęp 2 – litera j</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proponowany przez Komisję</w:t>
            </w:r>
          </w:p>
        </w:tc>
        <w:tc>
          <w:tcPr>
            <w:tcW w:w="4876" w:type="dxa"/>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Pr>
          <w:p>
            <w:pPr>
              <w:pStyle w:val="Normal6a"/>
            </w:pPr>
            <w:r>
              <w:t>j)</w:t>
            </w:r>
            <w:r>
              <w:tab/>
            </w:r>
            <w:r>
              <w:t>większość ofiar to obywatele lub mieszkańcy państwa, do którego kierowany jest wniosek.</w:t>
            </w:r>
          </w:p>
        </w:tc>
        <w:tc>
          <w:tcPr>
            <w:tcW w:w="4876" w:type="dxa"/>
          </w:tcPr>
          <w:p>
            <w:pPr>
              <w:pStyle w:val="Normal6a"/>
            </w:pPr>
            <w:r>
              <w:t>j)</w:t>
            </w:r>
            <w:r>
              <w:tab/>
            </w:r>
            <w:r>
              <w:rPr>
                <w:b/>
                <w:i/>
              </w:rPr>
              <w:t>ofiara lub</w:t>
            </w:r>
            <w:r>
              <w:t xml:space="preserve"> większość ofiar to obywatele lub mieszkańcy państwa, do którego kierowany jest wniosek.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78</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Artykuł 5 – ustęp 2 – litera j a (nowa)</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proponowany przez Komisję</w:t>
            </w:r>
          </w:p>
        </w:tc>
        <w:tc>
          <w:tcPr>
            <w:tcW w:w="4876" w:type="dxa"/>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ja)</w:t>
            </w:r>
            <w:r>
              <w:tab/>
            </w:r>
            <w:r>
              <w:rPr>
                <w:b/>
                <w:i/>
              </w:rPr>
              <w:t>konsultacje z właściwymi organami państw członkowskich na podstawie decyzji ramowej 2009/958/WSiSW w sprawie zapobiegania konfliktom jurysdykcji doprowadziły do porozumienia dotyczącego skoncentrowania równoległych postępowań w jednym państwie członkowskim.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79</w:t>
      </w:r>
      <w:r>
        <w:rPr>
          <w:rStyle w:val="HideTWBExt"/>
        </w:rPr>
        <w:t>&lt;/NumAm&gt;</w:t>
      </w:r>
    </w:p>
    <w:p>
      <w:pPr>
        <w:pStyle w:val="NormalBold"/>
      </w:pPr>
      <w:r>
        <w:rPr>
          <w:rStyle w:val="HideTWBExt"/>
        </w:rPr>
        <w:t>&lt;RepeatBlock-By&gt;</w:t>
      </w:r>
      <w:r>
        <w:rPr>
          <w:rStyle w:val="HideTWBExt"/>
        </w:rPr>
        <w:t>&lt;Members&gt;</w:t>
      </w:r>
      <w:r>
        <w:t>Saskia Bricmont</w:t>
      </w:r>
      <w:r>
        <w:rPr>
          <w:rStyle w:val="HideTWBExt"/>
        </w:rPr>
        <w:t>&lt;/Members&gt;</w:t>
      </w:r>
    </w:p>
    <w:p>
      <w:pPr>
        <w:pStyle w:val="NormalBold"/>
      </w:pPr>
      <w:r>
        <w:rPr>
          <w:rStyle w:val="HideTWBExt"/>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Artykuł 5 – ustęp 2 – litera j a (nowa)</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proponowany przez Komisję</w:t>
            </w:r>
          </w:p>
        </w:tc>
        <w:tc>
          <w:tcPr>
            <w:tcW w:w="4876" w:type="dxa"/>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ja)</w:t>
            </w:r>
            <w:r>
              <w:tab/>
            </w:r>
            <w:r>
              <w:rPr>
                <w:b/>
                <w:i/>
              </w:rPr>
              <w:t>czy przekazanie postępowania przyczyniłoby się do osiągnięcia celów sprawiedliwości naprawczej.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80</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Artykuł 5 – ustęp 3</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proponowany przez Komisję</w:t>
            </w:r>
          </w:p>
        </w:tc>
        <w:tc>
          <w:tcPr>
            <w:tcW w:w="4876" w:type="dxa"/>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3.</w:t>
            </w:r>
            <w:r>
              <w:tab/>
            </w:r>
            <w:r>
              <w:rPr>
                <w:b/>
                <w:i/>
              </w:rPr>
              <w:t>Podejrzany lub oskarżony, większość ofiar lub adwokat działający w ich imieniu mogą również zwrócić się do właściwych organów państwa wnioskującego lub państwa, do którego kierowany jest wniosek, o wszczęcie procedury przekazania postępowania karnego na mocy niniejszego rozporządzenia.</w:t>
            </w:r>
            <w:r>
              <w:t xml:space="preserve"> </w:t>
            </w:r>
            <w:r>
              <w:rPr>
                <w:b/>
                <w:i/>
              </w:rPr>
              <w:t>Wnioski złożone na podstawie niniejszego ustępu nie nakładają na państwo wnioskujące ani na państwo, do którego kierowany jest wniosek, obowiązku złożenia wniosku o przekazanie postępowania karnego do państwa lub przekazania takiego postępowania do państwa, do którego kierowany jest wniosek.</w:t>
            </w:r>
          </w:p>
        </w:tc>
        <w:tc>
          <w:tcPr>
            <w:tcW w:w="4876" w:type="dxa"/>
          </w:tcPr>
          <w:p>
            <w:pPr>
              <w:pStyle w:val="Normal6a"/>
            </w:pPr>
            <w:r>
              <w:rPr>
                <w:b/>
                <w:i/>
              </w:rPr>
              <w:t>skreśla się</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81</w:t>
      </w:r>
      <w:r>
        <w:rPr>
          <w:rStyle w:val="HideTWBExt"/>
        </w:rPr>
        <w:t>&lt;/NumAm&gt;</w:t>
      </w:r>
    </w:p>
    <w:p>
      <w:pPr>
        <w:pStyle w:val="NormalBold"/>
      </w:pPr>
      <w:r>
        <w:rPr>
          <w:rStyle w:val="HideTWBExt"/>
        </w:rPr>
        <w:t>&lt;RepeatBlock-By&gt;</w:t>
      </w:r>
      <w:r>
        <w:rPr>
          <w:rStyle w:val="HideTWBExt"/>
        </w:rPr>
        <w:t>&lt;Members&gt;</w:t>
      </w:r>
      <w:r>
        <w:t>Saskia Bricmont</w:t>
      </w:r>
      <w:r>
        <w:rPr>
          <w:rStyle w:val="HideTWBExt"/>
        </w:rPr>
        <w:t>&lt;/Members&gt;</w:t>
      </w:r>
    </w:p>
    <w:p>
      <w:pPr>
        <w:pStyle w:val="NormalBold"/>
      </w:pPr>
      <w:r>
        <w:rPr>
          <w:rStyle w:val="HideTWBExt"/>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Artykuł 5 – ustęp 3</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proponowany przez Komisję</w:t>
            </w:r>
          </w:p>
        </w:tc>
        <w:tc>
          <w:tcPr>
            <w:tcW w:w="4876" w:type="dxa"/>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Pr>
          <w:p>
            <w:pPr>
              <w:pStyle w:val="Normal6a"/>
            </w:pPr>
            <w:r>
              <w:t>3.</w:t>
            </w:r>
            <w:r>
              <w:tab/>
            </w:r>
            <w:r>
              <w:t xml:space="preserve">Podejrzany lub oskarżony, większość ofiar lub adwokat działający w ich imieniu </w:t>
            </w:r>
            <w:r>
              <w:rPr>
                <w:b/>
                <w:i/>
              </w:rPr>
              <w:t>mogą również</w:t>
            </w:r>
            <w:r>
              <w:t xml:space="preserve"> zwrócić się do właściwych organów państwa wnioskującego lub państwa, do którego kierowany jest wniosek, o wszczęcie procedury przekazania postępowania karnego na mocy niniejszego rozporządzenia. Wnioski złożone na podstawie niniejszego ustępu nie nakładają na państwo wnioskujące ani na państwo, do którego kierowany jest wniosek, obowiązku złożenia wniosku o przekazanie postępowania karnego do państwa lub przekazania takiego postępowania do państwa, do którego kierowany jest wniosek.</w:t>
            </w:r>
          </w:p>
        </w:tc>
        <w:tc>
          <w:tcPr>
            <w:tcW w:w="4876" w:type="dxa"/>
          </w:tcPr>
          <w:p>
            <w:pPr>
              <w:pStyle w:val="Normal6a"/>
            </w:pPr>
            <w:r>
              <w:t>3.</w:t>
            </w:r>
            <w:r>
              <w:tab/>
            </w:r>
            <w:r>
              <w:t xml:space="preserve">Podejrzany lub oskarżony, </w:t>
            </w:r>
            <w:r>
              <w:rPr>
                <w:b/>
                <w:i/>
              </w:rPr>
              <w:t>ofiara lub</w:t>
            </w:r>
            <w:r>
              <w:t xml:space="preserve"> większość ofiar lub adwokat działający w ich imieniu </w:t>
            </w:r>
            <w:r>
              <w:rPr>
                <w:b/>
                <w:i/>
              </w:rPr>
              <w:t>mają prawo</w:t>
            </w:r>
            <w:r>
              <w:t xml:space="preserve"> zwrócić się do właściwych organów państwa wnioskującego lub państwa, do którego kierowany jest wniosek, o wszczęcie procedury przekazania postępowania karnego na mocy niniejszego rozporządzenia. Wnioski złożone na podstawie niniejszego ustępu nie nakładają na państwo wnioskujące ani na państwo, do którego kierowany jest wniosek, obowiązku złożenia wniosku o przekazanie postępowania karnego do państwa lub przekazania takiego postępowania do państwa, do którego kierowany jest wniosek.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82</w:t>
      </w:r>
      <w:r>
        <w:rPr>
          <w:rStyle w:val="HideTWBExt"/>
        </w:rPr>
        <w:t>&lt;/NumAm&gt;</w:t>
      </w:r>
    </w:p>
    <w:p>
      <w:pPr>
        <w:pStyle w:val="NormalBold"/>
      </w:pPr>
      <w:r>
        <w:rPr>
          <w:rStyle w:val="HideTWBExt"/>
        </w:rPr>
        <w:t>&lt;RepeatBlock-By&gt;</w:t>
      </w:r>
      <w:r>
        <w:rPr>
          <w:rStyle w:val="HideTWBExt"/>
        </w:rPr>
        <w:t>&lt;Members&gt;</w:t>
      </w:r>
      <w:r>
        <w:t>Evin Incir</w:t>
      </w:r>
      <w:r>
        <w:rPr>
          <w:rStyle w:val="HideTWBExt"/>
        </w:rPr>
        <w:t>&lt;/Members&gt;</w:t>
      </w:r>
    </w:p>
    <w:p>
      <w:pPr>
        <w:pStyle w:val="NormalBold"/>
      </w:pPr>
      <w:r>
        <w:rPr>
          <w:rStyle w:val="HideTWBExt"/>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Artykuł 5 – ustęp 3</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proponowany przez Komisję</w:t>
            </w:r>
          </w:p>
        </w:tc>
        <w:tc>
          <w:tcPr>
            <w:tcW w:w="4876" w:type="dxa"/>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Pr>
          <w:p>
            <w:pPr>
              <w:pStyle w:val="Normal6a"/>
            </w:pPr>
            <w:r>
              <w:t>3.</w:t>
            </w:r>
            <w:r>
              <w:tab/>
            </w:r>
            <w:r>
              <w:t xml:space="preserve">Podejrzany lub oskarżony, </w:t>
            </w:r>
            <w:r>
              <w:rPr>
                <w:b/>
                <w:i/>
              </w:rPr>
              <w:t>większość ofiar</w:t>
            </w:r>
            <w:r>
              <w:t xml:space="preserve"> lub adwokat działający w ich imieniu mogą również zwrócić się do właściwych organów państwa wnioskującego lub państwa, do którego kierowany jest wniosek, o wszczęcie procedury przekazania postępowania karnego na mocy niniejszego rozporządzenia. Wnioski złożone na podstawie niniejszego ustępu nie nakładają na państwo wnioskujące ani na państwo, do którego kierowany jest wniosek, obowiązku złożenia wniosku o przekazanie postępowania karnego do państwa lub przekazania takiego postępowania do państwa, do którego kierowany jest wniosek.</w:t>
            </w:r>
          </w:p>
        </w:tc>
        <w:tc>
          <w:tcPr>
            <w:tcW w:w="4876" w:type="dxa"/>
          </w:tcPr>
          <w:p>
            <w:pPr>
              <w:pStyle w:val="Normal6a"/>
            </w:pPr>
            <w:r>
              <w:t>3.</w:t>
            </w:r>
            <w:r>
              <w:tab/>
            </w:r>
            <w:r>
              <w:t xml:space="preserve">Podejrzany lub oskarżony, </w:t>
            </w:r>
            <w:r>
              <w:rPr>
                <w:b/>
                <w:i/>
              </w:rPr>
              <w:t>ofiara bądź ofiary</w:t>
            </w:r>
            <w:r>
              <w:t xml:space="preserve"> lub adwokat działający w ich imieniu mogą również zwrócić się do właściwych organów państwa wnioskującego lub państwa, do którego kierowany jest wniosek, o wszczęcie procedury przekazania postępowania karnego na mocy niniejszego rozporządzenia. Wnioski złożone na podstawie niniejszego ustępu nie nakładają na państwo wnioskujące ani na państwo, do którego kierowany jest wniosek, obowiązku złożenia wniosku o przekazanie postępowania karnego do państwa lub przekazania takiego postępowania do państwa, do którego kierowany jest wniosek.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83</w:t>
      </w:r>
      <w:r>
        <w:rPr>
          <w:rStyle w:val="HideTWBExt"/>
        </w:rPr>
        <w:t>&lt;/NumAm&gt;</w:t>
      </w:r>
    </w:p>
    <w:p>
      <w:pPr>
        <w:pStyle w:val="NormalBold"/>
      </w:pPr>
      <w:r>
        <w:rPr>
          <w:rStyle w:val="HideTWBExt"/>
        </w:rPr>
        <w:t>&lt;RepeatBlock-By&gt;</w:t>
      </w:r>
      <w:r>
        <w:rPr>
          <w:rStyle w:val="HideTWBExt"/>
        </w:rPr>
        <w:t>&lt;Members&gt;</w:t>
      </w:r>
      <w:r>
        <w:t>Saskia Bricmont</w:t>
      </w:r>
      <w:r>
        <w:rPr>
          <w:rStyle w:val="HideTWBExt"/>
        </w:rPr>
        <w:t>&lt;/Members&gt;</w:t>
      </w:r>
    </w:p>
    <w:p>
      <w:pPr>
        <w:pStyle w:val="NormalBold"/>
      </w:pPr>
      <w:r>
        <w:rPr>
          <w:rStyle w:val="HideTWBExt"/>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Artykuł 5 – ustęp 3 a (nowy)</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proponowany przez Komisję</w:t>
            </w:r>
          </w:p>
        </w:tc>
        <w:tc>
          <w:tcPr>
            <w:tcW w:w="4876" w:type="dxa"/>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3a.</w:t>
            </w:r>
            <w:r>
              <w:tab/>
            </w:r>
            <w:r>
              <w:rPr>
                <w:b/>
                <w:i/>
              </w:rPr>
              <w:t>Organ wnioskujący o przekazanie na podstawie ust. 1 lub rozpatrujący wniosek na podstawie ust. 3 wydaje uzasadnioną decyzję i informuje o tym wnioskodawców oraz wszelkie inne zainteresowane strony.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84</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Artykuł 6 – ustęp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proponowany przez Komisję</w:t>
            </w:r>
          </w:p>
        </w:tc>
        <w:tc>
          <w:tcPr>
            <w:tcW w:w="4876" w:type="dxa"/>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 xml:space="preserve">Przed złożeniem wniosku o przekazanie postępowania karnego organ wnioskujący uwzględnia należycie, zgodnie z mającym zastosowanie prawem krajowym, uzasadnione interesy podejrzanego lub oskarżonego </w:t>
            </w:r>
            <w:r>
              <w:rPr>
                <w:b/>
                <w:i/>
              </w:rPr>
              <w:t>i zapewnia poszanowanie ich praw procesowych wynikających z prawa Unii i prawa krajowego</w:t>
            </w:r>
            <w:r>
              <w:t>.</w:t>
            </w:r>
          </w:p>
        </w:tc>
        <w:tc>
          <w:tcPr>
            <w:tcW w:w="4876" w:type="dxa"/>
          </w:tcPr>
          <w:p>
            <w:pPr>
              <w:pStyle w:val="Normal6a"/>
            </w:pPr>
            <w:r>
              <w:t>1.</w:t>
            </w:r>
            <w:r>
              <w:tab/>
            </w:r>
            <w:r>
              <w:t>Przed złożeniem wniosku o przekazanie postępowania karnego organ wnioskujący uwzględnia należycie, zgodnie z mającym zastosowanie prawem krajowym, uzasadnione interesy podejrzanego lub oskarżonego.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85</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Artykuł 6 – ustęp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proponowany przez Komisję</w:t>
            </w:r>
          </w:p>
        </w:tc>
        <w:tc>
          <w:tcPr>
            <w:tcW w:w="4876" w:type="dxa"/>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 xml:space="preserve">O ile nie naruszy to poufności postępowania przygotowawczego, podejrzanego lub oskarżonego </w:t>
            </w:r>
            <w:r>
              <w:rPr>
                <w:b/>
                <w:i/>
              </w:rPr>
              <w:t>informuje się</w:t>
            </w:r>
            <w:r>
              <w:t xml:space="preserve"> w zrozumiałym dla </w:t>
            </w:r>
            <w:r>
              <w:rPr>
                <w:b/>
                <w:i/>
              </w:rPr>
              <w:t>niego</w:t>
            </w:r>
            <w:r>
              <w:t xml:space="preserve"> języku, zgodnie z mającym zastosowanie prawem krajowym</w:t>
            </w:r>
            <w:r>
              <w:rPr>
                <w:b/>
                <w:i/>
              </w:rPr>
              <w:t>,</w:t>
            </w:r>
            <w:r>
              <w:t xml:space="preserve"> o planowanym przekazaniu postępowania karnego oraz </w:t>
            </w:r>
            <w:r>
              <w:rPr>
                <w:b/>
                <w:i/>
              </w:rPr>
              <w:t>umożliwia się mu</w:t>
            </w:r>
            <w:r>
              <w:t xml:space="preserve"> wyrażenie opinii ustnie lub na piśmie, chyba że </w:t>
            </w:r>
            <w:r>
              <w:rPr>
                <w:b/>
                <w:i/>
              </w:rPr>
              <w:t>nie można</w:t>
            </w:r>
            <w:r>
              <w:t xml:space="preserve"> ustalić </w:t>
            </w:r>
            <w:r>
              <w:rPr>
                <w:b/>
                <w:i/>
              </w:rPr>
              <w:t>jego</w:t>
            </w:r>
            <w:r>
              <w:t xml:space="preserve"> miejsca pobytu</w:t>
            </w:r>
            <w:r>
              <w:rPr>
                <w:b/>
                <w:i/>
              </w:rPr>
              <w:t>, mimo podjęcia przez organ wnioskujący starań w rozsądnym zakresie</w:t>
            </w:r>
            <w:r>
              <w:t xml:space="preserve">. Jeżeli organ wnioskujący uzna to za konieczne ze względu na wiek podejrzanego lub oskarżonego, jego stan fizyczny lub psychiczny, </w:t>
            </w:r>
            <w:r>
              <w:rPr>
                <w:b/>
                <w:i/>
              </w:rPr>
              <w:t>możliwość wyrażenia opinii zapewnia się przedstawicielowi prawnemu podejrzanego lub oskarżonego.</w:t>
            </w:r>
            <w:r>
              <w:t xml:space="preserve"> </w:t>
            </w:r>
            <w:r>
              <w:rPr>
                <w:b/>
                <w:i/>
              </w:rPr>
              <w:t>Jeżeli wniosek o przekazanie postępowania karnego jest sporządzany w następstwie wniosku</w:t>
            </w:r>
            <w:r>
              <w:t xml:space="preserve"> podejrzanego lub oskarżonego </w:t>
            </w:r>
            <w:r>
              <w:rPr>
                <w:b/>
                <w:i/>
              </w:rPr>
              <w:t>złożonego na podstawie art. 5 ust. 3, taka konsultacja z podejrzanym lub oskarżonym, który złożył wniosek, nie jest wymagana</w:t>
            </w:r>
            <w:r>
              <w:t>.</w:t>
            </w:r>
          </w:p>
        </w:tc>
        <w:tc>
          <w:tcPr>
            <w:tcW w:w="4876" w:type="dxa"/>
          </w:tcPr>
          <w:p>
            <w:pPr>
              <w:pStyle w:val="Normal6a"/>
            </w:pPr>
            <w:r>
              <w:t>2.</w:t>
            </w:r>
            <w:r>
              <w:tab/>
            </w:r>
            <w:r>
              <w:t xml:space="preserve">O ile nie naruszy to poufności postępowania przygotowawczego </w:t>
            </w:r>
            <w:r>
              <w:rPr>
                <w:b/>
                <w:i/>
              </w:rPr>
              <w:t>ani nie wpłynie negatywnie na postępowanie w inny sposób</w:t>
            </w:r>
            <w:r>
              <w:t>, podejrzanego lub oskarżonego</w:t>
            </w:r>
            <w:r>
              <w:rPr>
                <w:b/>
                <w:i/>
              </w:rPr>
              <w:t>, którzy zostali już poinformowani o zarzutach, można poinformować —</w:t>
            </w:r>
            <w:r>
              <w:t xml:space="preserve"> w zrozumiałym dla </w:t>
            </w:r>
            <w:r>
              <w:rPr>
                <w:b/>
                <w:i/>
              </w:rPr>
              <w:t>nich</w:t>
            </w:r>
            <w:r>
              <w:t xml:space="preserve"> języku, zgodnie z mającym zastosowanie prawem krajowym </w:t>
            </w:r>
            <w:r>
              <w:rPr>
                <w:b/>
                <w:i/>
              </w:rPr>
              <w:t>—</w:t>
            </w:r>
            <w:r>
              <w:t xml:space="preserve"> o planowanym przekazaniu postępowania karnego oraz </w:t>
            </w:r>
            <w:r>
              <w:rPr>
                <w:b/>
                <w:i/>
              </w:rPr>
              <w:t>umożliwić im</w:t>
            </w:r>
            <w:r>
              <w:t xml:space="preserve"> wyrażenie opinii ustnie lub na piśmie, chyba że </w:t>
            </w:r>
            <w:r>
              <w:rPr>
                <w:b/>
                <w:i/>
              </w:rPr>
              <w:t>organ wnioskujący nie może</w:t>
            </w:r>
            <w:r>
              <w:t xml:space="preserve"> ustalić </w:t>
            </w:r>
            <w:r>
              <w:rPr>
                <w:b/>
                <w:i/>
              </w:rPr>
              <w:t>ich</w:t>
            </w:r>
            <w:r>
              <w:t xml:space="preserve"> miejsca pobytu. Jeżeli organ wnioskujący uzna to za konieczne ze względu na wiek podejrzanego lub oskarżonego, jego stan fizyczny lub psychiczny, </w:t>
            </w:r>
            <w:r>
              <w:rPr>
                <w:b/>
                <w:i/>
              </w:rPr>
              <w:t>można dopuścić wyrażenie opinii przez przedstawiciela prawnego</w:t>
            </w:r>
            <w:r>
              <w:t xml:space="preserve"> podejrzanego lub oskarżonego.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86</w:t>
      </w:r>
      <w:r>
        <w:rPr>
          <w:rStyle w:val="HideTWBExt"/>
        </w:rPr>
        <w:t>&lt;/NumAm&gt;</w:t>
      </w:r>
    </w:p>
    <w:p>
      <w:pPr>
        <w:pStyle w:val="NormalBold"/>
      </w:pPr>
      <w:r>
        <w:rPr>
          <w:rStyle w:val="HideTWBExt"/>
        </w:rPr>
        <w:t>&lt;RepeatBlock-By&gt;</w:t>
      </w:r>
      <w:r>
        <w:rPr>
          <w:rStyle w:val="HideTWBExt"/>
        </w:rPr>
        <w:t>&lt;Members&gt;</w:t>
      </w:r>
      <w:r>
        <w:t>Evin Incir</w:t>
      </w:r>
      <w:r>
        <w:rPr>
          <w:rStyle w:val="HideTWBExt"/>
        </w:rPr>
        <w:t>&lt;/Members&gt;</w:t>
      </w:r>
    </w:p>
    <w:p>
      <w:pPr>
        <w:pStyle w:val="NormalBold"/>
      </w:pPr>
      <w:r>
        <w:rPr>
          <w:rStyle w:val="HideTWBExt"/>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Artykuł 6 – ustęp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proponowany przez Komisję</w:t>
            </w:r>
          </w:p>
        </w:tc>
        <w:tc>
          <w:tcPr>
            <w:tcW w:w="4876" w:type="dxa"/>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O ile nie naruszy to poufności postępowania przygotowawczego, podejrzanego lub oskarżonego informuje się w zrozumiałym dla niego języku, zgodnie z mającym zastosowanie prawem krajowym, o planowanym przekazaniu postępowania karnego oraz umożliwia się mu wyrażenie opinii ustnie lub na piśmie, chyba że nie można ustalić jego miejsca pobytu, mimo podjęcia przez organ wnioskujący starań w rozsądnym zakresie. Jeżeli organ wnioskujący uzna to za konieczne ze względu na wiek podejrzanego lub oskarżonego, jego stan fizyczny lub psychiczny, możliwość wyrażenia opinii zapewnia się przedstawicielowi prawnemu podejrzanego lub oskarżonego. Jeżeli wniosek o przekazanie postępowania karnego jest sporządzany w następstwie wniosku podejrzanego lub oskarżonego złożonego na podstawie art. 5 ust. 3, taka konsultacja z podejrzanym lub oskarżonym, który złożył wniosek, nie jest wymagana.</w:t>
            </w:r>
          </w:p>
        </w:tc>
        <w:tc>
          <w:tcPr>
            <w:tcW w:w="4876" w:type="dxa"/>
          </w:tcPr>
          <w:p>
            <w:pPr>
              <w:pStyle w:val="Normal6a"/>
            </w:pPr>
            <w:r>
              <w:t>2.</w:t>
            </w:r>
            <w:r>
              <w:tab/>
            </w:r>
            <w:r>
              <w:t>O ile nie naruszy to poufności postępowania przygotowawczego, podejrzanego lub oskarżonego informuje się</w:t>
            </w:r>
            <w:r>
              <w:rPr>
                <w:b/>
                <w:i/>
              </w:rPr>
              <w:t>, w odpowiednim przypadku,</w:t>
            </w:r>
            <w:r>
              <w:t xml:space="preserve"> w zrozumiałym dla niego języku, zgodnie z mającym zastosowanie prawem krajowym, o planowanym przekazaniu postępowania karnego oraz umożliwia się mu wyrażenie opinii ustnie lub na piśmie, chyba że nie można ustalić jego miejsca pobytu, mimo podjęcia przez organ wnioskujący starań w rozsądnym zakresie. Jeżeli organ wnioskujący uzna to za konieczne ze względu na wiek podejrzanego lub oskarżonego, jego stan fizyczny lub psychiczny, możliwość wyrażenia opinii zapewnia się przedstawicielowi prawnemu podejrzanego lub oskarżonego. Jeżeli wniosek o przekazanie postępowania karnego jest sporządzany w następstwie wniosku podejrzanego lub oskarżonego złożonego na podstawie art. 5 ust. 3, taka konsultacja z podejrzanym lub oskarżonym, który złożył wniosek, nie jest wymagana.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87</w:t>
      </w:r>
      <w:r>
        <w:rPr>
          <w:rStyle w:val="HideTWBExt"/>
        </w:rPr>
        <w:t>&lt;/NumAm&gt;</w:t>
      </w:r>
    </w:p>
    <w:p>
      <w:pPr>
        <w:pStyle w:val="NormalBold"/>
      </w:pPr>
      <w:r>
        <w:rPr>
          <w:rStyle w:val="HideTWBExt"/>
        </w:rPr>
        <w:t>&lt;RepeatBlock-By&gt;</w:t>
      </w:r>
      <w:r>
        <w:rPr>
          <w:rStyle w:val="HideTWBExt"/>
        </w:rPr>
        <w:t>&lt;Members&gt;</w:t>
      </w:r>
      <w:r>
        <w:t>Saskia Bricmont</w:t>
      </w:r>
      <w:r>
        <w:rPr>
          <w:rStyle w:val="HideTWBExt"/>
        </w:rPr>
        <w:t>&lt;/Members&gt;</w:t>
      </w:r>
    </w:p>
    <w:p>
      <w:pPr>
        <w:pStyle w:val="NormalBold"/>
      </w:pPr>
      <w:r>
        <w:rPr>
          <w:rStyle w:val="HideTWBExt"/>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Artykuł 6 – ustęp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proponowany przez Komisję</w:t>
            </w:r>
          </w:p>
        </w:tc>
        <w:tc>
          <w:tcPr>
            <w:tcW w:w="4876" w:type="dxa"/>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rPr>
                <w:b/>
                <w:i/>
              </w:rPr>
              <w:t>O ile nie naruszy to poufności postępowania przygotowawczego,</w:t>
            </w:r>
            <w:r>
              <w:t xml:space="preserve"> podejrzanego lub oskarżonego informuje się w zrozumiałym dla niego języku, zgodnie z mającym zastosowanie prawem krajowym, o planowanym przekazaniu postępowania karnego oraz umożliwia się mu wyrażenie opinii ustnie lub na piśmie, chyba że nie można ustalić jego miejsca pobytu, mimo podjęcia przez organ wnioskujący starań w rozsądnym zakresie. Jeżeli organ wnioskujący uzna to za konieczne ze względu na wiek podejrzanego lub oskarżonego, jego stan fizyczny lub psychiczny, możliwość wyrażenia opinii zapewnia się przedstawicielowi prawnemu podejrzanego lub oskarżonego. Jeżeli wniosek o przekazanie postępowania karnego jest sporządzany w następstwie wniosku podejrzanego lub oskarżonego złożonego na podstawie art. 5 ust. 3, taka konsultacja z podejrzanym lub oskarżonym, który złożył wniosek, nie jest wymagana.</w:t>
            </w:r>
          </w:p>
        </w:tc>
        <w:tc>
          <w:tcPr>
            <w:tcW w:w="4876" w:type="dxa"/>
          </w:tcPr>
          <w:p>
            <w:pPr>
              <w:pStyle w:val="Normal6a"/>
            </w:pPr>
            <w:r>
              <w:t>2.</w:t>
            </w:r>
            <w:r>
              <w:tab/>
            </w:r>
            <w:r>
              <w:t xml:space="preserve">Podejrzanego lub oskarżonego informuje się w zrozumiałym dla niego języku, zgodnie z mającym zastosowanie prawem krajowym, o planowanym przekazaniu postępowania karnego oraz umożliwia się mu wyrażenie opinii ustnie lub na piśmie </w:t>
            </w:r>
            <w:r>
              <w:rPr>
                <w:b/>
                <w:i/>
              </w:rPr>
              <w:t>przed planowanym przekazaniem</w:t>
            </w:r>
            <w:r>
              <w:t xml:space="preserve">, chyba że nie można ustalić jego miejsca pobytu, mimo podjęcia przez organ wnioskujący starań w rozsądnym zakresie. Jeżeli organ wnioskujący uzna to za konieczne ze względu na wiek podejrzanego lub oskarżonego, jego stan fizyczny lub psychiczny, możliwość wyrażenia opinii zapewnia się przedstawicielowi prawnemu podejrzanego lub oskarżonego </w:t>
            </w:r>
            <w:r>
              <w:rPr>
                <w:b/>
                <w:i/>
              </w:rPr>
              <w:t>przed planowanym przekazaniem</w:t>
            </w:r>
            <w:r>
              <w:t>. Jeżeli wniosek o przekazanie postępowania karnego jest sporządzany w następstwie wniosku podejrzanego lub oskarżonego złożonego na podstawie art. 5 ust. 3, taka konsultacja z podejrzanym lub oskarżonym, który złożył wniosek, nie jest wymagana.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88</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Artykuł 6 – ustęp 3</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proponowany przez Komisję</w:t>
            </w:r>
          </w:p>
        </w:tc>
        <w:tc>
          <w:tcPr>
            <w:tcW w:w="4876" w:type="dxa"/>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Pr>
          <w:p>
            <w:pPr>
              <w:pStyle w:val="Normal6a"/>
            </w:pPr>
            <w:r>
              <w:t>3.</w:t>
            </w:r>
            <w:r>
              <w:tab/>
            </w:r>
            <w:r>
              <w:t xml:space="preserve">Podejmując decyzję o tym, czy wystąpić z wnioskiem o przekazanie postępowania karnego, organ wnioskujący </w:t>
            </w:r>
            <w:r>
              <w:rPr>
                <w:b/>
                <w:i/>
              </w:rPr>
              <w:t>uwzględnia</w:t>
            </w:r>
            <w:r>
              <w:t xml:space="preserve"> opinię podejrzanego lub oskarżonego, o której mowa w ust. 2.</w:t>
            </w:r>
          </w:p>
        </w:tc>
        <w:tc>
          <w:tcPr>
            <w:tcW w:w="4876" w:type="dxa"/>
          </w:tcPr>
          <w:p>
            <w:pPr>
              <w:pStyle w:val="Normal6a"/>
            </w:pPr>
            <w:r>
              <w:t>3.</w:t>
            </w:r>
            <w:r>
              <w:tab/>
            </w:r>
            <w:r>
              <w:t xml:space="preserve">Podejmując decyzję o tym, czy wystąpić z wnioskiem o przekazanie postępowania karnego, organ wnioskujący </w:t>
            </w:r>
            <w:r>
              <w:rPr>
                <w:b/>
                <w:i/>
              </w:rPr>
              <w:t>rejestruje</w:t>
            </w:r>
            <w:r>
              <w:t xml:space="preserve"> opinię podejrzanego lub oskarżonego, o której mowa w ust. 2.</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89</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Artykuł 6 – ustęp 4</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proponowany przez Komisję</w:t>
            </w:r>
          </w:p>
        </w:tc>
        <w:tc>
          <w:tcPr>
            <w:tcW w:w="4876" w:type="dxa"/>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Pr>
          <w:p>
            <w:pPr>
              <w:pStyle w:val="Normal6a"/>
            </w:pPr>
            <w:r>
              <w:t>4.</w:t>
            </w:r>
            <w:r>
              <w:tab/>
            </w:r>
            <w:r>
              <w:t xml:space="preserve">Jeżeli organ, do którego kierowany jest wniosek, podjął decyzję zgodnie z art. 12 ust. 1, organ wnioskujący – o ile nie narusza to poufności postępowania przygotowawczego – niezwłocznie informuje podejrzanego lub oskarżonego, w języku dla niego zrozumiałym, o wydaniu wniosku o przekazanie postępowania karnego, a następnie o wydaniu przez organ, do którego kierowany jest wniosek, zgody lub udzieleniu przez ten organ odmowy na przekazanie, chyba że </w:t>
            </w:r>
            <w:r>
              <w:rPr>
                <w:b/>
                <w:i/>
              </w:rPr>
              <w:t>nie można</w:t>
            </w:r>
            <w:r>
              <w:t xml:space="preserve"> ustalić jego miejsca pobytu</w:t>
            </w:r>
            <w:r>
              <w:rPr>
                <w:b/>
                <w:i/>
              </w:rPr>
              <w:t>, mimo podjęcia przez organ wnioskujący starań w rozsądnym zakresie</w:t>
            </w:r>
            <w:r>
              <w:t>. Jeżeli organ, do którego kierowany jest wniosek, podjął decyzję o wyrażeniu zgody na przekazanie mu postępowania karnego, podejrzany lub oskarżony jest informowany również o przysługującym mu prawie do środka odwoławczego w państwie, do którego kierowany jest wniosek, w tym o terminach na wniesienie takiego środka odwoławczego.</w:t>
            </w:r>
          </w:p>
        </w:tc>
        <w:tc>
          <w:tcPr>
            <w:tcW w:w="4876" w:type="dxa"/>
          </w:tcPr>
          <w:p>
            <w:pPr>
              <w:pStyle w:val="Normal6a"/>
            </w:pPr>
            <w:r>
              <w:t>4.</w:t>
            </w:r>
            <w:r>
              <w:tab/>
            </w:r>
            <w:r>
              <w:t xml:space="preserve">Jeżeli organ, do którego kierowany jest wniosek, podjął decyzję zgodnie z art. 12 ust. 1, organ wnioskujący – o ile nie narusza to poufności postępowania przygotowawczego </w:t>
            </w:r>
            <w:r>
              <w:rPr>
                <w:b/>
                <w:i/>
              </w:rPr>
              <w:t>ani nie wpływa negatywnie na postępowanie w inny sposób</w:t>
            </w:r>
            <w:r>
              <w:t xml:space="preserve"> – niezwłocznie informuje podejrzanego lub oskarżonego, w języku dla niego zrozumiałym, o wydaniu wniosku o przekazanie postępowania karnego, a następnie o wydaniu przez organ, do którego kierowany jest wniosek, zgody lub udzieleniu przez ten organ odmowy na przekazanie, chyba że </w:t>
            </w:r>
            <w:r>
              <w:rPr>
                <w:b/>
                <w:i/>
              </w:rPr>
              <w:t>organ wnioskujący nie może</w:t>
            </w:r>
            <w:r>
              <w:t xml:space="preserve"> ustalić jego miejsca pobytu. Jeżeli organ, do którego kierowany jest wniosek, podjął decyzję o wyrażeniu zgody na przekazanie mu postępowania karnego, podejrzany lub oskarżony jest informowany również o przysługującym mu prawie do środka odwoławczego w państwie, do którego kierowany jest wniosek, w tym o terminach na wniesienie takiego środka odwoławczego. </w:t>
            </w:r>
            <w:r>
              <w:rPr>
                <w:b/>
                <w:i/>
              </w:rPr>
              <w:t>W stosownych przypadkach organ wnioskujący może zwrócić się o pomoc w wykonaniu tego zadania do organu, do którego kierowany jest wniosek.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90</w:t>
      </w:r>
      <w:r>
        <w:rPr>
          <w:rStyle w:val="HideTWBExt"/>
        </w:rPr>
        <w:t>&lt;/NumAm&gt;</w:t>
      </w:r>
    </w:p>
    <w:p>
      <w:pPr>
        <w:pStyle w:val="NormalBold"/>
      </w:pPr>
      <w:r>
        <w:rPr>
          <w:rStyle w:val="HideTWBExt"/>
        </w:rPr>
        <w:t>&lt;RepeatBlock-By&gt;</w:t>
      </w:r>
      <w:r>
        <w:rPr>
          <w:rStyle w:val="HideTWBExt"/>
        </w:rPr>
        <w:t>&lt;Members&gt;</w:t>
      </w:r>
      <w:r>
        <w:t>Saskia Bricmont</w:t>
      </w:r>
      <w:r>
        <w:rPr>
          <w:rStyle w:val="HideTWBExt"/>
        </w:rPr>
        <w:t>&lt;/Members&gt;</w:t>
      </w:r>
    </w:p>
    <w:p>
      <w:pPr>
        <w:pStyle w:val="NormalBold"/>
      </w:pPr>
      <w:r>
        <w:rPr>
          <w:rStyle w:val="HideTWBExt"/>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Artykuł 6 – ustęp 4</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proponowany przez Komisję</w:t>
            </w:r>
          </w:p>
        </w:tc>
        <w:tc>
          <w:tcPr>
            <w:tcW w:w="4876" w:type="dxa"/>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Pr>
          <w:p>
            <w:pPr>
              <w:pStyle w:val="Normal6a"/>
            </w:pPr>
            <w:r>
              <w:t>4.</w:t>
            </w:r>
            <w:r>
              <w:tab/>
            </w:r>
            <w:r>
              <w:t xml:space="preserve">Jeżeli organ, do którego kierowany jest wniosek, podjął decyzję zgodnie z art. 12 ust. 1, organ wnioskujący </w:t>
            </w:r>
            <w:r>
              <w:rPr>
                <w:b/>
                <w:i/>
              </w:rPr>
              <w:t>– o ile nie narusza to poufności postępowania przygotowawczego –</w:t>
            </w:r>
            <w:r>
              <w:t xml:space="preserve"> niezwłocznie informuje podejrzanego lub oskarżonego, w języku dla niego zrozumiałym, o wydaniu wniosku o przekazanie postępowania karnego, a następnie o wydaniu przez organ, do którego kierowany jest wniosek, zgody lub udzieleniu przez ten organ odmowy na przekazanie, chyba że nie można ustalić jego miejsca pobytu, mimo podjęcia przez organ wnioskujący starań w rozsądnym zakresie. Jeżeli organ, do którego kierowany jest wniosek, podjął decyzję o wyrażeniu zgody na przekazanie mu postępowania karnego, podejrzany lub oskarżony jest informowany również o przysługującym mu prawie do środka odwoławczego w państwie, do którego kierowany jest wniosek, w tym o terminach na wniesienie takiego środka odwoławczego.</w:t>
            </w:r>
          </w:p>
        </w:tc>
        <w:tc>
          <w:tcPr>
            <w:tcW w:w="4876" w:type="dxa"/>
          </w:tcPr>
          <w:p>
            <w:pPr>
              <w:pStyle w:val="Normal6a"/>
            </w:pPr>
            <w:r>
              <w:t>4.</w:t>
            </w:r>
            <w:r>
              <w:tab/>
            </w:r>
            <w:r>
              <w:t>Jeżeli organ, do którego kierowany jest wniosek, podjął decyzję zgodnie z art. 12 ust. 1, organ wnioskujący niezwłocznie informuje podejrzanego lub oskarżonego, w języku dla niego zrozumiałym, o wydaniu wniosku o przekazanie postępowania karnego, a następnie o wydaniu przez organ, do którego kierowany jest wniosek, zgody lub udzieleniu przez ten organ odmowy na przekazanie, chyba że nie można ustalić jego miejsca pobytu, mimo podjęcia przez organ wnioskujący starań w rozsądnym zakresie. Jeżeli organ, do którego kierowany jest wniosek, podjął decyzję o wyrażeniu zgody na przekazanie mu postępowania karnego, podejrzany lub oskarżony jest informowany również o przysługującym mu prawie do środka odwoławczego w państwie, do którego kierowany jest wniosek, w tym o terminach na wniesienie takiego środka odwoławczego.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91</w:t>
      </w:r>
      <w:r>
        <w:rPr>
          <w:rStyle w:val="HideTWBExt"/>
        </w:rPr>
        <w:t>&lt;/NumAm&gt;</w:t>
      </w:r>
    </w:p>
    <w:p>
      <w:pPr>
        <w:pStyle w:val="NormalBold"/>
      </w:pPr>
      <w:r>
        <w:rPr>
          <w:rStyle w:val="HideTWBExt"/>
        </w:rPr>
        <w:t>&lt;RepeatBlock-By&gt;</w:t>
      </w:r>
      <w:r>
        <w:rPr>
          <w:rStyle w:val="HideTWBExt"/>
        </w:rPr>
        <w:t>&lt;Members&gt;</w:t>
      </w:r>
      <w:r>
        <w:t>Saskia Bricmont</w:t>
      </w:r>
      <w:r>
        <w:rPr>
          <w:rStyle w:val="HideTWBExt"/>
        </w:rPr>
        <w:t>&lt;/Members&gt;</w:t>
      </w:r>
    </w:p>
    <w:p>
      <w:pPr>
        <w:pStyle w:val="NormalBold"/>
      </w:pPr>
      <w:r>
        <w:rPr>
          <w:rStyle w:val="HideTWBExt"/>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Artykuł 6 – ustęp 4 a (nowy)</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proponowany przez Komisję</w:t>
            </w:r>
          </w:p>
        </w:tc>
        <w:tc>
          <w:tcPr>
            <w:tcW w:w="4876" w:type="dxa"/>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4a.</w:t>
            </w:r>
            <w:r>
              <w:tab/>
            </w:r>
            <w:r>
              <w:rPr>
                <w:b/>
                <w:i/>
              </w:rPr>
              <w:t>Państwa członkowskie powinny zapewniać, aby prawo do informacji, o którym mowa w ust. 2 i 4, obejmowało prawo podejrzanych i oskarżonych do dostępu do akt sprawy, a także wszelkie inne prawa procesowe, które są niezbędne do tego, aby dane osoby mogły skutecznie korzystać z prawa do bycia wysłuchanym.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92</w:t>
      </w:r>
      <w:r>
        <w:rPr>
          <w:rStyle w:val="HideTWBExt"/>
        </w:rPr>
        <w:t>&lt;/NumAm&gt;</w:t>
      </w:r>
    </w:p>
    <w:p>
      <w:pPr>
        <w:pStyle w:val="NormalBold"/>
      </w:pPr>
      <w:r>
        <w:rPr>
          <w:rStyle w:val="HideTWBExt"/>
        </w:rPr>
        <w:t>&lt;RepeatBlock-By&gt;</w:t>
      </w:r>
      <w:r>
        <w:rPr>
          <w:rStyle w:val="HideTWBExt"/>
        </w:rPr>
        <w:t>&lt;Members&gt;</w:t>
      </w:r>
      <w:r>
        <w:t>Saskia Bricmont</w:t>
      </w:r>
      <w:r>
        <w:rPr>
          <w:rStyle w:val="HideTWBExt"/>
        </w:rPr>
        <w:t>&lt;/Members&gt;</w:t>
      </w:r>
    </w:p>
    <w:p>
      <w:pPr>
        <w:pStyle w:val="NormalBold"/>
      </w:pPr>
      <w:r>
        <w:rPr>
          <w:rStyle w:val="HideTWBExt"/>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Artykuł 6 – ustęp 4 b (nowy)</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proponowany przez Komisję</w:t>
            </w:r>
          </w:p>
        </w:tc>
        <w:tc>
          <w:tcPr>
            <w:tcW w:w="4876" w:type="dxa"/>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4b.</w:t>
            </w:r>
            <w:r>
              <w:tab/>
            </w:r>
            <w:r>
              <w:rPr>
                <w:b/>
                <w:i/>
              </w:rPr>
              <w:t>Państwa członkowskie mogą w drodze wyjątku tymczasowo odroczyć przekazanie informacji określonych w ust. 2 i 4 na etapie postępowania przygotowawczego, jeżeli jest to uzasadnione szczególnymi okolicznościami danej sprawy i o ile jest to konieczne, aby:</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a) zapobiec poważnym negatywnym skutkom dla życia, wolności lub integralności cielesnej osoby;</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b) nie dopuścić do naruszenia poufności postępowania przygotowawczego.</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Informacje, o których mowa w ust. 2 i 4, należy przekazać podejrzanemu lub oskarżonemu niezwłocznie po ustaniu okoliczności, dla których wstrzymano przekazanie tych informacji w celu ochrony toczących się postępowań.</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93</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Artykuł 7 – ustęp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proponowany przez Komisję</w:t>
            </w:r>
          </w:p>
        </w:tc>
        <w:tc>
          <w:tcPr>
            <w:tcW w:w="4876" w:type="dxa"/>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Przed złożeniem wniosku o przekazanie postępowania karnego organ wnioskujący</w:t>
            </w:r>
            <w:r>
              <w:rPr>
                <w:b/>
                <w:i/>
              </w:rPr>
              <w:t>,</w:t>
            </w:r>
            <w:r>
              <w:t xml:space="preserve"> uwzględnia </w:t>
            </w:r>
            <w:r>
              <w:rPr>
                <w:b/>
                <w:i/>
              </w:rPr>
              <w:t>należycie,</w:t>
            </w:r>
            <w:r>
              <w:t xml:space="preserve"> zgodnie z </w:t>
            </w:r>
            <w:r>
              <w:rPr>
                <w:b/>
                <w:i/>
              </w:rPr>
              <w:t>mającym zastosowanie</w:t>
            </w:r>
            <w:r>
              <w:t xml:space="preserve"> prawem krajowym</w:t>
            </w:r>
            <w:r>
              <w:rPr>
                <w:b/>
                <w:i/>
              </w:rPr>
              <w:t>, uzasadnione interesy</w:t>
            </w:r>
            <w:r>
              <w:t xml:space="preserve"> ofiary </w:t>
            </w:r>
            <w:r>
              <w:rPr>
                <w:b/>
                <w:i/>
              </w:rPr>
              <w:t>i zapewnia poszanowanie jej praw wynikających z prawa Unii i prawa krajowego</w:t>
            </w:r>
            <w:r>
              <w:t>.</w:t>
            </w:r>
          </w:p>
        </w:tc>
        <w:tc>
          <w:tcPr>
            <w:tcW w:w="4876" w:type="dxa"/>
          </w:tcPr>
          <w:p>
            <w:pPr>
              <w:pStyle w:val="Normal6a"/>
            </w:pPr>
            <w:r>
              <w:t>1.</w:t>
            </w:r>
            <w:r>
              <w:tab/>
            </w:r>
            <w:r>
              <w:t xml:space="preserve">Przed złożeniem wniosku o przekazanie postępowania karnego organ wnioskujący uwzględnia zgodnie z </w:t>
            </w:r>
            <w:r>
              <w:rPr>
                <w:b/>
                <w:i/>
              </w:rPr>
              <w:t>obowiązującym</w:t>
            </w:r>
            <w:r>
              <w:t xml:space="preserve"> prawem krajowym </w:t>
            </w:r>
            <w:r>
              <w:rPr>
                <w:b/>
                <w:i/>
              </w:rPr>
              <w:t>uzasadniony interes</w:t>
            </w:r>
            <w:r>
              <w:t xml:space="preserve"> ofiary.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94</w:t>
      </w:r>
      <w:r>
        <w:rPr>
          <w:rStyle w:val="HideTWBExt"/>
        </w:rPr>
        <w:t>&lt;/NumAm&gt;</w:t>
      </w:r>
    </w:p>
    <w:p>
      <w:pPr>
        <w:pStyle w:val="NormalBold"/>
      </w:pPr>
      <w:r>
        <w:rPr>
          <w:rStyle w:val="HideTWBExt"/>
        </w:rPr>
        <w:t>&lt;RepeatBlock-By&gt;</w:t>
      </w:r>
      <w:r>
        <w:rPr>
          <w:rStyle w:val="HideTWBExt"/>
        </w:rPr>
        <w:t>&lt;Members&gt;</w:t>
      </w:r>
      <w:r>
        <w:t>Saskia Bricmont</w:t>
      </w:r>
      <w:r>
        <w:rPr>
          <w:rStyle w:val="HideTWBExt"/>
        </w:rPr>
        <w:t>&lt;/Members&gt;</w:t>
      </w:r>
    </w:p>
    <w:p>
      <w:pPr>
        <w:pStyle w:val="NormalBold"/>
      </w:pPr>
      <w:r>
        <w:rPr>
          <w:rStyle w:val="HideTWBExt"/>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Artykuł 7 – ustęp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proponowany przez Komisję</w:t>
            </w:r>
          </w:p>
        </w:tc>
        <w:tc>
          <w:tcPr>
            <w:tcW w:w="4876" w:type="dxa"/>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rPr>
                <w:b/>
                <w:i/>
              </w:rPr>
              <w:t>O ile nie narusza to poufności postępowania przygotowawczego, a także</w:t>
            </w:r>
            <w:r>
              <w:t xml:space="preserve"> w przypadku</w:t>
            </w:r>
            <w:r>
              <w:rPr>
                <w:b/>
                <w:i/>
              </w:rPr>
              <w:t>,</w:t>
            </w:r>
            <w:r>
              <w:t xml:space="preserve"> gdy ofiara zamieszkuje w państwie wnioskującym, </w:t>
            </w:r>
            <w:r>
              <w:rPr>
                <w:b/>
                <w:i/>
              </w:rPr>
              <w:t>jest ona,</w:t>
            </w:r>
            <w:r>
              <w:t xml:space="preserve"> zgodnie z mającym zastosowanie prawem krajowym</w:t>
            </w:r>
            <w:r>
              <w:rPr>
                <w:b/>
                <w:i/>
              </w:rPr>
              <w:t>, informowana</w:t>
            </w:r>
            <w:r>
              <w:t xml:space="preserve"> w zrozumiałym dla niej języku o planowanym przekazaniu postępowania karnego, a także </w:t>
            </w:r>
            <w:r>
              <w:rPr>
                <w:b/>
                <w:i/>
              </w:rPr>
              <w:t>otrzymuje ona możliwość wyrażenia swojej opinii ustnie lub na piśmie</w:t>
            </w:r>
            <w:r>
              <w:t>. Jeżeli organ wnioskujący uzna to za konieczne ze względu na wiek ofiary, jej stan fizyczny lub psychiczny, możliwość tę zapewnia się przedstawicielowi prawnemu ofiary.</w:t>
            </w:r>
          </w:p>
        </w:tc>
        <w:tc>
          <w:tcPr>
            <w:tcW w:w="4876" w:type="dxa"/>
          </w:tcPr>
          <w:p>
            <w:pPr>
              <w:pStyle w:val="Normal6a"/>
            </w:pPr>
            <w:r>
              <w:t>2.</w:t>
            </w:r>
            <w:r>
              <w:tab/>
            </w:r>
            <w:r>
              <w:t xml:space="preserve">W przypadku gdy ofiara zamieszkuje w państwie wnioskującym, </w:t>
            </w:r>
            <w:r>
              <w:rPr>
                <w:b/>
                <w:i/>
              </w:rPr>
              <w:t>informuje się ją —</w:t>
            </w:r>
            <w:r>
              <w:t xml:space="preserve"> zgodnie z mającym zastosowanie prawem krajowym </w:t>
            </w:r>
            <w:r>
              <w:rPr>
                <w:b/>
                <w:i/>
              </w:rPr>
              <w:t>i</w:t>
            </w:r>
            <w:r>
              <w:t xml:space="preserve"> w zrozumiałym dla niej języku </w:t>
            </w:r>
            <w:r>
              <w:rPr>
                <w:b/>
                <w:i/>
              </w:rPr>
              <w:t>—</w:t>
            </w:r>
            <w:r>
              <w:t xml:space="preserve"> o planowanym przekazaniu postępowania karnego </w:t>
            </w:r>
            <w:r>
              <w:rPr>
                <w:b/>
                <w:i/>
              </w:rPr>
              <w:t>oraz umożliwia się jej wyrażenie opinii ustnie lub na piśmie, chyba że nie można ustalić miejsca pobytu tej osoby mimo podjęcia przez organ wnioskujący starań w rozsądnym zakresie.</w:t>
            </w:r>
            <w:r>
              <w:t xml:space="preserve"> </w:t>
            </w:r>
            <w:r>
              <w:rPr>
                <w:b/>
                <w:i/>
              </w:rPr>
              <w:t>Państwa członkowskie powinny zapewniać, aby prawo ofiar do informacji obejmowało prawo do dostępu do akt sprawy</w:t>
            </w:r>
            <w:r>
              <w:t xml:space="preserve">, a także </w:t>
            </w:r>
            <w:r>
              <w:rPr>
                <w:b/>
                <w:i/>
              </w:rPr>
              <w:t>wszelkie inne prawa procesowe, które są niezbędne do tego, aby dane osoby mogły skutecznie korzystać z prawa do bycia wysłuchanym</w:t>
            </w:r>
            <w:r>
              <w:t>. Jeżeli organ wnioskujący uzna to za konieczne ze względu na wiek ofiary, jej stan fizyczny lub psychiczny, możliwość tę zapewnia się przedstawicielowi prawnemu ofiary.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95</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Artykuł 7 – ustęp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proponowany przez Komisję</w:t>
            </w:r>
          </w:p>
        </w:tc>
        <w:tc>
          <w:tcPr>
            <w:tcW w:w="4876" w:type="dxa"/>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O ile nie narusza to poufności postępowania przygotowawczego</w:t>
            </w:r>
            <w:r>
              <w:rPr>
                <w:b/>
                <w:i/>
              </w:rPr>
              <w:t>, a także w przypadku, gdy ofiara zamieszkuje</w:t>
            </w:r>
            <w:r>
              <w:t xml:space="preserve"> w państwie wnioskującym, </w:t>
            </w:r>
            <w:r>
              <w:rPr>
                <w:b/>
                <w:i/>
              </w:rPr>
              <w:t>jest ona,</w:t>
            </w:r>
            <w:r>
              <w:t xml:space="preserve"> zgodnie z </w:t>
            </w:r>
            <w:r>
              <w:rPr>
                <w:b/>
                <w:i/>
              </w:rPr>
              <w:t>mającym zastosowanie prawem krajowym, informowana w zrozumiałym dla niej języku</w:t>
            </w:r>
            <w:r>
              <w:t xml:space="preserve"> o planowanym przekazaniu postępowania karnego, a także </w:t>
            </w:r>
            <w:r>
              <w:rPr>
                <w:b/>
                <w:i/>
              </w:rPr>
              <w:t>otrzymuje ona możliwość wyrażenia swojej opinii</w:t>
            </w:r>
            <w:r>
              <w:t xml:space="preserve"> ustnie lub </w:t>
            </w:r>
            <w:r>
              <w:rPr>
                <w:b/>
                <w:i/>
              </w:rPr>
              <w:t>na piśmie</w:t>
            </w:r>
            <w:r>
              <w:t xml:space="preserve">. Jeżeli organ wnioskujący uzna to za konieczne ze względu na wiek ofiary, jej stan fizyczny lub psychiczny, </w:t>
            </w:r>
            <w:r>
              <w:rPr>
                <w:b/>
                <w:i/>
              </w:rPr>
              <w:t>możliwość tę zapewnia się przedstawicielowi prawnemu</w:t>
            </w:r>
            <w:r>
              <w:t xml:space="preserve"> ofiary.</w:t>
            </w:r>
          </w:p>
        </w:tc>
        <w:tc>
          <w:tcPr>
            <w:tcW w:w="4876" w:type="dxa"/>
          </w:tcPr>
          <w:p>
            <w:pPr>
              <w:pStyle w:val="Normal6a"/>
            </w:pPr>
            <w:r>
              <w:t>2.</w:t>
            </w:r>
            <w:r>
              <w:tab/>
            </w:r>
            <w:r>
              <w:t xml:space="preserve">O ile nie narusza to poufności postępowania przygotowawczego </w:t>
            </w:r>
            <w:r>
              <w:rPr>
                <w:b/>
                <w:i/>
              </w:rPr>
              <w:t>ani nie wpływa negatywnie na postępowanie w inny sposób, ofiary zamieszkujące</w:t>
            </w:r>
            <w:r>
              <w:t xml:space="preserve"> w państwie wnioskującym, </w:t>
            </w:r>
            <w:r>
              <w:rPr>
                <w:b/>
                <w:i/>
              </w:rPr>
              <w:t>które zwróciły się o informacje</w:t>
            </w:r>
            <w:r>
              <w:t xml:space="preserve"> zgodnie z </w:t>
            </w:r>
            <w:r>
              <w:rPr>
                <w:b/>
                <w:i/>
              </w:rPr>
              <w:t>dyrektywą 2012/29/UE, mogą uzyskać informacje zgodnie z obowiązującym prawem krajowym</w:t>
            </w:r>
            <w:r>
              <w:t xml:space="preserve"> o planowanym przekazaniu postępowania karnego, a także </w:t>
            </w:r>
            <w:r>
              <w:rPr>
                <w:b/>
                <w:i/>
              </w:rPr>
              <w:t>mogą wyrazić opinię w tej sprawie</w:t>
            </w:r>
            <w:r>
              <w:t xml:space="preserve"> ustnie lub </w:t>
            </w:r>
            <w:r>
              <w:rPr>
                <w:b/>
                <w:i/>
              </w:rPr>
              <w:t>pisemnie</w:t>
            </w:r>
            <w:r>
              <w:t xml:space="preserve">. Jeżeli organ wnioskujący uzna to za konieczne ze względu na wiek ofiary, jej stan fizyczny lub psychiczny, </w:t>
            </w:r>
            <w:r>
              <w:rPr>
                <w:b/>
                <w:i/>
              </w:rPr>
              <w:t>opinię może wyrazić przedstawiciel prawny</w:t>
            </w:r>
            <w:r>
              <w:t xml:space="preserve"> ofiary.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96</w:t>
      </w:r>
      <w:r>
        <w:rPr>
          <w:rStyle w:val="HideTWBExt"/>
        </w:rPr>
        <w:t>&lt;/NumAm&gt;</w:t>
      </w:r>
    </w:p>
    <w:p>
      <w:pPr>
        <w:pStyle w:val="NormalBold"/>
      </w:pPr>
      <w:r>
        <w:rPr>
          <w:rStyle w:val="HideTWBExt"/>
        </w:rPr>
        <w:t>&lt;RepeatBlock-By&gt;</w:t>
      </w:r>
      <w:r>
        <w:rPr>
          <w:rStyle w:val="HideTWBExt"/>
        </w:rPr>
        <w:t>&lt;Members&gt;</w:t>
      </w:r>
      <w:r>
        <w:t>Evin Incir</w:t>
      </w:r>
      <w:r>
        <w:rPr>
          <w:rStyle w:val="HideTWBExt"/>
        </w:rPr>
        <w:t>&lt;/Members&gt;</w:t>
      </w:r>
    </w:p>
    <w:p>
      <w:pPr>
        <w:pStyle w:val="NormalBold"/>
      </w:pPr>
      <w:r>
        <w:rPr>
          <w:rStyle w:val="HideTWBExt"/>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Artykuł 7 – ustęp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proponowany przez Komisję</w:t>
            </w:r>
          </w:p>
        </w:tc>
        <w:tc>
          <w:tcPr>
            <w:tcW w:w="4876" w:type="dxa"/>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 xml:space="preserve">O ile nie narusza to poufności postępowania przygotowawczego, a także w przypadku, gdy ofiara zamieszkuje w państwie wnioskującym, jest ona, zgodnie z </w:t>
            </w:r>
            <w:r>
              <w:rPr>
                <w:b/>
                <w:i/>
              </w:rPr>
              <w:t>mającym zastosowanie</w:t>
            </w:r>
            <w:r>
              <w:t xml:space="preserve"> prawem krajowym, informowana w zrozumiałym dla niej języku o planowanym przekazaniu postępowania karnego, a także otrzymuje ona możliwość wyrażenia swojej opinii ustnie lub na piśmie. Jeżeli organ wnioskujący uzna to za konieczne ze względu na wiek ofiary, jej stan fizyczny lub psychiczny, możliwość tę zapewnia się przedstawicielowi prawnemu ofiary.</w:t>
            </w:r>
          </w:p>
        </w:tc>
        <w:tc>
          <w:tcPr>
            <w:tcW w:w="4876" w:type="dxa"/>
          </w:tcPr>
          <w:p>
            <w:pPr>
              <w:pStyle w:val="Normal6a"/>
            </w:pPr>
            <w:r>
              <w:t>2.</w:t>
            </w:r>
            <w:r>
              <w:tab/>
            </w:r>
            <w:r>
              <w:t xml:space="preserve">O ile nie narusza to poufności postępowania przygotowawczego, a także w przypadku, gdy ofiara zamieszkuje w państwie wnioskującym, jest ona, </w:t>
            </w:r>
            <w:r>
              <w:rPr>
                <w:b/>
                <w:i/>
              </w:rPr>
              <w:t>w odpowiednim przypadku,</w:t>
            </w:r>
            <w:r>
              <w:t xml:space="preserve"> zgodnie z </w:t>
            </w:r>
            <w:r>
              <w:rPr>
                <w:b/>
                <w:i/>
              </w:rPr>
              <w:t>obowiązującym</w:t>
            </w:r>
            <w:r>
              <w:t xml:space="preserve"> prawem krajowym, informowana w zrozumiałym dla niej języku o planowanym przekazaniu postępowania karnego, a także otrzymuje ona możliwość wyrażenia swojej opinii ustnie lub na piśmie. Jeżeli organ wnioskujący uzna to za konieczne ze względu na wiek ofiary, jej stan fizyczny lub psychiczny, możliwość tę zapewnia się przedstawicielowi prawnemu ofiary.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97</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Artykuł 7 – ustęp 3</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proponowany przez Komisję</w:t>
            </w:r>
          </w:p>
        </w:tc>
        <w:tc>
          <w:tcPr>
            <w:tcW w:w="4876" w:type="dxa"/>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Pr>
          <w:p>
            <w:pPr>
              <w:pStyle w:val="Normal6a"/>
            </w:pPr>
            <w:r>
              <w:t>3.</w:t>
            </w:r>
            <w:r>
              <w:tab/>
            </w:r>
            <w:r>
              <w:t xml:space="preserve">Podejmując decyzję w sprawie złożenia wniosku o przekazanie postępowania karnego, organ wnioskujący </w:t>
            </w:r>
            <w:r>
              <w:rPr>
                <w:b/>
                <w:i/>
              </w:rPr>
              <w:t>uwzględnia</w:t>
            </w:r>
            <w:r>
              <w:t xml:space="preserve"> opinię ofiary, o której mowa w ust. 2.</w:t>
            </w:r>
            <w:r>
              <w:rPr>
                <w:b/>
                <w:i/>
              </w:rPr>
              <w:t>.</w:t>
            </w:r>
          </w:p>
        </w:tc>
        <w:tc>
          <w:tcPr>
            <w:tcW w:w="4876" w:type="dxa"/>
          </w:tcPr>
          <w:p>
            <w:pPr>
              <w:pStyle w:val="Normal6a"/>
            </w:pPr>
            <w:r>
              <w:t>3.</w:t>
            </w:r>
            <w:r>
              <w:tab/>
            </w:r>
            <w:r>
              <w:t xml:space="preserve">Podejmując decyzję w sprawie złożenia wniosku o przekazanie postępowania karnego, organ wnioskujący </w:t>
            </w:r>
            <w:r>
              <w:rPr>
                <w:b/>
                <w:i/>
              </w:rPr>
              <w:t>rejestruje</w:t>
            </w:r>
            <w:r>
              <w:t xml:space="preserve"> opinię ofiary, o której </w:t>
            </w:r>
            <w:r>
              <w:rPr>
                <w:b/>
                <w:i/>
              </w:rPr>
              <w:t>to opinii</w:t>
            </w:r>
            <w:r>
              <w:t xml:space="preserve"> mowa w ust. 2.</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98</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Artykuł 7 – ustęp 4</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proponowany przez Komisję</w:t>
            </w:r>
          </w:p>
        </w:tc>
        <w:tc>
          <w:tcPr>
            <w:tcW w:w="4876" w:type="dxa"/>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Pr>
          <w:p>
            <w:pPr>
              <w:pStyle w:val="Normal6a"/>
            </w:pPr>
            <w:r>
              <w:t>4.</w:t>
            </w:r>
            <w:r>
              <w:tab/>
            </w:r>
            <w:r>
              <w:t xml:space="preserve">Jeżeli organ, do którego kierowany jest wniosek, podjął decyzję zgodnie z art. 12 ust. 1, organ wnioskujący– o ile nie narusza to poufności postępowania przygotowawczego – niezwłocznie informuje ofiarę </w:t>
            </w:r>
            <w:r>
              <w:rPr>
                <w:b/>
                <w:i/>
              </w:rPr>
              <w:t>zamieszkującą</w:t>
            </w:r>
            <w:r>
              <w:t xml:space="preserve"> w państwie wnioskującym, w zrozumiałym dla </w:t>
            </w:r>
            <w:r>
              <w:rPr>
                <w:b/>
                <w:i/>
              </w:rPr>
              <w:t>niej</w:t>
            </w:r>
            <w:r>
              <w:t xml:space="preserve"> języku, o sporządzeniu wniosku o przekazanie postępowania karnego, a następnie o wydaniu przez organ, do którego kierowany jest wniosek, zgody lub udzieleniu odmowy na przekazanie. Jeżeli organ, do którego kierowany jest wniosek, wyraził zgodę na przekazanie mu postępowania karnego, ofiara jest informowana również o przysługującym jej prawie do środka odwoławczego dostępnego w państwie, do którego kierowany jest wniosek, w tym o terminach na wniesienie takiego środka odwoławczego.</w:t>
            </w:r>
          </w:p>
        </w:tc>
        <w:tc>
          <w:tcPr>
            <w:tcW w:w="4876" w:type="dxa"/>
          </w:tcPr>
          <w:p>
            <w:pPr>
              <w:pStyle w:val="Normal6a"/>
            </w:pPr>
            <w:r>
              <w:t>4.</w:t>
            </w:r>
            <w:r>
              <w:tab/>
            </w:r>
            <w:r>
              <w:t xml:space="preserve">Jeżeli organ, do którego kierowany jest wniosek, podjął decyzję zgodnie z art. 12 ust. 1, organ wnioskujący– o ile nie narusza to poufności postępowania przygotowawczego </w:t>
            </w:r>
            <w:r>
              <w:rPr>
                <w:b/>
                <w:i/>
              </w:rPr>
              <w:t>ani nie wpływa negatywnie na postępowanie w inny sposób</w:t>
            </w:r>
            <w:r>
              <w:t xml:space="preserve"> – niezwłocznie informuje ofiarę </w:t>
            </w:r>
            <w:r>
              <w:rPr>
                <w:b/>
                <w:i/>
              </w:rPr>
              <w:t>lub ofiary zamieszkujące</w:t>
            </w:r>
            <w:r>
              <w:t xml:space="preserve"> w państwie wnioskującym, </w:t>
            </w:r>
            <w:r>
              <w:rPr>
                <w:b/>
                <w:i/>
              </w:rPr>
              <w:t>które wniosły o uzyskanie informacji zgodnie z dyrektywą 2012/29/UE,</w:t>
            </w:r>
            <w:r>
              <w:t xml:space="preserve"> w zrozumiałym dla </w:t>
            </w:r>
            <w:r>
              <w:rPr>
                <w:b/>
                <w:i/>
              </w:rPr>
              <w:t>nich</w:t>
            </w:r>
            <w:r>
              <w:t xml:space="preserve"> języku, o sporządzeniu wniosku o przekazanie postępowania karnego, a następnie o wydaniu przez organ, do którego kierowany jest wniosek, zgody lub udzieleniu odmowy na przekazanie. Jeżeli organ, do którego kierowany jest wniosek, wyraził zgodę na przekazanie mu postępowania karnego, ofiara jest informowana również o przysługującym jej prawie do środka odwoławczego dostępnego w państwie, do którego kierowany jest wniosek, w tym o terminach na wniesienie takiego środka odwoławczego. </w:t>
            </w:r>
            <w:r>
              <w:rPr>
                <w:b/>
                <w:i/>
              </w:rPr>
              <w:t>W stosownych przypadkach organ wnioskujący może zwrócić się o pomoc w wykonaniu tego zadania do organu, do którego kierowany jest wniosek.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99</w:t>
      </w:r>
      <w:r>
        <w:rPr>
          <w:rStyle w:val="HideTWBExt"/>
        </w:rPr>
        <w:t>&lt;/NumAm&gt;</w:t>
      </w:r>
    </w:p>
    <w:p>
      <w:pPr>
        <w:pStyle w:val="NormalBold"/>
      </w:pPr>
      <w:r>
        <w:rPr>
          <w:rStyle w:val="HideTWBExt"/>
        </w:rPr>
        <w:t>&lt;RepeatBlock-By&gt;</w:t>
      </w:r>
      <w:r>
        <w:rPr>
          <w:rStyle w:val="HideTWBExt"/>
        </w:rPr>
        <w:t>&lt;Members&gt;</w:t>
      </w:r>
      <w:r>
        <w:t>Saskia Bricmont</w:t>
      </w:r>
      <w:r>
        <w:rPr>
          <w:rStyle w:val="HideTWBExt"/>
        </w:rPr>
        <w:t>&lt;/Members&gt;</w:t>
      </w:r>
    </w:p>
    <w:p>
      <w:pPr>
        <w:pStyle w:val="NormalBold"/>
      </w:pPr>
      <w:r>
        <w:rPr>
          <w:rStyle w:val="HideTWBExt"/>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Artykuł 7 – ustęp 4</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proponowany przez Komisję</w:t>
            </w:r>
          </w:p>
        </w:tc>
        <w:tc>
          <w:tcPr>
            <w:tcW w:w="4876" w:type="dxa"/>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Pr>
          <w:p>
            <w:pPr>
              <w:pStyle w:val="Normal6a"/>
            </w:pPr>
            <w:r>
              <w:t>4.</w:t>
            </w:r>
            <w:r>
              <w:tab/>
            </w:r>
            <w:r>
              <w:t>Jeżeli organ, do którego kierowany jest wniosek, podjął decyzję zgodnie z art. 12 ust. 1, organ wnioskujący</w:t>
            </w:r>
            <w:r>
              <w:rPr>
                <w:b/>
                <w:i/>
              </w:rPr>
              <w:t>– o ile nie narusza to poufności postępowania przygotowawczego –</w:t>
            </w:r>
            <w:r>
              <w:t xml:space="preserve"> niezwłocznie informuje ofiarę zamieszkującą w państwie wnioskującym, w </w:t>
            </w:r>
            <w:r>
              <w:rPr>
                <w:b/>
                <w:i/>
              </w:rPr>
              <w:t>zrozumiałym</w:t>
            </w:r>
            <w:r>
              <w:t xml:space="preserve"> dla niej </w:t>
            </w:r>
            <w:r>
              <w:rPr>
                <w:b/>
                <w:i/>
              </w:rPr>
              <w:t>języku, o sporządzeniu</w:t>
            </w:r>
            <w:r>
              <w:t xml:space="preserve"> wniosku o przekazanie postępowania karnego, a następnie o wydaniu przez organ, do którego kierowany jest wniosek, zgody lub udzieleniu odmowy na przekazanie. Jeżeli organ, do którego kierowany jest wniosek, wyraził zgodę na przekazanie mu postępowania karnego, ofiara jest informowana również o przysługującym jej prawie do środka odwoławczego dostępnego w państwie, do którego kierowany jest wniosek, w tym o terminach na wniesienie takiego środka odwoławczego.</w:t>
            </w:r>
          </w:p>
        </w:tc>
        <w:tc>
          <w:tcPr>
            <w:tcW w:w="4876" w:type="dxa"/>
          </w:tcPr>
          <w:p>
            <w:pPr>
              <w:pStyle w:val="Normal6a"/>
            </w:pPr>
            <w:r>
              <w:t>4.</w:t>
            </w:r>
            <w:r>
              <w:tab/>
            </w:r>
            <w:r>
              <w:t>Jeżeli organ, do którego kierowany jest wniosek, podjął decyzję zgodnie z art. 12 ust. 1, organ wnioskujący niezwłocznie informuje ofiarę zamieszkującą w państwie wnioskującym, w </w:t>
            </w:r>
            <w:r>
              <w:rPr>
                <w:b/>
                <w:i/>
              </w:rPr>
              <w:t>języku</w:t>
            </w:r>
            <w:r>
              <w:t xml:space="preserve"> dla niej </w:t>
            </w:r>
            <w:r>
              <w:rPr>
                <w:b/>
                <w:i/>
              </w:rPr>
              <w:t>zrozumiałym, o wydaniu</w:t>
            </w:r>
            <w:r>
              <w:t xml:space="preserve"> wniosku o przekazanie postępowania karnego, a następnie o wydaniu przez organ, do którego kierowany jest wniosek, zgody lub udzieleniu </w:t>
            </w:r>
            <w:r>
              <w:rPr>
                <w:b/>
                <w:i/>
              </w:rPr>
              <w:t>przez ten organ</w:t>
            </w:r>
            <w:r>
              <w:t xml:space="preserve"> odmowy na przekazanie</w:t>
            </w:r>
            <w:r>
              <w:rPr>
                <w:b/>
                <w:i/>
              </w:rPr>
              <w:t>, chyba że nie można ustalić miejsca jej pobytu, mimo podjęcia przez organ wnioskujący starań w rozsądnym zakresie.</w:t>
            </w:r>
            <w:r>
              <w:t xml:space="preserve"> </w:t>
            </w:r>
            <w:r>
              <w:rPr>
                <w:b/>
                <w:i/>
              </w:rPr>
              <w:t>Państwa członkowskie powinny zapewniać, aby prawo ofiar do informacji obejmowało prawo do dostępu do akt sprawy, a także wszelkie inne prawa procesowe, które są im niezbędne do skutecznego korzystania z prawa do bycia wysłuchanym</w:t>
            </w:r>
            <w:r>
              <w:t>. Jeżeli organ, do którego kierowany jest wniosek, wyraził zgodę na przekazanie mu postępowania karnego, ofiara jest informowana również o przysługującym jej prawie do środka odwoławczego dostępnego w państwie, do którego kierowany jest wniosek, w tym o terminach na wniesienie takiego środka odwoławczego.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100</w:t>
      </w:r>
      <w:r>
        <w:rPr>
          <w:rStyle w:val="HideTWBExt"/>
        </w:rPr>
        <w:t>&lt;/NumAm&gt;</w:t>
      </w:r>
    </w:p>
    <w:p>
      <w:pPr>
        <w:pStyle w:val="NormalBold"/>
      </w:pPr>
      <w:r>
        <w:rPr>
          <w:rStyle w:val="HideTWBExt"/>
        </w:rPr>
        <w:t>&lt;RepeatBlock-By&gt;</w:t>
      </w:r>
      <w:r>
        <w:rPr>
          <w:rStyle w:val="HideTWBExt"/>
        </w:rPr>
        <w:t>&lt;Members&gt;</w:t>
      </w:r>
      <w:r>
        <w:t>Saskia Bricmont</w:t>
      </w:r>
      <w:r>
        <w:rPr>
          <w:rStyle w:val="HideTWBExt"/>
        </w:rPr>
        <w:t>&lt;/Members&gt;</w:t>
      </w:r>
    </w:p>
    <w:p>
      <w:pPr>
        <w:pStyle w:val="NormalBold"/>
      </w:pPr>
      <w:r>
        <w:rPr>
          <w:rStyle w:val="HideTWBExt"/>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Artykuł 7 – ustęp 4 a (nowy)</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proponowany przez Komisję</w:t>
            </w:r>
          </w:p>
        </w:tc>
        <w:tc>
          <w:tcPr>
            <w:tcW w:w="4876" w:type="dxa"/>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4a.</w:t>
            </w:r>
            <w:r>
              <w:tab/>
            </w:r>
            <w:r>
              <w:rPr>
                <w:b/>
                <w:i/>
              </w:rPr>
              <w:t>Państwa członkowskie mogą w drodze wyjątku tymczasowo odroczyć przekazanie informacji określonych w ust. 2 i 4 na etapie postępowania przygotowawczego, jeżeli jest to uzasadnione szczególnymi okolicznościami danej sprawy i o ile jest to konieczne, aby:</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a) zapobiec poważnym negatywnym skutkom dla życia, wolności lub integralności cielesnej osoby;</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b) nie dopuścić do naruszenia poufności postępowania przygotowawczego.</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Informacje, o których mowa w ust. 2 i 4, należy przekazać ofierze niezwłocznie po ustaniu okoliczności, dla których wstrzymano przekazanie tych informacji w celu ochrony toczących się postępowań.</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101</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Artykuł 7 – ustęp 4 a (nowy)</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proponowany przez Komisję</w:t>
            </w:r>
          </w:p>
        </w:tc>
        <w:tc>
          <w:tcPr>
            <w:tcW w:w="4876" w:type="dxa"/>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4a.</w:t>
            </w:r>
            <w:r>
              <w:tab/>
            </w:r>
            <w:r>
              <w:rPr>
                <w:b/>
                <w:i/>
              </w:rPr>
              <w:t>W wyjątkowych przypadkach, na przykład w sprawach, w których występuje duża liczba ofiar, powinna istnieć możliwość przekazywania informacji na podstawie ust. 2 i 4 za pośrednictwem prasy, oficjalnej strony internetowej właściwego organu lub innego podobnego kanału komunikacji.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102</w:t>
      </w:r>
      <w:r>
        <w:rPr>
          <w:rStyle w:val="HideTWBExt"/>
        </w:rPr>
        <w:t>&lt;/NumAm&gt;</w:t>
      </w:r>
    </w:p>
    <w:p>
      <w:pPr>
        <w:pStyle w:val="NormalBold"/>
      </w:pPr>
      <w:r>
        <w:rPr>
          <w:rStyle w:val="HideTWBExt"/>
        </w:rPr>
        <w:t>&lt;RepeatBlock-By&gt;</w:t>
      </w:r>
      <w:r>
        <w:rPr>
          <w:rStyle w:val="HideTWBExt"/>
        </w:rPr>
        <w:t>&lt;Members&gt;</w:t>
      </w:r>
      <w:r>
        <w:t>Saskia Bricmont</w:t>
      </w:r>
      <w:r>
        <w:rPr>
          <w:rStyle w:val="HideTWBExt"/>
        </w:rPr>
        <w:t>&lt;/Members&gt;</w:t>
      </w:r>
    </w:p>
    <w:p>
      <w:pPr>
        <w:pStyle w:val="NormalBold"/>
      </w:pPr>
      <w:r>
        <w:rPr>
          <w:rStyle w:val="HideTWBExt"/>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Artykuł 8 – ustęp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proponowany przez Komisję</w:t>
            </w:r>
          </w:p>
        </w:tc>
        <w:tc>
          <w:tcPr>
            <w:tcW w:w="4876" w:type="dxa"/>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 xml:space="preserve">Podejrzani, oskarżeni i ofiary mają w państwie, do którego kierowany jest wniosek, prawo do skutecznych środków odwoławczych od decyzji o wyrażeniu zgody na przekazanie </w:t>
            </w:r>
            <w:r>
              <w:rPr>
                <w:b/>
                <w:i/>
              </w:rPr>
              <w:t>postępowania karnego</w:t>
            </w:r>
            <w:r>
              <w:t>.</w:t>
            </w:r>
          </w:p>
        </w:tc>
        <w:tc>
          <w:tcPr>
            <w:tcW w:w="4876" w:type="dxa"/>
          </w:tcPr>
          <w:p>
            <w:pPr>
              <w:pStyle w:val="Normal6a"/>
            </w:pPr>
            <w:r>
              <w:t>1.</w:t>
            </w:r>
            <w:r>
              <w:tab/>
            </w:r>
            <w:r>
              <w:t xml:space="preserve">Podejrzani, oskarżeni i ofiary mają w państwie, do którego kierowany jest wniosek, </w:t>
            </w:r>
            <w:r>
              <w:rPr>
                <w:b/>
                <w:i/>
              </w:rPr>
              <w:t>oraz w państwie wnioskującym,</w:t>
            </w:r>
            <w:r>
              <w:t xml:space="preserve"> prawo do skutecznych środków odwoławczych od decyzji o </w:t>
            </w:r>
            <w:r>
              <w:rPr>
                <w:b/>
                <w:i/>
              </w:rPr>
              <w:t>złożeniu wniosku o przekazanie postępowania karnego,</w:t>
            </w:r>
            <w:r>
              <w:t xml:space="preserve"> wyrażeniu zgody na przekazanie </w:t>
            </w:r>
            <w:r>
              <w:rPr>
                <w:b/>
                <w:i/>
              </w:rPr>
              <w:t>lub o odmowie przekazania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103</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Artykuł 8 – ustęp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proponowany przez Komisję</w:t>
            </w:r>
          </w:p>
        </w:tc>
        <w:tc>
          <w:tcPr>
            <w:tcW w:w="4876" w:type="dxa"/>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Prawo do środka odwoławczego jest wykonywane przed sądem państwa, do którego kierowany jest wniosek, zgodnie z jego prawem.</w:t>
            </w:r>
          </w:p>
        </w:tc>
        <w:tc>
          <w:tcPr>
            <w:tcW w:w="4876" w:type="dxa"/>
          </w:tcPr>
          <w:p>
            <w:pPr>
              <w:pStyle w:val="Normal6a"/>
            </w:pPr>
            <w:r>
              <w:t>2.</w:t>
            </w:r>
            <w:r>
              <w:tab/>
            </w:r>
            <w:r>
              <w:t xml:space="preserve">Prawo do środka odwoławczego jest wykonywane przed sądem państwa, do którego kierowany jest wniosek, zgodnie z jego prawem. </w:t>
            </w:r>
            <w:r>
              <w:rPr>
                <w:b/>
                <w:i/>
              </w:rPr>
              <w:t>Sąd bada zgodność z prawem decyzji o wyrażeniu zgody na przekazanie postępowania karnego w świetle odpowiednich artykułów niniejszego rozporządzenia i, w miarę możliwości, podejmuje decyzję w sprawie środka odwoławczego w terminie 60 dni.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104</w:t>
      </w:r>
      <w:r>
        <w:rPr>
          <w:rStyle w:val="HideTWBExt"/>
        </w:rPr>
        <w:t>&lt;/NumAm&gt;</w:t>
      </w:r>
    </w:p>
    <w:p>
      <w:pPr>
        <w:pStyle w:val="NormalBold"/>
      </w:pPr>
      <w:r>
        <w:rPr>
          <w:rStyle w:val="HideTWBExt"/>
        </w:rPr>
        <w:t>&lt;RepeatBlock-By&gt;</w:t>
      </w:r>
      <w:r>
        <w:rPr>
          <w:rStyle w:val="HideTWBExt"/>
        </w:rPr>
        <w:t>&lt;Members&gt;</w:t>
      </w:r>
      <w:r>
        <w:t>Morten Petersen</w:t>
      </w:r>
      <w:r>
        <w:rPr>
          <w:rStyle w:val="HideTWBExt"/>
        </w:rPr>
        <w:t>&lt;/Members&gt;</w:t>
      </w:r>
    </w:p>
    <w:p>
      <w:pPr>
        <w:pStyle w:val="NormalBold"/>
      </w:pPr>
      <w:r>
        <w:rPr>
          <w:rStyle w:val="HideTWBExt"/>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Artykuł 8 – ustęp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proponowany przez Komisję</w:t>
            </w:r>
          </w:p>
        </w:tc>
        <w:tc>
          <w:tcPr>
            <w:tcW w:w="4876" w:type="dxa"/>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Prawo do środka odwoławczego jest wykonywane przed sądem państwa, do którego kierowany jest wniosek, zgodnie z jego prawem.</w:t>
            </w:r>
          </w:p>
        </w:tc>
        <w:tc>
          <w:tcPr>
            <w:tcW w:w="4876" w:type="dxa"/>
          </w:tcPr>
          <w:p>
            <w:pPr>
              <w:pStyle w:val="Normal6a"/>
            </w:pPr>
            <w:r>
              <w:t>2.</w:t>
            </w:r>
            <w:r>
              <w:tab/>
            </w:r>
            <w:r>
              <w:t xml:space="preserve">Prawo do środka odwoławczego jest wykonywane przed sądem państwa, do którego kierowany jest wniosek, zgodnie z jego prawem </w:t>
            </w:r>
            <w:r>
              <w:rPr>
                <w:b/>
                <w:i/>
              </w:rPr>
              <w:t>krajowym, i można z niego także skorzystać przed Trybunałem Sprawiedliwości Unii Europejskiej</w:t>
            </w:r>
            <w:r>
              <w: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Uzasadnienie</w:t>
      </w:r>
      <w:r>
        <w:rPr>
          <w:rStyle w:val="HideTWBExt"/>
        </w:rPr>
        <w:t>&lt;/TitreJust&gt;</w:t>
      </w:r>
    </w:p>
    <w:p>
      <w:pPr>
        <w:pStyle w:val="AmJustText"/>
      </w:pPr>
      <w:r>
        <w:t>Powinna istnieć możliwość wniesienia środka odwoławczego na podstawie art. 267 TFUE, czyli nie tylko do sądów krajowych.</w:t>
      </w:r>
    </w:p>
    <w:p>
      <w:r>
        <w:rPr>
          <w:rStyle w:val="HideTWBExt"/>
        </w:rPr>
        <w:t>&lt;/Amend&gt;</w:t>
      </w:r>
    </w:p>
    <w:p>
      <w:pPr>
        <w:pStyle w:val="AmNumberTabs"/>
      </w:pPr>
      <w:r>
        <w:rPr>
          <w:rStyle w:val="HideTWBExt"/>
        </w:rPr>
        <w:t>&lt;Amend&gt;</w:t>
      </w:r>
      <w:r>
        <w:t>Poprawka</w:t>
      </w:r>
      <w:r>
        <w:tab/>
      </w:r>
      <w:r>
        <w:tab/>
      </w:r>
      <w:r>
        <w:rPr>
          <w:rStyle w:val="HideTWBExt"/>
        </w:rPr>
        <w:t>&lt;NumAm&gt;</w:t>
      </w:r>
      <w:r>
        <w:t>105</w:t>
      </w:r>
      <w:r>
        <w:rPr>
          <w:rStyle w:val="HideTWBExt"/>
        </w:rPr>
        <w:t>&lt;/NumAm&gt;</w:t>
      </w:r>
    </w:p>
    <w:p>
      <w:pPr>
        <w:pStyle w:val="NormalBold"/>
      </w:pPr>
      <w:r>
        <w:rPr>
          <w:rStyle w:val="HideTWBExt"/>
        </w:rPr>
        <w:t>&lt;RepeatBlock-By&gt;</w:t>
      </w:r>
      <w:r>
        <w:rPr>
          <w:rStyle w:val="HideTWBExt"/>
        </w:rPr>
        <w:t>&lt;Members&gt;</w:t>
      </w:r>
      <w:r>
        <w:t>Saskia Bricmont</w:t>
      </w:r>
      <w:r>
        <w:rPr>
          <w:rStyle w:val="HideTWBExt"/>
        </w:rPr>
        <w:t>&lt;/Members&gt;</w:t>
      </w:r>
    </w:p>
    <w:p>
      <w:pPr>
        <w:pStyle w:val="NormalBold"/>
      </w:pPr>
      <w:r>
        <w:rPr>
          <w:rStyle w:val="HideTWBExt"/>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Artykuł 8 – ustęp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proponowany przez Komisję</w:t>
            </w:r>
          </w:p>
        </w:tc>
        <w:tc>
          <w:tcPr>
            <w:tcW w:w="4876" w:type="dxa"/>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 xml:space="preserve">Prawo do środka odwoławczego jest wykonywane przed sądem państwa, do którego kierowany jest wniosek, zgodnie z </w:t>
            </w:r>
            <w:r>
              <w:rPr>
                <w:b/>
                <w:i/>
              </w:rPr>
              <w:t>jego</w:t>
            </w:r>
            <w:r>
              <w:t xml:space="preserve"> prawem.</w:t>
            </w:r>
          </w:p>
        </w:tc>
        <w:tc>
          <w:tcPr>
            <w:tcW w:w="4876" w:type="dxa"/>
          </w:tcPr>
          <w:p>
            <w:pPr>
              <w:pStyle w:val="Normal6a"/>
            </w:pPr>
            <w:r>
              <w:t>2.</w:t>
            </w:r>
            <w:r>
              <w:tab/>
            </w:r>
            <w:r>
              <w:t xml:space="preserve">Prawo do środka odwoławczego jest wykonywane przed sądem </w:t>
            </w:r>
            <w:r>
              <w:rPr>
                <w:b/>
                <w:i/>
              </w:rPr>
              <w:t>właściwym państwa wnioskującego lub</w:t>
            </w:r>
            <w:r>
              <w:t xml:space="preserve"> państwa, do którego kierowany jest wniosek, zgodnie z </w:t>
            </w:r>
            <w:r>
              <w:rPr>
                <w:b/>
                <w:i/>
              </w:rPr>
              <w:t>obowiązującym</w:t>
            </w:r>
            <w:r>
              <w:t xml:space="preserve"> prawem </w:t>
            </w:r>
            <w:r>
              <w:rPr>
                <w:b/>
                <w:i/>
              </w:rPr>
              <w:t>krajowym</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106</w:t>
      </w:r>
      <w:r>
        <w:rPr>
          <w:rStyle w:val="HideTWBExt"/>
        </w:rPr>
        <w:t>&lt;/NumAm&gt;</w:t>
      </w:r>
    </w:p>
    <w:p>
      <w:pPr>
        <w:pStyle w:val="NormalBold"/>
      </w:pPr>
      <w:r>
        <w:rPr>
          <w:rStyle w:val="HideTWBExt"/>
        </w:rPr>
        <w:t>&lt;RepeatBlock-By&gt;</w:t>
      </w:r>
      <w:r>
        <w:rPr>
          <w:rStyle w:val="HideTWBExt"/>
        </w:rPr>
        <w:t>&lt;Members&gt;</w:t>
      </w:r>
      <w:r>
        <w:t>Saskia Bricmont</w:t>
      </w:r>
      <w:r>
        <w:rPr>
          <w:rStyle w:val="HideTWBExt"/>
        </w:rPr>
        <w:t>&lt;/Members&gt;</w:t>
      </w:r>
    </w:p>
    <w:p>
      <w:pPr>
        <w:pStyle w:val="NormalBold"/>
      </w:pPr>
      <w:r>
        <w:rPr>
          <w:rStyle w:val="HideTWBExt"/>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Artykuł 8 – ustęp 3</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proponowany przez Komisję</w:t>
            </w:r>
          </w:p>
        </w:tc>
        <w:tc>
          <w:tcPr>
            <w:tcW w:w="4876" w:type="dxa"/>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Pr>
          <w:p>
            <w:pPr>
              <w:pStyle w:val="Normal6a"/>
            </w:pPr>
            <w:r>
              <w:t>3.</w:t>
            </w:r>
            <w:r>
              <w:tab/>
            </w:r>
            <w:r>
              <w:t xml:space="preserve">Termin na skorzystanie ze środka odwoławczego nie przekracza </w:t>
            </w:r>
            <w:r>
              <w:rPr>
                <w:b/>
                <w:i/>
              </w:rPr>
              <w:t>20 dni</w:t>
            </w:r>
            <w:r>
              <w:t xml:space="preserve"> od daty otrzymania powiadomienia o </w:t>
            </w:r>
            <w:r>
              <w:rPr>
                <w:b/>
                <w:i/>
              </w:rPr>
              <w:t>decyzji, o której</w:t>
            </w:r>
            <w:r>
              <w:t xml:space="preserve"> mowa w art. 12 ust. 1.</w:t>
            </w:r>
          </w:p>
        </w:tc>
        <w:tc>
          <w:tcPr>
            <w:tcW w:w="4876" w:type="dxa"/>
          </w:tcPr>
          <w:p>
            <w:pPr>
              <w:pStyle w:val="Normal6a"/>
            </w:pPr>
            <w:r>
              <w:t>3.</w:t>
            </w:r>
            <w:r>
              <w:tab/>
            </w:r>
            <w:r>
              <w:t xml:space="preserve">Termin na skorzystanie ze środka odwoławczego nie przekracza </w:t>
            </w:r>
            <w:r>
              <w:rPr>
                <w:b/>
                <w:i/>
              </w:rPr>
              <w:t>30 dni roboczych</w:t>
            </w:r>
            <w:r>
              <w:t xml:space="preserve"> od daty otrzymania powiadomienia o </w:t>
            </w:r>
            <w:r>
              <w:rPr>
                <w:b/>
                <w:i/>
              </w:rPr>
              <w:t>wniosku wydanym na podstawie art. 5 ust. 1 oraz o decyzjach, o których</w:t>
            </w:r>
            <w:r>
              <w:t xml:space="preserve"> mowa w </w:t>
            </w:r>
            <w:r>
              <w:rPr>
                <w:b/>
                <w:i/>
              </w:rPr>
              <w:t>art. 5 ust. 3a i</w:t>
            </w:r>
            <w:r>
              <w:t xml:space="preserve"> art. 12 ust. 1.</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107</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Artykuł 8 – ustęp 3</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proponowany przez Komisję</w:t>
            </w:r>
          </w:p>
        </w:tc>
        <w:tc>
          <w:tcPr>
            <w:tcW w:w="4876" w:type="dxa"/>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Pr>
          <w:p>
            <w:pPr>
              <w:pStyle w:val="Normal6a"/>
            </w:pPr>
            <w:r>
              <w:t>3.</w:t>
            </w:r>
            <w:r>
              <w:tab/>
            </w:r>
            <w:r>
              <w:t xml:space="preserve">Termin na skorzystanie ze środka odwoławczego nie przekracza </w:t>
            </w:r>
            <w:r>
              <w:rPr>
                <w:b/>
                <w:i/>
              </w:rPr>
              <w:t>20</w:t>
            </w:r>
            <w:r>
              <w:t xml:space="preserve"> dni od daty otrzymania powiadomienia o decyzji, o której mowa w art. 12 ust. 1.</w:t>
            </w:r>
          </w:p>
        </w:tc>
        <w:tc>
          <w:tcPr>
            <w:tcW w:w="4876" w:type="dxa"/>
          </w:tcPr>
          <w:p>
            <w:pPr>
              <w:pStyle w:val="Normal6a"/>
            </w:pPr>
            <w:r>
              <w:t>3.</w:t>
            </w:r>
            <w:r>
              <w:tab/>
            </w:r>
            <w:r>
              <w:t xml:space="preserve">Termin na skorzystanie ze środka odwoławczego nie przekracza </w:t>
            </w:r>
            <w:r>
              <w:rPr>
                <w:b/>
                <w:i/>
              </w:rPr>
              <w:t>14</w:t>
            </w:r>
            <w:r>
              <w:t xml:space="preserve"> dni od daty otrzymania powiadomienia o decyzji, o której mowa w art. 12 ust. 1.</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108</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Artykuł 8 – ustęp 4</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proponowany przez Komisję</w:t>
            </w:r>
          </w:p>
        </w:tc>
        <w:tc>
          <w:tcPr>
            <w:tcW w:w="4876" w:type="dxa"/>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4.</w:t>
            </w:r>
            <w:r>
              <w:tab/>
            </w:r>
            <w:r>
              <w:rPr>
                <w:b/>
                <w:i/>
              </w:rPr>
              <w:t>Jeżeli wniosek o przekazanie postępowania karnego został złożony po wniesieniu aktu oskarżenia wobec podejrzanego lub oskarżonego, wniesienie środka odwoławczego od decyzji o wyrażeniu zgody na przekazanie postępowania karnego ma skutek zawieszający.</w:t>
            </w:r>
          </w:p>
        </w:tc>
        <w:tc>
          <w:tcPr>
            <w:tcW w:w="4876" w:type="dxa"/>
          </w:tcPr>
          <w:p>
            <w:pPr>
              <w:pStyle w:val="Normal6a"/>
            </w:pPr>
            <w:r>
              <w:rPr>
                <w:b/>
                <w:i/>
              </w:rPr>
              <w:t>skreśla się</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109</w:t>
      </w:r>
      <w:r>
        <w:rPr>
          <w:rStyle w:val="HideTWBExt"/>
        </w:rPr>
        <w:t>&lt;/NumAm&gt;</w:t>
      </w:r>
    </w:p>
    <w:p>
      <w:pPr>
        <w:pStyle w:val="NormalBold"/>
      </w:pPr>
      <w:r>
        <w:rPr>
          <w:rStyle w:val="HideTWBExt"/>
        </w:rPr>
        <w:t>&lt;RepeatBlock-By&gt;</w:t>
      </w:r>
      <w:r>
        <w:rPr>
          <w:rStyle w:val="HideTWBExt"/>
        </w:rPr>
        <w:t>&lt;Members&gt;</w:t>
      </w:r>
      <w:r>
        <w:t>Saskia Bricmont</w:t>
      </w:r>
      <w:r>
        <w:rPr>
          <w:rStyle w:val="HideTWBExt"/>
        </w:rPr>
        <w:t>&lt;/Members&gt;</w:t>
      </w:r>
    </w:p>
    <w:p>
      <w:pPr>
        <w:pStyle w:val="NormalBold"/>
      </w:pPr>
      <w:r>
        <w:rPr>
          <w:rStyle w:val="HideTWBExt"/>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Artykuł 8 – ustęp 4</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proponowany przez Komisję</w:t>
            </w:r>
          </w:p>
        </w:tc>
        <w:tc>
          <w:tcPr>
            <w:tcW w:w="4876" w:type="dxa"/>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Pr>
          <w:p>
            <w:pPr>
              <w:pStyle w:val="Normal6a"/>
            </w:pPr>
            <w:r>
              <w:t>4.</w:t>
            </w:r>
            <w:r>
              <w:tab/>
            </w:r>
            <w:r>
              <w:rPr>
                <w:b/>
                <w:i/>
              </w:rPr>
              <w:t>Jeżeli wniosek o przekazanie postępowania karnego został złożony po wniesieniu aktu oskarżenia wobec podejrzanego lub oskarżonego, wniesienie środka odwoławczego od decyzji</w:t>
            </w:r>
            <w:r>
              <w:t xml:space="preserve"> o wyrażeniu zgody na przekazanie postępowania karnego ma skutek zawieszający.</w:t>
            </w:r>
          </w:p>
        </w:tc>
        <w:tc>
          <w:tcPr>
            <w:tcW w:w="4876" w:type="dxa"/>
          </w:tcPr>
          <w:p>
            <w:pPr>
              <w:pStyle w:val="Normal6a"/>
            </w:pPr>
            <w:r>
              <w:t>4.</w:t>
            </w:r>
            <w:r>
              <w:tab/>
            </w:r>
            <w:r>
              <w:rPr>
                <w:b/>
                <w:i/>
              </w:rPr>
              <w:t>Wniesienie środka odwoławczego od decyzji o złożeniu wniosku lub</w:t>
            </w:r>
            <w:r>
              <w:t xml:space="preserve"> o wyrażeniu zgody na przekazanie postępowania karnego ma skutek zawieszający.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110</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Artykuł 8 – ustęp 5</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proponowany przez Komisję</w:t>
            </w:r>
          </w:p>
        </w:tc>
        <w:tc>
          <w:tcPr>
            <w:tcW w:w="4876" w:type="dxa"/>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Pr>
          <w:p>
            <w:pPr>
              <w:pStyle w:val="Normal6a"/>
            </w:pPr>
            <w:r>
              <w:t>5.</w:t>
            </w:r>
            <w:r>
              <w:tab/>
            </w:r>
            <w:r>
              <w:t>Organ, do którego kierowany jest wniosek, informuje organ wnioskujący o środkach odwoławczych, o których mowa w niniejszym artykule.</w:t>
            </w:r>
          </w:p>
        </w:tc>
        <w:tc>
          <w:tcPr>
            <w:tcW w:w="4876" w:type="dxa"/>
          </w:tcPr>
          <w:p>
            <w:pPr>
              <w:pStyle w:val="Normal6a"/>
            </w:pPr>
            <w:r>
              <w:t>5.</w:t>
            </w:r>
            <w:r>
              <w:tab/>
            </w:r>
            <w:r>
              <w:t xml:space="preserve">Organ, do którego kierowany jest wniosek, </w:t>
            </w:r>
            <w:r>
              <w:rPr>
                <w:b/>
                <w:i/>
              </w:rPr>
              <w:t>niezwłocznie</w:t>
            </w:r>
            <w:r>
              <w:t xml:space="preserve"> informuje organ wnioskujący o środkach odwoławczych, o których mowa w niniejszym artykule</w:t>
            </w:r>
            <w:r>
              <w:rPr>
                <w:b/>
                <w:i/>
              </w:rPr>
              <w:t>, oraz o ich ostatecznym wyniku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111</w:t>
      </w:r>
      <w:r>
        <w:rPr>
          <w:rStyle w:val="HideTWBExt"/>
        </w:rPr>
        <w:t>&lt;/NumAm&gt;</w:t>
      </w:r>
    </w:p>
    <w:p>
      <w:pPr>
        <w:pStyle w:val="NormalBold"/>
      </w:pPr>
      <w:r>
        <w:rPr>
          <w:rStyle w:val="HideTWBExt"/>
        </w:rPr>
        <w:t>&lt;RepeatBlock-By&gt;</w:t>
      </w:r>
      <w:r>
        <w:rPr>
          <w:rStyle w:val="HideTWBExt"/>
        </w:rPr>
        <w:t>&lt;Members&gt;</w:t>
      </w:r>
      <w:r>
        <w:t>Saskia Bricmont</w:t>
      </w:r>
      <w:r>
        <w:rPr>
          <w:rStyle w:val="HideTWBExt"/>
        </w:rPr>
        <w:t>&lt;/Members&gt;</w:t>
      </w:r>
    </w:p>
    <w:p>
      <w:pPr>
        <w:pStyle w:val="NormalBold"/>
      </w:pPr>
      <w:r>
        <w:rPr>
          <w:rStyle w:val="HideTWBExt"/>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Artykuł 8 – ustęp 5 a (nowy)</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proponowany przez Komisję</w:t>
            </w:r>
          </w:p>
        </w:tc>
        <w:tc>
          <w:tcPr>
            <w:tcW w:w="4876" w:type="dxa"/>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5a.</w:t>
            </w:r>
            <w:r>
              <w:tab/>
            </w:r>
            <w:r>
              <w:rPr>
                <w:b/>
                <w:i/>
              </w:rPr>
              <w:t>Organ wnioskujący oraz organ, do którego kierowany jest wniosek, informują się wzajemnie i odpowiednio o środkach odwoławczych zastosowanych na mocy niniejszego artykułu oraz o ich ostatecznym wyniku w terminie pięciu dni roboczych od dnia podjęcia decyzji w sprawie zastosowania danego środka odwoławczego.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112</w:t>
      </w:r>
      <w:r>
        <w:rPr>
          <w:rStyle w:val="HideTWBExt"/>
        </w:rPr>
        <w:t>&lt;/NumAm&gt;</w:t>
      </w:r>
    </w:p>
    <w:p>
      <w:pPr>
        <w:pStyle w:val="NormalBold"/>
      </w:pPr>
      <w:r>
        <w:rPr>
          <w:rStyle w:val="HideTWBExt"/>
        </w:rPr>
        <w:t>&lt;RepeatBlock-By&gt;</w:t>
      </w:r>
      <w:r>
        <w:rPr>
          <w:rStyle w:val="HideTWBExt"/>
        </w:rPr>
        <w:t>&lt;Members&gt;</w:t>
      </w:r>
      <w:r>
        <w:t>Evin Incir</w:t>
      </w:r>
      <w:r>
        <w:rPr>
          <w:rStyle w:val="HideTWBExt"/>
        </w:rPr>
        <w:t>&lt;/Members&gt;</w:t>
      </w:r>
    </w:p>
    <w:p>
      <w:pPr>
        <w:pStyle w:val="NormalBold"/>
      </w:pPr>
      <w:r>
        <w:rPr>
          <w:rStyle w:val="HideTWBExt"/>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Artykuł 9 – ustęp 7 a (nowy)</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proponowany przez Komisję</w:t>
            </w:r>
          </w:p>
        </w:tc>
        <w:tc>
          <w:tcPr>
            <w:tcW w:w="4876" w:type="dxa"/>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7a.</w:t>
            </w:r>
            <w:r>
              <w:tab/>
            </w:r>
            <w:r>
              <w:rPr>
                <w:b/>
                <w:i/>
              </w:rPr>
              <w:t>Organ wnioskujący jak najszybciej potwierdza otrzymanie wniosku.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113</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Artykuł 9 – ustęp 8 a (nowy)</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proponowany przez Komisję</w:t>
            </w:r>
          </w:p>
        </w:tc>
        <w:tc>
          <w:tcPr>
            <w:tcW w:w="4876" w:type="dxa"/>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8a.</w:t>
            </w:r>
            <w:r>
              <w:tab/>
            </w:r>
            <w:r>
              <w:rPr>
                <w:b/>
                <w:i/>
              </w:rPr>
              <w:t>Właściwy organ państwa członkowskiego, do którego kierowany jest wniosek, wydaje potwierdzenie otrzymania wniosku.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114</w:t>
      </w:r>
      <w:r>
        <w:rPr>
          <w:rStyle w:val="HideTWBExt"/>
        </w:rPr>
        <w:t>&lt;/NumAm&gt;</w:t>
      </w:r>
    </w:p>
    <w:p>
      <w:pPr>
        <w:pStyle w:val="NormalBold"/>
      </w:pPr>
      <w:r>
        <w:rPr>
          <w:rStyle w:val="HideTWBExt"/>
        </w:rPr>
        <w:t>&lt;RepeatBlock-By&gt;</w:t>
      </w:r>
      <w:r>
        <w:rPr>
          <w:rStyle w:val="HideTWBExt"/>
        </w:rPr>
        <w:t>&lt;Members&gt;</w:t>
      </w:r>
      <w:r>
        <w:t>Morten Petersen</w:t>
      </w:r>
      <w:r>
        <w:rPr>
          <w:rStyle w:val="HideTWBExt"/>
        </w:rPr>
        <w:t>&lt;/Members&gt;</w:t>
      </w:r>
    </w:p>
    <w:p>
      <w:pPr>
        <w:pStyle w:val="NormalBold"/>
      </w:pPr>
      <w:r>
        <w:rPr>
          <w:rStyle w:val="HideTWBExt"/>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Artykuł 10 – akapit 1 a (nowy)</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proponowany przez Komisję</w:t>
            </w:r>
          </w:p>
        </w:tc>
        <w:tc>
          <w:tcPr>
            <w:tcW w:w="4876" w:type="dxa"/>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Podejrzany lub oskarżony oraz ich doradcy prawni są na bieżąco informowani o rozwoju sytuacji dotyczącej danego wniosku, pod warunkiem że nie narusza to poufności postępowania przygotowawczego.</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Uzasadnienie</w:t>
      </w:r>
      <w:r>
        <w:rPr>
          <w:rStyle w:val="HideTWBExt"/>
        </w:rPr>
        <w:t>&lt;/TitreJust&gt;</w:t>
      </w:r>
    </w:p>
    <w:p>
      <w:pPr>
        <w:pStyle w:val="AmJustText"/>
      </w:pPr>
      <w:r>
        <w:t>Osoba podejrzana lub oskarżona powinna mieć prawo do informacji, jeżeli nie narusza to poufności postępowania.</w:t>
      </w:r>
    </w:p>
    <w:p>
      <w:r>
        <w:rPr>
          <w:rStyle w:val="HideTWBExt"/>
        </w:rPr>
        <w:t>&lt;/Amend&gt;</w:t>
      </w:r>
    </w:p>
    <w:p>
      <w:pPr>
        <w:pStyle w:val="AmNumberTabs"/>
      </w:pPr>
      <w:r>
        <w:rPr>
          <w:rStyle w:val="HideTWBExt"/>
        </w:rPr>
        <w:t>&lt;Amend&gt;</w:t>
      </w:r>
      <w:r>
        <w:t>Poprawka</w:t>
      </w:r>
      <w:r>
        <w:tab/>
      </w:r>
      <w:r>
        <w:tab/>
      </w:r>
      <w:r>
        <w:rPr>
          <w:rStyle w:val="HideTWBExt"/>
        </w:rPr>
        <w:t>&lt;NumAm&gt;</w:t>
      </w:r>
      <w:r>
        <w:t>115</w:t>
      </w:r>
      <w:r>
        <w:rPr>
          <w:rStyle w:val="HideTWBExt"/>
        </w:rPr>
        <w:t>&lt;/NumAm&gt;</w:t>
      </w:r>
    </w:p>
    <w:p>
      <w:pPr>
        <w:pStyle w:val="NormalBold"/>
      </w:pPr>
      <w:r>
        <w:rPr>
          <w:rStyle w:val="HideTWBExt"/>
        </w:rPr>
        <w:t>&lt;RepeatBlock-By&gt;</w:t>
      </w:r>
      <w:r>
        <w:rPr>
          <w:rStyle w:val="HideTWBExt"/>
        </w:rPr>
        <w:t>&lt;Members&gt;</w:t>
      </w:r>
      <w:r>
        <w:t>Saskia Bricmont</w:t>
      </w:r>
      <w:r>
        <w:rPr>
          <w:rStyle w:val="HideTWBExt"/>
        </w:rPr>
        <w:t>&lt;/Members&gt;</w:t>
      </w:r>
    </w:p>
    <w:p>
      <w:pPr>
        <w:pStyle w:val="NormalBold"/>
      </w:pPr>
      <w:r>
        <w:rPr>
          <w:rStyle w:val="HideTWBExt"/>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Artykuł 11 – akapit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proponowany przez Komisję</w:t>
            </w:r>
          </w:p>
        </w:tc>
        <w:tc>
          <w:tcPr>
            <w:tcW w:w="4876" w:type="dxa"/>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Pr>
          <w:p>
            <w:pPr>
              <w:pStyle w:val="Normal6a"/>
            </w:pPr>
            <w:r>
              <w:t>Organ wnioskujący może wycofać wniosek o przekazanie postępowania karnego w dowolnym momencie przed otrzymaniem od organu, do którego kierowany jest wniosek, decyzji o wyrażeniu zgody na przekazanie mu postępowania karnego zgodnie z art. 12.</w:t>
            </w:r>
          </w:p>
        </w:tc>
        <w:tc>
          <w:tcPr>
            <w:tcW w:w="4876" w:type="dxa"/>
          </w:tcPr>
          <w:p>
            <w:pPr>
              <w:pStyle w:val="Normal6a"/>
            </w:pPr>
            <w:r>
              <w:t xml:space="preserve">Organ wnioskujący może wycofać wniosek o przekazanie postępowania karnego w dowolnym momencie przed otrzymaniem od organu, do którego kierowany jest wniosek, decyzji o wyrażeniu zgody na przekazanie mu postępowania karnego zgodnie z art. 12. </w:t>
            </w:r>
            <w:r>
              <w:rPr>
                <w:b/>
                <w:i/>
              </w:rPr>
              <w:t>Organ wnioskujący uzasadnia decyzję o wycofaniu na piśmie i przedstawia krótkie wyjaśnienie podejrzanemu lub oskarżonemu oraz ofierze.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116</w:t>
      </w:r>
      <w:r>
        <w:rPr>
          <w:rStyle w:val="HideTWBExt"/>
        </w:rPr>
        <w:t>&lt;/NumAm&gt;</w:t>
      </w:r>
    </w:p>
    <w:p>
      <w:pPr>
        <w:pStyle w:val="NormalBold"/>
      </w:pPr>
      <w:r>
        <w:rPr>
          <w:rStyle w:val="HideTWBExt"/>
        </w:rPr>
        <w:t>&lt;RepeatBlock-By&gt;</w:t>
      </w:r>
      <w:r>
        <w:rPr>
          <w:rStyle w:val="HideTWBExt"/>
        </w:rPr>
        <w:t>&lt;Members&gt;</w:t>
      </w:r>
      <w:r>
        <w:t>Morten Petersen</w:t>
      </w:r>
      <w:r>
        <w:rPr>
          <w:rStyle w:val="HideTWBExt"/>
        </w:rPr>
        <w:t>&lt;/Members&gt;</w:t>
      </w:r>
    </w:p>
    <w:p>
      <w:pPr>
        <w:pStyle w:val="NormalBold"/>
      </w:pPr>
      <w:r>
        <w:rPr>
          <w:rStyle w:val="HideTWBExt"/>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Artykuł 11 – ustęp 1 – akapit 1 (nowy)</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proponowany przez Komisję</w:t>
            </w:r>
          </w:p>
        </w:tc>
        <w:tc>
          <w:tcPr>
            <w:tcW w:w="4876" w:type="dxa"/>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Decyzja o wycofaniu wniosku wydana przez organ wnioskujący powinna podlegać kontroli sądowej.</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Uzasadnienie</w:t>
      </w:r>
      <w:r>
        <w:rPr>
          <w:rStyle w:val="HideTWBExt"/>
        </w:rPr>
        <w:t>&lt;/TitreJust&gt;</w:t>
      </w:r>
    </w:p>
    <w:p>
      <w:pPr>
        <w:pStyle w:val="AmJustText"/>
      </w:pPr>
      <w:r>
        <w:t>Taka decyzja mogłaby mieć negatywny wpływ na prawa podejrzanego i jako taka powinna móc podlegać kontroli sądowej.</w:t>
      </w:r>
    </w:p>
    <w:p>
      <w:r>
        <w:rPr>
          <w:rStyle w:val="HideTWBExt"/>
        </w:rPr>
        <w:t>&lt;/Amend&gt;</w:t>
      </w:r>
    </w:p>
    <w:p>
      <w:pPr>
        <w:pStyle w:val="AmNumberTabs"/>
      </w:pPr>
      <w:r>
        <w:rPr>
          <w:rStyle w:val="HideTWBExt"/>
        </w:rPr>
        <w:t>&lt;Amend&gt;</w:t>
      </w:r>
      <w:r>
        <w:t>Poprawka</w:t>
      </w:r>
      <w:r>
        <w:tab/>
      </w:r>
      <w:r>
        <w:tab/>
      </w:r>
      <w:r>
        <w:rPr>
          <w:rStyle w:val="HideTWBExt"/>
        </w:rPr>
        <w:t>&lt;NumAm&gt;</w:t>
      </w:r>
      <w:r>
        <w:t>117</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Artykuł 12 – ustęp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proponowany przez Komisję</w:t>
            </w:r>
          </w:p>
        </w:tc>
        <w:tc>
          <w:tcPr>
            <w:tcW w:w="4876" w:type="dxa"/>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Organ, do którego kierowany jest wniosek, podejmuje uzasadnioną decyzję w sprawie wyrażenia zgody na przekazanie mu postępowania karnego i podejmuje decyzję, zgodnie ze swoim prawem krajowym, o środkach, jakie należy podjąć w tym zakresie.</w:t>
            </w:r>
          </w:p>
        </w:tc>
        <w:tc>
          <w:tcPr>
            <w:tcW w:w="4876" w:type="dxa"/>
          </w:tcPr>
          <w:p>
            <w:pPr>
              <w:pStyle w:val="Normal6a"/>
            </w:pPr>
            <w:r>
              <w:t>1.</w:t>
            </w:r>
            <w:r>
              <w:tab/>
            </w:r>
            <w:r>
              <w:t xml:space="preserve">Organ, do którego kierowany jest wniosek, podejmuje uzasadnioną decyzję w sprawie wyrażenia zgody na przekazanie mu postępowania karnego i podejmuje decyzję, zgodnie ze swoim prawem krajowym, o środkach, jakie należy podjąć w tym zakresie. </w:t>
            </w:r>
            <w:r>
              <w:rPr>
                <w:b/>
                <w:i/>
              </w:rPr>
              <w:t>Informuje on organ wnioskujący o swojej uzasadnionej decyzji zgodnie z terminami określonymi w art. 14.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118</w:t>
      </w:r>
      <w:r>
        <w:rPr>
          <w:rStyle w:val="HideTWBExt"/>
        </w:rPr>
        <w:t>&lt;/NumAm&gt;</w:t>
      </w:r>
    </w:p>
    <w:p>
      <w:pPr>
        <w:pStyle w:val="NormalBold"/>
      </w:pPr>
      <w:r>
        <w:rPr>
          <w:rStyle w:val="HideTWBExt"/>
        </w:rPr>
        <w:t>&lt;RepeatBlock-By&gt;</w:t>
      </w:r>
      <w:r>
        <w:rPr>
          <w:rStyle w:val="HideTWBExt"/>
        </w:rPr>
        <w:t>&lt;Members&gt;</w:t>
      </w:r>
      <w:r>
        <w:t>Saskia Bricmont</w:t>
      </w:r>
      <w:r>
        <w:rPr>
          <w:rStyle w:val="HideTWBExt"/>
        </w:rPr>
        <w:t>&lt;/Members&gt;</w:t>
      </w:r>
    </w:p>
    <w:p>
      <w:pPr>
        <w:pStyle w:val="NormalBold"/>
      </w:pPr>
      <w:r>
        <w:rPr>
          <w:rStyle w:val="HideTWBExt"/>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Artykuł 12 − ustęp 5</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proponowany przez Komisję</w:t>
            </w:r>
          </w:p>
        </w:tc>
        <w:tc>
          <w:tcPr>
            <w:tcW w:w="4876" w:type="dxa"/>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Pr>
          <w:p>
            <w:pPr>
              <w:pStyle w:val="Normal6a"/>
            </w:pPr>
            <w:r>
              <w:t>5.</w:t>
            </w:r>
            <w:r>
              <w:tab/>
            </w:r>
            <w:r>
              <w:t xml:space="preserve">Jeżeli organ, do którego kierowany jest wniosek, wyraził zgodę na przekazanie mu postępowania karnego, organ wnioskujący niezwłocznie przekazuje oryginał lub uwierzytelniony odpis akt sprawy </w:t>
            </w:r>
            <w:r>
              <w:rPr>
                <w:b/>
                <w:i/>
              </w:rPr>
              <w:t>lub ich odpowiednich części</w:t>
            </w:r>
            <w:r>
              <w:t xml:space="preserve"> wraz z ich tłumaczeniem na język urzędowy państwa, do którego kierowany jest wniosek, lub na jakikolwiek inny język, który państwo, do którego kierowany jest wniosek, akceptuje zgodnie z art. 30 ust. 1 lit.</w:t>
            </w:r>
            <w:r>
              <w:rPr>
                <w:b/>
                <w:i/>
              </w:rPr>
              <w:t xml:space="preserve"> c).</w:t>
            </w:r>
            <w:r>
              <w:t xml:space="preserve"> </w:t>
            </w:r>
            <w:r>
              <w:rPr>
                <w:b/>
                <w:i/>
              </w:rPr>
              <w:t>W razie potrzeby organ wnioskujący i organ, do którego kierowany jest wniosek, mogą konsultować się ze sobą w celu określenia niezbędnych dokumentów lub części takich dokumentów, które należy przekazać, a także przetłumaczyć</w:t>
            </w:r>
            <w:r>
              <w:t>.</w:t>
            </w:r>
          </w:p>
        </w:tc>
        <w:tc>
          <w:tcPr>
            <w:tcW w:w="4876" w:type="dxa"/>
          </w:tcPr>
          <w:p>
            <w:pPr>
              <w:pStyle w:val="Normal6a"/>
            </w:pPr>
            <w:r>
              <w:t>5.</w:t>
            </w:r>
            <w:r>
              <w:tab/>
            </w:r>
            <w:r>
              <w:t>Jeżeli organ, do którego kierowany jest wniosek, wyraził zgodę na przekazanie mu postępowania karnego, organ wnioskujący niezwłocznie przekazuje oryginał lub uwierzytelniony odpis akt sprawy wraz z ich tłumaczeniem na język urzędowy państwa, do którego kierowany jest wniosek, lub na jakikolwiek inny język, który państwo, do którego kierowany jest wniosek, akceptuje zgodnie z art. 30 ust. 1 lit.</w:t>
            </w:r>
            <w:r>
              <w:rPr>
                <w:b/>
                <w:i/>
              </w:rPr>
              <w:t> c)</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119</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Artykuł 12 − ustęp 5</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proponowany przez Komisję</w:t>
            </w:r>
          </w:p>
        </w:tc>
        <w:tc>
          <w:tcPr>
            <w:tcW w:w="4876" w:type="dxa"/>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Pr>
          <w:p>
            <w:pPr>
              <w:pStyle w:val="Normal6a"/>
            </w:pPr>
            <w:r>
              <w:t>5.</w:t>
            </w:r>
            <w:r>
              <w:tab/>
            </w:r>
            <w:r>
              <w:t>Jeżeli organ, do którego kierowany jest wniosek, wyraził zgodę na przekazanie mu postępowania karnego, organ wnioskujący niezwłocznie przekazuje oryginał lub uwierzytelniony odpis akt sprawy lub ich odpowiednich części wraz z ich tłumaczeniem na język urzędowy państwa, do którego kierowany jest wniosek, lub na jakikolwiek inny język, który państwo, do którego kierowany jest wniosek, akceptuje zgodnie z art. 30 ust. 1 lit.</w:t>
            </w:r>
            <w:r>
              <w:rPr>
                <w:b/>
                <w:i/>
              </w:rPr>
              <w:t xml:space="preserve"> c)</w:t>
            </w:r>
            <w:r>
              <w:t>. W razie potrzeby organ wnioskujący i organ, do którego kierowany jest wniosek, mogą konsultować się ze sobą w celu określenia niezbędnych dokumentów lub części takich dokumentów, które należy przekazać, a także przetłumaczyć.</w:t>
            </w:r>
          </w:p>
        </w:tc>
        <w:tc>
          <w:tcPr>
            <w:tcW w:w="4876" w:type="dxa"/>
          </w:tcPr>
          <w:p>
            <w:pPr>
              <w:pStyle w:val="Normal6a"/>
            </w:pPr>
            <w:r>
              <w:t>5.</w:t>
            </w:r>
            <w:r>
              <w:tab/>
            </w:r>
            <w:r>
              <w:t xml:space="preserve">Jeżeli organ, do którego kierowany jest wniosek, wyraził zgodę na przekazanie mu postępowania karnego, </w:t>
            </w:r>
            <w:r>
              <w:rPr>
                <w:b/>
                <w:i/>
              </w:rPr>
              <w:t>i pod warunkiem że podjęto decyzję o środku odwoławczym,</w:t>
            </w:r>
            <w:r>
              <w:t xml:space="preserve"> organ wnioskujący niezwłocznie przekazuje oryginał lub uwierzytelniony odpis akt sprawy lub ich odpowiednich części wraz z ich tłumaczeniem na język urzędowy państwa, do którego kierowany jest wniosek, lub na jakikolwiek inny język, który państwo, do którego kierowany jest wniosek, akceptuje zgodnie z art. 30 ust. 1 lit.</w:t>
            </w:r>
            <w:r>
              <w:rPr>
                <w:b/>
                <w:i/>
              </w:rPr>
              <w:t> c)</w:t>
            </w:r>
            <w:r>
              <w:t>. W razie potrzeby organ wnioskujący i organ, do którego kierowany jest wniosek, mogą konsultować się ze sobą w celu określenia niezbędnych dokumentów lub części takich dokumentów, które należy przekazać, a także przetłumaczyć.</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120</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Artykuł 13 – ustęp 1 – litera a a (nowa)</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proponowany przez Komisję</w:t>
            </w:r>
          </w:p>
        </w:tc>
        <w:tc>
          <w:tcPr>
            <w:tcW w:w="4876" w:type="dxa"/>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aa)</w:t>
            </w:r>
            <w:r>
              <w:tab/>
            </w:r>
            <w:r>
              <w:rPr>
                <w:b/>
                <w:i/>
              </w:rPr>
              <w:t>zgodnie z prawem państwa, do którego kierowany jest wniosek, występuje immunitet lub przywilej uniemożliwiający podjęcie działań;</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121</w:t>
      </w:r>
      <w:r>
        <w:rPr>
          <w:rStyle w:val="HideTWBExt"/>
        </w:rPr>
        <w:t>&lt;/NumAm&gt;</w:t>
      </w:r>
    </w:p>
    <w:p>
      <w:pPr>
        <w:pStyle w:val="NormalBold"/>
      </w:pPr>
      <w:r>
        <w:rPr>
          <w:rStyle w:val="HideTWBExt"/>
        </w:rPr>
        <w:t>&lt;RepeatBlock-By&gt;</w:t>
      </w:r>
      <w:r>
        <w:rPr>
          <w:rStyle w:val="HideTWBExt"/>
        </w:rPr>
        <w:t>&lt;Members&gt;</w:t>
      </w:r>
      <w:r>
        <w:t>Saskia Bricmont</w:t>
      </w:r>
      <w:r>
        <w:rPr>
          <w:rStyle w:val="HideTWBExt"/>
        </w:rPr>
        <w:t>&lt;/Members&gt;</w:t>
      </w:r>
    </w:p>
    <w:p>
      <w:pPr>
        <w:pStyle w:val="NormalBold"/>
      </w:pPr>
      <w:r>
        <w:rPr>
          <w:rStyle w:val="HideTWBExt"/>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Artykuł 13 – ustęp 1 – litera f</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proponowany przez Komisję</w:t>
            </w:r>
          </w:p>
        </w:tc>
        <w:tc>
          <w:tcPr>
            <w:tcW w:w="4876" w:type="dxa"/>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Pr>
          <w:p>
            <w:pPr>
              <w:pStyle w:val="Normal6a"/>
            </w:pPr>
            <w:r>
              <w:t>f)</w:t>
            </w:r>
            <w:r>
              <w:tab/>
            </w:r>
            <w:r>
              <w:t xml:space="preserve">jeżeli państwo, do którego kierowany jest wniosek, nie sprawuje jurysdykcji w zakresie danego przestępstwa. </w:t>
            </w:r>
            <w:r>
              <w:rPr>
                <w:b/>
                <w:i/>
              </w:rPr>
              <w:t>Taka jurysdykcja mogłaby również wynikać z art. 3.</w:t>
            </w:r>
          </w:p>
        </w:tc>
        <w:tc>
          <w:tcPr>
            <w:tcW w:w="4876" w:type="dxa"/>
          </w:tcPr>
          <w:p>
            <w:pPr>
              <w:pStyle w:val="Normal6a"/>
            </w:pPr>
            <w:r>
              <w:t>f)</w:t>
            </w:r>
            <w:r>
              <w:tab/>
            </w:r>
            <w:r>
              <w:t>jeżeli państwo, do którego kierowany jest wniosek, nie sprawuje jurysdykcji w zakresie danego przestępstwa.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122</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Artykuł 13 – ustęp 2 – litera a</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proponowany przez Komisję</w:t>
            </w:r>
          </w:p>
        </w:tc>
        <w:tc>
          <w:tcPr>
            <w:tcW w:w="4876" w:type="dxa"/>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a)</w:t>
            </w:r>
            <w:r>
              <w:tab/>
            </w:r>
            <w:r>
              <w:rPr>
                <w:b/>
                <w:i/>
              </w:rPr>
              <w:t>zgodnie z prawem państwa, do którego kierowany jest wniosek, występuje immunitet lub przywilej uniemożliwiający podjęcie działań;</w:t>
            </w:r>
          </w:p>
        </w:tc>
        <w:tc>
          <w:tcPr>
            <w:tcW w:w="4876" w:type="dxa"/>
          </w:tcPr>
          <w:p>
            <w:pPr>
              <w:pStyle w:val="Normal6a"/>
            </w:pPr>
            <w:r>
              <w:rPr>
                <w:b/>
                <w:i/>
              </w:rPr>
              <w:t>skreśla się</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123</w:t>
      </w:r>
      <w:r>
        <w:rPr>
          <w:rStyle w:val="HideTWBExt"/>
        </w:rPr>
        <w:t>&lt;/NumAm&gt;</w:t>
      </w:r>
    </w:p>
    <w:p>
      <w:pPr>
        <w:pStyle w:val="NormalBold"/>
      </w:pPr>
      <w:r>
        <w:rPr>
          <w:rStyle w:val="HideTWBExt"/>
        </w:rPr>
        <w:t>&lt;RepeatBlock-By&gt;</w:t>
      </w:r>
      <w:r>
        <w:rPr>
          <w:rStyle w:val="HideTWBExt"/>
        </w:rPr>
        <w:t>&lt;Members&gt;</w:t>
      </w:r>
      <w:r>
        <w:t>Saskia Bricmont</w:t>
      </w:r>
      <w:r>
        <w:rPr>
          <w:rStyle w:val="HideTWBExt"/>
        </w:rPr>
        <w:t>&lt;/Members&gt;</w:t>
      </w:r>
    </w:p>
    <w:p>
      <w:pPr>
        <w:pStyle w:val="NormalBold"/>
      </w:pPr>
      <w:r>
        <w:rPr>
          <w:rStyle w:val="HideTWBExt"/>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Artykuł 13 – ustęp 2 – litera b</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proponowany przez Komisję</w:t>
            </w:r>
          </w:p>
        </w:tc>
        <w:tc>
          <w:tcPr>
            <w:tcW w:w="4876" w:type="dxa"/>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Pr>
          <w:p>
            <w:pPr>
              <w:pStyle w:val="Normal6a"/>
            </w:pPr>
            <w:r>
              <w:t>b)</w:t>
            </w:r>
            <w:r>
              <w:tab/>
            </w:r>
            <w:r>
              <w:t>organ, do którego kierowany jest wniosek, uważa, że przekazanie postępowania karnego nie leży w interesie skutecznego i prawidłowego sprawowania wymiaru sprawiedliwości;</w:t>
            </w:r>
          </w:p>
        </w:tc>
        <w:tc>
          <w:tcPr>
            <w:tcW w:w="4876" w:type="dxa"/>
          </w:tcPr>
          <w:p>
            <w:pPr>
              <w:pStyle w:val="Normal6a"/>
            </w:pPr>
            <w:r>
              <w:t>b)</w:t>
            </w:r>
            <w:r>
              <w:tab/>
            </w:r>
            <w:r>
              <w:t xml:space="preserve">organ, do którego kierowany jest wniosek, uważa, że przekazanie postępowania karnego nie leży w interesie skutecznego i prawidłowego sprawowania wymiaru sprawiedliwości </w:t>
            </w:r>
            <w:r>
              <w:rPr>
                <w:b/>
                <w:i/>
              </w:rPr>
              <w:t>ani w interesie ochrony praw podstawowych podejrzanych, oskarżonych lub ofiar, przewidzianych w prawie Unii i prawie krajowym</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124</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Artykuł 13 – ustęp 2 – litera d a (nowa)</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proponowany przez Komisję</w:t>
            </w:r>
          </w:p>
        </w:tc>
        <w:tc>
          <w:tcPr>
            <w:tcW w:w="4876" w:type="dxa"/>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da)</w:t>
            </w:r>
            <w:r>
              <w:tab/>
            </w:r>
            <w:r>
              <w:rPr>
                <w:b/>
                <w:i/>
              </w:rPr>
              <w:t>czyn leżący u podstaw postępowania nie jest przestępstwem i nie podlega karze w miejscu jego popełnienia, a zatem zgodnie z prawem państwo, do którego kierowany jest wniosek, nie ma jurysdykcji.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125</w:t>
      </w:r>
      <w:r>
        <w:rPr>
          <w:rStyle w:val="HideTWBExt"/>
        </w:rPr>
        <w:t>&lt;/NumAm&gt;</w:t>
      </w:r>
    </w:p>
    <w:p>
      <w:pPr>
        <w:pStyle w:val="NormalBold"/>
      </w:pPr>
      <w:r>
        <w:rPr>
          <w:rStyle w:val="HideTWBExt"/>
        </w:rPr>
        <w:t>&lt;RepeatBlock-By&gt;</w:t>
      </w:r>
      <w:r>
        <w:rPr>
          <w:rStyle w:val="HideTWBExt"/>
        </w:rPr>
        <w:t>&lt;Members&gt;</w:t>
      </w:r>
      <w:r>
        <w:t>Evin Incir</w:t>
      </w:r>
      <w:r>
        <w:rPr>
          <w:rStyle w:val="HideTWBExt"/>
        </w:rPr>
        <w:t>&lt;/Members&gt;</w:t>
      </w:r>
    </w:p>
    <w:p>
      <w:pPr>
        <w:pStyle w:val="NormalBold"/>
      </w:pPr>
      <w:r>
        <w:rPr>
          <w:rStyle w:val="HideTWBExt"/>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Artykuł 13 – ustęp 2 a (nowy)</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proponowany przez Komisję</w:t>
            </w:r>
          </w:p>
        </w:tc>
        <w:tc>
          <w:tcPr>
            <w:tcW w:w="4876" w:type="dxa"/>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2a.</w:t>
            </w:r>
            <w:r>
              <w:tab/>
            </w:r>
            <w:r>
              <w:rPr>
                <w:b/>
                <w:i/>
              </w:rPr>
              <w:t>domniemane przestępstwo nie stanowi przestępstwa w miejscu jego popełnienia, a państwo, do którego kierowany jest wniosek, nie jest właściwe do ścigania tego przestępstwa zgodnie ze swoim prawem krajowym.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126</w:t>
      </w:r>
      <w:r>
        <w:rPr>
          <w:rStyle w:val="HideTWBExt"/>
        </w:rPr>
        <w:t>&lt;/NumAm&gt;</w:t>
      </w:r>
    </w:p>
    <w:p>
      <w:pPr>
        <w:pStyle w:val="NormalBold"/>
      </w:pPr>
      <w:r>
        <w:rPr>
          <w:rStyle w:val="HideTWBExt"/>
        </w:rPr>
        <w:t>&lt;RepeatBlock-By&gt;</w:t>
      </w:r>
      <w:r>
        <w:rPr>
          <w:rStyle w:val="HideTWBExt"/>
        </w:rPr>
        <w:t>&lt;Members&gt;</w:t>
      </w:r>
      <w:r>
        <w:t>Morten Petersen</w:t>
      </w:r>
      <w:r>
        <w:rPr>
          <w:rStyle w:val="HideTWBExt"/>
        </w:rPr>
        <w:t>&lt;/Members&gt;</w:t>
      </w:r>
    </w:p>
    <w:p>
      <w:pPr>
        <w:pStyle w:val="NormalBold"/>
      </w:pPr>
      <w:r>
        <w:rPr>
          <w:rStyle w:val="HideTWBExt"/>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Artykuł 13 – ustęp 3</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proponowany przez Komisję</w:t>
            </w:r>
          </w:p>
        </w:tc>
        <w:tc>
          <w:tcPr>
            <w:tcW w:w="4876" w:type="dxa"/>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Pr>
          <w:p>
            <w:pPr>
              <w:pStyle w:val="Normal6a"/>
            </w:pPr>
            <w:r>
              <w:t>3.</w:t>
            </w:r>
            <w:r>
              <w:tab/>
            </w:r>
            <w:r>
              <w:t>W każdej z sytuacji, o których mowa w ust. 1 i 2, przed podjęciem decyzji o odmowie przekazania postępowania karnego, w całości lub w części, organ, do którego kierowany jest wniosek, konsultuje się z organem wnioskującym i, w razie potrzeby, zwraca się do niego o niezwłoczne dostarczenie wszelkich niezbędnych informacji.</w:t>
            </w:r>
          </w:p>
        </w:tc>
        <w:tc>
          <w:tcPr>
            <w:tcW w:w="4876" w:type="dxa"/>
          </w:tcPr>
          <w:p>
            <w:pPr>
              <w:pStyle w:val="Normal6a"/>
            </w:pPr>
            <w:r>
              <w:t>3.</w:t>
            </w:r>
            <w:r>
              <w:tab/>
            </w:r>
            <w:r>
              <w:t xml:space="preserve">W każdej z sytuacji, o których mowa w ust. 1 i 2, przed podjęciem decyzji o odmowie przekazania postępowania karnego, w całości lub w części, organ, do którego kierowany jest wniosek, konsultuje się z organem wnioskującym i, w razie potrzeby, zwraca się do niego o niezwłoczne dostarczenie wszelkich niezbędnych informacji. </w:t>
            </w:r>
            <w:r>
              <w:rPr>
                <w:b/>
                <w:i/>
              </w:rPr>
              <w:t>Ponadto podejrzany lub oskarżony oraz ich doradcy prawni są na bieżąco informowani o rozwoju sytuacji dotyczącej danego wniosku, pod warunkiem że nie narusza to poufności postępowania przygotowawczego.</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Uzasadnienie</w:t>
      </w:r>
      <w:r>
        <w:rPr>
          <w:rStyle w:val="HideTWBExt"/>
        </w:rPr>
        <w:t>&lt;/TitreJust&gt;</w:t>
      </w:r>
    </w:p>
    <w:p>
      <w:pPr>
        <w:pStyle w:val="AmJustText"/>
      </w:pPr>
      <w:r>
        <w:t>Osoba podejrzana lub oskarżona powinna mieć prawo do informacji, jeżeli nie narusza to poufności postępowania.</w:t>
      </w:r>
    </w:p>
    <w:p>
      <w:r>
        <w:rPr>
          <w:rStyle w:val="HideTWBExt"/>
        </w:rPr>
        <w:t>&lt;/Amend&gt;</w:t>
      </w:r>
    </w:p>
    <w:p>
      <w:pPr>
        <w:pStyle w:val="AmNumberTabs"/>
      </w:pPr>
      <w:r>
        <w:rPr>
          <w:rStyle w:val="HideTWBExt"/>
        </w:rPr>
        <w:t>&lt;Amend&gt;</w:t>
      </w:r>
      <w:r>
        <w:t>Poprawka</w:t>
      </w:r>
      <w:r>
        <w:tab/>
      </w:r>
      <w:r>
        <w:tab/>
      </w:r>
      <w:r>
        <w:rPr>
          <w:rStyle w:val="HideTWBExt"/>
        </w:rPr>
        <w:t>&lt;NumAm&gt;</w:t>
      </w:r>
      <w:r>
        <w:t>127</w:t>
      </w:r>
      <w:r>
        <w:rPr>
          <w:rStyle w:val="HideTWBExt"/>
        </w:rPr>
        <w:t>&lt;/NumAm&gt;</w:t>
      </w:r>
    </w:p>
    <w:p>
      <w:pPr>
        <w:pStyle w:val="NormalBold"/>
      </w:pPr>
      <w:r>
        <w:rPr>
          <w:rStyle w:val="HideTWBExt"/>
        </w:rPr>
        <w:t>&lt;RepeatBlock-By&gt;</w:t>
      </w:r>
      <w:r>
        <w:rPr>
          <w:rStyle w:val="HideTWBExt"/>
        </w:rPr>
        <w:t>&lt;Members&gt;</w:t>
      </w:r>
      <w:r>
        <w:t>Morten Petersen</w:t>
      </w:r>
      <w:r>
        <w:rPr>
          <w:rStyle w:val="HideTWBExt"/>
        </w:rPr>
        <w:t>&lt;/Members&gt;</w:t>
      </w:r>
    </w:p>
    <w:p>
      <w:pPr>
        <w:pStyle w:val="NormalBold"/>
      </w:pPr>
      <w:r>
        <w:rPr>
          <w:rStyle w:val="HideTWBExt"/>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Artykuł 13 – ustęp 4 a (nowy)</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proponowany przez Komisję</w:t>
            </w:r>
          </w:p>
        </w:tc>
        <w:tc>
          <w:tcPr>
            <w:tcW w:w="4876" w:type="dxa"/>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4a.</w:t>
            </w:r>
            <w:r>
              <w:tab/>
            </w:r>
            <w:r>
              <w:rPr>
                <w:b/>
                <w:i/>
              </w:rPr>
              <w:t>Każda decyzja o odmowie przekazania podlega kontroli sądowej zarówno przed sądami krajowymi, jak i TSUE.</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Uzasadnienie</w:t>
      </w:r>
      <w:r>
        <w:rPr>
          <w:rStyle w:val="HideTWBExt"/>
        </w:rPr>
        <w:t>&lt;/TitreJust&gt;</w:t>
      </w:r>
    </w:p>
    <w:p>
      <w:pPr>
        <w:pStyle w:val="AmJustText"/>
      </w:pPr>
      <w:r>
        <w:t>Taka decyzja mogłaby mieć negatywny wpływ na prawa podejrzanego i jako taka powinna móc podlegać kontroli sądowej.</w:t>
      </w:r>
    </w:p>
    <w:p>
      <w:r>
        <w:rPr>
          <w:rStyle w:val="HideTWBExt"/>
        </w:rPr>
        <w:t>&lt;/Amend&gt;</w:t>
      </w:r>
    </w:p>
    <w:p>
      <w:pPr>
        <w:pStyle w:val="AmNumberTabs"/>
      </w:pPr>
      <w:r>
        <w:rPr>
          <w:rStyle w:val="HideTWBExt"/>
        </w:rPr>
        <w:t>&lt;Amend&gt;</w:t>
      </w:r>
      <w:r>
        <w:t>Poprawka</w:t>
      </w:r>
      <w:r>
        <w:tab/>
      </w:r>
      <w:r>
        <w:tab/>
      </w:r>
      <w:r>
        <w:rPr>
          <w:rStyle w:val="HideTWBExt"/>
        </w:rPr>
        <w:t>&lt;NumAm&gt;</w:t>
      </w:r>
      <w:r>
        <w:t>128</w:t>
      </w:r>
      <w:r>
        <w:rPr>
          <w:rStyle w:val="HideTWBExt"/>
        </w:rPr>
        <w:t>&lt;/NumAm&gt;</w:t>
      </w:r>
    </w:p>
    <w:p>
      <w:pPr>
        <w:pStyle w:val="NormalBold"/>
      </w:pPr>
      <w:r>
        <w:rPr>
          <w:rStyle w:val="HideTWBExt"/>
        </w:rPr>
        <w:t>&lt;RepeatBlock-By&gt;</w:t>
      </w:r>
      <w:r>
        <w:rPr>
          <w:rStyle w:val="HideTWBExt"/>
        </w:rPr>
        <w:t>&lt;Members&gt;</w:t>
      </w:r>
      <w:r>
        <w:t>Evin Incir</w:t>
      </w:r>
      <w:r>
        <w:rPr>
          <w:rStyle w:val="HideTWBExt"/>
        </w:rPr>
        <w:t>&lt;/Members&gt;</w:t>
      </w:r>
    </w:p>
    <w:p>
      <w:pPr>
        <w:pStyle w:val="NormalBold"/>
      </w:pPr>
      <w:r>
        <w:rPr>
          <w:rStyle w:val="HideTWBExt"/>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Artykuł 14 – ustęp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proponowany przez Komisję</w:t>
            </w:r>
          </w:p>
        </w:tc>
        <w:tc>
          <w:tcPr>
            <w:tcW w:w="4876" w:type="dxa"/>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 xml:space="preserve">Organ, do którego kierowany jest wniosek, niezwłocznie, a w każdym </w:t>
            </w:r>
            <w:r>
              <w:rPr>
                <w:b/>
                <w:i/>
              </w:rPr>
              <w:t>razie</w:t>
            </w:r>
            <w:r>
              <w:t xml:space="preserve"> nie później niż </w:t>
            </w:r>
            <w:r>
              <w:rPr>
                <w:b/>
                <w:i/>
              </w:rPr>
              <w:t>60 dni po otrzymaniu</w:t>
            </w:r>
            <w:r>
              <w:t xml:space="preserve"> wniosku o przekazanie postępowania karnego przez właściwy organ, do którego kierowany jest wniosek, informuje organ wnioskujący o swojej decyzji odnośnie do wyrażenia zgody na przekazanie postępowania karnego.</w:t>
            </w:r>
          </w:p>
        </w:tc>
        <w:tc>
          <w:tcPr>
            <w:tcW w:w="4876" w:type="dxa"/>
          </w:tcPr>
          <w:p>
            <w:pPr>
              <w:pStyle w:val="Normal6a"/>
            </w:pPr>
            <w:r>
              <w:t>1.</w:t>
            </w:r>
            <w:r>
              <w:tab/>
            </w:r>
            <w:r>
              <w:t xml:space="preserve">Organ, do którego kierowany jest wniosek, niezwłocznie, a w każdym </w:t>
            </w:r>
            <w:r>
              <w:rPr>
                <w:b/>
                <w:i/>
              </w:rPr>
              <w:t>przypadku</w:t>
            </w:r>
            <w:r>
              <w:t xml:space="preserve"> nie później niż </w:t>
            </w:r>
            <w:r>
              <w:rPr>
                <w:b/>
                <w:i/>
              </w:rPr>
              <w:t>30 dni — a w pilnych przypadkach nie później niż 7 dni — od otrzymania</w:t>
            </w:r>
            <w:r>
              <w:t xml:space="preserve"> wniosku o przekazanie postępowania karnego przez właściwy organ, do którego kierowany jest wniosek, informuje organ wnioskujący o swojej decyzji odnośnie do wyrażenia zgody na przekazanie postępowania karnego.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129</w:t>
      </w:r>
      <w:r>
        <w:rPr>
          <w:rStyle w:val="HideTWBExt"/>
        </w:rPr>
        <w:t>&lt;/NumAm&gt;</w:t>
      </w:r>
    </w:p>
    <w:p>
      <w:pPr>
        <w:pStyle w:val="NormalBold"/>
      </w:pPr>
      <w:r>
        <w:rPr>
          <w:rStyle w:val="HideTWBExt"/>
        </w:rPr>
        <w:t>&lt;RepeatBlock-By&gt;</w:t>
      </w:r>
      <w:r>
        <w:rPr>
          <w:rStyle w:val="HideTWBExt"/>
        </w:rPr>
        <w:t>&lt;Members&gt;</w:t>
      </w:r>
      <w:r>
        <w:t>Saskia Bricmont</w:t>
      </w:r>
      <w:r>
        <w:rPr>
          <w:rStyle w:val="HideTWBExt"/>
        </w:rPr>
        <w:t>&lt;/Members&gt;</w:t>
      </w:r>
    </w:p>
    <w:p>
      <w:pPr>
        <w:pStyle w:val="NormalBold"/>
      </w:pPr>
      <w:r>
        <w:rPr>
          <w:rStyle w:val="HideTWBExt"/>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Artykuł 14 – ustęp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proponowany przez Komisję</w:t>
            </w:r>
          </w:p>
        </w:tc>
        <w:tc>
          <w:tcPr>
            <w:tcW w:w="4876" w:type="dxa"/>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Organ, do którego kierowany jest wniosek, niezwłocznie, a w każdym razie nie później niż 60 dni po otrzymaniu wniosku o przekazanie postępowania karnego przez właściwy organ, do którego kierowany jest wniosek, informuje organ wnioskujący o swojej decyzji odnośnie do wyrażenia zgody na przekazanie postępowania karnego.</w:t>
            </w:r>
          </w:p>
        </w:tc>
        <w:tc>
          <w:tcPr>
            <w:tcW w:w="4876" w:type="dxa"/>
          </w:tcPr>
          <w:p>
            <w:pPr>
              <w:pStyle w:val="Normal6a"/>
            </w:pPr>
            <w:r>
              <w:t>1.</w:t>
            </w:r>
            <w:r>
              <w:tab/>
            </w:r>
            <w:r>
              <w:t xml:space="preserve">Organ, do którego kierowany jest wniosek, niezwłocznie, a w każdym razie nie później niż 60 dni </w:t>
            </w:r>
            <w:r>
              <w:rPr>
                <w:b/>
                <w:i/>
              </w:rPr>
              <w:t>roboczych</w:t>
            </w:r>
            <w:r>
              <w:t xml:space="preserve"> po otrzymaniu wniosku o przekazanie postępowania karnego przez właściwy organ, do którego kierowany jest wniosek, informuje organ wnioskujący o swojej decyzji odnośnie do wyrażenia zgody na przekazanie postępowania karnego.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130</w:t>
      </w:r>
      <w:r>
        <w:rPr>
          <w:rStyle w:val="HideTWBExt"/>
        </w:rPr>
        <w:t>&lt;/NumAm&gt;</w:t>
      </w:r>
    </w:p>
    <w:p>
      <w:pPr>
        <w:pStyle w:val="NormalBold"/>
      </w:pPr>
      <w:r>
        <w:rPr>
          <w:rStyle w:val="HideTWBExt"/>
        </w:rPr>
        <w:t>&lt;RepeatBlock-By&gt;</w:t>
      </w:r>
      <w:r>
        <w:rPr>
          <w:rStyle w:val="HideTWBExt"/>
        </w:rPr>
        <w:t>&lt;Members&gt;</w:t>
      </w:r>
      <w:r>
        <w:t>Saskia Bricmont</w:t>
      </w:r>
      <w:r>
        <w:rPr>
          <w:rStyle w:val="HideTWBExt"/>
        </w:rPr>
        <w:t>&lt;/Members&gt;</w:t>
      </w:r>
    </w:p>
    <w:p>
      <w:pPr>
        <w:pStyle w:val="NormalBold"/>
      </w:pPr>
      <w:r>
        <w:rPr>
          <w:rStyle w:val="HideTWBExt"/>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Artykuł 14 – ustęp 1 a (nowy)</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proponowany przez Komisję</w:t>
            </w:r>
          </w:p>
        </w:tc>
        <w:tc>
          <w:tcPr>
            <w:tcW w:w="4876" w:type="dxa"/>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1a.</w:t>
            </w:r>
            <w:r>
              <w:tab/>
            </w:r>
            <w:r>
              <w:rPr>
                <w:b/>
                <w:i/>
              </w:rPr>
              <w:t>W przypadku gdy podejrzani, oskarżeni i ofiary korzystają z prawa do skutecznych środków odwoławczych w państwie wnioskującym oraz w państwie, do którego kierowany jest wniosek o przekazanie postępowania karnego, o wyrażeniu zgody na jego przekazanie lub odmowie jego przekazania, organy wnioskujące lub organy, do których kierowany jest wniosek, w terminie 60 dni roboczych podejmują decyzję o tym, czy wystąpić z wnioskiem o przekazanie postępowania karnego, przyjąć go lub odmówić jego przekazania, oraz powiadamiają o tej decyzji podejrzanego lub oskarżonego i ofiarę.</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131</w:t>
      </w:r>
      <w:r>
        <w:rPr>
          <w:rStyle w:val="HideTWBExt"/>
        </w:rPr>
        <w:t>&lt;/NumAm&gt;</w:t>
      </w:r>
    </w:p>
    <w:p>
      <w:pPr>
        <w:pStyle w:val="NormalBold"/>
      </w:pPr>
      <w:r>
        <w:rPr>
          <w:rStyle w:val="HideTWBExt"/>
        </w:rPr>
        <w:t>&lt;RepeatBlock-By&gt;</w:t>
      </w:r>
      <w:r>
        <w:rPr>
          <w:rStyle w:val="HideTWBExt"/>
        </w:rPr>
        <w:t>&lt;Members&gt;</w:t>
      </w:r>
      <w:r>
        <w:t>Saskia Bricmont</w:t>
      </w:r>
      <w:r>
        <w:rPr>
          <w:rStyle w:val="HideTWBExt"/>
        </w:rPr>
        <w:t>&lt;/Members&gt;</w:t>
      </w:r>
    </w:p>
    <w:p>
      <w:pPr>
        <w:pStyle w:val="NormalBold"/>
      </w:pPr>
      <w:r>
        <w:rPr>
          <w:rStyle w:val="HideTWBExt"/>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Artykuł 14 – ustęp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proponowany przez Komisję</w:t>
            </w:r>
          </w:p>
        </w:tc>
        <w:tc>
          <w:tcPr>
            <w:tcW w:w="4876" w:type="dxa"/>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 xml:space="preserve">Jeżeli w konkretnym przypadku organ, do którego kierowany jest wniosek, nie jest w stanie dotrzymać terminu określonego w ust. 1, niezwłocznie informuje o tym organ wnioskujący, podając powody opóźnienia. W takim przypadku termin określony w ust. 1 </w:t>
            </w:r>
            <w:r>
              <w:rPr>
                <w:b/>
                <w:i/>
              </w:rPr>
              <w:t>może zostać przedłużony</w:t>
            </w:r>
            <w:r>
              <w:t xml:space="preserve"> maksymalnie o 30 dni.</w:t>
            </w:r>
          </w:p>
        </w:tc>
        <w:tc>
          <w:tcPr>
            <w:tcW w:w="4876" w:type="dxa"/>
          </w:tcPr>
          <w:p>
            <w:pPr>
              <w:pStyle w:val="Normal6a"/>
            </w:pPr>
            <w:r>
              <w:t>2.</w:t>
            </w:r>
            <w:r>
              <w:tab/>
            </w:r>
            <w:r>
              <w:t xml:space="preserve">Jeżeli w konkretnym przypadku organ, do którego kierowany jest wniosek, nie jest w stanie dotrzymać terminu określonego w ust. 1, niezwłocznie informuje o tym organ wnioskujący, podając powody opóźnienia. W takim przypadku termin określony w ust. 1 </w:t>
            </w:r>
            <w:r>
              <w:rPr>
                <w:b/>
                <w:i/>
              </w:rPr>
              <w:t>można przedłużyć</w:t>
            </w:r>
            <w:r>
              <w:t xml:space="preserve"> maksymalnie o 30 dni </w:t>
            </w:r>
            <w:r>
              <w:rPr>
                <w:b/>
                <w:i/>
              </w:rPr>
              <w:t>robocze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132</w:t>
      </w:r>
      <w:r>
        <w:rPr>
          <w:rStyle w:val="HideTWBExt"/>
        </w:rPr>
        <w:t>&lt;/NumAm&gt;</w:t>
      </w:r>
    </w:p>
    <w:p>
      <w:pPr>
        <w:pStyle w:val="NormalBold"/>
      </w:pPr>
      <w:r>
        <w:rPr>
          <w:rStyle w:val="HideTWBExt"/>
        </w:rPr>
        <w:t>&lt;RepeatBlock-By&gt;</w:t>
      </w:r>
      <w:r>
        <w:rPr>
          <w:rStyle w:val="HideTWBExt"/>
        </w:rPr>
        <w:t>&lt;Members&gt;</w:t>
      </w:r>
      <w:r>
        <w:t>Evin Incir</w:t>
      </w:r>
      <w:r>
        <w:rPr>
          <w:rStyle w:val="HideTWBExt"/>
        </w:rPr>
        <w:t>&lt;/Members&gt;</w:t>
      </w:r>
    </w:p>
    <w:p>
      <w:pPr>
        <w:pStyle w:val="NormalBold"/>
      </w:pPr>
      <w:r>
        <w:rPr>
          <w:rStyle w:val="HideTWBExt"/>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Artykuł 14 – ustęp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proponowany przez Komisję</w:t>
            </w:r>
          </w:p>
        </w:tc>
        <w:tc>
          <w:tcPr>
            <w:tcW w:w="4876" w:type="dxa"/>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 xml:space="preserve">Jeżeli w konkretnym przypadku organ, do którego kierowany jest wniosek, nie jest w stanie dotrzymać terminu określonego w ust. 1, niezwłocznie informuje o tym organ wnioskujący, podając powody opóźnienia. W takim przypadku termin określony w ust. 1 </w:t>
            </w:r>
            <w:r>
              <w:rPr>
                <w:b/>
                <w:i/>
              </w:rPr>
              <w:t>może zostać przedłużony</w:t>
            </w:r>
            <w:r>
              <w:t xml:space="preserve"> maksymalnie o </w:t>
            </w:r>
            <w:r>
              <w:rPr>
                <w:b/>
                <w:i/>
              </w:rPr>
              <w:t>30</w:t>
            </w:r>
            <w:r>
              <w:t xml:space="preserve"> dni.</w:t>
            </w:r>
          </w:p>
        </w:tc>
        <w:tc>
          <w:tcPr>
            <w:tcW w:w="4876" w:type="dxa"/>
          </w:tcPr>
          <w:p>
            <w:pPr>
              <w:pStyle w:val="Normal6a"/>
            </w:pPr>
            <w:r>
              <w:t>2.</w:t>
            </w:r>
            <w:r>
              <w:tab/>
            </w:r>
            <w:r>
              <w:t xml:space="preserve">Jeżeli w konkretnym przypadku organ, do którego kierowany jest wniosek, nie jest w stanie dotrzymać terminu określonego w ust. 1, niezwłocznie informuje o tym organ wnioskujący, podając powody opóźnienia. W takim przypadku termin określony w ust. 1 </w:t>
            </w:r>
            <w:r>
              <w:rPr>
                <w:b/>
                <w:i/>
              </w:rPr>
              <w:t>można przedłużyć</w:t>
            </w:r>
            <w:r>
              <w:t xml:space="preserve"> maksymalnie o </w:t>
            </w:r>
            <w:r>
              <w:rPr>
                <w:b/>
                <w:i/>
              </w:rPr>
              <w:t>15</w:t>
            </w:r>
            <w:r>
              <w:t xml:space="preserve"> dni.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133</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Artykuł 15 – ustęp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proponowany przez Komisję</w:t>
            </w:r>
          </w:p>
        </w:tc>
        <w:tc>
          <w:tcPr>
            <w:tcW w:w="4876" w:type="dxa"/>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 xml:space="preserve">Konsultacje </w:t>
            </w:r>
            <w:r>
              <w:rPr>
                <w:b/>
                <w:i/>
              </w:rPr>
              <w:t>mogą mieć</w:t>
            </w:r>
            <w:r>
              <w:t xml:space="preserve"> również miejsce przed złożeniem wniosku o przekazanie postępowania karnego, w szczególności w celu ustalenia, czy przekazanie służyłoby skutecznemu i prawidłowemu sprawowaniu wymiaru sprawiedliwości. Również organ, do którego kierowany jest wniosek, </w:t>
            </w:r>
            <w:r>
              <w:rPr>
                <w:b/>
                <w:i/>
              </w:rPr>
              <w:t>może skonsultować</w:t>
            </w:r>
            <w:r>
              <w:t xml:space="preserve"> się z organem wnioskującym w sprawie możliwości sporządzenia wniosku o przekazanie postępowania karnego, w celu zasugerowania przekazania postępowania karnego z państwa wnioskującego.</w:t>
            </w:r>
          </w:p>
        </w:tc>
        <w:tc>
          <w:tcPr>
            <w:tcW w:w="4876" w:type="dxa"/>
          </w:tcPr>
          <w:p>
            <w:pPr>
              <w:pStyle w:val="Normal6a"/>
            </w:pPr>
            <w:r>
              <w:t>2.</w:t>
            </w:r>
            <w:r>
              <w:tab/>
            </w:r>
            <w:r>
              <w:t xml:space="preserve">Konsultacje </w:t>
            </w:r>
            <w:r>
              <w:rPr>
                <w:b/>
                <w:i/>
              </w:rPr>
              <w:t>mają</w:t>
            </w:r>
            <w:r>
              <w:t xml:space="preserve"> również miejsce przed złożeniem wniosku o przekazanie postępowania karnego, w szczególności w celu ustalenia, czy przekazanie służyłoby skutecznemu i prawidłowemu sprawowaniu wymiaru sprawiedliwości. Również organ, do którego kierowany jest wniosek, </w:t>
            </w:r>
            <w:r>
              <w:rPr>
                <w:b/>
                <w:i/>
              </w:rPr>
              <w:t>konsultuje</w:t>
            </w:r>
            <w:r>
              <w:t xml:space="preserve"> się z organem wnioskującym w sprawie możliwości sporządzenia wniosku o przekazanie postępowania karnego, w celu zasugerowania przekazania postępowania karnego z państwa wnioskującego.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134</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Artykuł 15 − ustęp 4</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proponowany przez Komisję</w:t>
            </w:r>
          </w:p>
        </w:tc>
        <w:tc>
          <w:tcPr>
            <w:tcW w:w="4876" w:type="dxa"/>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Pr>
          <w:p>
            <w:pPr>
              <w:pStyle w:val="Normal6a"/>
            </w:pPr>
            <w:r>
              <w:t>4.</w:t>
            </w:r>
            <w:r>
              <w:tab/>
            </w:r>
            <w:r>
              <w:t xml:space="preserve">Odpowiedzi na wnioski o konsultacje udziela się </w:t>
            </w:r>
            <w:r>
              <w:rPr>
                <w:b/>
                <w:i/>
              </w:rPr>
              <w:t>niezwłocznie</w:t>
            </w:r>
            <w:r>
              <w:t>.</w:t>
            </w:r>
          </w:p>
        </w:tc>
        <w:tc>
          <w:tcPr>
            <w:tcW w:w="4876" w:type="dxa"/>
          </w:tcPr>
          <w:p>
            <w:pPr>
              <w:pStyle w:val="Normal6a"/>
            </w:pPr>
            <w:r>
              <w:t>4.</w:t>
            </w:r>
            <w:r>
              <w:tab/>
            </w:r>
            <w:r>
              <w:t xml:space="preserve">Odpowiedzi na wnioski o konsultacje udziela się </w:t>
            </w:r>
            <w:r>
              <w:rPr>
                <w:b/>
                <w:i/>
              </w:rPr>
              <w:t>bez zbędnej zwłoki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135</w:t>
      </w:r>
      <w:r>
        <w:rPr>
          <w:rStyle w:val="HideTWBExt"/>
        </w:rPr>
        <w:t>&lt;/NumAm&gt;</w:t>
      </w:r>
    </w:p>
    <w:p>
      <w:pPr>
        <w:pStyle w:val="NormalBold"/>
      </w:pPr>
      <w:r>
        <w:rPr>
          <w:rStyle w:val="HideTWBExt"/>
        </w:rPr>
        <w:t>&lt;RepeatBlock-By&gt;</w:t>
      </w:r>
      <w:r>
        <w:rPr>
          <w:rStyle w:val="HideTWBExt"/>
        </w:rPr>
        <w:t>&lt;Members&gt;</w:t>
      </w:r>
      <w:r>
        <w:t>Morten Petersen</w:t>
      </w:r>
      <w:r>
        <w:rPr>
          <w:rStyle w:val="HideTWBExt"/>
        </w:rPr>
        <w:t>&lt;/Members&gt;</w:t>
      </w:r>
    </w:p>
    <w:p>
      <w:pPr>
        <w:pStyle w:val="NormalBold"/>
      </w:pPr>
      <w:r>
        <w:rPr>
          <w:rStyle w:val="HideTWBExt"/>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Artykuł 15 – ustęp 4 a (nowy)</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proponowany przez Komisję</w:t>
            </w:r>
          </w:p>
        </w:tc>
        <w:tc>
          <w:tcPr>
            <w:tcW w:w="4876" w:type="dxa"/>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4a.</w:t>
            </w:r>
            <w:r>
              <w:tab/>
            </w:r>
            <w:r>
              <w:rPr>
                <w:b/>
                <w:i/>
              </w:rPr>
              <w:t>Podejrzany lub oskarżony oraz ich doradcy prawni są na bieżąco informowani o konsultacjach dotyczących danego wniosku, pod warunkiem że nie narusza to poufności postępowania przygotowawczego.</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Uzasadnienie</w:t>
      </w:r>
      <w:r>
        <w:rPr>
          <w:rStyle w:val="HideTWBExt"/>
        </w:rPr>
        <w:t>&lt;/TitreJust&gt;</w:t>
      </w:r>
    </w:p>
    <w:p>
      <w:pPr>
        <w:pStyle w:val="AmJustText"/>
      </w:pPr>
      <w:r>
        <w:t>Osoba podejrzana lub oskarżona powinna mieć prawo do informacji, jeżeli nie narusza to poufności postępowania.</w:t>
      </w:r>
    </w:p>
    <w:p>
      <w:r>
        <w:rPr>
          <w:rStyle w:val="HideTWBExt"/>
        </w:rPr>
        <w:t>&lt;/Amend&gt;</w:t>
      </w:r>
    </w:p>
    <w:p>
      <w:pPr>
        <w:pStyle w:val="AmNumberTabs"/>
      </w:pPr>
      <w:r>
        <w:rPr>
          <w:rStyle w:val="HideTWBExt"/>
        </w:rPr>
        <w:t>&lt;Amend&gt;</w:t>
      </w:r>
      <w:r>
        <w:t>Poprawka</w:t>
      </w:r>
      <w:r>
        <w:tab/>
      </w:r>
      <w:r>
        <w:tab/>
      </w:r>
      <w:r>
        <w:rPr>
          <w:rStyle w:val="HideTWBExt"/>
        </w:rPr>
        <w:t>&lt;NumAm&gt;</w:t>
      </w:r>
      <w:r>
        <w:t>136</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Artykuł 16 – akapit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proponowany przez Komisję</w:t>
            </w:r>
          </w:p>
        </w:tc>
        <w:tc>
          <w:tcPr>
            <w:tcW w:w="4876" w:type="dxa"/>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Pr>
          <w:p>
            <w:pPr>
              <w:pStyle w:val="Normal6a"/>
            </w:pPr>
            <w:r>
              <w:t xml:space="preserve">Na każdym etapie procedury organy wnioskujące i organy, do których kierowany jest wniosek, mogą zwrócić się o pomoc do Eurojustu lub Europejskiej Sieci Sądowej, zgodnie z ich odpowiednimi kompetencjami. W szczególności Eurojust może, w stosownych przypadkach, ułatwiać konsultacje, o których mowa w art. 12 ust. 2, art. 13 ust. 3, art. 15 </w:t>
            </w:r>
            <w:r>
              <w:rPr>
                <w:b/>
                <w:i/>
              </w:rPr>
              <w:t>i</w:t>
            </w:r>
            <w:r>
              <w:t xml:space="preserve"> art. 17 ust. 2.</w:t>
            </w:r>
          </w:p>
        </w:tc>
        <w:tc>
          <w:tcPr>
            <w:tcW w:w="4876" w:type="dxa"/>
          </w:tcPr>
          <w:p>
            <w:pPr>
              <w:pStyle w:val="Normal6a"/>
            </w:pPr>
            <w:r>
              <w:t xml:space="preserve">Na każdym etapie procedury organy wnioskujące i organy, do których kierowany jest wniosek, mogą zwrócić się o pomoc do Eurojustu lub Europejskiej Sieci Sądowej, zgodnie z ich odpowiednimi kompetencjami. W szczególności Eurojust może, w stosownych przypadkach, ułatwiać konsultacje, o których mowa w art. </w:t>
            </w:r>
            <w:r>
              <w:rPr>
                <w:b/>
                <w:i/>
              </w:rPr>
              <w:t>9 ust. 7, art.</w:t>
            </w:r>
            <w:r>
              <w:t xml:space="preserve"> 12 ust. 2, art. </w:t>
            </w:r>
            <w:r>
              <w:rPr>
                <w:b/>
                <w:i/>
              </w:rPr>
              <w:t>12 ust. 5, art.</w:t>
            </w:r>
            <w:r>
              <w:t xml:space="preserve"> 13 ust. 3, art. 15</w:t>
            </w:r>
            <w:r>
              <w:rPr>
                <w:b/>
                <w:i/>
              </w:rPr>
              <w:t>,</w:t>
            </w:r>
            <w:r>
              <w:t xml:space="preserve"> art. 17 ust. 2 </w:t>
            </w:r>
            <w:r>
              <w:rPr>
                <w:b/>
                <w:i/>
              </w:rPr>
              <w:t>oraz art. 19</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137</w:t>
      </w:r>
      <w:r>
        <w:rPr>
          <w:rStyle w:val="HideTWBExt"/>
        </w:rPr>
        <w:t>&lt;/NumAm&gt;</w:t>
      </w:r>
    </w:p>
    <w:p>
      <w:pPr>
        <w:pStyle w:val="NormalBold"/>
      </w:pPr>
      <w:r>
        <w:rPr>
          <w:rStyle w:val="HideTWBExt"/>
        </w:rPr>
        <w:t>&lt;RepeatBlock-By&gt;</w:t>
      </w:r>
      <w:r>
        <w:rPr>
          <w:rStyle w:val="HideTWBExt"/>
        </w:rPr>
        <w:t>&lt;Members&gt;</w:t>
      </w:r>
      <w:r>
        <w:t>Morten Petersen</w:t>
      </w:r>
      <w:r>
        <w:rPr>
          <w:rStyle w:val="HideTWBExt"/>
        </w:rPr>
        <w:t>&lt;/Members&gt;</w:t>
      </w:r>
    </w:p>
    <w:p>
      <w:pPr>
        <w:pStyle w:val="NormalBold"/>
      </w:pPr>
      <w:r>
        <w:rPr>
          <w:rStyle w:val="HideTWBExt"/>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Artykuł 17 – ustęp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proponowany przez Komisję</w:t>
            </w:r>
          </w:p>
        </w:tc>
        <w:tc>
          <w:tcPr>
            <w:tcW w:w="4876" w:type="dxa"/>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Każde państwo członkowskie pokrywa swoje własne koszty przekazywania postępowania karnego, wynikające ze stosowania niniejszego rozporządzenia.</w:t>
            </w:r>
          </w:p>
        </w:tc>
        <w:tc>
          <w:tcPr>
            <w:tcW w:w="4876" w:type="dxa"/>
          </w:tcPr>
          <w:p>
            <w:pPr>
              <w:pStyle w:val="Normal6a"/>
            </w:pPr>
            <w:r>
              <w:t>1.</w:t>
            </w:r>
            <w:r>
              <w:tab/>
            </w:r>
            <w:r>
              <w:t>Każde państwo członkowskie pokrywa swoje własne koszty przekazywania postępowania karnego, wynikające ze stosowania niniejszego rozporządzenia</w:t>
            </w:r>
            <w:r>
              <w:rPr>
                <w:b/>
                <w:i/>
              </w:rPr>
              <w:t>,</w:t>
            </w:r>
            <w:r>
              <w:t xml:space="preserve"> </w:t>
            </w:r>
            <w:r>
              <w:rPr>
                <w:b/>
                <w:i/>
              </w:rPr>
              <w:t>w tym m.in. koszty pomocy prawnej, do której podejrzany lub oskarżony mają prawo w tym państwie</w:t>
            </w:r>
            <w:r>
              <w: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Uzasadnienie</w:t>
      </w:r>
      <w:r>
        <w:rPr>
          <w:rStyle w:val="HideTWBExt"/>
        </w:rPr>
        <w:t>&lt;/TitreJust&gt;</w:t>
      </w:r>
    </w:p>
    <w:p>
      <w:pPr>
        <w:pStyle w:val="AmJustText"/>
      </w:pPr>
      <w:r>
        <w:t>Ważne jest wyjaśnienie, że koszty wynikające z prawa do pomocy prawnej w każdym państwie członkowskim ponoszą poszczególne państwa członkowskie.</w:t>
      </w:r>
    </w:p>
    <w:p>
      <w:r>
        <w:rPr>
          <w:rStyle w:val="HideTWBExt"/>
        </w:rPr>
        <w:t>&lt;/Amend&gt;</w:t>
      </w:r>
    </w:p>
    <w:p>
      <w:pPr>
        <w:pStyle w:val="AmNumberTabs"/>
      </w:pPr>
      <w:r>
        <w:rPr>
          <w:rStyle w:val="HideTWBExt"/>
        </w:rPr>
        <w:t>&lt;Amend&gt;</w:t>
      </w:r>
      <w:r>
        <w:t>Poprawka</w:t>
      </w:r>
      <w:r>
        <w:tab/>
      </w:r>
      <w:r>
        <w:tab/>
      </w:r>
      <w:r>
        <w:rPr>
          <w:rStyle w:val="HideTWBExt"/>
        </w:rPr>
        <w:t>&lt;NumAm&gt;</w:t>
      </w:r>
      <w:r>
        <w:t>138</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Artykuł 19 – ustęp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proponowany przez Komisję</w:t>
            </w:r>
          </w:p>
        </w:tc>
        <w:tc>
          <w:tcPr>
            <w:tcW w:w="4876" w:type="dxa"/>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 xml:space="preserve">Najpóźniej po otrzymaniu powiadomienia o wyrażeniu przez organ, do którego kierowany jest wniosek, zgody na przekazanie mu postępowania karnego przedmiotowe postępowanie karne zostaje </w:t>
            </w:r>
            <w:r>
              <w:rPr>
                <w:b/>
                <w:i/>
              </w:rPr>
              <w:t>zawieszone lub</w:t>
            </w:r>
            <w:r>
              <w:t xml:space="preserve"> umorzone w państwie wnioskującym zgodnie z prawem krajowym, chyba że powołano się na środek odwoławczy na mocy art. 8 ze skutkiem zawieszającym, i do czasu podjęcia ostatecznej decyzji w sprawie środka odwoławczego.</w:t>
            </w:r>
          </w:p>
        </w:tc>
        <w:tc>
          <w:tcPr>
            <w:tcW w:w="4876" w:type="dxa"/>
          </w:tcPr>
          <w:p>
            <w:pPr>
              <w:pStyle w:val="Normal6a"/>
            </w:pPr>
            <w:r>
              <w:t>1.</w:t>
            </w:r>
            <w:r>
              <w:tab/>
            </w:r>
            <w:r>
              <w:t>Najpóźniej po otrzymaniu powiadomienia o wyrażeniu przez organ, do którego kierowany jest wniosek, zgody na przekazanie mu postępowania karnego przedmiotowe postępowanie karne zostaje umorzone w państwie wnioskującym zgodnie z prawem krajowym, chyba że powołano się na środek odwoławczy na mocy art. 8 ze skutkiem zawieszającym, i do czasu podjęcia ostatecznej decyzji w sprawie środka odwoławczego.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139</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Artykuł 19 – ustęp 2 – litera b</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proponowany przez Komisję</w:t>
            </w:r>
          </w:p>
        </w:tc>
        <w:tc>
          <w:tcPr>
            <w:tcW w:w="4876" w:type="dxa"/>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Pr>
          <w:p>
            <w:pPr>
              <w:pStyle w:val="Normal6a"/>
            </w:pPr>
            <w:r>
              <w:t>b)</w:t>
            </w:r>
            <w:r>
              <w:tab/>
            </w:r>
            <w:r>
              <w:t>utrzymać przyjęte wcześniej niezbędne środki w ramach postępowania przygotowawczego lub inne środki procesowe, w tym środki zapobiegające ucieczce podejrzanego lub oskarżonego, które są niezbędne do wykonania decyzji wydanej na podstawie decyzji ramowej 2002/584/WSiSW lub innego instrumentu wzajemnego uznawania lub wniosku o wzajemną pomoc prawną.</w:t>
            </w:r>
          </w:p>
        </w:tc>
        <w:tc>
          <w:tcPr>
            <w:tcW w:w="4876" w:type="dxa"/>
          </w:tcPr>
          <w:p>
            <w:pPr>
              <w:pStyle w:val="Normal6a"/>
            </w:pPr>
            <w:r>
              <w:t>b)</w:t>
            </w:r>
            <w:r>
              <w:tab/>
            </w:r>
            <w:r>
              <w:t xml:space="preserve">utrzymać przyjęte wcześniej niezbędne środki w ramach postępowania przygotowawczego lub inne środki procesowe, w tym środki zapobiegające ucieczce podejrzanego lub oskarżonego, które są niezbędne do wykonania decyzji wydanej na podstawie decyzji ramowej 2002/584/WSiSW lub innego instrumentu wzajemnego uznawania lub wniosku o wzajemną pomoc prawną. </w:t>
            </w:r>
            <w:r>
              <w:rPr>
                <w:b/>
                <w:i/>
              </w:rPr>
              <w:t>Środki te mogą również zostać utrzymane, jeżeli wniosek o wzajemne uznanie nie został jeszcze złożony, pod warunkiem że zostanie on prawdopodobnie wydany bez zbędnej zwłoki po przyjęciu wniosku o przekazanie.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140</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Artykuł 19 – ustęp 2 – litera b a (nowa)</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proponowany przez Komisję</w:t>
            </w:r>
          </w:p>
        </w:tc>
        <w:tc>
          <w:tcPr>
            <w:tcW w:w="4876" w:type="dxa"/>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ba)</w:t>
            </w:r>
            <w:r>
              <w:tab/>
            </w:r>
            <w:r>
              <w:rPr>
                <w:b/>
                <w:i/>
              </w:rPr>
              <w:t>jak najszybciej skoordynować działania z organem, do którego kierowany jest wniosek, oraz z udziałem Eurojustu w kwestii utrzymania środków tymczasowych już podjętych w państwie wnioskującym.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141</w:t>
      </w:r>
      <w:r>
        <w:rPr>
          <w:rStyle w:val="HideTWBExt"/>
        </w:rPr>
        <w:t>&lt;/NumAm&gt;</w:t>
      </w:r>
    </w:p>
    <w:p>
      <w:pPr>
        <w:pStyle w:val="NormalBold"/>
      </w:pPr>
      <w:r>
        <w:rPr>
          <w:rStyle w:val="HideTWBExt"/>
        </w:rPr>
        <w:t>&lt;RepeatBlock-By&gt;</w:t>
      </w:r>
      <w:r>
        <w:rPr>
          <w:rStyle w:val="HideTWBExt"/>
        </w:rPr>
        <w:t>&lt;Members&gt;</w:t>
      </w:r>
      <w:r>
        <w:t>Saskia Bricmont</w:t>
      </w:r>
      <w:r>
        <w:rPr>
          <w:rStyle w:val="HideTWBExt"/>
        </w:rPr>
        <w:t>&lt;/Members&gt;</w:t>
      </w:r>
    </w:p>
    <w:p>
      <w:pPr>
        <w:pStyle w:val="NormalBold"/>
      </w:pPr>
      <w:r>
        <w:rPr>
          <w:rStyle w:val="HideTWBExt"/>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Artykuł 19 – ustęp 2 a (nowy)</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proponowany przez Komisję</w:t>
            </w:r>
          </w:p>
        </w:tc>
        <w:tc>
          <w:tcPr>
            <w:tcW w:w="4876" w:type="dxa"/>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2a.</w:t>
            </w:r>
            <w:r>
              <w:tab/>
            </w:r>
            <w:r>
              <w:rPr>
                <w:b/>
                <w:i/>
              </w:rPr>
              <w:t>Po wydaniu ostatecznej decyzji w sprawie wniosku i wyrażeniu zgody na przekazanie państwo wnioskujące nie może dalej ścigać podejrzanego w związku z przestępstwem, w odniesieniu do którego złożono wniosek o przekazanie postępowania, ani wykonywać wyroku, który wcześniej wydano w tym państwie wobec podejrzanego lub oskarżonego w związku z tym przestępstwem.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142</w:t>
      </w:r>
      <w:r>
        <w:rPr>
          <w:rStyle w:val="HideTWBExt"/>
        </w:rPr>
        <w:t>&lt;/NumAm&gt;</w:t>
      </w:r>
    </w:p>
    <w:p>
      <w:pPr>
        <w:pStyle w:val="NormalBold"/>
      </w:pPr>
      <w:r>
        <w:rPr>
          <w:rStyle w:val="HideTWBExt"/>
        </w:rPr>
        <w:t>&lt;RepeatBlock-By&gt;</w:t>
      </w:r>
      <w:r>
        <w:rPr>
          <w:rStyle w:val="HideTWBExt"/>
        </w:rPr>
        <w:t>&lt;Members&gt;</w:t>
      </w:r>
      <w:r>
        <w:t>Saskia Bricmont</w:t>
      </w:r>
      <w:r>
        <w:rPr>
          <w:rStyle w:val="HideTWBExt"/>
        </w:rPr>
        <w:t>&lt;/Members&gt;</w:t>
      </w:r>
    </w:p>
    <w:p>
      <w:pPr>
        <w:pStyle w:val="NormalBold"/>
      </w:pPr>
      <w:r>
        <w:rPr>
          <w:rStyle w:val="HideTWBExt"/>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Artykuł 19 – ustęp 3</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proponowany przez Komisję</w:t>
            </w:r>
          </w:p>
        </w:tc>
        <w:tc>
          <w:tcPr>
            <w:tcW w:w="4876" w:type="dxa"/>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3.</w:t>
            </w:r>
            <w:r>
              <w:tab/>
            </w:r>
            <w:r>
              <w:rPr>
                <w:b/>
                <w:i/>
              </w:rPr>
              <w:t>Organ wnioskujący może kontynuować lub wznowić postępowanie karne, jeżeli organ, do którego kierowany jest wniosek, poinformuje go o swojej decyzji o umorzeniu postępowania karnego dotyczącego okoliczności faktycznych leżących u podstaw wniosku o przekazanie postępowania karnego, chyba że zgodnie z prawem krajowym państwa, do którego kierowany jest wniosek, decyzja ta ostatecznie wyklucza dalsze ściganie i w związku z tym uniemożliwia wszczęcie w państwie, do którego kierowany jest wniosek, dalszych postępowań karnych w odniesieniu do tych samych czynów.</w:t>
            </w:r>
          </w:p>
        </w:tc>
        <w:tc>
          <w:tcPr>
            <w:tcW w:w="4876" w:type="dxa"/>
          </w:tcPr>
          <w:p>
            <w:pPr>
              <w:pStyle w:val="Normal6a"/>
            </w:pPr>
            <w:r>
              <w:rPr>
                <w:b/>
                <w:i/>
              </w:rPr>
              <w:t>skreśla się</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143</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Artykuł 19 – ustęp 3</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proponowany przez Komisję</w:t>
            </w:r>
          </w:p>
        </w:tc>
        <w:tc>
          <w:tcPr>
            <w:tcW w:w="4876" w:type="dxa"/>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Pr>
          <w:p>
            <w:pPr>
              <w:pStyle w:val="Normal6a"/>
            </w:pPr>
            <w:r>
              <w:t>3.</w:t>
            </w:r>
            <w:r>
              <w:tab/>
            </w:r>
            <w:r>
              <w:t xml:space="preserve">Organ wnioskujący może kontynuować lub wznowić postępowanie karne, jeżeli organ, do którego kierowany jest wniosek, poinformuje go o swojej decyzji o umorzeniu postępowania karnego dotyczącego okoliczności faktycznych leżących u podstaw wniosku o przekazanie postępowania karnego, chyba że zgodnie z prawem krajowym państwa, do którego kierowany jest wniosek, decyzja ta ostatecznie wyklucza dalsze ściganie i </w:t>
            </w:r>
            <w:r>
              <w:rPr>
                <w:b/>
                <w:i/>
              </w:rPr>
              <w:t>w związku z tym</w:t>
            </w:r>
            <w:r>
              <w:t xml:space="preserve"> uniemożliwia wszczęcie w państwie, do którego kierowany jest wniosek, dalszych postępowań karnych w odniesieniu do tych samych czynów.</w:t>
            </w:r>
          </w:p>
        </w:tc>
        <w:tc>
          <w:tcPr>
            <w:tcW w:w="4876" w:type="dxa"/>
          </w:tcPr>
          <w:p>
            <w:pPr>
              <w:pStyle w:val="Normal6a"/>
            </w:pPr>
            <w:r>
              <w:t>3.</w:t>
            </w:r>
            <w:r>
              <w:tab/>
            </w:r>
            <w:r>
              <w:t xml:space="preserve">Organ wnioskujący może kontynuować lub wznowić postępowanie karne, jeżeli organ, do którego kierowany jest wniosek, poinformuje go o swojej decyzji o umorzeniu postępowania karnego dotyczącego okoliczności faktycznych leżących u podstaw wniosku o przekazanie postępowania karnego, chyba że zgodnie z prawem krajowym państwa, do którego kierowany jest wniosek, decyzja ta ostatecznie wyklucza dalsze ściganie i </w:t>
            </w:r>
            <w:r>
              <w:rPr>
                <w:b/>
                <w:i/>
              </w:rPr>
              <w:t>wydano ją po dokonaniu oceny sprawy co do istoty, a zatem</w:t>
            </w:r>
            <w:r>
              <w:t xml:space="preserve"> uniemożliwia </w:t>
            </w:r>
            <w:r>
              <w:rPr>
                <w:b/>
                <w:i/>
              </w:rPr>
              <w:t>ona</w:t>
            </w:r>
            <w:r>
              <w:t xml:space="preserve"> wszczęcie w państwie, do którego kierowany jest wniosek, dalszych postępowań karnych w odniesieniu do tych samych czynów.</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144</w:t>
      </w:r>
      <w:r>
        <w:rPr>
          <w:rStyle w:val="HideTWBExt"/>
        </w:rPr>
        <w:t>&lt;/NumAm&gt;</w:t>
      </w:r>
    </w:p>
    <w:p>
      <w:pPr>
        <w:pStyle w:val="NormalBold"/>
      </w:pPr>
      <w:r>
        <w:rPr>
          <w:rStyle w:val="HideTWBExt"/>
        </w:rPr>
        <w:t>&lt;RepeatBlock-By&gt;</w:t>
      </w:r>
      <w:r>
        <w:rPr>
          <w:rStyle w:val="HideTWBExt"/>
        </w:rPr>
        <w:t>&lt;Members&gt;</w:t>
      </w:r>
      <w:r>
        <w:t>Morten Petersen</w:t>
      </w:r>
      <w:r>
        <w:rPr>
          <w:rStyle w:val="HideTWBExt"/>
        </w:rPr>
        <w:t>&lt;/Members&gt;</w:t>
      </w:r>
    </w:p>
    <w:p>
      <w:pPr>
        <w:pStyle w:val="NormalBold"/>
      </w:pPr>
      <w:r>
        <w:rPr>
          <w:rStyle w:val="HideTWBExt"/>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Artykuł 19 – ustęp 3</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proponowany przez Komisję</w:t>
            </w:r>
          </w:p>
        </w:tc>
        <w:tc>
          <w:tcPr>
            <w:tcW w:w="4876" w:type="dxa"/>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Pr>
          <w:p>
            <w:pPr>
              <w:pStyle w:val="Normal6a"/>
            </w:pPr>
            <w:r>
              <w:t>3.</w:t>
            </w:r>
            <w:r>
              <w:tab/>
            </w:r>
            <w:r>
              <w:t xml:space="preserve">Organ wnioskujący może </w:t>
            </w:r>
            <w:r>
              <w:rPr>
                <w:b/>
                <w:i/>
              </w:rPr>
              <w:t>kontynuować lub</w:t>
            </w:r>
            <w:r>
              <w:t xml:space="preserve"> wznowić postępowanie karne, jeżeli organ, do którego kierowany jest wniosek, poinformuje go o swojej decyzji o umorzeniu postępowania karnego dotyczącego okoliczności faktycznych leżących u podstaw wniosku o przekazanie postępowania karnego, chyba że zgodnie z prawem krajowym państwa, do którego kierowany jest wniosek, decyzja ta ostatecznie wyklucza dalsze ściganie i w związku z tym uniemożliwia wszczęcie w państwie, do którego kierowany jest wniosek, dalszych postępowań karnych w odniesieniu do tych samych czynów.</w:t>
            </w:r>
          </w:p>
        </w:tc>
        <w:tc>
          <w:tcPr>
            <w:tcW w:w="4876" w:type="dxa"/>
          </w:tcPr>
          <w:p>
            <w:pPr>
              <w:pStyle w:val="Normal6a"/>
            </w:pPr>
            <w:r>
              <w:t>3.</w:t>
            </w:r>
            <w:r>
              <w:tab/>
            </w:r>
            <w:r>
              <w:t>Organ wnioskujący może wznowić postępowanie karne, jeżeli organ, do którego kierowany jest wniosek, poinformuje go o swojej decyzji o umorzeniu postępowania karnego dotyczącego okoliczności faktycznych leżących u podstaw wniosku o przekazanie postępowania karnego, chyba że zgodnie z prawem krajowym państwa, do którego kierowany jest wniosek, decyzja ta ostatecznie wyklucza dalsze ściganie i w związku z tym uniemożliwia wszczęcie w państwie, do którego kierowany jest wniosek, dalszych postępowań karnych w odniesieniu do tych samych czynów.</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Uzasadnienie</w:t>
      </w:r>
      <w:r>
        <w:rPr>
          <w:rStyle w:val="HideTWBExt"/>
        </w:rPr>
        <w:t>&lt;/TitreJust&gt;</w:t>
      </w:r>
    </w:p>
    <w:p>
      <w:pPr>
        <w:pStyle w:val="AmJustText"/>
      </w:pPr>
      <w:r>
        <w:t>Jeżeli postępowanie zostaje zawieszone lub umorzone w państwie wnioskującym zgodnie z ust. 1, należy pominąć słowo „kontynuacja” w niniejszym ustępie.</w:t>
      </w:r>
    </w:p>
    <w:p>
      <w:r>
        <w:rPr>
          <w:rStyle w:val="HideTWBExt"/>
        </w:rPr>
        <w:t>&lt;/Amend&gt;</w:t>
      </w:r>
    </w:p>
    <w:p>
      <w:pPr>
        <w:pStyle w:val="AmNumberTabs"/>
      </w:pPr>
      <w:r>
        <w:rPr>
          <w:rStyle w:val="HideTWBExt"/>
        </w:rPr>
        <w:t>&lt;Amend&gt;</w:t>
      </w:r>
      <w:r>
        <w:t>Poprawka</w:t>
      </w:r>
      <w:r>
        <w:tab/>
      </w:r>
      <w:r>
        <w:tab/>
      </w:r>
      <w:r>
        <w:rPr>
          <w:rStyle w:val="HideTWBExt"/>
        </w:rPr>
        <w:t>&lt;NumAm&gt;</w:t>
      </w:r>
      <w:r>
        <w:t>145</w:t>
      </w:r>
      <w:r>
        <w:rPr>
          <w:rStyle w:val="HideTWBExt"/>
        </w:rPr>
        <w:t>&lt;/NumAm&gt;</w:t>
      </w:r>
    </w:p>
    <w:p>
      <w:pPr>
        <w:pStyle w:val="NormalBold"/>
      </w:pPr>
      <w:r>
        <w:rPr>
          <w:rStyle w:val="HideTWBExt"/>
        </w:rPr>
        <w:t>&lt;RepeatBlock-By&gt;</w:t>
      </w:r>
      <w:r>
        <w:rPr>
          <w:rStyle w:val="HideTWBExt"/>
        </w:rPr>
        <w:t>&lt;Members&gt;</w:t>
      </w:r>
      <w:r>
        <w:t>Morten Petersen</w:t>
      </w:r>
      <w:r>
        <w:rPr>
          <w:rStyle w:val="HideTWBExt"/>
        </w:rPr>
        <w:t>&lt;/Members&gt;</w:t>
      </w:r>
    </w:p>
    <w:p>
      <w:pPr>
        <w:pStyle w:val="NormalBold"/>
      </w:pPr>
      <w:r>
        <w:rPr>
          <w:rStyle w:val="HideTWBExt"/>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Artykuł 19 – ustęp 3 a (nowy)</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proponowany przez Komisję</w:t>
            </w:r>
          </w:p>
        </w:tc>
        <w:tc>
          <w:tcPr>
            <w:tcW w:w="4876" w:type="dxa"/>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3a.</w:t>
            </w:r>
            <w:r>
              <w:tab/>
            </w:r>
            <w:r>
              <w:rPr>
                <w:b/>
                <w:i/>
              </w:rPr>
              <w:t>Każda decyzja o wznowieniu sprawy podlega kontroli sądowej zarówno przed sądami krajowymi, jak i TSUE.</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Uzasadnienie</w:t>
      </w:r>
      <w:r>
        <w:rPr>
          <w:rStyle w:val="HideTWBExt"/>
        </w:rPr>
        <w:t>&lt;/TitreJust&gt;</w:t>
      </w:r>
    </w:p>
    <w:p>
      <w:pPr>
        <w:pStyle w:val="AmJustText"/>
      </w:pPr>
      <w:r>
        <w:t>Taka decyzja mogłaby mieć negatywny wpływ na prawa podejrzanego i jako taka powinna móc podlegać kontroli sądowej.</w:t>
      </w:r>
      <w:r>
        <w:t xml:space="preserve"> </w:t>
      </w:r>
      <w:r>
        <w:t>Ponadto pomogłoby to zapewnić prawną zasadę ne bis in idem.</w:t>
      </w:r>
    </w:p>
    <w:p>
      <w:r>
        <w:rPr>
          <w:rStyle w:val="HideTWBExt"/>
        </w:rPr>
        <w:t>&lt;/Amend&gt;</w:t>
      </w:r>
    </w:p>
    <w:p>
      <w:pPr>
        <w:pStyle w:val="AmNumberTabs"/>
      </w:pPr>
      <w:r>
        <w:rPr>
          <w:rStyle w:val="HideTWBExt"/>
        </w:rPr>
        <w:t>&lt;Amend&gt;</w:t>
      </w:r>
      <w:r>
        <w:t>Poprawka</w:t>
      </w:r>
      <w:r>
        <w:tab/>
      </w:r>
      <w:r>
        <w:tab/>
      </w:r>
      <w:r>
        <w:rPr>
          <w:rStyle w:val="HideTWBExt"/>
        </w:rPr>
        <w:t>&lt;NumAm&gt;</w:t>
      </w:r>
      <w:r>
        <w:t>146</w:t>
      </w:r>
      <w:r>
        <w:rPr>
          <w:rStyle w:val="HideTWBExt"/>
        </w:rPr>
        <w:t>&lt;/NumAm&gt;</w:t>
      </w:r>
    </w:p>
    <w:p>
      <w:pPr>
        <w:pStyle w:val="NormalBold"/>
      </w:pPr>
      <w:r>
        <w:rPr>
          <w:rStyle w:val="HideTWBExt"/>
        </w:rPr>
        <w:t>&lt;RepeatBlock-By&gt;</w:t>
      </w:r>
      <w:r>
        <w:rPr>
          <w:rStyle w:val="HideTWBExt"/>
        </w:rPr>
        <w:t>&lt;Members&gt;</w:t>
      </w:r>
      <w:r>
        <w:t>Saskia Bricmont</w:t>
      </w:r>
      <w:r>
        <w:rPr>
          <w:rStyle w:val="HideTWBExt"/>
        </w:rPr>
        <w:t>&lt;/Members&gt;</w:t>
      </w:r>
    </w:p>
    <w:p>
      <w:pPr>
        <w:pStyle w:val="NormalBold"/>
      </w:pPr>
      <w:r>
        <w:rPr>
          <w:rStyle w:val="HideTWBExt"/>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Artykuł 19 – ustęp 4</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proponowany przez Komisję</w:t>
            </w:r>
          </w:p>
        </w:tc>
        <w:tc>
          <w:tcPr>
            <w:tcW w:w="4876" w:type="dxa"/>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4.</w:t>
            </w:r>
            <w:r>
              <w:tab/>
            </w:r>
            <w:r>
              <w:rPr>
                <w:b/>
                <w:i/>
              </w:rPr>
              <w:t>Ustęp 3 nie narusza prawa ofiar do wszczęcia lub wystąpienia o wznowienie postępowania karnego przeciwko podejrzanemu lub oskarżonemu w państwie wnioskującym, jeżeli prawo krajowe tego państwa tak stanowi, chyba że decyzja o umorzeniu postępowania karnego podjęta przez organ, do którego kierowany jest wniosek, zgodnie z prawem krajowym państwa, do którego kierowany jest wniosek, ostatecznie wyklucza dalsze ściganie i w związku z tym uniemożliwia wszczęcie w tym państwie dalszych postępowań karnych w odniesieniu do tych samych czynów.</w:t>
            </w:r>
          </w:p>
        </w:tc>
        <w:tc>
          <w:tcPr>
            <w:tcW w:w="4876" w:type="dxa"/>
          </w:tcPr>
          <w:p>
            <w:pPr>
              <w:pStyle w:val="Normal6a"/>
            </w:pPr>
            <w:r>
              <w:rPr>
                <w:b/>
                <w:i/>
              </w:rPr>
              <w:t>skreśla się</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147</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Artykuł 19 – ustęp 4</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proponowany przez Komisję</w:t>
            </w:r>
          </w:p>
        </w:tc>
        <w:tc>
          <w:tcPr>
            <w:tcW w:w="4876" w:type="dxa"/>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Pr>
          <w:p>
            <w:pPr>
              <w:pStyle w:val="Normal6a"/>
            </w:pPr>
            <w:r>
              <w:t>4.</w:t>
            </w:r>
            <w:r>
              <w:tab/>
            </w:r>
            <w:r>
              <w:t xml:space="preserve">Ustęp 3 nie narusza prawa ofiar do wszczęcia lub wystąpienia o wznowienie postępowania karnego przeciwko podejrzanemu lub oskarżonemu w państwie wnioskującym, jeżeli prawo krajowe tego państwa tak stanowi, chyba że decyzja o umorzeniu postępowania karnego podjęta przez organ, do którego kierowany jest wniosek, zgodnie z prawem krajowym państwa, do którego kierowany jest wniosek, ostatecznie wyklucza dalsze ściganie i </w:t>
            </w:r>
            <w:r>
              <w:rPr>
                <w:b/>
                <w:i/>
              </w:rPr>
              <w:t>w związku z tym</w:t>
            </w:r>
            <w:r>
              <w:t xml:space="preserve"> uniemożliwia wszczęcie w tym państwie dalszych postępowań karnych w odniesieniu do tych samych czynów.</w:t>
            </w:r>
          </w:p>
        </w:tc>
        <w:tc>
          <w:tcPr>
            <w:tcW w:w="4876" w:type="dxa"/>
          </w:tcPr>
          <w:p>
            <w:pPr>
              <w:pStyle w:val="Normal6a"/>
            </w:pPr>
            <w:r>
              <w:t>4.</w:t>
            </w:r>
            <w:r>
              <w:tab/>
            </w:r>
            <w:r>
              <w:t xml:space="preserve">Ustęp 3 nie narusza prawa ofiar do wszczęcia lub wystąpienia o wznowienie postępowania karnego przeciwko podejrzanemu lub oskarżonemu w państwie wnioskującym, jeżeli prawo krajowe tego państwa tak stanowi, chyba że decyzja o umorzeniu postępowania karnego podjęta przez organ, do którego kierowany jest wniosek, zgodnie z prawem krajowym państwa, do którego kierowany jest wniosek, ostatecznie wyklucza dalsze ściganie i </w:t>
            </w:r>
            <w:r>
              <w:rPr>
                <w:b/>
                <w:i/>
              </w:rPr>
              <w:t>wydano ją po dokonaniu oceny sprawy co do istoty, co</w:t>
            </w:r>
            <w:r>
              <w:t xml:space="preserve"> uniemożliwia</w:t>
            </w:r>
            <w:r>
              <w:rPr>
                <w:b/>
                <w:i/>
              </w:rPr>
              <w:t> zatem</w:t>
            </w:r>
            <w:r>
              <w:t xml:space="preserve"> wszczęcie w tym państwie dalszych postępowań karnych w odniesieniu do tych samych czynów.</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148</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Artykuł 20 – ustęp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proponowany przez Komisję</w:t>
            </w:r>
          </w:p>
        </w:tc>
        <w:tc>
          <w:tcPr>
            <w:tcW w:w="4876" w:type="dxa"/>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Pod warunkiem, że nie jest to sprzeczne z podstawowymi zasadami prawa państwa, do którego kierowany jest wniosek, każda czynność wykonana do celów postępowania karnego lub postępowania przygotowawczego prowadzonych przez właściwe organy w państwie wnioskującym lub każda czynność przerywająca lub zawieszająca bieg przedawnienia jest w państwie, do którego kierowany jest wniosek, tak samo ważna</w:t>
            </w:r>
            <w:r>
              <w:rPr>
                <w:b/>
                <w:i/>
              </w:rPr>
              <w:t>, jak gdyby została skutecznie wykonana przez jego własne organy</w:t>
            </w:r>
            <w:r>
              <w:t>.</w:t>
            </w:r>
          </w:p>
        </w:tc>
        <w:tc>
          <w:tcPr>
            <w:tcW w:w="4876" w:type="dxa"/>
          </w:tcPr>
          <w:p>
            <w:pPr>
              <w:pStyle w:val="Normal6a"/>
            </w:pPr>
            <w:r>
              <w:t>2.</w:t>
            </w:r>
            <w:r>
              <w:tab/>
            </w:r>
            <w:r>
              <w:t xml:space="preserve">Pod warunkiem, że nie jest to sprzeczne z podstawowymi zasadami prawa państwa, do którego kierowany jest wniosek, każda czynność wykonana do celów postępowania karnego lub postępowania przygotowawczego prowadzonych przez właściwe organy w państwie wnioskującym lub każda czynność przerywająca lub zawieszająca bieg przedawnienia jest w państwie, do którego kierowany jest wniosek, tak samo ważna </w:t>
            </w:r>
            <w:r>
              <w:rPr>
                <w:b/>
                <w:i/>
              </w:rPr>
              <w:t>tylko wtedy, gdy dana czynność kwalifikuje się jako czynność przerywająca lub zawieszająca bieg przedawnienia na mocy prawa krajowego</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149</w:t>
      </w:r>
      <w:r>
        <w:rPr>
          <w:rStyle w:val="HideTWBExt"/>
        </w:rPr>
        <w:t>&lt;/NumAm&gt;</w:t>
      </w:r>
    </w:p>
    <w:p>
      <w:pPr>
        <w:pStyle w:val="NormalBold"/>
      </w:pPr>
      <w:r>
        <w:rPr>
          <w:rStyle w:val="HideTWBExt"/>
        </w:rPr>
        <w:t>&lt;RepeatBlock-By&gt;</w:t>
      </w:r>
      <w:r>
        <w:rPr>
          <w:rStyle w:val="HideTWBExt"/>
        </w:rPr>
        <w:t>&lt;Members&gt;</w:t>
      </w:r>
      <w:r>
        <w:t>Saskia Bricmont</w:t>
      </w:r>
      <w:r>
        <w:rPr>
          <w:rStyle w:val="HideTWBExt"/>
        </w:rPr>
        <w:t>&lt;/Members&gt;</w:t>
      </w:r>
    </w:p>
    <w:p>
      <w:pPr>
        <w:pStyle w:val="NormalBold"/>
      </w:pPr>
      <w:r>
        <w:rPr>
          <w:rStyle w:val="HideTWBExt"/>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Artykuł 20 – ustęp 3</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proponowany przez Komisję</w:t>
            </w:r>
          </w:p>
        </w:tc>
        <w:tc>
          <w:tcPr>
            <w:tcW w:w="4876" w:type="dxa"/>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Pr>
          <w:p>
            <w:pPr>
              <w:pStyle w:val="Normal6a"/>
            </w:pPr>
            <w:r>
              <w:t>3.</w:t>
            </w:r>
            <w:r>
              <w:tab/>
            </w:r>
            <w:r>
              <w:t>Nie odmawia się dopuszczenia materiału dowodowego przekazanego przez organ wnioskujący w postępowaniu karnym w państwie, do którego kierowany jest wniosek, jedynie na tej podstawie, że materiał dowodowy zebrano w innym państwie członkowskim. Materiał dowodowy zgromadzony w państwie wnioskującym może zostać wykorzystany w postępowaniu karnym w państwie, do którego kierowany jest wniosek, pod warunkiem że dopuszczalność takiego materiału dowodowego nie jest sprzeczna z podstawowymi zasadami prawa państwa, do którego kierowany jest wniosek.</w:t>
            </w:r>
          </w:p>
        </w:tc>
        <w:tc>
          <w:tcPr>
            <w:tcW w:w="4876" w:type="dxa"/>
          </w:tcPr>
          <w:p>
            <w:pPr>
              <w:pStyle w:val="Normal6a"/>
            </w:pPr>
            <w:r>
              <w:t>3.</w:t>
            </w:r>
            <w:r>
              <w:tab/>
            </w:r>
            <w:r>
              <w:t xml:space="preserve">Nie odmawia się dopuszczenia materiału dowodowego przekazanego przez organ wnioskujący w postępowaniu karnym w państwie, do którego kierowany jest wniosek, jedynie na tej podstawie, że materiał dowodowy zebrano w innym państwie członkowskim. Materiał dowodowy zgromadzony </w:t>
            </w:r>
            <w:r>
              <w:rPr>
                <w:b/>
                <w:i/>
              </w:rPr>
              <w:t>i dopuszczalny</w:t>
            </w:r>
            <w:r>
              <w:t xml:space="preserve"> w państwie wnioskującym może zostać wykorzystany w postępowaniu karnym w państwie, do którego kierowany jest wniosek, pod warunkiem że dopuszczalność takiego materiału dowodowego nie jest sprzeczna z podstawowymi zasadami prawa państwa, do którego kierowany jest wniosek. </w:t>
            </w:r>
            <w:r>
              <w:rPr>
                <w:b/>
                <w:i/>
              </w:rPr>
              <w:t>Państwa członkowskie zapewniają istnienie skutecznych środków odwoławczych umożliwiających ocenę dopuszczalności dowodów.</w:t>
            </w:r>
            <w:r>
              <w:t xml:space="preserve"> </w:t>
            </w:r>
            <w:r>
              <w:rPr>
                <w:b/>
                <w:i/>
              </w:rPr>
              <w:t>Państwo, do którego kierowany jest wniosek, uwzględnia skuteczny środek odwoławczy w odniesieniu do gromadzenia, dopuszczalności lub przekazania dowodów w państwie, w którym zebrano dowody.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150</w:t>
      </w:r>
      <w:r>
        <w:rPr>
          <w:rStyle w:val="HideTWBExt"/>
        </w:rPr>
        <w:t>&lt;/NumAm&gt;</w:t>
      </w:r>
    </w:p>
    <w:p>
      <w:pPr>
        <w:pStyle w:val="NormalBold"/>
      </w:pPr>
      <w:r>
        <w:rPr>
          <w:rStyle w:val="HideTWBExt"/>
        </w:rPr>
        <w:t>&lt;RepeatBlock-By&gt;</w:t>
      </w:r>
      <w:r>
        <w:rPr>
          <w:rStyle w:val="HideTWBExt"/>
        </w:rPr>
        <w:t>&lt;Members&gt;</w:t>
      </w:r>
      <w:r>
        <w:t>Morten Petersen</w:t>
      </w:r>
      <w:r>
        <w:rPr>
          <w:rStyle w:val="HideTWBExt"/>
        </w:rPr>
        <w:t>&lt;/Members&gt;</w:t>
      </w:r>
    </w:p>
    <w:p>
      <w:pPr>
        <w:pStyle w:val="NormalBold"/>
      </w:pPr>
      <w:r>
        <w:rPr>
          <w:rStyle w:val="HideTWBExt"/>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Artykuł 20 – ustęp 3</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proponowany przez Komisję</w:t>
            </w:r>
          </w:p>
        </w:tc>
        <w:tc>
          <w:tcPr>
            <w:tcW w:w="4876" w:type="dxa"/>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Pr>
          <w:p>
            <w:pPr>
              <w:pStyle w:val="Normal6a"/>
            </w:pPr>
            <w:r>
              <w:t>3.</w:t>
            </w:r>
            <w:r>
              <w:tab/>
            </w:r>
            <w:r>
              <w:t>Nie odmawia się dopuszczenia materiału dowodowego przekazanego przez organ wnioskujący w postępowaniu karnym w państwie, do którego kierowany jest wniosek, jedynie na tej podstawie, że materiał dowodowy zebrano w innym państwie członkowskim. Materiał dowodowy zgromadzony w państwie wnioskującym może zostać wykorzystany w postępowaniu karnym w państwie, do którego kierowany jest wniosek, pod warunkiem że dopuszczalność takiego materiału dowodowego nie jest sprzeczna z podstawowymi zasadami prawa państwa, do którego kierowany jest wniosek.</w:t>
            </w:r>
          </w:p>
        </w:tc>
        <w:tc>
          <w:tcPr>
            <w:tcW w:w="4876" w:type="dxa"/>
          </w:tcPr>
          <w:p>
            <w:pPr>
              <w:pStyle w:val="Normal6a"/>
            </w:pPr>
            <w:r>
              <w:t>3.</w:t>
            </w:r>
            <w:r>
              <w:tab/>
            </w:r>
            <w:r>
              <w:t xml:space="preserve">Nie odmawia się dopuszczenia materiału dowodowego przekazanego przez organ wnioskujący w postępowaniu karnym w państwie, do którego kierowany jest wniosek, jedynie na tej podstawie, że materiał dowodowy zebrano w innym państwie członkowskim. Materiał dowodowy zgromadzony w państwie wnioskującym </w:t>
            </w:r>
            <w:r>
              <w:rPr>
                <w:b/>
                <w:i/>
              </w:rPr>
              <w:t>zgodnie z lex loci</w:t>
            </w:r>
            <w:r>
              <w:t xml:space="preserve"> może zostać wykorzystany w postępowaniu karnym w państwie, do którego kierowany jest wniosek, pod warunkiem że dopuszczalność takiego materiału dowodowego nie jest sprzeczna z podstawowymi zasadami prawa państwa, do którego kierowany jest wniosek. </w:t>
            </w:r>
            <w:r>
              <w:rPr>
                <w:b/>
                <w:i/>
              </w:rPr>
              <w:t>Państwa członkowskie zapewniają istnienie skutecznych środków odwoławczych umożliwiających ocenę dopuszczalności dowodów.</w:t>
            </w:r>
            <w:r>
              <w:t xml:space="preserve"> </w:t>
            </w:r>
            <w:r>
              <w:rPr>
                <w:b/>
                <w:i/>
              </w:rPr>
              <w:t>Państwo, do którego kierowany jest wniosek, uwzględnia skuteczny środek odwoławczy od okazania lub przekazania dowodu w państwie, w którym dany dowód zgromadzono.</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Uzasadnienie</w:t>
      </w:r>
      <w:r>
        <w:rPr>
          <w:rStyle w:val="HideTWBExt"/>
        </w:rPr>
        <w:t>&lt;/TitreJust&gt;</w:t>
      </w:r>
    </w:p>
    <w:p>
      <w:pPr>
        <w:pStyle w:val="AmJustText"/>
      </w:pPr>
      <w:r>
        <w:t>Dodano państwo wnioskujące, aby wyeliminować ryzyko wyboru sądu ze względu na możliwość korzystniejszego rozstrzygnięcia sprawy (ang. forum shopping).</w:t>
      </w:r>
    </w:p>
    <w:p>
      <w:r>
        <w:rPr>
          <w:rStyle w:val="HideTWBExt"/>
        </w:rPr>
        <w:t>&lt;/Amend&gt;</w:t>
      </w:r>
    </w:p>
    <w:p>
      <w:pPr>
        <w:pStyle w:val="AmNumberTabs"/>
      </w:pPr>
      <w:r>
        <w:rPr>
          <w:rStyle w:val="HideTWBExt"/>
        </w:rPr>
        <w:t>&lt;Amend&gt;</w:t>
      </w:r>
      <w:r>
        <w:t>Poprawka</w:t>
      </w:r>
      <w:r>
        <w:tab/>
      </w:r>
      <w:r>
        <w:tab/>
      </w:r>
      <w:r>
        <w:rPr>
          <w:rStyle w:val="HideTWBExt"/>
        </w:rPr>
        <w:t>&lt;NumAm&gt;</w:t>
      </w:r>
      <w:r>
        <w:t>151</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Artykuł 20 – ustęp 3</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proponowany przez Komisję</w:t>
            </w:r>
          </w:p>
        </w:tc>
        <w:tc>
          <w:tcPr>
            <w:tcW w:w="4876" w:type="dxa"/>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Pr>
          <w:p>
            <w:pPr>
              <w:pStyle w:val="Normal6a"/>
            </w:pPr>
            <w:r>
              <w:t>3.</w:t>
            </w:r>
            <w:r>
              <w:tab/>
            </w:r>
            <w:r>
              <w:t xml:space="preserve">Nie odmawia się dopuszczenia materiału dowodowego przekazanego przez organ wnioskujący w postępowaniu karnym w państwie, do którego kierowany jest wniosek, jedynie na tej podstawie, że materiał dowodowy zebrano w innym państwie członkowskim. </w:t>
            </w:r>
            <w:r>
              <w:rPr>
                <w:b/>
                <w:i/>
              </w:rPr>
              <w:t>Materiał dowodowy zgromadzony w państwie wnioskującym może zostać wykorzystany w postępowaniu karnym w państwie, do którego kierowany jest wniosek, pod warunkiem że dopuszczalność takiego materiału dowodowego nie jest sprzeczna z podstawowymi zasadami prawa państwa, do którego kierowany jest wniosek</w:t>
            </w:r>
            <w:r>
              <w:t>.</w:t>
            </w:r>
          </w:p>
        </w:tc>
        <w:tc>
          <w:tcPr>
            <w:tcW w:w="4876" w:type="dxa"/>
          </w:tcPr>
          <w:p>
            <w:pPr>
              <w:pStyle w:val="Normal6a"/>
            </w:pPr>
            <w:r>
              <w:t>3.</w:t>
            </w:r>
            <w:r>
              <w:tab/>
            </w:r>
            <w:r>
              <w:t xml:space="preserve">Nie odmawia się dopuszczenia materiału dowodowego przekazanego przez organ wnioskujący w postępowaniu karnym w państwie, do którego kierowany jest wniosek, jedynie na tej podstawie, że materiał dowodowy zebrano w innym państwie członkowskim. </w:t>
            </w:r>
            <w:r>
              <w:rPr>
                <w:b/>
                <w:i/>
              </w:rPr>
              <w:t>Należy utrzymać swobodę oceny sądowej dowodów</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152</w:t>
      </w:r>
      <w:r>
        <w:rPr>
          <w:rStyle w:val="HideTWBExt"/>
        </w:rPr>
        <w:t>&lt;/NumAm&gt;</w:t>
      </w:r>
    </w:p>
    <w:p>
      <w:pPr>
        <w:pStyle w:val="NormalBold"/>
      </w:pPr>
      <w:r>
        <w:rPr>
          <w:rStyle w:val="HideTWBExt"/>
        </w:rPr>
        <w:t>&lt;RepeatBlock-By&gt;</w:t>
      </w:r>
      <w:r>
        <w:rPr>
          <w:rStyle w:val="HideTWBExt"/>
        </w:rPr>
        <w:t>&lt;Members&gt;</w:t>
      </w:r>
      <w:r>
        <w:t>Saskia Bricmont</w:t>
      </w:r>
      <w:r>
        <w:rPr>
          <w:rStyle w:val="HideTWBExt"/>
        </w:rPr>
        <w:t>&lt;/Members&gt;</w:t>
      </w:r>
    </w:p>
    <w:p>
      <w:pPr>
        <w:pStyle w:val="NormalBold"/>
      </w:pPr>
      <w:r>
        <w:rPr>
          <w:rStyle w:val="HideTWBExt"/>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Artykuł 20 – ustęp 4</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proponowany przez Komisję</w:t>
            </w:r>
          </w:p>
        </w:tc>
        <w:tc>
          <w:tcPr>
            <w:tcW w:w="4876" w:type="dxa"/>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Pr>
          <w:p>
            <w:pPr>
              <w:pStyle w:val="Normal6a"/>
            </w:pPr>
            <w:r>
              <w:t>4.</w:t>
            </w:r>
            <w:r>
              <w:tab/>
            </w:r>
            <w:r>
              <w:t>O ile w państwie, do którego kierowany jest wniosek, orzeczono karę pozbawienia wolności lub środek zabezpieczający polegający na pozbawieniu wolności, państwo to odlicza wszystkie okresy pozbawienia wolności przebyte w państwie wnioskującym, które orzeczono w związku z przekazanym postępowaniem karnym, od całkowitego okresu pozbawienia wolności, który ma zostać przebyty w państwie, do którego kierowany jest wniosek, w wyniku orzeczenia kary pozbawienia wolności lub środka zabezpieczającego polegającego na pozbawieniu wolności. W tym celu organ wnioskujący przekazuje organowi, do którego kierowany jest wniosek, wszystkie informacje dotyczące okresu pozbawienia wolności podejrzanego lub oskarżonego w państwie wnioskującym.</w:t>
            </w:r>
          </w:p>
        </w:tc>
        <w:tc>
          <w:tcPr>
            <w:tcW w:w="4876" w:type="dxa"/>
          </w:tcPr>
          <w:p>
            <w:pPr>
              <w:pStyle w:val="Normal6a"/>
            </w:pPr>
            <w:r>
              <w:t>4.</w:t>
            </w:r>
            <w:r>
              <w:tab/>
            </w:r>
            <w:r>
              <w:t xml:space="preserve">O ile w państwie, do którego kierowany jest wniosek, orzeczono karę pozbawienia wolności lub środek zabezpieczający polegający na pozbawieniu wolności, państwo to odlicza wszystkie okresy pozbawienia wolności przebyte w państwie wnioskującym, które orzeczono w związku z przekazanym postępowaniem karnym, od całkowitego okresu pozbawienia wolności, który ma zostać przebyty w państwie, do którego kierowany jest wniosek, w wyniku orzeczenia kary pozbawienia wolności lub środka zabezpieczającego polegającego na pozbawieniu wolności. W tym celu organ wnioskujący przekazuje organowi, do którego kierowany jest wniosek, wszystkie informacje dotyczące okresu pozbawienia wolności podejrzanego lub oskarżonego w państwie wnioskującym. </w:t>
            </w:r>
            <w:r>
              <w:rPr>
                <w:b/>
                <w:i/>
              </w:rPr>
              <w:t>Podobnie, jeżeli wobec danej osoby toczy się postępowanie w państwie, do którego kierowany jest wniosek, należy uwzględnić wszystkie okresy zatrzymania spędzone w państwie wnioskującym w celu określenia wszelkich maksymalnych terminów mających zastosowanie do takiego tymczasowego zatrzymania oraz w celu oceny proporcjonalności tego środka w państwie wnioskującym.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153</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Artykuł 20 – ustęp 4</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proponowany przez Komisję</w:t>
            </w:r>
          </w:p>
        </w:tc>
        <w:tc>
          <w:tcPr>
            <w:tcW w:w="4876" w:type="dxa"/>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Pr>
          <w:p>
            <w:pPr>
              <w:pStyle w:val="Normal6a"/>
            </w:pPr>
            <w:r>
              <w:t>4.</w:t>
            </w:r>
            <w:r>
              <w:tab/>
            </w:r>
            <w:r>
              <w:t>O ile w państwie, do którego kierowany jest wniosek, orzeczono karę pozbawienia wolności lub środek zabezpieczający polegający na pozbawieniu wolności, państwo to odlicza wszystkie okresy pozbawienia wolności przebyte w państwie wnioskującym, które orzeczono w związku z przekazanym postępowaniem karnym, od całkowitego okresu pozbawienia wolności, który ma zostać przebyty w państwie, do którego kierowany jest wniosek, w wyniku orzeczenia kary pozbawienia wolności lub środka zabezpieczającego polegającego na pozbawieniu wolności. W tym celu organ wnioskujący przekazuje organowi, do którego kierowany jest wniosek, wszystkie informacje dotyczące okresu pozbawienia wolności podejrzanego lub oskarżonego w państwie wnioskującym.</w:t>
            </w:r>
          </w:p>
        </w:tc>
        <w:tc>
          <w:tcPr>
            <w:tcW w:w="4876" w:type="dxa"/>
          </w:tcPr>
          <w:p>
            <w:pPr>
              <w:pStyle w:val="Normal6a"/>
            </w:pPr>
            <w:r>
              <w:t>4.</w:t>
            </w:r>
            <w:r>
              <w:tab/>
            </w:r>
            <w:r>
              <w:t xml:space="preserve">O ile w państwie, do którego kierowany jest wniosek, orzeczono karę pozbawienia wolności lub środek zabezpieczający polegający na pozbawieniu wolności, państwo to odlicza wszystkie okresy pozbawienia wolności przebyte w państwie wnioskującym, które orzeczono w związku z przekazanym postępowaniem karnym, od całkowitego okresu pozbawienia wolności, który ma zostać przebyty w państwie, do którego kierowany jest wniosek, w wyniku orzeczenia kary pozbawienia wolności lub środka zabezpieczającego polegającego na pozbawieniu wolności. W tym celu organ wnioskujący przekazuje organowi, do którego kierowany jest wniosek, wszystkie informacje dotyczące okresu pozbawienia wolności podejrzanego lub oskarżonego w państwie wnioskującym. </w:t>
            </w:r>
            <w:r>
              <w:rPr>
                <w:b/>
                <w:i/>
              </w:rPr>
              <w:t>Właściwy organ w państwie wnioskującym może jednak podjąć decyzję o pominięciu całości lub części tego odliczenia, jeżeli nie jest to uzasadnione w świetle zachowania osoby skazanej po popełnieniu przestępstwa.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154</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Artykuł 20 – ustęp 6</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proponowany przez Komisję</w:t>
            </w:r>
          </w:p>
        </w:tc>
        <w:tc>
          <w:tcPr>
            <w:tcW w:w="4876" w:type="dxa"/>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Pr>
          <w:p>
            <w:pPr>
              <w:pStyle w:val="Normal6a"/>
            </w:pPr>
            <w:r>
              <w:t>6.</w:t>
            </w:r>
            <w:r>
              <w:tab/>
            </w:r>
            <w:r>
              <w:t xml:space="preserve">Karą stosowaną w przypadku przestępstwa jest kara przewidziana przez prawo państwa, do którego kierowany jest wniosek, chyba że prawo to stanowi inaczej. </w:t>
            </w:r>
            <w:r>
              <w:rPr>
                <w:b/>
                <w:i/>
              </w:rPr>
              <w:t>Jeżeli przestępstwo zostało popełnione na terytorium państwa wnioskującego, organ, do którego kierowany jest wniosek, może wziąć pod uwagę, zgodnie z mającym zastosowanie prawem krajowym, maksymalną karę przewidzianą prawem państwa wnioskującego.</w:t>
            </w:r>
            <w:r>
              <w:t xml:space="preserve"> </w:t>
            </w:r>
            <w:r>
              <w:rPr>
                <w:b/>
                <w:i/>
              </w:rPr>
              <w:t>Jeżeli jurysdykcja opiera się wyłącznie na art. 3, kara orzeczona w państwie, do którego kierowany jest wniosek, nie może być surowsza niż maksymalna kara przewidziana prawem państwa wnioskującego.</w:t>
            </w:r>
          </w:p>
        </w:tc>
        <w:tc>
          <w:tcPr>
            <w:tcW w:w="4876" w:type="dxa"/>
          </w:tcPr>
          <w:p>
            <w:pPr>
              <w:pStyle w:val="Normal6a"/>
            </w:pPr>
            <w:r>
              <w:t>6.</w:t>
            </w:r>
            <w:r>
              <w:tab/>
            </w:r>
            <w:r>
              <w:t>Karą stosowaną w przypadku przestępstwa jest kara przewidziana przez prawo państwa, do którego kierowany jest wniosek, chyba że prawo to stanowi inaczej.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155</w:t>
      </w:r>
      <w:r>
        <w:rPr>
          <w:rStyle w:val="HideTWBExt"/>
        </w:rPr>
        <w:t>&lt;/NumAm&gt;</w:t>
      </w:r>
    </w:p>
    <w:p>
      <w:pPr>
        <w:pStyle w:val="NormalBold"/>
      </w:pPr>
      <w:r>
        <w:rPr>
          <w:rStyle w:val="HideTWBExt"/>
        </w:rPr>
        <w:t>&lt;RepeatBlock-By&gt;</w:t>
      </w:r>
      <w:r>
        <w:rPr>
          <w:rStyle w:val="HideTWBExt"/>
        </w:rPr>
        <w:t>&lt;Members&gt;</w:t>
      </w:r>
      <w:r>
        <w:t>Morten Petersen</w:t>
      </w:r>
      <w:r>
        <w:rPr>
          <w:rStyle w:val="HideTWBExt"/>
        </w:rPr>
        <w:t>&lt;/Members&gt;</w:t>
      </w:r>
    </w:p>
    <w:p>
      <w:pPr>
        <w:pStyle w:val="NormalBold"/>
      </w:pPr>
      <w:r>
        <w:rPr>
          <w:rStyle w:val="HideTWBExt"/>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Artykuł 21 – akapit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proponowany przez Komisję</w:t>
            </w:r>
          </w:p>
        </w:tc>
        <w:tc>
          <w:tcPr>
            <w:tcW w:w="4876" w:type="dxa"/>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Pr>
          <w:p>
            <w:pPr>
              <w:pStyle w:val="Normal6a"/>
            </w:pPr>
            <w:r>
              <w:t xml:space="preserve">Organ, do którego kierowany jest wniosek, informuje organ wnioskujący o umorzeniu postępowania karnego lub o każdej decyzji wydanej po zakończeniu postępowania karnego, także o tym, czy decyzja ta, zgodnie z prawem krajowym państwa, do którego kierowany jest wniosek, ostatecznie wyklucza dalsze ściganie i w związku z tym uniemożliwia wszczęcie w tym państwie dalszych postępowań karnych w odniesieniu do tych samych czynów, bądź przekazuje inne informacje o istotnym znaczeniu. </w:t>
            </w:r>
            <w:r>
              <w:rPr>
                <w:b/>
                <w:i/>
              </w:rPr>
              <w:t>Organ, do którego kierowany jest wniosek, przekazuje</w:t>
            </w:r>
            <w:r>
              <w:t xml:space="preserve"> organowi wnioskującemu </w:t>
            </w:r>
            <w:r>
              <w:rPr>
                <w:b/>
                <w:i/>
              </w:rPr>
              <w:t>egzemplarz pisemnej decyzji wydanej na zakończenie postępowania karnego</w:t>
            </w:r>
            <w:r>
              <w:t>.</w:t>
            </w:r>
          </w:p>
        </w:tc>
        <w:tc>
          <w:tcPr>
            <w:tcW w:w="4876" w:type="dxa"/>
          </w:tcPr>
          <w:p>
            <w:pPr>
              <w:pStyle w:val="Normal6a"/>
            </w:pPr>
            <w:r>
              <w:t xml:space="preserve">Organ, do którego kierowany jest wniosek, informuje organ wnioskujący </w:t>
            </w:r>
            <w:r>
              <w:rPr>
                <w:b/>
                <w:i/>
              </w:rPr>
              <w:t>oraz podejrzanego lub oskarżonego i ich doradców prawnych</w:t>
            </w:r>
            <w:r>
              <w:t xml:space="preserve"> o umorzeniu postępowania karnego lub o każdej decyzji wydanej po zakończeniu postępowania karnego, także o tym, czy decyzja ta, zgodnie z prawem krajowym państwa, do którego kierowany jest wniosek, ostatecznie wyklucza dalsze ściganie i w związku z tym uniemożliwia wszczęcie w tym państwie dalszych postępowań karnych w odniesieniu do tych samych czynów, bądź przekazuje inne informacje o istotnym znaczeniu. </w:t>
            </w:r>
            <w:r>
              <w:rPr>
                <w:b/>
                <w:i/>
              </w:rPr>
              <w:t>Przekazuje kopię pisemnego orzeczenia wydanego po zakończeniu postępowania karnego</w:t>
            </w:r>
            <w:r>
              <w:t xml:space="preserve"> organowi wnioskującemu </w:t>
            </w:r>
            <w:r>
              <w:rPr>
                <w:b/>
                <w:i/>
              </w:rPr>
              <w:t>oraz podejrzanemu lub oskarżonemu oraz ich doradcom prawnym</w:t>
            </w:r>
            <w:r>
              <w: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Uzasadnienie</w:t>
      </w:r>
      <w:r>
        <w:rPr>
          <w:rStyle w:val="HideTWBExt"/>
        </w:rPr>
        <w:t>&lt;/TitreJust&gt;</w:t>
      </w:r>
    </w:p>
    <w:p>
      <w:pPr>
        <w:pStyle w:val="AmJustText"/>
      </w:pPr>
      <w:r>
        <w:t>Osoba podejrzana lub oskarżona powinna mieć prawo do informacji.</w:t>
      </w:r>
    </w:p>
    <w:p>
      <w:r>
        <w:rPr>
          <w:rStyle w:val="HideTWBExt"/>
        </w:rPr>
        <w:t>&lt;/Amend&gt;</w:t>
      </w:r>
    </w:p>
    <w:p>
      <w:pPr>
        <w:pStyle w:val="AmNumberTabs"/>
      </w:pPr>
      <w:r>
        <w:rPr>
          <w:rStyle w:val="HideTWBExt"/>
        </w:rPr>
        <w:t>&lt;Amend&gt;</w:t>
      </w:r>
      <w:r>
        <w:t>Poprawka</w:t>
      </w:r>
      <w:r>
        <w:tab/>
      </w:r>
      <w:r>
        <w:tab/>
      </w:r>
      <w:r>
        <w:rPr>
          <w:rStyle w:val="HideTWBExt"/>
        </w:rPr>
        <w:t>&lt;NumAm&gt;</w:t>
      </w:r>
      <w:r>
        <w:t>156</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Artykuł 21 – akapit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proponowany przez Komisję</w:t>
            </w:r>
          </w:p>
        </w:tc>
        <w:tc>
          <w:tcPr>
            <w:tcW w:w="4876" w:type="dxa"/>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Pr>
          <w:p>
            <w:pPr>
              <w:pStyle w:val="Normal6a"/>
            </w:pPr>
            <w:r>
              <w:t>Organ, do którego kierowany jest wniosek, informuje organ wnioskujący o umorzeniu postępowania karnego lub o każdej decyzji wydanej po zakończeniu postępowania karnego, także o tym, czy decyzja ta, zgodnie z prawem krajowym państwa, do którego kierowany jest wniosek, ostatecznie wyklucza dalsze ściganie i w związku z tym uniemożliwia wszczęcie w tym państwie dalszych postępowań karnych w odniesieniu do tych samych czynów, bądź przekazuje inne informacje o istotnym znaczeniu. Organ, do którego kierowany jest wniosek, przekazuje organowi wnioskującemu egzemplarz pisemnej decyzji wydanej na zakończenie postępowania karnego.</w:t>
            </w:r>
          </w:p>
        </w:tc>
        <w:tc>
          <w:tcPr>
            <w:tcW w:w="4876" w:type="dxa"/>
          </w:tcPr>
          <w:p>
            <w:pPr>
              <w:pStyle w:val="Normal6a"/>
            </w:pPr>
            <w:r>
              <w:rPr>
                <w:b/>
                <w:i/>
              </w:rPr>
              <w:t>Właściwy</w:t>
            </w:r>
            <w:r>
              <w:t xml:space="preserve"> organ </w:t>
            </w:r>
            <w:r>
              <w:rPr>
                <w:b/>
                <w:i/>
              </w:rPr>
              <w:t>w państwie członkowskim</w:t>
            </w:r>
            <w:r>
              <w:t>, do którego kierowany jest wniosek, informuje organ wnioskujący o umorzeniu postępowania karnego lub o każdej decyzji wydanej po zakończeniu postępowania karnego, także o tym, czy decyzja ta, zgodnie z prawem krajowym państwa, do którego kierowany jest wniosek, ostatecznie wyklucza dalsze ściganie i w związku z tym uniemożliwia wszczęcie w tym państwie dalszych postępowań karnych w odniesieniu do tych samych czynów, bądź przekazuje inne informacje o istotnym znaczeniu. Organ, do którego kierowany jest wniosek, przekazuje organowi wnioskującemu egzemplarz pisemnej decyzji wydanej na zakończenie postępowania karnego.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157</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Artykuł 27 – ustęp 1 – wprowadzenie</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proponowany przez Komisję</w:t>
            </w:r>
          </w:p>
        </w:tc>
        <w:tc>
          <w:tcPr>
            <w:tcW w:w="4876" w:type="dxa"/>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rPr>
                <w:b/>
                <w:i/>
              </w:rPr>
              <w:t>Państwa członkowskie regularnie gromadzą kompleksowe dane statystyczne</w:t>
            </w:r>
            <w:r>
              <w:t xml:space="preserve"> do celów monitorowania stosowania niniejszego rozporządzenia </w:t>
            </w:r>
            <w:r>
              <w:rPr>
                <w:b/>
                <w:i/>
              </w:rPr>
              <w:t>przez Komisję</w:t>
            </w:r>
            <w:r>
              <w:t xml:space="preserve">. Statystyki </w:t>
            </w:r>
            <w:r>
              <w:rPr>
                <w:b/>
                <w:i/>
              </w:rPr>
              <w:t>są prowadzone przez organy, które co roku przesyłają je Komisji.</w:t>
            </w:r>
            <w:r>
              <w:t xml:space="preserve"> </w:t>
            </w:r>
            <w:r>
              <w:rPr>
                <w:b/>
                <w:i/>
              </w:rPr>
              <w:t>Mogą one</w:t>
            </w:r>
            <w:r>
              <w:t xml:space="preserve"> przetwarzać dane osobowe niezbędne do tworzenia statystyk. Statystyki te obejmują:</w:t>
            </w:r>
          </w:p>
        </w:tc>
        <w:tc>
          <w:tcPr>
            <w:tcW w:w="4876" w:type="dxa"/>
          </w:tcPr>
          <w:p>
            <w:pPr>
              <w:pStyle w:val="Normal6a"/>
            </w:pPr>
            <w:r>
              <w:t>1.</w:t>
            </w:r>
            <w:r>
              <w:tab/>
            </w:r>
            <w:r>
              <w:rPr>
                <w:b/>
                <w:i/>
              </w:rPr>
              <w:t>Komisja gromadzi w regularnych odstępach czasu statystyki</w:t>
            </w:r>
            <w:r>
              <w:t xml:space="preserve"> do celów monitorowania stosowania niniejszego rozporządzenia. </w:t>
            </w:r>
            <w:r>
              <w:rPr>
                <w:b/>
                <w:i/>
              </w:rPr>
              <w:t>Takie</w:t>
            </w:r>
            <w:r>
              <w:t xml:space="preserve"> statystyki </w:t>
            </w:r>
            <w:r>
              <w:rPr>
                <w:b/>
                <w:i/>
              </w:rPr>
              <w:t>powinny być gromadzone za pośrednictwem zdecentralizowanego systemu informatycznego przewidzianego w rozporządzeniu i tylko wtedy, gdy są dostępne na szczeblu centralnym w danym państwie członkowskim. Można</w:t>
            </w:r>
            <w:r>
              <w:t xml:space="preserve"> przetwarzać dane osobowe niezbędne do tworzenia statystyk. Statystyki te obejmują: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158</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Artykuł 27 – ustęp 1 – litera c</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proponowany przez Komisję</w:t>
            </w:r>
          </w:p>
        </w:tc>
        <w:tc>
          <w:tcPr>
            <w:tcW w:w="4876" w:type="dxa"/>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c)</w:t>
            </w:r>
            <w:r>
              <w:tab/>
            </w:r>
            <w:r>
              <w:rPr>
                <w:b/>
                <w:i/>
              </w:rPr>
              <w:t>liczbę postępowań przygotowawczych i postępowań sądowych, które nie były realizowane po wyrażeniu zgody na przekazanie postępowania karnego;</w:t>
            </w:r>
          </w:p>
        </w:tc>
        <w:tc>
          <w:tcPr>
            <w:tcW w:w="4876" w:type="dxa"/>
          </w:tcPr>
          <w:p>
            <w:pPr>
              <w:pStyle w:val="Normal6a"/>
            </w:pPr>
            <w:r>
              <w:rPr>
                <w:b/>
                <w:i/>
              </w:rPr>
              <w:t>skreśla się</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159</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Artykuł 27 – ustęp 1 – litera e</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proponowany przez Komisję</w:t>
            </w:r>
          </w:p>
        </w:tc>
        <w:tc>
          <w:tcPr>
            <w:tcW w:w="4876" w:type="dxa"/>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e)</w:t>
            </w:r>
            <w:r>
              <w:tab/>
            </w:r>
            <w:r>
              <w:rPr>
                <w:b/>
                <w:i/>
              </w:rPr>
              <w:t>liczbę środków odwoławczych od decyzji o wyrażeniu zgody na przekazanie postępowania karnego, w tym informację o tym, czy odwołanie złożył podejrzany, oskarżony czy ofiara, a także liczbę skutecznie zaskarżonych decyzji;</w:t>
            </w:r>
          </w:p>
        </w:tc>
        <w:tc>
          <w:tcPr>
            <w:tcW w:w="4876" w:type="dxa"/>
          </w:tcPr>
          <w:p>
            <w:pPr>
              <w:pStyle w:val="Normal6a"/>
            </w:pPr>
            <w:r>
              <w:rPr>
                <w:b/>
                <w:i/>
              </w:rPr>
              <w:t>skreśla się</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160</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Artykuł 27 – ustęp 1 – litera f</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proponowany przez Komisję</w:t>
            </w:r>
          </w:p>
        </w:tc>
        <w:tc>
          <w:tcPr>
            <w:tcW w:w="4876" w:type="dxa"/>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f)</w:t>
            </w:r>
            <w:r>
              <w:tab/>
            </w:r>
            <w:r>
              <w:rPr>
                <w:b/>
                <w:i/>
              </w:rPr>
              <w:t>po upływie czterech lat od daty wejścia w życie aktów wykonawczych, o których mowa w art. 23 ust. 1 – koszty poniesione na mocy art. 25 ust. 2.</w:t>
            </w:r>
          </w:p>
        </w:tc>
        <w:tc>
          <w:tcPr>
            <w:tcW w:w="4876" w:type="dxa"/>
          </w:tcPr>
          <w:p>
            <w:pPr>
              <w:pStyle w:val="Normal6a"/>
            </w:pPr>
            <w:r>
              <w:rPr>
                <w:b/>
                <w:i/>
              </w:rPr>
              <w:t>skreśla się</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161</w:t>
      </w:r>
      <w:r>
        <w:rPr>
          <w:rStyle w:val="HideTWBExt"/>
        </w:rPr>
        <w:t>&lt;/NumAm&gt;</w:t>
      </w:r>
    </w:p>
    <w:p>
      <w:pPr>
        <w:pStyle w:val="NormalBold"/>
      </w:pPr>
      <w:r>
        <w:rPr>
          <w:rStyle w:val="HideTWBExt"/>
        </w:rPr>
        <w:t>&lt;RepeatBlock-By&gt;</w:t>
      </w:r>
      <w:r>
        <w:rPr>
          <w:rStyle w:val="HideTWBExt"/>
        </w:rPr>
        <w:t>&lt;Members&gt;</w:t>
      </w:r>
      <w:r>
        <w:t>Morten Petersen</w:t>
      </w:r>
      <w:r>
        <w:rPr>
          <w:rStyle w:val="HideTWBExt"/>
        </w:rPr>
        <w:t>&lt;/Members&gt;</w:t>
      </w:r>
    </w:p>
    <w:p>
      <w:pPr>
        <w:pStyle w:val="NormalBold"/>
      </w:pPr>
      <w:r>
        <w:rPr>
          <w:rStyle w:val="HideTWBExt"/>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Artykuł 30 – ustęp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Tekst proponowany przez Komisję</w:t>
            </w:r>
          </w:p>
        </w:tc>
        <w:tc>
          <w:tcPr>
            <w:tcW w:w="4876" w:type="dxa"/>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Komisja podaje informacje otrzymane na mocy ust. 1 do wiadomości publicznej na specjalnej stronie internetowej lub na stronie internetowej Europejskiej Sieci Sądowej utworzonej decyzją Rady 2008/976/WSiSW</w:t>
            </w:r>
            <w:r>
              <w:rPr>
                <w:vertAlign w:val="superscript"/>
              </w:rPr>
              <w:t>76</w:t>
            </w:r>
            <w:r>
              <w:rPr>
                <w:b/>
                <w:i/>
              </w:rPr>
              <w:t>.</w:t>
            </w:r>
          </w:p>
        </w:tc>
        <w:tc>
          <w:tcPr>
            <w:tcW w:w="4876" w:type="dxa"/>
          </w:tcPr>
          <w:p>
            <w:pPr>
              <w:pStyle w:val="Normal6a"/>
            </w:pPr>
            <w:r>
              <w:t>2.</w:t>
            </w:r>
            <w:r>
              <w:tab/>
            </w:r>
            <w:r>
              <w:t xml:space="preserve">Komisja podaje informacje otrzymane na mocy ust. 1 do wiadomości publicznej </w:t>
            </w:r>
            <w:r>
              <w:rPr>
                <w:b/>
                <w:i/>
              </w:rPr>
              <w:t>i aktualizuje je</w:t>
            </w:r>
            <w:r>
              <w:t xml:space="preserve"> na specjalnej stronie internetowej lub </w:t>
            </w:r>
            <w:r>
              <w:rPr>
                <w:b/>
                <w:i/>
              </w:rPr>
              <w:t>w ogólnodostępnej zakładce</w:t>
            </w:r>
            <w:r>
              <w:t xml:space="preserve"> na stronie internetowej Europejskiej Sieci Sądowej utworzonej decyzją Rady 2008/976/WSiSW</w:t>
            </w:r>
            <w:r>
              <w:rPr>
                <w:b/>
                <w:i/>
              </w:rPr>
              <w:t>.</w:t>
            </w:r>
            <w:r>
              <w:rPr>
                <w:vertAlign w:val="superscript"/>
              </w:rPr>
              <w:t>76</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_________________</w:t>
            </w:r>
          </w:p>
        </w:tc>
        <w:tc>
          <w:tcPr>
            <w:tcW w:w="4876" w:type="dxa"/>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Pr>
          <w:p>
            <w:pPr>
              <w:pStyle w:val="Normal6a"/>
            </w:pPr>
            <w:r>
              <w:rPr>
                <w:vertAlign w:val="superscript"/>
              </w:rPr>
              <w:t>76</w:t>
            </w:r>
            <w:r>
              <w:t xml:space="preserve"> </w:t>
            </w:r>
            <w:r>
              <w:t>Decyzja Rady 2008/976/WSiSW z dnia 16 grudnia 2008 r. w sprawie Europejskiej Sieci Sądowej (Dz.U. L 348 z 24.12.2008, s. 130).</w:t>
            </w:r>
          </w:p>
        </w:tc>
        <w:tc>
          <w:tcPr>
            <w:tcW w:w="4876" w:type="dxa"/>
          </w:tcPr>
          <w:p>
            <w:pPr>
              <w:pStyle w:val="Normal6a"/>
            </w:pPr>
            <w:r>
              <w:rPr>
                <w:vertAlign w:val="superscript"/>
              </w:rPr>
              <w:t>76</w:t>
            </w:r>
            <w:r>
              <w:t xml:space="preserve"> </w:t>
            </w:r>
            <w:r>
              <w:t>Decyzja Rady 2008/976/WSiSW z dnia 16 grudnia 2008 r. w sprawie Europejskiej Sieci Sądowej (Dz.U. L 348 z 24.12.2008, s. 130).</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Uzasadnienie</w:t>
      </w:r>
      <w:r>
        <w:rPr>
          <w:rStyle w:val="HideTWBExt"/>
        </w:rPr>
        <w:t>&lt;/TitreJust&gt;</w:t>
      </w:r>
    </w:p>
    <w:p>
      <w:pPr>
        <w:pStyle w:val="AmJustText"/>
      </w:pPr>
      <w:r>
        <w:t>Informacje, które mają być zebrane, mogą mieć znaczenie dla podejrzanych i ich doradców prawnych.</w:t>
      </w:r>
      <w:r>
        <w:t xml:space="preserve"> </w:t>
      </w:r>
      <w:r>
        <w:t>W związku z tym, aby zapewnić równość broni, tekst powinien zostać zmieniony w taki sposób, aby informacje były dla nich dostępne i aktualizowane.</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756.024</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76</w:t>
    </w:r>
    <w:r>
      <w:fldChar w:fldCharType="end"/>
    </w:r>
    <w:r>
      <w:t>/</w:t>
    </w:r>
    <w:r>
      <w:fldChar w:fldCharType="begin"/>
    </w:r>
    <w:r>
      <w:instrText xml:space="preserve"> NUMPAGES </w:instrText>
    </w:r>
    <w:r>
      <w:fldChar w:fldCharType="separate"/>
    </w:r>
    <w:r>
      <w:t>77</w:t>
    </w:r>
    <w:r>
      <w:fldChar w:fldCharType="end"/>
    </w:r>
    <w:r>
      <w:tab/>
    </w:r>
    <w:r>
      <w:rPr>
        <w:rStyle w:val="HideTWBExt"/>
      </w:rPr>
      <w:t>&lt;PathFdR&gt;</w:t>
    </w:r>
    <w:r>
      <w:t>AM\1289747PL.docx</w:t>
    </w:r>
    <w:r>
      <w:rPr>
        <w:rStyle w:val="HideTWBExt"/>
      </w:rPr>
      <w:t>&lt;/PathFdR&gt;</w:t>
    </w:r>
  </w:p>
  <w:p>
    <w:pPr>
      <w:pStyle w:val="EPFooter2"/>
    </w:pPr>
    <w:r>
      <w:t>PL</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AM\1289747PL.docx</w:t>
    </w:r>
    <w:r>
      <w:rPr>
        <w:rStyle w:val="HideTWBExt"/>
      </w:rPr>
      <w:t>&lt;/PathFdR&gt;</w:t>
    </w:r>
    <w:r>
      <w:tab/>
    </w:r>
    <w:r>
      <w:fldChar w:fldCharType="begin"/>
    </w:r>
    <w:r>
      <w:instrText xml:space="preserve"> PAGE </w:instrText>
    </w:r>
    <w:r>
      <w:fldChar w:fldCharType="separate"/>
    </w:r>
    <w:r>
      <w:t>77</w:t>
    </w:r>
    <w:r>
      <w:fldChar w:fldCharType="end"/>
    </w:r>
    <w:r>
      <w:t>/</w:t>
    </w:r>
    <w:r>
      <w:fldChar w:fldCharType="begin"/>
    </w:r>
    <w:r>
      <w:instrText xml:space="preserve"> NUMPAGES </w:instrText>
    </w:r>
    <w:r>
      <w:fldChar w:fldCharType="separate"/>
    </w:r>
    <w:r>
      <w:t>77</w:t>
    </w:r>
    <w:r>
      <w:fldChar w:fldCharType="end"/>
    </w:r>
    <w:r>
      <w:tab/>
    </w:r>
    <w:r>
      <w:t>PE</w:t>
    </w:r>
    <w:r>
      <w:rPr>
        <w:rStyle w:val="HideTWBExt"/>
      </w:rPr>
      <w:t>&lt;NoPE&gt;</w:t>
    </w:r>
    <w:r>
      <w:t>756.024</w:t>
    </w:r>
    <w:r>
      <w:rPr>
        <w:rStyle w:val="HideTWBExt"/>
      </w:rPr>
      <w:t>&lt;/NoPE&gt;</w:t>
    </w:r>
    <w:r>
      <w:rPr>
        <w:rStyle w:val="HideTWBExt"/>
      </w:rPr>
      <w:t>&lt;Version&gt;</w:t>
    </w:r>
    <w:r>
      <w:t>v01-00</w:t>
    </w:r>
    <w:r>
      <w:rPr>
        <w:rStyle w:val="HideTWBExt"/>
      </w:rPr>
      <w:t>&lt;/Version&gt;</w:t>
    </w:r>
  </w:p>
  <w:p>
    <w:pPr>
      <w:pStyle w:val="EPFooter2"/>
    </w:pPr>
    <w:r>
      <w:tab/>
    </w:r>
    <w:r>
      <w:tab/>
    </w:r>
    <w:r>
      <w:t>PL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AM\1289747PL.docx</w:t>
    </w:r>
    <w:r>
      <w:rPr>
        <w:rStyle w:val="HideTWBExt"/>
      </w:rPr>
      <w:t>&lt;/PathFdR&gt;</w:t>
    </w:r>
    <w:r>
      <w:tab/>
    </w:r>
    <w:r>
      <w:tab/>
    </w:r>
    <w:r>
      <w:t>PE</w:t>
    </w:r>
    <w:r>
      <w:rPr>
        <w:rStyle w:val="HideTWBExt"/>
      </w:rPr>
      <w:t>&lt;NoPE&gt;</w:t>
    </w:r>
    <w:r>
      <w:t>756.024</w:t>
    </w:r>
    <w:r>
      <w:rPr>
        <w:rStyle w:val="HideTWBExt"/>
      </w:rPr>
      <w:t>&lt;/NoPE&gt;</w:t>
    </w:r>
    <w:r>
      <w:rPr>
        <w:rStyle w:val="HideTWBExt"/>
      </w:rPr>
      <w:t>&lt;Version&gt;</w:t>
    </w:r>
    <w:r>
      <w:t>v01-00</w:t>
    </w:r>
    <w:r>
      <w:rPr>
        <w:rStyle w:val="HideTWBExt"/>
      </w:rPr>
      <w:t>&lt;/Version&gt;</w:t>
    </w:r>
  </w:p>
  <w:p>
    <w:pPr>
      <w:pStyle w:val="EPFooter2"/>
    </w:pPr>
    <w:r>
      <w:t>PL</w:t>
    </w:r>
    <w:r>
      <w:tab/>
    </w:r>
    <w:r>
      <w:rPr>
        <w:rStyle w:val="EPFooter2Motto"/>
      </w:rPr>
      <w:t>Zjednoczona w różnorodności</w:t>
    </w:r>
    <w:r>
      <w:tab/>
    </w:r>
    <w:r>
      <w:t>PL</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EPName">
    <w:name w:val="EPName"/>
    <w:basedOn w:val="Normal"/>
    <w:pPr>
      <w:widowControl w:val="0"/>
      <w:spacing w:before="80" w:after="80"/>
    </w:pPr>
    <w:rPr>
      <w:rFonts w:ascii="Arial Narrow" w:eastAsia="Arial" w:hAnsi="Arial Narrow" w:cs="Arial"/>
      <w:b/>
      <w:sz w:val="32"/>
    </w:rPr>
  </w:style>
  <w:style w:type="paragraph" w:customStyle="1" w:styleId="CoverNormal24a">
    <w:name w:val="CoverNormal24a"/>
    <w:basedOn w:val="Normal"/>
    <w:pPr>
      <w:widowControl w:val="0"/>
      <w:spacing w:after="480"/>
      <w:ind w:left="1416"/>
    </w:pPr>
  </w:style>
  <w:style w:type="paragraph" w:customStyle="1" w:styleId="CoverNormal">
    <w:name w:val="CoverNormal"/>
    <w:basedOn w:val="Normal"/>
    <w:pPr>
      <w:widowControl w:val="0"/>
      <w:ind w:left="1418"/>
    </w:pPr>
  </w:style>
  <w:style w:type="paragraph" w:customStyle="1" w:styleId="CoverReference">
    <w:name w:val="CoverReference"/>
    <w:basedOn w:val="Normal"/>
    <w:pPr>
      <w:widowControl w:val="0"/>
      <w:spacing w:before="1080"/>
      <w:jc w:val="right"/>
    </w:pPr>
    <w:rPr>
      <w:rFonts w:ascii="Arial" w:eastAsia="Arial" w:hAnsi="Arial" w:cs="Arial"/>
      <w:b/>
    </w:rPr>
  </w:style>
  <w:style w:type="paragraph" w:customStyle="1" w:styleId="CoverDocType">
    <w:name w:val="CoverDocType"/>
    <w:basedOn w:val="Normal"/>
    <w:pPr>
      <w:widowControl w:val="0"/>
      <w:ind w:left="1418"/>
    </w:pPr>
    <w:rPr>
      <w:rFonts w:ascii="Arial" w:hAnsi="Arial"/>
      <w:b/>
      <w:sz w:val="48"/>
    </w:rPr>
  </w:style>
  <w:style w:type="paragraph" w:customStyle="1" w:styleId="CoverDate">
    <w:name w:val="CoverDate"/>
    <w:basedOn w:val="Normal"/>
    <w:pPr>
      <w:widowControl w:val="0"/>
      <w:spacing w:before="240" w:after="1200"/>
    </w:pPr>
  </w:style>
  <w:style w:type="paragraph" w:customStyle="1" w:styleId="CoverDocType24a">
    <w:name w:val="CoverDocType24a"/>
    <w:basedOn w:val="Normal"/>
    <w:pPr>
      <w:widowControl w:val="0"/>
      <w:spacing w:after="480"/>
      <w:ind w:left="1416"/>
    </w:pPr>
    <w:rPr>
      <w:rFonts w:ascii="Arial" w:eastAsia="Arial" w:hAnsi="Arial" w:cs="Arial"/>
      <w:b/>
      <w:sz w:val="48"/>
    </w:rPr>
  </w:style>
  <w:style w:type="paragraph" w:customStyle="1" w:styleId="EPBody">
    <w:name w:val="EPBody"/>
    <w:basedOn w:val="Normal"/>
    <w:pPr>
      <w:widowControl w:val="0"/>
      <w:jc w:val="center"/>
    </w:pPr>
    <w:rPr>
      <w:rFonts w:ascii="Arial" w:eastAsia="Arial" w:hAnsi="Arial" w:cs="Arial"/>
      <w:i/>
      <w:sz w:val="22"/>
    </w:rPr>
  </w:style>
  <w:style w:type="paragraph" w:customStyle="1" w:styleId="CoverBold">
    <w:name w:val="CoverBold"/>
    <w:basedOn w:val="Normal"/>
    <w:pPr>
      <w:widowControl w:val="0"/>
      <w:ind w:left="1416"/>
    </w:pPr>
    <w:rPr>
      <w:b/>
    </w:rPr>
  </w:style>
  <w:style w:type="paragraph" w:customStyle="1" w:styleId="LineTop">
    <w:name w:val="LineTop"/>
    <w:basedOn w:val="Normal"/>
    <w:next w:val="Normal"/>
    <w:pPr>
      <w:widowControl w:val="0"/>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val="0"/>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val="0"/>
      <w:spacing w:after="80"/>
    </w:pPr>
    <w:rPr>
      <w:rFonts w:ascii="Arial" w:eastAsia="Arial" w:hAnsi="Arial" w:cs="Arial"/>
      <w:sz w:val="20"/>
    </w:rPr>
  </w:style>
  <w:style w:type="paragraph" w:customStyle="1" w:styleId="EPLogo">
    <w:name w:val="EPLogo"/>
    <w:basedOn w:val="Normal"/>
    <w:pPr>
      <w:widowControl w:val="0"/>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val="0"/>
    </w:pPr>
    <w:rPr>
      <w:b/>
    </w:rPr>
  </w:style>
  <w:style w:type="paragraph" w:customStyle="1" w:styleId="AmOrLang">
    <w:name w:val="AmOrLang"/>
    <w:basedOn w:val="Normal"/>
    <w:pPr>
      <w:widowControl w:val="0"/>
      <w:spacing w:before="240" w:after="240"/>
      <w:jc w:val="right"/>
    </w:pPr>
  </w:style>
  <w:style w:type="paragraph" w:customStyle="1" w:styleId="Normal6a">
    <w:name w:val="Normal6a"/>
    <w:basedOn w:val="Normal"/>
    <w:pPr>
      <w:widowControl w:val="0"/>
      <w:spacing w:after="120"/>
    </w:pPr>
  </w:style>
  <w:style w:type="paragraph" w:customStyle="1" w:styleId="AmCrossRef">
    <w:name w:val="AmCrossRef"/>
    <w:basedOn w:val="Normal"/>
    <w:pPr>
      <w:widowControl w:val="0"/>
      <w:spacing w:before="240" w:after="240"/>
      <w:jc w:val="center"/>
    </w:pPr>
    <w:rPr>
      <w:i/>
    </w:rPr>
  </w:style>
  <w:style w:type="paragraph" w:customStyle="1" w:styleId="AmJustTitle">
    <w:name w:val="AmJustTitle"/>
    <w:basedOn w:val="Normal"/>
    <w:next w:val="AmJustText"/>
    <w:pPr>
      <w:keepNext/>
      <w:widowControl w:val="0"/>
      <w:spacing w:before="240" w:after="240"/>
      <w:jc w:val="center"/>
    </w:pPr>
    <w:rPr>
      <w:i/>
    </w:rPr>
  </w:style>
  <w:style w:type="paragraph" w:customStyle="1" w:styleId="AmColumnHeading">
    <w:name w:val="AmColumnHeading"/>
    <w:basedOn w:val="Normal"/>
    <w:pPr>
      <w:widowControl w:val="0"/>
      <w:spacing w:after="240"/>
      <w:jc w:val="center"/>
    </w:pPr>
    <w:rPr>
      <w:i/>
    </w:rPr>
  </w:style>
  <w:style w:type="paragraph" w:customStyle="1" w:styleId="AmJustText">
    <w:name w:val="AmJustText"/>
    <w:basedOn w:val="Normal"/>
    <w:pPr>
      <w:widowControl w:val="0"/>
      <w:spacing w:after="240"/>
    </w:pPr>
    <w:rPr>
      <w:i/>
    </w:rPr>
  </w:style>
  <w:style w:type="paragraph" w:customStyle="1" w:styleId="AmNumberTabs">
    <w:name w:val="AmNumberTabs"/>
    <w:basedOn w:val="Normal"/>
    <w:pPr>
      <w:widowControl w:val="0"/>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val="0"/>
      <w:tabs>
        <w:tab w:val="center" w:pos="4534"/>
        <w:tab w:val="right" w:pos="9070"/>
      </w:tabs>
      <w:spacing w:before="240" w:after="240"/>
    </w:pPr>
    <w:rPr>
      <w:sz w:val="22"/>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pPr>
      <w:widowControl w:val="0"/>
    </w:pPr>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clear" w:color="0000BF" w:fill="0000BF"/>
    </w:rPr>
  </w:style>
  <w:style w:type="paragraph" w:customStyle="1" w:styleId="PMissingStyle">
    <w:name w:val="P_MissingStyle"/>
    <w:basedOn w:val="Normal"/>
    <w:pPr>
      <w:widowControl w:val="0"/>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val="0"/>
      <w:spacing w:after="240"/>
    </w:p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77</Pages>
  <Words>18150</Words>
  <Characters>117639</Characters>
  <Application>Microsoft Office Word</Application>
  <DocSecurity>0</DocSecurity>
  <Lines>1</Lines>
  <Paragraphs>1192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134878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1289747</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35965</vt:lpwstr>
  </property>
  <property fmtid="{D5CDD505-2E9C-101B-9397-08002B2CF9AE}" pid="7" name="dmxml.render.traceId">
    <vt:lpwstr>6566ee5b5aa82fb24e685fb278c2e18a</vt:lpwstr>
  </property>
  <property fmtid="{D5CDD505-2E9C-101B-9397-08002B2CF9AE}" pid="8" name="FooterPath">
    <vt:lpwstr>AM\1289747PL.docx</vt:lpwstr>
  </property>
  <property fmtid="{D5CDD505-2E9C-101B-9397-08002B2CF9AE}" pid="9" name="PE Number">
    <vt:lpwstr>756.024</vt:lpwstr>
  </property>
  <property fmtid="{D5CDD505-2E9C-101B-9397-08002B2CF9AE}" pid="10" name="UID">
    <vt:lpwstr>eu.europa.europarl-DIN1-2023-0000146955_01.00-pl-01.00_text-xml</vt:lpwstr>
  </property>
</Properties>
</file>