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Evropský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pro občanské svobody, spravedlnost a vnitřní věci</w:t>
      </w:r>
      <w:r>
        <w:rPr>
          <w:rStyle w:val="HideTWBExt"/>
        </w:rPr>
        <w:t>&lt;/Commission&gt;</w:t>
      </w:r>
    </w:p>
    <w:p>
      <w:pPr>
        <w:pStyle w:val="LineBottom"/>
      </w:pPr>
      <w:r>
        <w:t xml:space="preserve"> </w:t>
      </w:r>
    </w:p>
    <w:p>
      <w:pPr>
        <w:pStyle w:val="CoverReference"/>
      </w:pPr>
      <w:r>
        <w:rPr>
          <w:rStyle w:val="HideTWBExt"/>
        </w:rPr>
        <w:t>&lt;RefProc&gt;</w:t>
      </w:r>
      <w:r>
        <w:t>2023/0371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{18/03/2024}</w:t>
      </w:r>
      <w:r>
        <w:t>18. 3. 2024</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7</w:t>
      </w:r>
      <w:r>
        <w:t xml:space="preserve"> - </w:t>
      </w:r>
      <w:r>
        <w:t>134</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Matjaž Nemec</w:t>
      </w:r>
      <w:r>
        <w:rPr>
          <w:rStyle w:val="HideTWBExt"/>
        </w:rPr>
        <w:t>&lt;/Rapporteur&gt;</w:t>
      </w:r>
    </w:p>
    <w:p>
      <w:pPr>
        <w:pStyle w:val="CoverNormal24a"/>
      </w:pPr>
      <w:r>
        <w:rPr>
          <w:rStyle w:val="HideTWBExt"/>
        </w:rPr>
        <w:t>&lt;DocRefPE&gt;</w:t>
      </w:r>
      <w:r>
        <w:t>(PE759.070v01-00)</w:t>
      </w:r>
      <w:r>
        <w:rPr>
          <w:rStyle w:val="HideTWBExt"/>
        </w:rPr>
        <w:t>&lt;/DocRefPE&gt;</w:t>
      </w:r>
    </w:p>
    <w:p>
      <w:pPr>
        <w:pStyle w:val="CoverNormal24a"/>
      </w:pPr>
      <w:r>
        <w:rPr>
          <w:rStyle w:val="HideTWBExt"/>
        </w:rPr>
        <w:t>&lt;Titre&gt;</w:t>
      </w:r>
      <w:r>
        <w:t>Změna nařízení (EU) 2018/1806, pokud jde o revizi mechanismu pozastavení</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(COM(2023)0642 – C9-0392/2023 – 2023/0371(COD))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Bezvízový styk přináší Unii i třetím zemím značné výhody.</w:t>
            </w:r>
            <w:r>
              <w:t xml:space="preserve"> </w:t>
            </w:r>
            <w:r>
              <w:rPr>
                <w:b/>
                <w:i/>
              </w:rPr>
              <w:t>Hospodářské, sociální a kulturní vztahy se třetími zeměmi vytvářejí prosperitu a zakládají Unii jako otevřený a svobodný blok.</w:t>
            </w:r>
            <w:r>
              <w:t xml:space="preserve"> </w:t>
            </w:r>
            <w:r>
              <w:rPr>
                <w:b/>
                <w:i/>
              </w:rPr>
              <w:t>Společná vízová politika Unie je v tomto ohledu základem její spolupráce se třetími zeměmi.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Vývoj geopolitického kontextu zároveň přinesl nové výzvy spojené s bezvízovým stykem.</w:t>
            </w:r>
            <w:r>
              <w:t xml:space="preserve"> </w:t>
            </w:r>
            <w:r>
              <w:rPr>
                <w:b/>
                <w:i/>
              </w:rPr>
              <w:t>Zneužívání a bezpečnostní rizika vyplývající z bezvízového styku s EU vyžadují rychlou a adekvátní reakci.</w:t>
            </w:r>
            <w:r>
              <w:t xml:space="preserve"> </w:t>
            </w:r>
            <w:r>
              <w:rPr>
                <w:b/>
                <w:i/>
              </w:rPr>
              <w:t>Je nezbytné, aby Unie byla na tyto výzvy patřičně vybavena.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Mechanismus dočasného pozastavení osvobození od vízové povinnosti pro státní příslušníky třetích zemí uvedených na seznamu v příloze II nařízení (EU) 2018/1806 (dále jen „mechanismus pozastavení“) by měl být posílen, aby Unie měla k dispozici účinnější ochranný mechanismus zaměřený na předcházení širšímu spektru rizik nelegální migrace a rizik pro veřejný pořádek a bezpečnost plynoucích ze třetích zemí uvedených na seznamu v uvedené příloze II, jakož i možnému zneužívání osvobození od vízové povinnosti prostřednictvím uplatňování režimů občanství pro investory těmito třetími zeměmi.</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Mechanismus dočasného pozastavení osvobození od vízové povinnosti pro státní příslušníky třetích zemí uvedených na seznamu v příloze II nařízení (EU) 2018/1806 (dále jen „mechanismus pozastavení“) </w:t>
            </w:r>
            <w:r>
              <w:rPr>
                <w:b/>
                <w:i/>
              </w:rPr>
              <w:t>by měl být</w:t>
            </w:r>
            <w:r>
              <w:t xml:space="preserve"> posílen, aby Unie měla k dispozici účinnější ochranný mechanismus zaměřený na předcházení širšímu spektru rizik nelegální migrace a rizik pro veřejný pořádek a bezpečnost plynoucích ze třetích zemí uvedených na seznamu v uvedené příloze II</w:t>
            </w:r>
            <w:r>
              <w:rPr>
                <w:b/>
                <w:i/>
              </w:rPr>
              <w:t>, jakož</w:t>
            </w:r>
            <w:r>
              <w:t xml:space="preserve"> i možnému zneužívání osvobození od vízové povinnosti prostřednictvím uplatňování režimů občanství pro investory těmito třetími zeměmi.</w:t>
            </w:r>
          </w:p>
        </w:tc>
        <w:tc>
          <w:tcPr>
            <w:tcW w:w="4876" w:type="dxa"/>
          </w:tcPr>
          <w:p>
            <w:pPr>
              <w:pStyle w:val="Normal6a"/>
            </w:pPr>
            <w:r>
              <w:t>(2)</w:t>
            </w:r>
            <w:r>
              <w:tab/>
            </w:r>
            <w:r>
              <w:rPr>
                <w:b/>
                <w:i/>
              </w:rPr>
              <w:t>Z tohoto důvodu by měl být</w:t>
            </w:r>
            <w:r>
              <w:t xml:space="preserve"> mechanismus dočasného pozastavení osvobození od vízové povinnosti pro státní příslušníky třetích zemí uvedených na seznamu v příloze II nařízení (EU) 2018/1806 (dále jen „mechanismus pozastavení“) posílen, aby Unie měla k dispozici účinnější ochranný mechanismus zaměřený na předcházení širšímu spektru rizik nelegální migrace a rizik pro veřejný pořádek a bezpečnost plynoucích ze třetích zemí uvedených na seznamu v uvedené příloze II </w:t>
            </w:r>
            <w:r>
              <w:rPr>
                <w:b/>
                <w:i/>
              </w:rPr>
              <w:t>nebo</w:t>
            </w:r>
            <w:r>
              <w:t xml:space="preserve"> i možnému zneužívání osvobození od vízové povinnosti prostřednictvím uplatňování režimů občanství pro investory těmito třetími zeměmi</w:t>
            </w:r>
            <w:r>
              <w:rPr>
                <w:b/>
                <w:i/>
              </w:rPr>
              <w:t>, a rovněž jako diplomatický nástroj po výrazném zhoršení vnějších vztahů s příslušnými třetími zeměmi.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Mechanismus dočasného pozastavení osvobození od vízové povinnosti pro státní příslušníky třetích zemí uvedených na seznamu v příloze II nařízení (EU) 2018/1806 (dále jen „mechanismus pozastavení“) by měl být posílen, aby Unie měla k dispozici účinnější ochranný mechanismus zaměřený na </w:t>
            </w:r>
            <w:r>
              <w:rPr>
                <w:b/>
                <w:i/>
              </w:rPr>
              <w:t>předcházení širšímu spektru rizik nelegální migrace a rizik pro veřejný pořádek a bezpečnost plynoucích ze třetích zemí uvedených na seznamu v uvedené příloze II, jakož i možnému</w:t>
            </w:r>
            <w:r>
              <w:t xml:space="preserve"> zneužívání osvobození od vízové povinnosti prostřednictvím uplatňování režimů občanství pro investory těmito třetími zeměmi.</w:t>
            </w:r>
          </w:p>
        </w:tc>
        <w:tc>
          <w:tcPr>
            <w:tcW w:w="4876" w:type="dxa"/>
          </w:tcPr>
          <w:p>
            <w:pPr>
              <w:pStyle w:val="Normal6a"/>
            </w:pPr>
            <w:r>
              <w:t>(2)</w:t>
            </w:r>
            <w:r>
              <w:tab/>
            </w:r>
            <w:r>
              <w:t xml:space="preserve">Mechanismus dočasného pozastavení osvobození od vízové povinnosti pro státní příslušníky třetích zemí uvedených na seznamu v příloze II nařízení (EU) 2018/1806 (dále jen „mechanismus pozastavení“) by měl být posílen, aby Unie měla k dispozici účinnější ochranný mechanismus zaměřený na </w:t>
            </w:r>
            <w:r>
              <w:rPr>
                <w:b/>
                <w:i/>
              </w:rPr>
              <w:t>prevenci</w:t>
            </w:r>
            <w:r>
              <w:t xml:space="preserve"> zneužívání osvobození od vízové povinnosti prostřednictvím uplatňování režimů občanství pro investory těmito třetími zeměmi.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Mělo by být rovněž možné spustit mechanismus pozastavení v případě závažného porušení zásad Charty Organizace spojených národů ze strany třetí země nebo v případě závažného porušení závazků vyplývajících z mezinárodního práva v oblasti lidských práv nebo mezinárodního humanitárního práva s ohledem na zásady, kterými se řídí vnější činnost EU, jak je zakotveno v čl. 21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t>Využívání mechanismu pozastavení by mělo být usnadněno zejména rozšířením možných důvodů pro pozastavení</w:t>
            </w:r>
            <w:r>
              <w:rPr>
                <w:b/>
                <w:i/>
              </w:rPr>
              <w:t>, úpravou příslušných prahových hodnot a postupů</w:t>
            </w:r>
            <w:r>
              <w:t xml:space="preserve"> a posílením povinností Komise v oblasti sledování a podávání zpráv.</w:t>
            </w:r>
          </w:p>
        </w:tc>
        <w:tc>
          <w:tcPr>
            <w:tcW w:w="4876" w:type="dxa"/>
          </w:tcPr>
          <w:p>
            <w:pPr>
              <w:pStyle w:val="Normal6a"/>
            </w:pPr>
            <w:r>
              <w:rPr>
                <w:b/>
                <w:i/>
              </w:rPr>
              <w:t>3)</w:t>
            </w:r>
            <w:r>
              <w:tab/>
            </w:r>
            <w:r>
              <w:t xml:space="preserve">Využívání mechanismu pozastavení by mělo být usnadněno zejména rozšířením možných důvodů pro pozastavení a posílením povinností Komise v oblasti sledování a podávání zpráv. </w:t>
            </w:r>
            <w:r>
              <w:rPr>
                <w:b/>
                <w:i/>
              </w:rPr>
              <w:t>Kromě toho musí Komise posoudit dopad navrhovaného opatření na základě zásady vízové reciprocity, která je obecně zásadou vízové politiky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Využívání mechanismu pozastavení by mělo být usnadněno zejména rozšířením možných důvodů pro</w:t>
            </w:r>
            <w:r>
              <w:t xml:space="preserve"> pozastavení, </w:t>
            </w:r>
            <w:r>
              <w:rPr>
                <w:b/>
                <w:i/>
              </w:rPr>
              <w:t>úpravou příslušných prahových hodnot a postupů a posílením povinností</w:t>
            </w:r>
            <w:r>
              <w:t xml:space="preserve"> Komise v oblasti sledování a podávání zpráv.</w:t>
            </w:r>
          </w:p>
        </w:tc>
        <w:tc>
          <w:tcPr>
            <w:tcW w:w="4876" w:type="dxa"/>
          </w:tcPr>
          <w:p>
            <w:pPr>
              <w:pStyle w:val="Normal6a"/>
            </w:pPr>
            <w:r>
              <w:rPr>
                <w:b/>
                <w:i/>
              </w:rPr>
              <w:t>3)</w:t>
            </w:r>
            <w:r>
              <w:tab/>
            </w:r>
            <w:r>
              <w:rPr>
                <w:b/>
                <w:i/>
              </w:rPr>
              <w:t>Zejména by měla být vyjasněna kritéria pro spuštění mechanismu</w:t>
            </w:r>
            <w:r>
              <w:t xml:space="preserve"> pozastavení, </w:t>
            </w:r>
            <w:r>
              <w:rPr>
                <w:b/>
                <w:i/>
              </w:rPr>
              <w:t>zpřesněny příslušné prahové hodnoty a postupy a posíleny povinnosti</w:t>
            </w:r>
            <w:r>
              <w:t xml:space="preserve"> Komise v oblasti sledování a podávání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t xml:space="preserve">Využívání mechanismu pozastavení by mělo být usnadněno zejména rozšířením možných důvodů pro pozastavení, úpravou příslušných </w:t>
            </w:r>
            <w:r>
              <w:rPr>
                <w:b/>
                <w:i/>
              </w:rPr>
              <w:t>prahových hodnot a</w:t>
            </w:r>
            <w:r>
              <w:t xml:space="preserve"> postupů a posílením povinností Komise v oblasti sledování a podávání zpráv.</w:t>
            </w:r>
          </w:p>
        </w:tc>
        <w:tc>
          <w:tcPr>
            <w:tcW w:w="4876" w:type="dxa"/>
          </w:tcPr>
          <w:p>
            <w:pPr>
              <w:pStyle w:val="Normal6a"/>
            </w:pPr>
            <w:r>
              <w:rPr>
                <w:b/>
                <w:i/>
              </w:rPr>
              <w:t>3)</w:t>
            </w:r>
            <w:r>
              <w:tab/>
            </w:r>
            <w:r>
              <w:t>Využívání mechanismu pozastavení by mělo být usnadněno zejména rozšířením možných důvodů pro pozastavení, úpravou příslušných postupů a posílením povinností Komise v oblasti sledování a podávání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Pokud Komise zvažuje pozastavení osvobození od vízové povinnosti nebo v případech na základě oznámení členského státu, měla by ve svém posouzení zohlednit možný dopad pozastavení na státní příslušníky dotčené třetí země.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Unie uzavřela se zeměmi uvedenými na seznamu v příloze II nařízení (EU) 2018/1806 řadu dohod o zrušení vízové povinnosti pro krátkodobé pobyty, které mohou obsahovat jiné důvody pro pozastavení nebo jiné postupy, než jsou důvody nebo postupy stanovené v mechanismu pozastavení, a v budoucnu by mohla uzavírat další takové dohody.</w:t>
            </w:r>
            <w:r>
              <w:t xml:space="preserve"> </w:t>
            </w:r>
            <w:r>
              <w:rPr>
                <w:b/>
                <w:i/>
              </w:rPr>
              <w:t>Jelikož Unie dodržuje mezinárodní dohody, a je tudíž těmito dohodami vázána, místo příslušných ustanovení mechanismu pozastavení by se měla použít příslušná odlišná ustanovení uvedená v těchto dohodách.</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Unie uzavřela se zeměmi uvedenými na seznamu v příloze II nařízení (EU) 2018/1806 řadu dohod o zrušení vízové povinnosti pro krátkodobé pobyty, které mohou obsahovat jiné důvody pro pozastavení nebo jiné postupy, než jsou důvody nebo postupy stanovené v mechanismu pozastavení</w:t>
            </w:r>
            <w:r>
              <w:rPr>
                <w:b/>
                <w:i/>
              </w:rPr>
              <w:t>, a v budoucnu by mohla uzavírat další takové dohody.</w:t>
            </w:r>
            <w:r>
              <w:t xml:space="preserve"> </w:t>
            </w:r>
            <w:r>
              <w:rPr>
                <w:b/>
                <w:i/>
              </w:rPr>
              <w:t>Jelikož Unie dodržuje mezinárodní dohody, a je tudíž těmito dohodami vázána, místo příslušných ustanovení mechanismu</w:t>
            </w:r>
            <w:r>
              <w:t xml:space="preserve"> pozastavení </w:t>
            </w:r>
            <w:r>
              <w:rPr>
                <w:b/>
                <w:i/>
              </w:rPr>
              <w:t>by se měla použít příslušná odlišná ustanovení uvedená v</w:t>
            </w:r>
            <w:r>
              <w:t xml:space="preserve"> těchto </w:t>
            </w:r>
            <w:r>
              <w:rPr>
                <w:b/>
                <w:i/>
              </w:rPr>
              <w:t>dohodách</w:t>
            </w:r>
            <w:r>
              <w:t>.</w:t>
            </w:r>
          </w:p>
        </w:tc>
        <w:tc>
          <w:tcPr>
            <w:tcW w:w="4876" w:type="dxa"/>
          </w:tcPr>
          <w:p>
            <w:pPr>
              <w:pStyle w:val="Normal6a"/>
            </w:pPr>
            <w:r>
              <w:t>(4)</w:t>
            </w:r>
            <w:r>
              <w:tab/>
            </w:r>
            <w:r>
              <w:t>Unie uzavřela se zeměmi uvedenými na seznamu v příloze II nařízení (EU) 2018/1806 řadu dohod o zrušení vízové povinnosti pro krátkodobé pobyty, které mohou obsahovat jiné důvody pro pozastavení nebo jiné postupy, než jsou důvody nebo postupy stanovené v mechanismu pozastavení</w:t>
            </w:r>
            <w:r>
              <w:rPr>
                <w:b/>
                <w:i/>
              </w:rPr>
              <w:t>.</w:t>
            </w:r>
            <w:r>
              <w:t xml:space="preserve"> </w:t>
            </w:r>
            <w:r>
              <w:rPr>
                <w:b/>
                <w:i/>
              </w:rPr>
              <w:t>Unie by měla mít možnost pozastavit bezvízový režim, a to i na úrovni práva Unie, proto by v mechanismu pozastavení měly být uvedeny příslušné důvody pro</w:t>
            </w:r>
            <w:r>
              <w:t xml:space="preserve"> pozastavení </w:t>
            </w:r>
            <w:r>
              <w:rPr>
                <w:b/>
                <w:i/>
              </w:rPr>
              <w:t>v těchto dohodách.</w:t>
            </w:r>
            <w:r>
              <w:t xml:space="preserve"> </w:t>
            </w:r>
            <w:r>
              <w:rPr>
                <w:b/>
                <w:i/>
              </w:rPr>
              <w:t>Použití důvodů pro pozastavení stanovených v dohodách o zrušení vízové povinnosti pro krátkodobé pobyty by však mělo být omezeno na oblast působnosti</w:t>
            </w:r>
            <w:r>
              <w:t xml:space="preserve"> těchto </w:t>
            </w:r>
            <w:r>
              <w:rPr>
                <w:b/>
                <w:i/>
              </w:rPr>
              <w:t>dohod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Mechanismus pozastavení by měl zajistit ochranu před ohrožením veřejného pořádku a bezpečnosti.</w:t>
            </w:r>
            <w:r>
              <w:t xml:space="preserve"> </w:t>
            </w:r>
            <w:r>
              <w:rPr>
                <w:b/>
                <w:i/>
              </w:rPr>
              <w:t>To zahrnuje bezprostřední rizika pro vnitřní bezpečnost Unie, jako je terorismus, organizovaný zločin, kybernetické útoky a obchod s lidmi, drogami a zbraněmi.</w:t>
            </w:r>
            <w:r>
              <w:t xml:space="preserve"> </w:t>
            </w:r>
            <w:r>
              <w:rPr>
                <w:b/>
                <w:i/>
              </w:rPr>
              <w:t>Pokud jde o vnější rozměr vnitřní bezpečnosti, měly by být zohledněny priority stanovené evropskou multidisciplinární platforma pro boj proti hrozbám vyplývajícím z trestné činnosti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Evropská rada ve svých závěrech ze dne 22. října 2021 vyzvala Komisi, aby navrhla případné nezbytné změny právního rámce Unie a konkrétní opatření s cílem zajistit okamžitou a odpovídající reakci na hybridní hrozby v souladu s právními předpisy Unie a mezinárodními závazky.</w:t>
            </w:r>
            <w:r>
              <w:t xml:space="preserve"> </w:t>
            </w:r>
            <w:r>
              <w:rPr>
                <w:b/>
                <w:i/>
              </w:rPr>
              <w:t>Proto by mělo být možné spustit mechanismus pozastavení v případě rizik nebo hrozeb pro veřejný pořádek nebo vnitřní bezpečnost členských států vyplývajících z hybridních hrozeb, jako jsou situace státem podporovaného účelového využívání migrantů s cílem destabilizovat nebo narušit společnost a klíčové instituce.</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Evropská rada ve svých závěrech ze dne 22. října 2021 vyzvala Komisi, aby navrhla případné nezbytné změny právního rámce Unie a konkrétní opatření s cílem zajistit okamžitou a odpovídající reakci na hybridní hrozby v souladu s právními předpisy Unie a mezinárodními závazky.</w:t>
            </w:r>
            <w:r>
              <w:t xml:space="preserve"> </w:t>
            </w:r>
            <w:r>
              <w:rPr>
                <w:b/>
                <w:i/>
              </w:rPr>
              <w:t>Proto by mělo být možné spustit mechanismus pozastavení v případě rizik nebo hrozeb pro veřejný pořádek nebo vnitřní bezpečnost členských států vyplývajících z hybridních hrozeb, jako jsou situace státem podporovaného účelového využívání migrantů s cílem destabilizovat nebo narušit společnost a klíčové instituce.</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Evropská rada ve svých závěrech ze dne 22. října 2021 vyzvala Komisi, aby navrhla případné nezbytné změny právního rámce Unie a konkrétní opatření s cílem zajistit okamžitou a odpovídající reakci na hybridní hrozby v souladu s právními předpisy Unie a mezinárodními závazky. Proto by mělo být možné spustit mechanismus pozastavení v případě rizik nebo hrozeb pro veřejný pořádek nebo vnitřní bezpečnost členských států vyplývajících z hybridních hrozeb, jako jsou situace státem podporovaného účelového využívání migrantů s cílem destabilizovat nebo narušit společnost a klíčové instituce.</w:t>
            </w:r>
          </w:p>
        </w:tc>
        <w:tc>
          <w:tcPr>
            <w:tcW w:w="4876" w:type="dxa"/>
          </w:tcPr>
          <w:p>
            <w:pPr>
              <w:pStyle w:val="Normal6a"/>
            </w:pPr>
            <w:r>
              <w:t>(5)</w:t>
            </w:r>
            <w:r>
              <w:tab/>
            </w:r>
            <w:r>
              <w:t>Evropská rada ve svých závěrech ze dne 22. října 2021 vyzvala Komisi, aby navrhla případné nezbytné změny právního rámce Unie a konkrétní opatření s cílem zajistit okamžitou a odpovídající reakci na hybridní hrozby v souladu s právními předpisy Unie a mezinárodními závazky. Proto by mělo být možné spustit mechanismus pozastavení v případě rizik nebo hrozeb pro veřejný pořádek nebo vnitřní bezpečnost členských států vyplývajících z hybridních hrozeb, jako jsou situace státem podporovaného účelového využívání migrantů s cílem destabilizovat nebo narušit společnost a klíčové instituce</w:t>
            </w:r>
            <w:r>
              <w:rPr>
                <w:b/>
                <w:i/>
              </w:rPr>
              <w:t>, jak je uvedeno v čl. 1 odst. 4 písm. b) prvním pododstavci krizového nařízení.</w:t>
            </w:r>
            <w:r>
              <w:t xml:space="preserve"> </w:t>
            </w:r>
            <w:r>
              <w:rPr>
                <w:b/>
                <w:i/>
              </w:rPr>
              <w:t>Takové hrozby pro veřejný pořádek nebo vnitřní bezpečnost členských států vyplývající z hybridních hrozeb se mohou týkat také tajných zahraničních zásahů do politických procesů, kybernetických operací a hospodářské špionáže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Evropská rada ve svých závěrech ze dne 22. října 2021 vyzvala Komisi, aby navrhla případné nezbytné změny právního rámce Unie a konkrétní opatření s cílem zajistit okamžitou a odpovídající reakci na </w:t>
            </w:r>
            <w:r>
              <w:rPr>
                <w:b/>
                <w:i/>
              </w:rPr>
              <w:t>hybridní hrozby</w:t>
            </w:r>
            <w:r>
              <w:t xml:space="preserve"> v souladu s právními předpisy Unie a mezinárodními závazky. </w:t>
            </w:r>
            <w:r>
              <w:rPr>
                <w:b/>
                <w:i/>
              </w:rPr>
              <w:t>Proto by mělo být možné spustit mechanismus pozastavení v případě rizik nebo hrozeb pro veřejný pořádek nebo vnitřní bezpečnost členských států vyplývajících z hybridních hrozeb, jako jsou situace státem podporovaného účelového využívání migrantů s cílem destabilizovat nebo narušit společnost a klíčové instituce.</w:t>
            </w:r>
          </w:p>
        </w:tc>
        <w:tc>
          <w:tcPr>
            <w:tcW w:w="4876" w:type="dxa"/>
          </w:tcPr>
          <w:p>
            <w:pPr>
              <w:pStyle w:val="Normal6a"/>
            </w:pPr>
            <w:r>
              <w:t>(5)</w:t>
            </w:r>
            <w:r>
              <w:tab/>
            </w:r>
            <w:r>
              <w:t xml:space="preserve">Evropská rada ve svých závěrech ze dne 22. října 2021 vyzvala Komisi, aby navrhla případné nezbytné změny právního rámce Unie a konkrétní opatření s cílem zajistit okamžitou a odpovídající reakci na </w:t>
            </w:r>
            <w:r>
              <w:rPr>
                <w:b/>
                <w:i/>
              </w:rPr>
              <w:t>příslušné výzvy</w:t>
            </w:r>
            <w:r>
              <w:t xml:space="preserve"> v souladu s právními předpisy Unie a mezinárodními závazky.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Je také důležité, aby byla dodržena bezpečnost dokumentů v souladu s normami Evropské unie.</w:t>
            </w:r>
            <w:r>
              <w:t xml:space="preserve"> </w:t>
            </w:r>
            <w:r>
              <w:rPr>
                <w:b/>
                <w:i/>
              </w:rPr>
              <w:t>Unie zavedla pokročilé bezpečnostní prvky a biometrické požadavky na cestovní doklady.</w:t>
            </w:r>
            <w:r>
              <w:t xml:space="preserve"> </w:t>
            </w:r>
            <w:r>
              <w:rPr>
                <w:b/>
                <w:i/>
              </w:rPr>
              <w:t>Tato opatření zabraňují padělání a pozměňování cestovních dokladů a vytvářejí spolehlivé spojení mezi dokladem a jeho držitelem.</w:t>
            </w:r>
            <w:r>
              <w:t xml:space="preserve"> </w:t>
            </w:r>
            <w:r>
              <w:rPr>
                <w:b/>
                <w:i/>
              </w:rPr>
              <w:t>Pro zajištění platných a důvěryhodných cestovních dokladů by měly země uvedené v příloze II vydávat odpovídající dokumenty.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(6)</w:t>
            </w:r>
            <w:r>
              <w:tab/>
            </w:r>
            <w:r>
              <w:t>Režimy občanství pro investory uplatňované třetími zeměmi uvedenými na seznamu v příloze II nařízení (EU) 2018/1806 umožňují státním příslušníkům třetích zemí, kteří by jinak měli vízovou povinnost, cestovat do Unie bez víz. V rámci režimu občanství pro investory se občanství uděluje výměnou za předem stanovené platby nebo investice bez skutečné vazby na danou třetí zemi. Unie sice respektuje právo svrchovaných států rozhodovat o svých vlastních naturalizačních postupech, ale třetí země s bezvízovým stykem by měly být odrazovány od využívání bezvízového styku s Unií jako nástroje pro získávání individuálních investic výměnou za své občanství. Aby se zabránilo zneužívání bezvízového styku s Unií k tomuto účelu, mělo by být možné pozastavit osvobození od vízové povinnosti pro třetí zemi, která se rozhodne uplatňovat takové režimy občanství pro investory, v jejichž rámci je občanství udělováno bez skutečné vazby na danou třetí zemi.</w:t>
            </w:r>
          </w:p>
        </w:tc>
        <w:tc>
          <w:tcPr>
            <w:tcW w:w="4876" w:type="dxa"/>
          </w:tcPr>
          <w:p>
            <w:pPr>
              <w:pStyle w:val="Normal6a"/>
            </w:pPr>
            <w:r>
              <w:rPr>
                <w:b/>
                <w:i/>
              </w:rPr>
              <w:t>6)</w:t>
            </w:r>
            <w:r>
              <w:tab/>
            </w:r>
            <w:r>
              <w:t>Režimy občanství pro investory uplatňované třetími zeměmi uvedenými na seznamu v příloze II nařízení (EU) 2018/1806 umožňují státním příslušníkům třetích zemí, kteří by jinak měli vízovou povinnost, cestovat do Unie bez víz. V rámci režimu občanství pro investory se občanství uděluje výměnou za předem stanovené platby nebo investice bez skutečné vazby na danou třetí zemi. Unie sice respektuje právo svrchovaných států rozhodovat o svých vlastních naturalizačních postupech, ale třetí země s bezvízovým stykem by měly být odrazovány od využívání bezvízového styku s Unií jako nástroje pro získávání individuálních investic výměnou za své občanství</w:t>
            </w:r>
            <w:r>
              <w:rPr>
                <w:b/>
                <w:i/>
              </w:rPr>
              <w:t>.</w:t>
            </w:r>
            <w:r>
              <w:t xml:space="preserve"> </w:t>
            </w:r>
            <w:r>
              <w:rPr>
                <w:b/>
                <w:i/>
              </w:rPr>
              <w:t>Nedostatek komplexních bezpečnostních prověrek, postupů prověřování a náležité péče představuje pro občany Unie několik vážných bezpečnostních rizik, například rizik vyplývajících z praní špinavých peněz a korupce</w:t>
            </w:r>
            <w:r>
              <w:t>. Aby se zabránilo zneužívání bezvízového styku s Unií k tomuto účelu, mělo by být možné pozastavit osvobození od vízové povinnosti pro třetí zemi, která se rozhodne uplatňovat takové režimy občanství pro investory, v jejichž rámci je občanství udělováno bez skutečné vazby na danou třetí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Spuštění mechanismu pozastavení by mělo být posuzováno v širším kontextu vztahů Unie s příslušnou třetí zemí.</w:t>
            </w:r>
            <w:r>
              <w:t xml:space="preserve"> </w:t>
            </w:r>
            <w:r>
              <w:rPr>
                <w:b/>
                <w:i/>
              </w:rPr>
              <w:t>Zvláštní pozornost by měla být věnována diplomatickým a vnějším vztahům Unie se třetími zeměmi.</w:t>
            </w:r>
            <w:r>
              <w:t xml:space="preserve"> </w:t>
            </w:r>
            <w:r>
              <w:rPr>
                <w:b/>
                <w:i/>
              </w:rPr>
              <w:t>To zahrnuje ohledy na lidská práva a základní svobody, porušování dvoustranných dohod mezi Unií a třetími zeměmi, nepřátelské činy vůči Unii nebo členským státům a nedodržování nebo nepřizpůsobení se příslušným sankcím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Pokud vízová politika třetí země uvedené na seznamu v příloze II nařízení (EU) 2018/1806 není v souladu s vízovou politikou Unie, pokud jde o seznam třetích zemí, jejichž státní příslušníci jsou povinni mít při překračování vnějších hranic členských států vízum, mohlo by to vést k nelegální migraci do Unie, zejména pokud se dotčená třetí země nachází v těsné zeměpisné blízkosti Unie.</w:t>
            </w:r>
            <w:r>
              <w:t xml:space="preserve"> </w:t>
            </w:r>
            <w:r>
              <w:rPr>
                <w:b/>
                <w:i/>
              </w:rPr>
              <w:t>Proto by mělo být možné spustit mechanismus pozastavení, pokud Komise na základě posouzení dojde k závěru, že existuje riziko podstatného nárůstu počtu státních příslušníků jiných třetích zemí, než je daná třetí země, kteří legálně přicestují na území této třetí země a poté neoprávněně vstoupí na území členských států.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Pokud vízová politika třetí země uvedené na seznamu v příloze II nařízení (EU) 2018/1806 není v souladu s vízovou politikou Unie, pokud jde o seznam třetích zemí, jejichž státní příslušníci jsou povinni mít při překračování vnějších hranic členských států vízum, mohlo by to vést k nelegální migraci do Unie, zejména pokud se dotčená třetí země nachází v těsné zeměpisné blízkosti Unie.</w:t>
            </w:r>
            <w:r>
              <w:t xml:space="preserve"> </w:t>
            </w:r>
            <w:r>
              <w:rPr>
                <w:b/>
                <w:i/>
              </w:rPr>
              <w:t>Proto by mělo být možné spustit mechanismus pozastavení, pokud Komise na základě posouzení dojde k závěru, že existuje riziko podstatného nárůstu počtu státních příslušníků jiných třetích zemí, než je daná třetí země, kteří legálně přicestují na území této třetí země a poté neoprávněně vstoupí na území členských států.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Pokud vízová politika třetí země uvedené na seznamu v příloze II nařízení (EU) 2018/1806 není v souladu s vízovou politikou Unie, pokud jde o seznam třetích zemí, jejichž státní příslušníci jsou povinni mít při překračování vnějších hranic členských států vízum, mohlo by to vést k nelegální migraci do Unie, zejména pokud se dotčená třetí země nachází v těsné zeměpisné blízkosti Unie. Proto by mělo být možné spustit mechanismus pozastavení, pokud Komise na základě posouzení dojde k závěru, že existuje </w:t>
            </w:r>
            <w:r>
              <w:rPr>
                <w:b/>
                <w:i/>
              </w:rPr>
              <w:t>riziko podstatného nárůstu</w:t>
            </w:r>
            <w:r>
              <w:t xml:space="preserve"> počtu státních příslušníků jiných třetích zemí, než je daná třetí země, kteří legálně přicestují na území této třetí země a poté neoprávněně vstoupí na území členských států.</w:t>
            </w:r>
          </w:p>
        </w:tc>
        <w:tc>
          <w:tcPr>
            <w:tcW w:w="4876" w:type="dxa"/>
          </w:tcPr>
          <w:p>
            <w:pPr>
              <w:pStyle w:val="Normal6a"/>
            </w:pPr>
            <w:r>
              <w:t>(7)</w:t>
            </w:r>
            <w:r>
              <w:tab/>
            </w:r>
            <w:r>
              <w:t xml:space="preserve">Pokud vízová politika třetí země uvedené na seznamu v příloze II nařízení (EU) 2018/1806 není v souladu s vízovou politikou Unie, pokud jde o seznam třetích zemí, jejichž státní příslušníci jsou povinni mít při překračování vnějších hranic členských států vízum, mohlo by to vést k nelegální migraci do Unie, zejména pokud se dotčená třetí země nachází v těsné zeměpisné blízkosti Unie. Proto by mělo být možné spustit mechanismus pozastavení, pokud Komise na základě posouzení dojde k závěru, že existuje </w:t>
            </w:r>
            <w:r>
              <w:rPr>
                <w:b/>
                <w:i/>
              </w:rPr>
              <w:t>podstatný nárůst</w:t>
            </w:r>
            <w:r>
              <w:t xml:space="preserve"> počtu státních příslušníků jiných třetích zemí, než je daná třetí země, kteří legálně přicestují na území této třetí země a poté neoprávněně vstoupí na území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Prahové hodnoty pro spuštění mechanismu pozastavení v případě podstatného nárůstu počtu státních příslušníků třetí země, kterým byl odepřen vstup nebo u nichž bylo zjištěno, že pobývají na území členského státu bez oprávnění k pobytu, nebo počtu </w:t>
            </w:r>
            <w:r>
              <w:rPr>
                <w:b/>
                <w:i/>
              </w:rPr>
              <w:t>žádostí o azyl podaných státními příslušníky této třetí země s nízkou mírou uznávání, nebo počtu</w:t>
            </w:r>
            <w:r>
              <w:t xml:space="preserve"> závažných trestných činů spojených se státními příslušníky této třetí země, by měly být předmětem individuálního posouzení </w:t>
            </w:r>
            <w:r>
              <w:rPr>
                <w:b/>
                <w:i/>
              </w:rPr>
              <w:t>ze strany Komise.</w:t>
            </w:r>
            <w:r>
              <w:t xml:space="preserve"> </w:t>
            </w:r>
            <w:r>
              <w:rPr>
                <w:b/>
                <w:i/>
              </w:rPr>
              <w:t>Komise by zejména měla mít možnost posoudit, zda v případech oznámených členskými státy nebo na základě její vlastní analýzy existují zvláštní okolnosti, které by odůvodňovaly použití nižších nebo vyšších prahových hodnot, než jsou uvedeny v příslušných ustanoveních nařízení (EU) 2018/1806.</w:t>
            </w:r>
            <w:r>
              <w:t xml:space="preserve"> </w:t>
            </w:r>
            <w:r>
              <w:rPr>
                <w:b/>
                <w:i/>
              </w:rPr>
              <w:t>Komise by v posouzení měla vzít v úvahu například počet neoprávněných překročení vnějších hranic členských států, neopodstatněných žádostí o azyl nebo trestných činů v poměru k počtu a velikosti dotčených členských států a dopad těchto počtů na celkovou migrační situaci, fungování azylových systémů nebo vnitřní bezpečnost dotčených členských států, jakož i opatření přijatá danou třetí zemí k nápravě situace</w:t>
            </w:r>
            <w:r>
              <w:t>.</w:t>
            </w:r>
          </w:p>
        </w:tc>
        <w:tc>
          <w:tcPr>
            <w:tcW w:w="4876" w:type="dxa"/>
          </w:tcPr>
          <w:p>
            <w:pPr>
              <w:pStyle w:val="Normal6a"/>
            </w:pPr>
            <w:r>
              <w:t>(8)</w:t>
            </w:r>
            <w:r>
              <w:tab/>
            </w:r>
            <w:r>
              <w:t>Prahové hodnoty pro spuštění mechanismu pozastavení v případě podstatného nárůstu počtu státních příslušníků třetí země, kterým byl odepřen vstup nebo u nichž bylo zjištěno, že pobývají na území členského státu bez oprávnění k pobytu, nebo počtu závažných trestných činů spojených se státními příslušníky této třetí země, by měly být předmětem individuálního posouzení.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Prahové hodnoty pro spuštění mechanismu pozastavení v případě podstatného nárůstu počtu státních příslušníků třetí země, kterým byl odepřen vstup nebo u nichž bylo zjištěno, že pobývají na území členského státu bez oprávnění k pobytu, nebo počtu žádostí o azyl podaných státními příslušníky této třetí země s nízkou mírou uznávání</w:t>
            </w:r>
            <w:r>
              <w:rPr>
                <w:b/>
                <w:i/>
              </w:rPr>
              <w:t>, nebo počtu závažných trestných činů spojených se státními příslušníky této třetí země, by měly být předmětem individuálního posouzení ze strany Komise</w:t>
            </w:r>
            <w:r>
              <w:t xml:space="preserve">. Komise by </w:t>
            </w:r>
            <w:r>
              <w:rPr>
                <w:b/>
                <w:i/>
              </w:rPr>
              <w:t>zejména měla mít možnost</w:t>
            </w:r>
            <w:r>
              <w:t xml:space="preserve"> posoudit, zda v případech oznámených členskými státy nebo na základě </w:t>
            </w:r>
            <w:r>
              <w:rPr>
                <w:b/>
                <w:i/>
              </w:rPr>
              <w:t>její</w:t>
            </w:r>
            <w:r>
              <w:t xml:space="preserve"> vlastní analýzy existují zvláštní okolnosti, které by odůvodňovaly použití </w:t>
            </w:r>
            <w:r>
              <w:rPr>
                <w:b/>
                <w:i/>
              </w:rPr>
              <w:t>nižších nebo vyšších prahových hodnot, než jsou uvedeny v příslušných ustanoveních nařízení (EU) 2018/1806.</w:t>
            </w:r>
            <w:r>
              <w:t xml:space="preserve"> </w:t>
            </w:r>
            <w:r>
              <w:rPr>
                <w:b/>
                <w:i/>
              </w:rPr>
              <w:t>Komise by v</w:t>
            </w:r>
            <w:r>
              <w:t xml:space="preserve"> posouzení měla vzít v úvahu </w:t>
            </w:r>
            <w:r>
              <w:rPr>
                <w:b/>
                <w:i/>
              </w:rPr>
              <w:t>například počet neoprávněných překročení vnějších hranic</w:t>
            </w:r>
            <w:r>
              <w:t xml:space="preserve"> členských států</w:t>
            </w:r>
            <w:r>
              <w:rPr>
                <w:b/>
                <w:i/>
              </w:rPr>
              <w:t>, neopodstatněných žádostí o azyl nebo trestných činů v poměru k počtu a velikosti dotčených členských států a dopad těchto počtů na celkovou migrační situaci, fungování azylových systémů nebo vnitřní bezpečnost dotčených členských států, jakož i opatření přijatá danou</w:t>
            </w:r>
            <w:r>
              <w:t xml:space="preserve"> třetí </w:t>
            </w:r>
            <w:r>
              <w:rPr>
                <w:b/>
                <w:i/>
              </w:rPr>
              <w:t>zemí k nápravě situace</w:t>
            </w:r>
            <w:r>
              <w:t>.</w:t>
            </w:r>
          </w:p>
        </w:tc>
        <w:tc>
          <w:tcPr>
            <w:tcW w:w="4876" w:type="dxa"/>
          </w:tcPr>
          <w:p>
            <w:pPr>
              <w:pStyle w:val="Normal6a"/>
            </w:pPr>
            <w:r>
              <w:t>(8)</w:t>
            </w:r>
            <w:r>
              <w:tab/>
            </w:r>
            <w:r>
              <w:t xml:space="preserve">Prahové hodnoty pro spuštění mechanismu pozastavení v případě podstatného nárůstu počtu státních příslušníků třetí země, kterým byl odepřen vstup nebo u nichž bylo zjištěno, že pobývají na území členského státu bez oprávnění k pobytu, nebo počtu žádostí o azyl podaných státními příslušníky této třetí země s nízkou mírou uznávání </w:t>
            </w:r>
            <w:r>
              <w:rPr>
                <w:b/>
                <w:i/>
              </w:rPr>
              <w:t>by měly být jasně stanoveny, aby se předešlo různému výkladu a rizikům nestejných postupů</w:t>
            </w:r>
            <w:r>
              <w:t xml:space="preserve">. Komise by </w:t>
            </w:r>
            <w:r>
              <w:rPr>
                <w:b/>
                <w:i/>
              </w:rPr>
              <w:t>měla zejména</w:t>
            </w:r>
            <w:r>
              <w:t xml:space="preserve"> posoudit, zda v případech oznámených členskými státy nebo na základě vlastní analýzy existují zvláštní okolnosti, které by odůvodňovaly použití </w:t>
            </w:r>
            <w:r>
              <w:rPr>
                <w:b/>
                <w:i/>
              </w:rPr>
              <w:t>příslušných ustanovení nařízení (EU) 2018/1806. Kromě toho by Komise měla s ohledem na dopad, který by pozastavení osvobození od vízové povinnosti mohlo mít na vztahy s dotčenou třetí zemí a na práva jejích státních příslušníků, před přijetím příslušného aktu důkladně posoudit nezbytnost, přiměřenost a důsledky tohoto pozastavení.</w:t>
            </w:r>
            <w:r>
              <w:t xml:space="preserve"> </w:t>
            </w:r>
            <w:r>
              <w:rPr>
                <w:b/>
                <w:i/>
              </w:rPr>
              <w:t>Při provádění tohoto</w:t>
            </w:r>
            <w:r>
              <w:t xml:space="preserve"> posouzení </w:t>
            </w:r>
            <w:r>
              <w:rPr>
                <w:b/>
                <w:i/>
              </w:rPr>
              <w:t>by Komise</w:t>
            </w:r>
            <w:r>
              <w:t xml:space="preserve"> měla vzít v úvahu </w:t>
            </w:r>
            <w:r>
              <w:rPr>
                <w:b/>
                <w:i/>
              </w:rPr>
              <w:t>dopad navrhovaného pozastavení na celkové vnější vztahy Unie a jejích</w:t>
            </w:r>
            <w:r>
              <w:t xml:space="preserve"> členských států </w:t>
            </w:r>
            <w:r>
              <w:rPr>
                <w:b/>
                <w:i/>
              </w:rPr>
              <w:t>s dotčenou třetí zemí, na práva státních příslušníků dotčené třetí země, na zásady vzájemnosti při udělování víz a nediskriminace a posoudit, zda by navrhované pozastavení představovalo vhodné opatření k nápravě situace. Pozornost by měla být věnována rovněž potřebám mobility obránců lidských práv, zejména v případě zhoršení situace v oblasti lidských práv v dotčené</w:t>
            </w:r>
            <w:r>
              <w:t xml:space="preserve"> třetí </w:t>
            </w:r>
            <w:r>
              <w:rPr>
                <w:b/>
                <w:i/>
              </w:rPr>
              <w:t>zemi, a možným rizikům, která by pozastavení znamenalo pro kontinuitu a účinnost jejich práce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Prahové hodnoty pro spuštění mechanismu pozastavení v případě podstatného nárůstu počtu státních příslušníků třetí země, kterým byl odepřen vstup nebo u nichž bylo zjištěno, že pobývají na území členského státu bez oprávnění k pobytu, nebo počtu žádostí o azyl podaných státními příslušníky této třetí země s nízkou mírou uznávání, nebo počtu závažných trestných činů spojených se státními příslušníky této třetí země, by měly být předmětem individuálního posouzení ze strany Komise. Komise by zejména měla mít možnost posoudit, zda v případech oznámených členskými státy nebo na základě její vlastní analýzy existují zvláštní okolnosti, které by odůvodňovaly použití nižších nebo vyšších prahových hodnot, než jsou uvedeny v příslušných ustanoveních nařízení (EU) 2018/1806. Komise by v posouzení měla vzít v úvahu například počet neoprávněných překročení vnějších hranic členských států, neopodstatněných žádostí o azyl nebo trestných činů v poměru k počtu a velikosti dotčených členských států a dopad těchto počtů na celkovou migrační situaci, fungování azylových systémů nebo vnitřní bezpečnost dotčených členských států, jakož i opatření přijatá danou třetí zemí k nápravě situace.</w:t>
            </w:r>
          </w:p>
        </w:tc>
        <w:tc>
          <w:tcPr>
            <w:tcW w:w="4876" w:type="dxa"/>
          </w:tcPr>
          <w:p>
            <w:pPr>
              <w:pStyle w:val="Normal6a"/>
            </w:pPr>
            <w:r>
              <w:t>(8)</w:t>
            </w:r>
            <w:r>
              <w:tab/>
            </w:r>
            <w:r>
              <w:t xml:space="preserve">Prahové hodnoty pro spuštění mechanismu pozastavení v případě podstatného nárůstu počtu státních příslušníků třetí země, kterým byl odepřen vstup nebo u nichž bylo zjištěno, že pobývají na území členského státu bez oprávnění k pobytu </w:t>
            </w:r>
            <w:r>
              <w:rPr>
                <w:b/>
                <w:i/>
              </w:rPr>
              <w:t>nebo překročily dobu povolenou pro bezvízový styk</w:t>
            </w:r>
            <w:r>
              <w:t>, nebo počtu žádostí o azyl podaných státními příslušníky této třetí země s nízkou mírou uznávání, nebo počtu závažných trestných činů spojených se státními příslušníky této třetí země, by měly být předmětem individuálního posouzení ze strany Komise. Komise by zejména měla mít možnost posoudit, zda v případech oznámených členskými státy nebo na základě její vlastní analýzy existují zvláštní okolnosti, které by odůvodňovaly použití nižších nebo vyšších prahových hodnot, než jsou uvedeny v příslušných ustanoveních nařízení (EU) 2018/1806. Komise by v posouzení měla vzít v úvahu například počet neoprávněných překročení vnějších hranic členských států, neopodstatněných žádostí o azyl nebo trestných činů v poměru k počtu a velikosti dotčených členských států a dopad těchto počtů na celkovou migrační situaci, fungování azylových systémů nebo vnitřní bezpečnost dotčených členských států, jakož i opatření přijatá danou třetí zemí k nápravě situace.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t>Členské státy by pro účely podání oznámení Komisi o okolnostech, které by mohly být důvodem pro pozastavení, měly mít možnost zohlednit referenční období přesahující délku dvou měsíců, aby tak mohly identifikovat nejen náhlé změny příslušné situace, nýbrž také dlouhodobější trendy, které mohou odůvodnit použití mechanismu pro pozastavení zrušení vízové povinnosti.</w:t>
            </w:r>
          </w:p>
        </w:tc>
        <w:tc>
          <w:tcPr>
            <w:tcW w:w="4876" w:type="dxa"/>
          </w:tcPr>
          <w:p>
            <w:pPr>
              <w:pStyle w:val="Normal6a"/>
            </w:pPr>
            <w:r>
              <w:rPr>
                <w:b/>
                <w:i/>
              </w:rPr>
              <w:t>9)</w:t>
            </w:r>
            <w:r>
              <w:tab/>
            </w:r>
            <w:r>
              <w:t xml:space="preserve">Členské státy by pro účely podání oznámení Komisi o okolnostech, které by mohly být důvodem pro pozastavení, měly mít možnost zohlednit referenční období přesahující délku dvou měsíců, aby tak mohly identifikovat nejen náhlé změny příslušné situace, nýbrž také dlouhodobější trendy, které mohou odůvodnit použití mechanismu pro pozastavení zrušení vízové povinnosti. </w:t>
            </w:r>
            <w:r>
              <w:rPr>
                <w:b/>
                <w:i/>
              </w:rPr>
              <w:t>Za výjimečných okolností, které vyžadují okamžité opatření, by Komise měla akceptovat referenční období kratší než dva měsíce, pokud oznámení podává více než jeden členský stát.</w:t>
            </w:r>
            <w:r>
              <w:t xml:space="preserve"> </w:t>
            </w:r>
            <w:r>
              <w:rPr>
                <w:b/>
                <w:i/>
              </w:rPr>
              <w:t>Důvody pro spuštění mechanismu v souvislosti s důvody uvedenými v tomto nařízení by měly být úplné a jasné.</w:t>
            </w:r>
            <w:r>
              <w:t xml:space="preserve"> </w:t>
            </w:r>
            <w:r>
              <w:rPr>
                <w:b/>
                <w:i/>
              </w:rPr>
              <w:t>Komise neprodleně a komplexně informuje Radu a Parlament o oznámeních a následných rozhodnutích.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t>Členské státy by pro účely podání oznámení Komisi o okolnostech, které by mohly být důvodem pro pozastavení, měly mít možnost zohlednit referenční období přesahující délku dvou měsíců, aby tak mohly identifikovat nejen náhlé změny příslušné situace, nýbrž také dlouhodobější trendy, které mohou odůvodnit použití mechanismu pro pozastavení zrušení vízové povinnosti.</w:t>
            </w:r>
          </w:p>
        </w:tc>
        <w:tc>
          <w:tcPr>
            <w:tcW w:w="4876" w:type="dxa"/>
          </w:tcPr>
          <w:p>
            <w:pPr>
              <w:pStyle w:val="Normal6a"/>
            </w:pPr>
            <w:r>
              <w:rPr>
                <w:b/>
                <w:i/>
              </w:rPr>
              <w:t>9)</w:t>
            </w:r>
            <w:r>
              <w:tab/>
            </w:r>
            <w:r>
              <w:t xml:space="preserve">Členské státy by pro účely podání oznámení Komisi o okolnostech, které by mohly být důvodem pro pozastavení, měly mít možnost zohlednit referenční období přesahující délku dvou </w:t>
            </w:r>
            <w:r>
              <w:rPr>
                <w:b/>
                <w:i/>
              </w:rPr>
              <w:t>měsíců, avšak nikoli delší než dvanáct</w:t>
            </w:r>
            <w:r>
              <w:t xml:space="preserve"> měsíců, aby tak mohly identifikovat nejen náhlé změny příslušné situace, nýbrž také dlouhodobější trendy, které mohou odůvodnit použití mechanismu pro pozastavení zrušení vízové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(9)</w:t>
            </w:r>
            <w:r>
              <w:tab/>
            </w:r>
            <w:r>
              <w:t xml:space="preserve">Členské státy by pro účely podání oznámení Komisi o okolnostech, které by mohly být důvodem pro pozastavení, měly </w:t>
            </w:r>
            <w:r>
              <w:rPr>
                <w:b/>
                <w:i/>
              </w:rPr>
              <w:t>mít možnost</w:t>
            </w:r>
            <w:r>
              <w:t xml:space="preserve"> zohlednit referenční období </w:t>
            </w:r>
            <w:r>
              <w:rPr>
                <w:b/>
                <w:i/>
              </w:rPr>
              <w:t>přesahující délku</w:t>
            </w:r>
            <w:r>
              <w:t xml:space="preserve"> dvou měsíců, aby tak mohly identifikovat </w:t>
            </w:r>
            <w:r>
              <w:rPr>
                <w:b/>
                <w:i/>
              </w:rPr>
              <w:t>nejen</w:t>
            </w:r>
            <w:r>
              <w:t xml:space="preserve"> náhlé změny příslušné situace</w:t>
            </w:r>
            <w:r>
              <w:rPr>
                <w:b/>
                <w:i/>
              </w:rPr>
              <w:t>, nýbrž také dlouhodobější trendy</w:t>
            </w:r>
            <w:r>
              <w:t>, které mohou odůvodnit použití mechanismu pro pozastavení zrušení vízové povinnosti.</w:t>
            </w:r>
          </w:p>
        </w:tc>
        <w:tc>
          <w:tcPr>
            <w:tcW w:w="4876" w:type="dxa"/>
          </w:tcPr>
          <w:p>
            <w:pPr>
              <w:pStyle w:val="Normal6a"/>
            </w:pPr>
            <w:r>
              <w:rPr>
                <w:b/>
                <w:i/>
              </w:rPr>
              <w:t>9)</w:t>
            </w:r>
            <w:r>
              <w:tab/>
            </w:r>
            <w:r>
              <w:t>Členské státy by pro účely podání oznámení Komisi o okolnostech, které by mohly být důvodem pro pozastavení, měly zohlednit referenční období dvou měsíců, aby tak mohly identifikovat náhlé změny příslušné situace, které mohou odůvodnit použití mechanismu pro pozastavení zrušení vízové povinnosti.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Evropský parlament by měl mít možnost oznámit Komisi svůj názor na existenci okolností, které mohou představovat důvod pro pozastavení, zejména v případech systémů občanství pro investory provozovaných třetími zeměmi uvedenými v příloze II nařízení (EU) 2018/1806, nebo v případech, kdy vízová politika třetí země uvedené v příloze II nařízení (EU) 2018/1806 není v souladu s vízovou politikou Unie, nebo v případě významného a náhlého zhoršení vnějších vztahů Unie se třetí zemí uvedenou v příloze II, nebo v případech existence důvodů pro pozastavení stanovených v dohodách o zrušení vízové povinnosti pro krátkodobé pobyty.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Komise by měla při systematickém sledování zvláštních požadavků, které vycházejí z článku 1 a byly použity k posouzení vhodnosti uvolnění vízového režimu, věnovat zvláštní pozornost bezpečnostnímu rozměru, aby bylo zajištěno, že země uvedené v příloze II dodržují původní požadavky na prosazování práva a přistěhovalectví, bezpečnost pasů, boj proti terorismu a kapacity hraniční kontroly.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Komise měla by vždy, když to bude považovat za nezbytné, anebo na žádost Evropského parlamentu nebo Rady podat zprávu o výsledcích systematického sledování bezvízových režimů se všemi třetími zeměmi uvedenými na seznamu v příloze II nařízení (EU) 2018/1806, které provádí. Zpráva by se měla zaměřit na třetí země, které podle analýzy Komise vykazují specifické problémy, jež mohou vést ke spuštění mechanismu pozastavení, nebudou-li řešeny. Pokud to bude považovat za nezbytné, měla by Komise </w:t>
            </w:r>
            <w:r>
              <w:rPr>
                <w:b/>
                <w:i/>
              </w:rPr>
              <w:t>zejména zvážit podávání zpráv</w:t>
            </w:r>
            <w:r>
              <w:t xml:space="preserve"> o zemích, které byly nově zařazeny na seznam v příloze II, aniž by prošly dialogem o uvolnění vízového režimu, a to především v prvních letech poté, co osvobození těchto zemí od vízové povinnosti vstoupí v platnost.</w:t>
            </w:r>
          </w:p>
        </w:tc>
        <w:tc>
          <w:tcPr>
            <w:tcW w:w="4876" w:type="dxa"/>
          </w:tcPr>
          <w:p>
            <w:pPr>
              <w:pStyle w:val="Normal6a"/>
            </w:pPr>
            <w:r>
              <w:t>(10)</w:t>
            </w:r>
            <w:r>
              <w:tab/>
            </w:r>
            <w:r>
              <w:t xml:space="preserve">Komise měla by vždy, když to bude považovat za nezbytné, anebo na žádost Evropského parlamentu nebo Rady podat zprávu o výsledcích systematického sledování bezvízových režimů se všemi třetími zeměmi uvedenými na seznamu v příloze II nařízení (EU) 2018/1806, které provádí. Zpráva by se měla zaměřit na třetí země, které podle analýzy Komise vykazují specifické problémy, jež mohou vést ke spuštění mechanismu pozastavení, nebudou-li řešeny. </w:t>
            </w:r>
            <w:r>
              <w:rPr>
                <w:b/>
                <w:i/>
              </w:rPr>
              <w:t>Systematické monitorování a podávání zpráv probíhá na zákaldě údajů poskytnutých agenturami EU a údajů uložených ve Vízovém informačním systému (VIS), Schengenském informačním systému (SIS II), Systému vstupu/výstupu (EES), Evropském systému pro cestovní informace a povolení (ETIAS) a Evropském informačním systému rejstříků trestů pro státní příslušníky třetích zemí (ECRIS-TCN).</w:t>
            </w:r>
            <w:r>
              <w:t xml:space="preserve"> </w:t>
            </w:r>
            <w:r>
              <w:rPr>
                <w:b/>
                <w:i/>
              </w:rPr>
              <w:t>Komise by měla zajistit, aby každá třetí země uvedená v příloze II byla monitorována a byly o ní podávány zprávy nejméně jednou za čtyři roky.</w:t>
            </w:r>
            <w:r>
              <w:t xml:space="preserve"> Pokud to bude považovat za nezbytné, měla by Komise </w:t>
            </w:r>
            <w:r>
              <w:rPr>
                <w:b/>
                <w:i/>
              </w:rPr>
              <w:t>rovněž podávat zprávy</w:t>
            </w:r>
            <w:r>
              <w:t xml:space="preserve"> o zemích, které byly nově zařazeny na seznam v příloze II, aniž by prošly dialogem o uvolnění vízového režimu, a to především v prvních letech poté, co osvobození těchto zemí od vízové povinnosti vstoupí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Komise měla by vždy, když to bude považovat za nezbytné, anebo na žádost Evropského parlamentu nebo Rady podat zprávu o výsledcích systematického sledování bezvízových režimů se všemi třetími zeměmi uvedenými na seznamu v příloze II nařízení (EU) 2018/1806, které provádí. Zpráva by se měla zaměřit na třetí země, které podle analýzy Komise vykazují specifické problémy, jež mohou vést ke spuštění mechanismu pozastavení, nebudou-li řešeny. Pokud to bude považovat za nezbytné, měla by Komise zejména </w:t>
            </w:r>
            <w:r>
              <w:rPr>
                <w:b/>
                <w:i/>
              </w:rPr>
              <w:t>zvážit podávání zpráv</w:t>
            </w:r>
            <w:r>
              <w:t xml:space="preserve"> o zemích, které byly nově zařazeny na seznam v příloze II, aniž by prošly dialogem o uvolnění vízového režimu, a to především v prvních letech poté, co osvobození těchto zemí od vízové povinnosti vstoupí v platnost.</w:t>
            </w:r>
          </w:p>
        </w:tc>
        <w:tc>
          <w:tcPr>
            <w:tcW w:w="4876" w:type="dxa"/>
          </w:tcPr>
          <w:p>
            <w:pPr>
              <w:pStyle w:val="Normal6a"/>
            </w:pPr>
            <w:r>
              <w:t>(10)</w:t>
            </w:r>
            <w:r>
              <w:tab/>
            </w:r>
            <w:r>
              <w:t xml:space="preserve">Komise měla by vždy, když to bude považovat za nezbytné, anebo na žádost Evropského parlamentu nebo Rady podat zprávu o výsledcích systematického sledování bezvízových režimů se všemi třetími zeměmi uvedenými na seznamu v příloze II nařízení (EU) 2018/1806, které provádí. Zpráva by se měla zaměřit na třetí země, které podle analýzy Komise vykazují specifické problémy, jež mohou vést ke spuštění mechanismu pozastavení, nebudou-li řešeny. Pokud to bude považovat za nezbytné, měla by Komise zejména </w:t>
            </w:r>
            <w:r>
              <w:rPr>
                <w:b/>
                <w:i/>
              </w:rPr>
              <w:t>podávat zprávy</w:t>
            </w:r>
            <w:r>
              <w:t xml:space="preserve"> o zemích, které byly nově zařazeny na seznam v příloze II, aniž by prošly dialogem o uvolnění vízového režimu, a to především v prvních letech poté, co osvobození těchto zemí od vízové povinnosti vstoupí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 a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S ohledem na dalekosáhlé důsledky, které by dočasné pozastavení osvobození od vízové povinnosti mohlo mít pro státní příslušníky dotčené třetí země, by Komise měla upřednostňovat cílený přístup a uplatňovat opatření především na vybrané osoby zastávající odpovědné funkce, jako jsou členové oficiálních delegací třetích zemí, členové místních, regionálních a celostátních vlád, poslanci parlamentů nebo vysoce postavení veřejní nebo vojenští činitelé, a zároveň vynaložit veškeré úsilí, aby minimalizovala nepříznivé důsledky pro obyvatelstvo obecně.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 b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(10b)</w:t>
            </w:r>
            <w:r>
              <w:tab/>
            </w:r>
            <w:r>
              <w:rPr>
                <w:b/>
                <w:i/>
              </w:rPr>
              <w:t>S ohledem na dalekosáhlé důsledky pozastavení pro státní příslušníky dotčených třetích zemí a s ohledem na požadavek zakotvený v článku 13 SEU, aby institucionální rámec Unie zajistil účinnost jejích politik a činností, by Komise měla trvale sledovat, zda by spuštění mechanismu pozastavení dosáhlo zamýšleného výsledku, a pravidelně podávat zprávy Evropskému parlamentu a Radě.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(11)</w:t>
            </w:r>
            <w:r>
              <w:tab/>
            </w:r>
            <w:r>
              <w:t xml:space="preserve">Pokud bylo přijato rozhodnutí o dočasném pozastavení osvobození třetí země od vízové povinnosti, měl by být stanoven přiměřený časový rámec pro posílený dialog mezi Komisí a dotčenou třetí zemí, jehož cílem je náprava okolností, které vedly k pozastavení. Za tímto účelem by doba trvání dočasného pozastavení, o němž rozhodla Komise prostřednictvím </w:t>
            </w:r>
            <w:r>
              <w:rPr>
                <w:b/>
                <w:i/>
              </w:rPr>
              <w:t>prováděcího</w:t>
            </w:r>
            <w:r>
              <w:t xml:space="preserve"> aktu, měla být v první fázi 12 měsíců s možností prodloužit ji v druhé fázi o dalších 24 měsíců prostřednictvím aktu v přenesené pravomoci. Pokud nebude nalezeno řešení před koncem doby platnosti tohoto aktu v přenesené pravomoci a Komise předloží legislativní návrh na převedení dotčené třetí země z přílohy II do přílohy I nařízení (EU) 2018/1806, měla by přijmout akt v přenesené pravomoci, kterým prodlouží dočasné pozastavení až do vstupu přijatého návrhu v platnost.</w:t>
            </w:r>
          </w:p>
        </w:tc>
        <w:tc>
          <w:tcPr>
            <w:tcW w:w="4876" w:type="dxa"/>
          </w:tcPr>
          <w:p>
            <w:pPr>
              <w:pStyle w:val="Normal6a"/>
            </w:pPr>
            <w:r>
              <w:t>(11)</w:t>
            </w:r>
            <w:r>
              <w:tab/>
            </w:r>
            <w:r>
              <w:t xml:space="preserve">Pokud bylo přijato rozhodnutí o dočasném pozastavení osvobození třetí země od vízové povinnosti, měl by být stanoven přiměřený časový rámec pro posílený dialog mezi Komisí a dotčenou třetí zemí, jehož cílem je náprava okolností, které vedly k pozastavení. Za tímto účelem by doba trvání dočasného pozastavení, o němž rozhodla Komise prostřednictvím aktu </w:t>
            </w:r>
            <w:r>
              <w:rPr>
                <w:b/>
                <w:i/>
              </w:rPr>
              <w:t>v přenesené pravomoci</w:t>
            </w:r>
            <w:r>
              <w:t>, měla být v první fázi 12 měsíců s možností prodloužit ji v druhé fázi o dalších 24 měsíců prostřednictvím aktu v přenesené pravomoci. Pokud nebude nalezeno řešení před koncem doby platnosti tohoto aktu v přenesené pravomoci a Komise předloží legislativní návrh na převedení dotčené třetí země z přílohy II do přílohy I nařízení (EU) 2018/1806, měla by přijmout akt v přenesené pravomoci, kterým prodlouží dočasné pozastavení až do vstupu přijatého návrhu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Komise by měla přijmout okamžitě použitelné prováděcí akty, pokud v řádně odůvodněných případech spojených se spuštěním mechanismu pozastavení vyžadují závažné a naléhavé důvody urychlené jednání, zejména s cílem zabránit zneužívání bezvízového styku, které by způsobilo hromadný příliv státních příslušníků třetích zemí neoprávněně přicházejících na území členských států nebo vážné poškození veřejného pořádku nebo vnitřní bezpečnosti členských států.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Komise by měla přijmout okamžitě použitelné prováděcí akty, pokud v řádně odůvodněných případech spojených se spuštěním mechanismu pozastavení vyžadují závažné a naléhavé důvody urychlené jednání, zejména s cílem zabránit zneužívání bezvízového styku, které by způsobilo hromadný příliv státních příslušníků třetích zemí neoprávněně přicházejících na území členských států nebo vážné poškození veřejného pořádku nebo vnitřní bezpečnosti členských států.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Komise by měla přijmout okamžitě použitelné prováděcí akty, pokud v řádně odůvodněných případech spojených se spuštěním mechanismu pozastavení </w:t>
            </w:r>
            <w:r>
              <w:rPr>
                <w:b/>
                <w:i/>
              </w:rPr>
              <w:t>vyžadují závažné a naléhavé důvody urychlené</w:t>
            </w:r>
            <w:r>
              <w:t xml:space="preserve"> jednání, zejména s cílem zabránit zneužívání bezvízového styku, které by způsobilo hromadný příliv státních příslušníků třetích zemí neoprávněně přicházejících na území členských států nebo vážné poškození veřejného pořádku nebo vnitřní bezpečnosti členských států.</w:t>
            </w:r>
          </w:p>
        </w:tc>
        <w:tc>
          <w:tcPr>
            <w:tcW w:w="4876" w:type="dxa"/>
          </w:tcPr>
          <w:p>
            <w:pPr>
              <w:pStyle w:val="Normal6a"/>
            </w:pPr>
            <w:r>
              <w:t>(12)</w:t>
            </w:r>
            <w:r>
              <w:tab/>
            </w:r>
            <w:r>
              <w:t>Komise by měla přijmout okamžitě použitelné prováděcí akty, pokud v řádně odůvodněných případech spojených se spuštěním mechanismu pozastavení</w:t>
            </w:r>
            <w:r>
              <w:rPr>
                <w:b/>
                <w:i/>
              </w:rPr>
              <w:t>, pokud je vážná hrozba pro veřejný pořádek nebo vnitřní bezpečnost v členském státě podle čl. 8a písm. d) nepředvídatelná a vyžaduje okamžité</w:t>
            </w:r>
            <w:r>
              <w:t xml:space="preserve"> jednání, zejména s cílem zabránit zneužívání bezvízového styku, které by způsobilo hromadný příliv státních příslušníků třetích zemí neoprávněně přicházejících na území členských států nebo vážné poškození veřejného pořádku nebo vnitřní bezpečnosti členských států.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 xml:space="preserve">Dočasné pozastavení by mělo být kdykoli </w:t>
            </w:r>
            <w:r>
              <w:rPr>
                <w:b/>
                <w:i/>
              </w:rPr>
              <w:t>zrušeno, jsou-li</w:t>
            </w:r>
            <w:r>
              <w:t xml:space="preserve"> okolnosti, které k pozastavení vedly, </w:t>
            </w:r>
            <w:r>
              <w:rPr>
                <w:b/>
                <w:i/>
              </w:rPr>
              <w:t>odstraněny</w:t>
            </w:r>
            <w:r>
              <w:t xml:space="preserve"> před koncem doby pozastavení</w:t>
            </w:r>
            <w:r>
              <w:rPr>
                <w:b/>
                <w:i/>
              </w:rPr>
              <w:t>.</w:t>
            </w:r>
            <w:r>
              <w:t xml:space="preserve"> </w:t>
            </w:r>
            <w:r>
              <w:rPr>
                <w:b/>
                <w:i/>
              </w:rPr>
              <w:t>Za tímto účelem by Komise měla před koncem doby trvání pozastavení stanovené v příslušném prováděcím aktu</w:t>
            </w:r>
            <w:r>
              <w:t xml:space="preserve"> přijmout </w:t>
            </w:r>
            <w:r>
              <w:rPr>
                <w:b/>
                <w:i/>
              </w:rPr>
              <w:t>prováděcí akt, respektive</w:t>
            </w:r>
            <w:r>
              <w:t xml:space="preserve"> před koncem doby </w:t>
            </w:r>
            <w:r>
              <w:rPr>
                <w:b/>
                <w:i/>
              </w:rPr>
              <w:t>trvání</w:t>
            </w:r>
            <w:r>
              <w:t xml:space="preserve"> pozastavení stanovené v </w:t>
            </w:r>
            <w:r>
              <w:rPr>
                <w:b/>
                <w:i/>
              </w:rPr>
              <w:t>příslušném aktu v přenesené pravomoci by měla přijmout akt</w:t>
            </w:r>
            <w:r>
              <w:t xml:space="preserve"> v přenesené pravomoci.</w:t>
            </w:r>
          </w:p>
        </w:tc>
        <w:tc>
          <w:tcPr>
            <w:tcW w:w="4876" w:type="dxa"/>
          </w:tcPr>
          <w:p>
            <w:pPr>
              <w:pStyle w:val="Normal6a"/>
            </w:pPr>
            <w:r>
              <w:t>(13)</w:t>
            </w:r>
            <w:r>
              <w:tab/>
            </w:r>
            <w:r>
              <w:t xml:space="preserve">Dočasné pozastavení by mělo být </w:t>
            </w:r>
            <w:r>
              <w:rPr>
                <w:b/>
                <w:i/>
              </w:rPr>
              <w:t>zrušeno</w:t>
            </w:r>
            <w:r>
              <w:t xml:space="preserve"> kdykoli</w:t>
            </w:r>
            <w:r>
              <w:rPr>
                <w:b/>
                <w:i/>
              </w:rPr>
              <w:t>, pokud jsou</w:t>
            </w:r>
            <w:r>
              <w:t xml:space="preserve"> okolnosti, které k pozastavení vedly, </w:t>
            </w:r>
            <w:r>
              <w:rPr>
                <w:b/>
                <w:i/>
              </w:rPr>
              <w:t>napraveny</w:t>
            </w:r>
            <w:r>
              <w:t xml:space="preserve"> před koncem doby pozastavení </w:t>
            </w:r>
            <w:r>
              <w:rPr>
                <w:b/>
                <w:i/>
              </w:rPr>
              <w:t>nebo pokud se ukáže, že pozastavení není pro nápravu situace účinné.</w:t>
            </w:r>
            <w:r>
              <w:t xml:space="preserve"> </w:t>
            </w:r>
            <w:r>
              <w:rPr>
                <w:b/>
                <w:i/>
              </w:rPr>
              <w:t>Za tímto účelem by Komise měla</w:t>
            </w:r>
            <w:r>
              <w:t xml:space="preserve"> přijmout </w:t>
            </w:r>
            <w:r>
              <w:rPr>
                <w:b/>
                <w:i/>
              </w:rPr>
              <w:t>akty v přenesené pravomoci</w:t>
            </w:r>
            <w:r>
              <w:t xml:space="preserve"> před koncem doby pozastavení stanovené v </w:t>
            </w:r>
            <w:r>
              <w:rPr>
                <w:b/>
                <w:i/>
              </w:rPr>
              <w:t>příslušných aktech</w:t>
            </w:r>
            <w:r>
              <w:t xml:space="preserve"> v přenesené pravomoci.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Moritz Körner, Sophia in 't Veld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-1 (nový)</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V článku 7 se písmeno d) nahrazuje tímto:</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při zvažování dalších kroků podle písmen e) nebo h) zohlední výsledek opatření přijatých dotčeným členským státem za účelem zajištění bezvízového styku s dotyčnou třetí zemí, kroky podniknuté v souladu s písmenem b) a dopad pozastavení osvobození od vízové povinnosti na vnější vztahy Unie a jejích členských států s danou třetí zemí;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Pokud tento pozměňovací návrh projde, bude Komise nakonec nucena dosáhnout vízové reciprocity pro všechny občany EU. EP dal Komisi k soudu, protože Komise nepřijala právně nezbytná opatření k dosažení vízové reciprocity pro bulharské, kyperské a rumunské občany s třetími zeměmi. Tento pozměňovací návrh jednoduše vypouští odkaz na písm. f) v čl. 7 písm. d), který v důsledku toho nyní odkazuje pouze na písmena e) a h)], a tím se ruší omluva, kterou Komise od roku 2014 používá, aby nejednala podle očekávání EP.</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1</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V případech, kdy dohoda o zrušení vízové povinnosti pro krátkodobé pobyty mezi Unií a třetí zemí uvedenou na seznamu v příloze II obsahuje ustanovení o odlišných důvodech nebo postupech pro pozastavení, použijí se místo článků 8a, 8e a 8f tohoto nařízení tato ustanovení.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1</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případech, kdy dohoda o zrušení vízové povinnosti pro krátkodobé pobyty mezi Unií a třetí zemí uvedenou </w:t>
            </w:r>
            <w:r>
              <w:rPr>
                <w:b/>
                <w:i/>
              </w:rPr>
              <w:t>na seznamu</w:t>
            </w:r>
            <w:r>
              <w:t xml:space="preserve"> v příloze II </w:t>
            </w:r>
            <w:r>
              <w:rPr>
                <w:b/>
                <w:i/>
              </w:rPr>
              <w:t>obsahuje ustanovení o odlišných důvodech nebo postupech pro pozastavení, použijí se místo článků 8a, 8e a 8f tohoto nařízení tato ustanovení</w:t>
            </w:r>
            <w:r>
              <w:t>.</w:t>
            </w:r>
          </w:p>
        </w:tc>
        <w:tc>
          <w:tcPr>
            <w:tcW w:w="4876" w:type="dxa"/>
          </w:tcPr>
          <w:p>
            <w:pPr>
              <w:pStyle w:val="Normal6a"/>
            </w:pPr>
            <w:r>
              <w:t>2.</w:t>
            </w:r>
            <w:r>
              <w:tab/>
            </w:r>
            <w:r>
              <w:t xml:space="preserve">V případech, kdy </w:t>
            </w:r>
            <w:r>
              <w:rPr>
                <w:b/>
                <w:i/>
              </w:rPr>
              <w:t>byla uzavřena</w:t>
            </w:r>
            <w:r>
              <w:t xml:space="preserve"> dohoda o zrušení vízové povinnosti pro krátkodobé pobyty mezi Unií a třetí zemí uvedenou v příloze II</w:t>
            </w:r>
            <w:r>
              <w:rPr>
                <w:b/>
                <w:i/>
              </w:rPr>
              <w:t>, použijí se články 8a, 8e a 8f tohoto nařízení, aniž jsou dotčena příslušná ustanovení týkající se důvodů pro pozastavení a postupů stanovených v dohodě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Mechanismus pozastavení může být aktivován z těchto důvodů:</w:t>
            </w:r>
          </w:p>
        </w:tc>
        <w:tc>
          <w:tcPr>
            <w:tcW w:w="4876" w:type="dxa"/>
          </w:tcPr>
          <w:p>
            <w:pPr>
              <w:pStyle w:val="Normal6a"/>
            </w:pPr>
            <w:r>
              <w:t>1.</w:t>
            </w:r>
            <w:r>
              <w:tab/>
            </w:r>
            <w:r>
              <w:t xml:space="preserve">Mechanismus pozastavení může být aktivován z </w:t>
            </w:r>
            <w:r>
              <w:rPr>
                <w:b/>
                <w:i/>
              </w:rPr>
              <w:t>jednoho či více</w:t>
            </w:r>
            <w:r>
              <w:t xml:space="preserve"> těchto důvodů: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1 – odst. 1 – písm.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podstatný nárůst počtu státních příslušníků třetí země uvedené na seznamu v příloze II, jimž byl odepřen vstup nebo o nichž se zjistí, že na území členského státu pobývají neoprávněně;</w:t>
            </w:r>
          </w:p>
        </w:tc>
        <w:tc>
          <w:tcPr>
            <w:tcW w:w="4876" w:type="dxa"/>
          </w:tcPr>
          <w:p>
            <w:pPr>
              <w:pStyle w:val="Normal6a"/>
            </w:pPr>
            <w:r>
              <w:t>a)</w:t>
            </w:r>
            <w:r>
              <w:tab/>
            </w:r>
            <w:r>
              <w:t>podstatný nárůst počtu státních příslušníků třetí země uvedené na seznamu v příloze II, jimž byl odepřen vstup nebo o nichž se zjistí, že na území členského státu pobývají neoprávněně</w:t>
            </w:r>
            <w:r>
              <w:rPr>
                <w:b/>
                <w:i/>
              </w:rPr>
              <w:t>, či že jde o překročení bezvízového období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1 – odst. 1 – písm.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podstatný nárůst počtu žádostí o azyl podaných státními příslušníky třetí země uvedené na seznamu v příloze II, která má nízkou míru uznávání;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podstatný nárůst počtu žádostí o azyl podaných státními příslušníky třetí země uvedené na seznamu v příloze II, která má nízkou míru uznávání;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Toto znění může porušovat právo na azyl zaručené článkem 18 Listiny základních práv EU.</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b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s podstatným nárůstem počtu žádostí o azyl podaných státními příslušníky uvedené třetí země uvedené v příloze 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15% of all asylum applications in 2022 were made by citizens from visa-free countries.</w:t>
      </w:r>
      <w:r>
        <w:t xml:space="preserve"> </w:t>
      </w:r>
      <w:r>
        <w:t>In 2023 this increased to around 20% according to the EU Asylum Agency.</w:t>
      </w:r>
      <w:r>
        <w:t xml:space="preserve"> </w:t>
      </w:r>
      <w:r>
        <w:t>Many of these applications were made by third country nationals from countries with recognition rates above 4%.</w:t>
      </w:r>
      <w:r>
        <w:t xml:space="preserve"> </w:t>
      </w:r>
      <w:r>
        <w:t>According to the Commission "The main purpose of this proposal is to make the suspension mechanism better equipped to respond swiftly and decisively to emerging challenges in the area of irregular migration and security arising from visa-free third countries, and to counter any abuses of visa-free travel." The purpose of visa-free agreements is to facilitate economic development, tourism, and cultural exchange, and not to enable asylum shopping throughout the Schengen Area.</w:t>
      </w:r>
      <w:r>
        <w:t xml:space="preserve"> </w:t>
      </w:r>
      <w:r>
        <w:t>Therefore, a substantial increase in asylum applications, regardless of recognition rates, should also be considered as grounds for suspension.</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snížení míry spolupráce s třetí zemí uvedenou na seznamu v příloze II v oblasti zpětného přebírání osob nebo jiné případy nedostatku spolupráce při zpětném přebírání osob;</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významné riziko nebo bezprostřední hrozba pro veřejný pořádek nebo vnitřní bezpečnost členských států ve spojení s třetí zemí uvedenou na seznamu v příloze II, které vyplývají z </w:t>
            </w:r>
            <w:r>
              <w:rPr>
                <w:b/>
                <w:i/>
              </w:rPr>
              <w:t>některé z těchto skutečností:</w:t>
            </w:r>
          </w:p>
        </w:tc>
        <w:tc>
          <w:tcPr>
            <w:tcW w:w="4876" w:type="dxa"/>
          </w:tcPr>
          <w:p>
            <w:pPr>
              <w:pStyle w:val="Normal6a"/>
            </w:pPr>
            <w:r>
              <w:t>d)</w:t>
            </w:r>
            <w:r>
              <w:tab/>
            </w:r>
            <w:r>
              <w:t xml:space="preserve">významné riziko nebo bezprostřední hrozba pro veřejný pořádek nebo vnitřní bezpečnost členských států ve spojení s třetí zemí uvedenou na seznamu v příloze II, které vyplývají z </w:t>
            </w:r>
            <w:r>
              <w:rPr>
                <w:b/>
                <w:i/>
              </w:rPr>
              <w:t>podstatného nárůstu závažných trestných činů spojených se státními příslušníky uvedené třetí země, doloženým objektivními, konkrétními a relevantními informacemi a údaji poskytnutými příslušnými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rPr>
                <w:b/>
                <w:i/>
              </w:rPr>
              <w:t>významné</w:t>
            </w:r>
            <w:r>
              <w:t xml:space="preserve"> riziko nebo bezprostřední hrozba pro veřejný pořádek nebo vnitřní bezpečnost členských států ve spojení s třetí zemí uvedenou na seznamu v příloze II, které vyplývají z některé z těchto skutečností:</w:t>
            </w:r>
          </w:p>
        </w:tc>
        <w:tc>
          <w:tcPr>
            <w:tcW w:w="4876" w:type="dxa"/>
          </w:tcPr>
          <w:p>
            <w:pPr>
              <w:pStyle w:val="Normal6a"/>
            </w:pPr>
            <w:r>
              <w:t>d)</w:t>
            </w:r>
            <w:r>
              <w:tab/>
            </w:r>
            <w:r>
              <w:t>riziko nebo bezprostřední hrozba pro veřejný pořádek nebo vnitřní bezpečnost členských států ve spojení s třetí zemí uvedenou na seznamu v příloze II, které vyplývají z některé z těchto skutečností: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 – bod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podstatný nárůst počtu závažných trestných činů spojených se státními příslušníky uvedené třetí země, doložený objektivními, konkrétními a relevantními informacemi a údaji poskytnutými příslušnými orgány;</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 –písm.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rPr>
                <w:b/>
                <w:i/>
              </w:rPr>
              <w:t>podstatný</w:t>
            </w:r>
            <w:r>
              <w:t xml:space="preserve"> nárůst počtu závažných trestných činů spojených se státními příslušníky uvedené třetí země, doložený objektivními, konkrétními a relevantními informacemi a údaji poskytnutými příslušnými orgány;</w:t>
            </w:r>
          </w:p>
        </w:tc>
        <w:tc>
          <w:tcPr>
            <w:tcW w:w="4876" w:type="dxa"/>
          </w:tcPr>
          <w:p>
            <w:pPr>
              <w:pStyle w:val="Normal6a"/>
            </w:pPr>
            <w:r>
              <w:t>i)</w:t>
            </w:r>
            <w:r>
              <w:tab/>
            </w:r>
            <w:r>
              <w:t xml:space="preserve">nárůst počtu závažných trestných činů spojených se státními příslušníky uvedené třetí země, doložený objektivními, konkrétními a relevantními informacemi a údaji poskytnutými příslušnými </w:t>
            </w:r>
            <w:r>
              <w:rPr>
                <w:b/>
                <w:i/>
              </w:rPr>
              <w:t>vnitorstátními</w:t>
            </w:r>
            <w:r>
              <w:t xml:space="preserve"> orgány;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 – písm.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hybridní hrozby;</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Mimo oblast působnosti této části.</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 – bod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hybridní hrozby;</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 – bod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ii)</w:t>
            </w:r>
            <w:r>
              <w:tab/>
            </w:r>
            <w:r>
              <w:t>hybridní hrozby;</w:t>
            </w:r>
          </w:p>
        </w:tc>
        <w:tc>
          <w:tcPr>
            <w:tcW w:w="4876" w:type="dxa"/>
          </w:tcPr>
          <w:p>
            <w:pPr>
              <w:pStyle w:val="Normal6a"/>
            </w:pPr>
            <w:r>
              <w:t>ii)</w:t>
            </w:r>
            <w:r>
              <w:tab/>
            </w:r>
            <w:r>
              <w:t xml:space="preserve">Hybridní hrozby </w:t>
            </w:r>
            <w:r>
              <w:rPr>
                <w:b/>
                <w:i/>
              </w:rPr>
              <w:t>a účelové využívání migrantů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 – písm. iii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iia)</w:t>
            </w:r>
            <w:r>
              <w:tab/>
            </w:r>
            <w:r>
              <w:rPr>
                <w:b/>
                <w:i/>
              </w:rPr>
              <w:t>nedostatečné právní normy týkající se bezpečnosti cestovních dokladů a dokladů totožnosti;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teroristické hrozby;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db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db)</w:t>
            </w:r>
            <w:r>
              <w:tab/>
            </w:r>
            <w:r>
              <w:rPr>
                <w:b/>
                <w:i/>
              </w:rPr>
              <w:t>nedostatky v právních předpisech nebo postupech týkajících se bezpečnosti dokladů;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nesoulad vízové politiky třetí země uvedené na seznamu v příloze II, pokud zejména v důsledku toho, že se daná třetí země nachází v těsné zeměpisné blízkosti Unie, existuje riziko podstatného nárůstu počtu státních příslušníků jiných třetích zemí, než je daná třetí země, kteří neoprávněně vstoupí na území členských států poté, co na území této třetí země pobývali nebo přes něj projížděli;</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nesoulad vízové politiky třetí země uvedené na seznamu v příloze II, pokud zejména v důsledku toho, že se daná třetí země nachází v těsné zeměpisné blízkosti Unie, existuje riziko podstatného nárůstu počtu státních příslušníků jiných třetích zemí, než je daná třetí země, kteří neoprávněně vstoupí na území členských států poté, co na území této třetí země pobývali nebo přes něj projížděli;</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nesoulad vízové politiky třetí země uvedené na seznamu v příloze II, pokud zejména v důsledku toho, že se daná třetí země nachází v těsné zeměpisné blízkosti Unie, existuje </w:t>
            </w:r>
            <w:r>
              <w:rPr>
                <w:b/>
                <w:i/>
              </w:rPr>
              <w:t>riziko podstatného nárůstu</w:t>
            </w:r>
            <w:r>
              <w:t xml:space="preserve"> počtu státních příslušníků jiných třetích zemí, než je daná třetí země, kteří neoprávněně vstoupí na území členských států poté, co na území této třetí země pobývali nebo přes něj projížděli;</w:t>
            </w:r>
          </w:p>
        </w:tc>
        <w:tc>
          <w:tcPr>
            <w:tcW w:w="4876" w:type="dxa"/>
          </w:tcPr>
          <w:p>
            <w:pPr>
              <w:pStyle w:val="Normal6a"/>
            </w:pPr>
            <w:r>
              <w:t>f)</w:t>
            </w:r>
            <w:r>
              <w:tab/>
            </w:r>
            <w:r>
              <w:t xml:space="preserve">nesoulad vízové politiky třetí země uvedené na seznamu v příloze II, pokud zejména v důsledku toho, že se daná třetí země nachází v těsné zeměpisné blízkosti Unie, existuje </w:t>
            </w:r>
            <w:r>
              <w:rPr>
                <w:b/>
                <w:i/>
              </w:rPr>
              <w:t>podstatný nárůst</w:t>
            </w:r>
            <w:r>
              <w:t xml:space="preserve"> počtu státních příslušníků jiných třetích zemí, než je daná třetí země, kteří neoprávněně vstoupí na území členských států poté, co na území této třetí země pobývali nebo přes něj projížděli;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f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závažná porušení zásad stanovených v Chartě Organizace spojených národů nebo závažná porušení závazků vyplývajících z mezinárodního práva v oblasti lidských práv nebo mezinárodního humanitárního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f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vážné zhoršení vnějších vztahů Unie se třetí zemí uvedenou v příloze II, například nesouladem kritérií uvedených v článku 1 tohoto nařízení;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Nuno Melo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g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Významné a náhlé zhoršení vnějších vztahů Unie s jednou ze třetích zemí uvedených v příloze II, zejména pokud jde o lidská práva a základní svobody, v důsledku jedné z těchto situací: i) závažné porušování a zneužívání lidských práv; (ii) závažná porušení mezinárodního práva a norem, včetně legislativy v oblasti lidských práv a nedodržování rozhodnutí a rozsudků mezinárodních soudů;</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písm. g 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jakýkoli jiný důvod pro pozastavení stanovený v dohodě o zrušení vízové povinnosti pro krátkodobé pobyty mezi Unií a třetí zemí uvedenou v příloze II, omezený na oblast působnosti této dohody.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Pro účely odst. 1 písm.</w:t>
            </w:r>
            <w:r>
              <w:rPr>
                <w:b/>
                <w:i/>
              </w:rPr>
              <w:t xml:space="preserve"> a)</w:t>
            </w:r>
            <w:r>
              <w:t xml:space="preserve">, b) a </w:t>
            </w:r>
            <w:r>
              <w:rPr>
                <w:b/>
                <w:i/>
              </w:rPr>
              <w:t>písm. d) bodu i)</w:t>
            </w:r>
            <w:r>
              <w:t xml:space="preserve"> tohoto článku se podstatným </w:t>
            </w:r>
            <w:r>
              <w:rPr>
                <w:b/>
                <w:i/>
              </w:rPr>
              <w:t>nárůstem</w:t>
            </w:r>
            <w:r>
              <w:t xml:space="preserve"> rozumí </w:t>
            </w:r>
            <w:r>
              <w:rPr>
                <w:b/>
                <w:i/>
              </w:rPr>
              <w:t>nárůst o více než 50 %, pokud Komise v souladu s čl. 8b odst. 4 nebo čl. 8c odst. 2 nedojde k závěru, že v konkrétním případě je použitelný nižší nebo vyšší nárůst</w:t>
            </w:r>
            <w:r>
              <w:t>.</w:t>
            </w:r>
          </w:p>
        </w:tc>
        <w:tc>
          <w:tcPr>
            <w:tcW w:w="4876" w:type="dxa"/>
          </w:tcPr>
          <w:p>
            <w:pPr>
              <w:pStyle w:val="Normal6a"/>
            </w:pPr>
            <w:r>
              <w:t>2.</w:t>
            </w:r>
            <w:r>
              <w:tab/>
            </w:r>
            <w:r>
              <w:t>Pro účely odst. 1 písm.</w:t>
            </w:r>
            <w:r>
              <w:rPr>
                <w:b/>
                <w:i/>
              </w:rPr>
              <w:t> a)</w:t>
            </w:r>
            <w:r>
              <w:t>, b) a</w:t>
            </w:r>
            <w:r>
              <w:rPr>
                <w:b/>
                <w:i/>
              </w:rPr>
              <w:t xml:space="preserve"> d)</w:t>
            </w:r>
            <w:r>
              <w:t xml:space="preserve"> tohoto článku se podstatným </w:t>
            </w:r>
            <w:r>
              <w:rPr>
                <w:b/>
                <w:i/>
              </w:rPr>
              <w:t>zvýšením</w:t>
            </w:r>
            <w:r>
              <w:t xml:space="preserve"> rozumí </w:t>
            </w:r>
            <w:r>
              <w:rPr>
                <w:b/>
                <w:i/>
              </w:rPr>
              <w:t>zvýšení přesahující prahovou hodnotu 50 %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Pro účely odst. 1 písm. a), b) a písm. d) bodu i) tohoto článku se podstatným nárůstem rozumí nárůst o více než 50 %, pokud Komise v souladu s čl. 8b odst. 4 nebo čl. 8c odst. 2 nedojde k závěru, že v konkrétním případě je použitelný nižší nebo vyšší nárůst.</w:t>
            </w:r>
          </w:p>
        </w:tc>
        <w:tc>
          <w:tcPr>
            <w:tcW w:w="4876" w:type="dxa"/>
          </w:tcPr>
          <w:p>
            <w:pPr>
              <w:pStyle w:val="Normal6a"/>
            </w:pPr>
            <w:r>
              <w:t>2.</w:t>
            </w:r>
            <w:r>
              <w:tab/>
            </w:r>
            <w:r>
              <w:t>Pro účely odst. 1 písm. a), b) a písm. d) bodu i) tohoto článku se podstatným nárůstem rozumí nárůst o více než 50 %, pokud Komise v souladu s čl. 8b odst. 4 nebo čl. 8c odst. 2 nedojde k závěru, že v konkrétním případě je použitelný nižší nebo vyšší nárůst</w:t>
            </w:r>
            <w:r>
              <w:rPr>
                <w:b/>
                <w:i/>
              </w:rPr>
              <w:t>, přičemž je třeba toto rozhodnutí řádně odůvodnit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Pro účely odst. 1 písm. a), b) a písm. d) bodu i) tohoto článku se podstatným nárůstem rozumí nárůst o více než 50 %, pokud Komise v souladu s čl. 8b odst. 4 nebo čl. 8c odst. 2 nedojde k závěru, že v konkrétním případě je použitelný nižší nebo vyšší nárůst.</w:t>
            </w:r>
          </w:p>
        </w:tc>
        <w:tc>
          <w:tcPr>
            <w:tcW w:w="4876" w:type="dxa"/>
          </w:tcPr>
          <w:p>
            <w:pPr>
              <w:pStyle w:val="Normal6a"/>
            </w:pPr>
            <w:r>
              <w:t>2.</w:t>
            </w:r>
            <w:r>
              <w:tab/>
            </w:r>
            <w:r>
              <w:t xml:space="preserve">Pro účely odst. 1 písm. a), b) a písm. d) bodu i) </w:t>
            </w:r>
            <w:r>
              <w:rPr>
                <w:b/>
                <w:i/>
              </w:rPr>
              <w:t>a odstavce 4</w:t>
            </w:r>
            <w:r>
              <w:t xml:space="preserve"> tohoto článku se podstatným nárůstem rozumí nárůst o více než 50 %, pokud Komise v souladu s čl. 8b odst. 4 nebo čl. 8c odst. 2 nedojde k závěru, že v konkrétním případě je použitelný nižší nebo vyšší nárůst.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Pro účely odst. 1 písm. a), b) a písm. d) bodu i) tohoto článku se podstatným nárůstem rozumí nárůst o více než </w:t>
            </w:r>
            <w:r>
              <w:rPr>
                <w:b/>
                <w:i/>
              </w:rPr>
              <w:t>50</w:t>
            </w:r>
            <w:r>
              <w:t xml:space="preserve"> %, pokud Komise v souladu s čl. 8b odst. 4 nebo čl. 8c odst. 2 nedojde k závěru, že v konkrétním případě je použitelný nižší nebo vyšší nárůst.</w:t>
            </w:r>
          </w:p>
        </w:tc>
        <w:tc>
          <w:tcPr>
            <w:tcW w:w="4876" w:type="dxa"/>
          </w:tcPr>
          <w:p>
            <w:pPr>
              <w:pStyle w:val="Normal6a"/>
            </w:pPr>
            <w:r>
              <w:t>2.</w:t>
            </w:r>
            <w:r>
              <w:tab/>
            </w:r>
            <w:r>
              <w:t xml:space="preserve">Pro účely odst. 1 písm. a), b) a písm. d) bodu i) tohoto článku se podstatným nárůstem rozumí nárůst o více než </w:t>
            </w:r>
            <w:r>
              <w:rPr>
                <w:b/>
                <w:i/>
              </w:rPr>
              <w:t>15</w:t>
            </w:r>
            <w:r>
              <w:t xml:space="preserve"> %, pokud Komise v souladu s čl. 8b odst. 4 nebo čl. 8c odst. 2 nedojde k závěru, že v konkrétním případě je použitelný nižší nebo vyšší nárůst.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Podle zkušeností Komise z minulosti se upozorní na obtíže se spuštěním mechanismu kvůli jeho těžkopádnému postupu a znovu ukázala, že dosažení prahových hodnot požadovaných stávajícími pravidly může být obtížné, a to na úkor cíle zajistit naléhavou reakci s cílem předcházet nelegální migraci a bezpečnostním rizikům plynoucím z bezvízového styku. Z toho vyplývá, že práh musí být výrazně snížen.</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Pro účely odst. 1 písm. a), b) a písm. d) bodu i) tohoto článku se podstatným nárůstem rozumí nárůst o více než </w:t>
            </w:r>
            <w:r>
              <w:rPr>
                <w:b/>
                <w:i/>
              </w:rPr>
              <w:t>50</w:t>
            </w:r>
            <w:r>
              <w:t xml:space="preserve"> %, pokud Komise v souladu s čl. 8b odst. 4 nebo čl. 8c odst. 2 nedojde k závěru, že v konkrétním případě je použitelný nižší nebo vyšší nárůst.</w:t>
            </w:r>
          </w:p>
        </w:tc>
        <w:tc>
          <w:tcPr>
            <w:tcW w:w="4876" w:type="dxa"/>
          </w:tcPr>
          <w:p>
            <w:pPr>
              <w:pStyle w:val="Normal6a"/>
            </w:pPr>
            <w:r>
              <w:t>2.</w:t>
            </w:r>
            <w:r>
              <w:tab/>
            </w:r>
            <w:r>
              <w:t xml:space="preserve">Pro účely odst. 1 písm. a), b) a písm. d) bodu i) tohoto článku se podstatným nárůstem rozumí nárůst o více než </w:t>
            </w:r>
            <w:r>
              <w:rPr>
                <w:b/>
                <w:i/>
              </w:rPr>
              <w:t>10</w:t>
            </w:r>
            <w:r>
              <w:t> %, pokud Komise v souladu s čl. 8b odst. 4 nebo čl. 8c odst. 2 nedojde k závěru, že v konkrétním případě je použitelný nižší nebo vyšší nárůst.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Pro účely odst. 1 písm. a), b) a písm. d) bodu i) tohoto článku se podstatným nárůstem rozumí nárůst o více než </w:t>
            </w:r>
            <w:r>
              <w:rPr>
                <w:b/>
                <w:i/>
              </w:rPr>
              <w:t>50</w:t>
            </w:r>
            <w:r>
              <w:t xml:space="preserve"> %, pokud Komise v souladu s čl. 8b odst. 4 nebo čl. 8c odst. 2 nedojde k závěru, že v konkrétním případě je použitelný nižší nebo vyšší nárůst.</w:t>
            </w:r>
          </w:p>
        </w:tc>
        <w:tc>
          <w:tcPr>
            <w:tcW w:w="4876" w:type="dxa"/>
          </w:tcPr>
          <w:p>
            <w:pPr>
              <w:pStyle w:val="Normal6a"/>
            </w:pPr>
            <w:r>
              <w:t>2.</w:t>
            </w:r>
            <w:r>
              <w:tab/>
            </w:r>
            <w:r>
              <w:t xml:space="preserve">Pro účely odst. 1 písm. a), b) a písm. d) bodu i) tohoto článku se podstatným nárůstem rozumí nárůst o více než </w:t>
            </w:r>
            <w:r>
              <w:rPr>
                <w:b/>
                <w:i/>
              </w:rPr>
              <w:t>30</w:t>
            </w:r>
            <w:r>
              <w:t> %, pokud Komise v souladu s čl. 8b odst. 4 nebo čl. 8c odst. 2 nedojde k závěru, že v konkrétním případě je použitelný nižší nebo vyšší nárůst.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Pro účely odst. 1 písm. b) tohoto článku se nízkou mírou uznávání rozumí míra uznávání žádostí o azyl nižší než 4 %, pokud Komise v souladu s čl. 8b odst. 4 nebo čl. 8c odst. 2 nedojde k závěru, že v daném případě je použitelná vyšší míra uznávání.</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Pro účely odst. 1 písm.</w:t>
            </w:r>
            <w:r>
              <w:rPr>
                <w:b/>
                <w:i/>
              </w:rPr>
              <w:t xml:space="preserve"> b)</w:t>
            </w:r>
            <w:r>
              <w:t xml:space="preserve"> tohoto článku se nízkou mírou </w:t>
            </w:r>
            <w:r>
              <w:rPr>
                <w:b/>
                <w:i/>
              </w:rPr>
              <w:t>uznávání</w:t>
            </w:r>
            <w:r>
              <w:t xml:space="preserve"> rozumí míra uznávání žádostí o azyl nižší než </w:t>
            </w:r>
            <w:r>
              <w:rPr>
                <w:b/>
                <w:i/>
              </w:rPr>
              <w:t>4 %, pokud Komise v souladu s čl. 8b odst. 4 nebo čl. 8c odst. 2 nedojde k závěru, že v daném případě je použitelná vyšší míra uznávání</w:t>
            </w:r>
            <w:r>
              <w:t>.</w:t>
            </w:r>
          </w:p>
        </w:tc>
        <w:tc>
          <w:tcPr>
            <w:tcW w:w="4876" w:type="dxa"/>
          </w:tcPr>
          <w:p>
            <w:pPr>
              <w:pStyle w:val="Normal6a"/>
            </w:pPr>
            <w:r>
              <w:t>3.</w:t>
            </w:r>
            <w:r>
              <w:tab/>
            </w:r>
            <w:r>
              <w:t>Pro účely odst. 1 písm.</w:t>
            </w:r>
            <w:r>
              <w:rPr>
                <w:b/>
                <w:i/>
              </w:rPr>
              <w:t> b)</w:t>
            </w:r>
            <w:r>
              <w:t xml:space="preserve"> tohoto článku se nízkou mírou </w:t>
            </w:r>
            <w:r>
              <w:rPr>
                <w:b/>
                <w:i/>
              </w:rPr>
              <w:t>uznaných žádostí o azyl</w:t>
            </w:r>
            <w:r>
              <w:t xml:space="preserve"> rozumí míra uznávání žádostí o azyl nižší než </w:t>
            </w:r>
            <w:r>
              <w:rPr>
                <w:b/>
                <w:i/>
              </w:rPr>
              <w:t>2 %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Pro účely odst. 1 písm. b) tohoto článku se nízkou mírou uznávání rozumí míra uznávání žádostí o azyl nižší než 4 %, pokud Komise v souladu s čl. 8b odst. 4 nebo čl. 8c odst. 2 nedojde k závěru, že v daném případě je použitelná vyšší míra uznávání.</w:t>
            </w:r>
          </w:p>
        </w:tc>
        <w:tc>
          <w:tcPr>
            <w:tcW w:w="4876" w:type="dxa"/>
          </w:tcPr>
          <w:p>
            <w:pPr>
              <w:pStyle w:val="Normal6a"/>
            </w:pPr>
            <w:r>
              <w:t>3.</w:t>
            </w:r>
            <w:r>
              <w:tab/>
            </w:r>
            <w:r>
              <w:t xml:space="preserve">Pro účely odst. 1 písm. b) tohoto článku se nízkou mírou uznávání rozumí míra uznávání žádostí o azyl nižší než 4 %, pokud Komise v souladu s čl. 8b odst. 4 nebo čl. 8c odst. 2 nedojde k závěru, že v daném případě je použitelná vyšší míra uznávání </w:t>
            </w:r>
            <w:r>
              <w:rPr>
                <w:b/>
                <w:i/>
              </w:rPr>
              <w:t>tak, že toto rozhodnutí řádně odůvodní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Pro účely odst. 1 písm. b) tohoto článku se nízkou mírou uznávání rozumí míra uznávání žádostí o azyl nižší než </w:t>
            </w:r>
            <w:r>
              <w:rPr>
                <w:b/>
                <w:i/>
              </w:rPr>
              <w:t>4</w:t>
            </w:r>
            <w:r>
              <w:t xml:space="preserve"> %, pokud Komise v souladu s čl. 8b odst. 4 nebo čl. 8c odst. 2 nedojde k závěru, že v daném případě je použitelná vyšší míra uznávání.</w:t>
            </w:r>
          </w:p>
        </w:tc>
        <w:tc>
          <w:tcPr>
            <w:tcW w:w="4876" w:type="dxa"/>
          </w:tcPr>
          <w:p>
            <w:pPr>
              <w:pStyle w:val="Normal6a"/>
            </w:pPr>
            <w:r>
              <w:t>3.</w:t>
            </w:r>
            <w:r>
              <w:tab/>
            </w:r>
            <w:r>
              <w:t xml:space="preserve">Pro účely odst. 1 písm. b) tohoto článku se nízkou mírou uznávání rozumí míra uznávání žádostí o azyl nižší než </w:t>
            </w:r>
            <w:r>
              <w:rPr>
                <w:b/>
                <w:i/>
              </w:rPr>
              <w:t>35</w:t>
            </w:r>
            <w:r>
              <w:t xml:space="preserve"> %, pokud Komise v souladu s čl. 8b odst. 4 nebo čl. 8c odst. 2 nedojde k závěru, že v daném případě je použitelná vyšší míra uznávání.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Pro účely odst. 1 písm. b) tohoto článku se nízkou mírou uznávání rozumí míra uznávání žádostí o azyl nižší než </w:t>
            </w:r>
            <w:r>
              <w:rPr>
                <w:b/>
                <w:i/>
              </w:rPr>
              <w:t>4</w:t>
            </w:r>
            <w:r>
              <w:t xml:space="preserve"> %, pokud Komise v souladu s čl. 8b odst. 4 nebo čl. 8c odst. 2 nedojde k závěru, že v daném případě je použitelná vyšší míra uznávání.</w:t>
            </w:r>
          </w:p>
        </w:tc>
        <w:tc>
          <w:tcPr>
            <w:tcW w:w="4876" w:type="dxa"/>
          </w:tcPr>
          <w:p>
            <w:pPr>
              <w:pStyle w:val="Normal6a"/>
            </w:pPr>
            <w:r>
              <w:t>3.</w:t>
            </w:r>
            <w:r>
              <w:tab/>
            </w:r>
            <w:r>
              <w:t xml:space="preserve">Pro účely odst. 1 písm. b) tohoto článku se nízkou mírou uznávání rozumí míra uznávání žádostí o azyl nižší než </w:t>
            </w:r>
            <w:r>
              <w:rPr>
                <w:b/>
                <w:i/>
              </w:rPr>
              <w:t>20</w:t>
            </w:r>
            <w:r>
              <w:t xml:space="preserve"> %, pokud Komise v souladu s čl. 8b odst. 4 nebo čl. 8c odst. 2 nedojde k závěru, že v daném případě je použitelná vyšší míra uznávání.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Pro účely odst. 1 písm. b) tohoto článku se nízkou mírou uznávání rozumí míra uznávání žádostí o azyl nižší než </w:t>
            </w:r>
            <w:r>
              <w:rPr>
                <w:b/>
                <w:i/>
              </w:rPr>
              <w:t>4</w:t>
            </w:r>
            <w:r>
              <w:t xml:space="preserve"> %, pokud Komise v souladu s čl. 8b odst. 4 nebo čl. 8c odst. 2 nedojde k závěru, že v daném případě je použitelná vyšší míra uznávání.</w:t>
            </w:r>
          </w:p>
        </w:tc>
        <w:tc>
          <w:tcPr>
            <w:tcW w:w="4876" w:type="dxa"/>
          </w:tcPr>
          <w:p>
            <w:pPr>
              <w:pStyle w:val="Normal6a"/>
            </w:pPr>
            <w:r>
              <w:t>3.</w:t>
            </w:r>
            <w:r>
              <w:tab/>
            </w:r>
            <w:r>
              <w:t xml:space="preserve">Pro účely odst. 1 písm. b) tohoto článku se nízkou mírou uznávání rozumí míra uznávání žádostí o azyl nižší než </w:t>
            </w:r>
            <w:r>
              <w:rPr>
                <w:b/>
                <w:i/>
              </w:rPr>
              <w:t>35</w:t>
            </w:r>
            <w:r>
              <w:t xml:space="preserve"> %, pokud Komise v souladu s čl. 8b odst. 4 nebo čl. 8c odst. 2 nedojde k závěru, že v daném případě je použitelná vyšší míra uznávání.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15 % všech žádostí o azyl v roce 2022 podali občané ze zemí s bezvízovým stykem.</w:t>
      </w:r>
      <w:r>
        <w:t xml:space="preserve"> </w:t>
      </w:r>
      <w:r>
        <w:t>Podle Agentury EU pro azyl se tento podíl v roce 2023 zvýšil na přibližně 20 %.</w:t>
      </w:r>
      <w:r>
        <w:t xml:space="preserve"> </w:t>
      </w:r>
      <w:r>
        <w:t>Mnohé z těchto žádostí podali státní příslušníci třetích zemí ze zemí uvedených v příloze II s mírou uznaných žádostí vyšší než 4 %.</w:t>
      </w:r>
      <w:r>
        <w:t xml:space="preserve"> </w:t>
      </w:r>
      <w:r>
        <w:t>Míra uznávání ve výši 4 % je příliš nízká a brání funkčnosti mechanismu pozastavení.</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Pro účely odst. 1 písm. b) tohoto článku se nízkou mírou uznávání rozumí míra uznávání žádostí o azyl nižší než </w:t>
            </w:r>
            <w:r>
              <w:rPr>
                <w:b/>
                <w:i/>
              </w:rPr>
              <w:t>4</w:t>
            </w:r>
            <w:r>
              <w:t xml:space="preserve"> %, pokud Komise v souladu s čl. 8b odst. 4 nebo čl. 8c odst. 2 nedojde k závěru, že v daném případě je použitelná vyšší míra uznávání.</w:t>
            </w:r>
          </w:p>
        </w:tc>
        <w:tc>
          <w:tcPr>
            <w:tcW w:w="4876" w:type="dxa"/>
          </w:tcPr>
          <w:p>
            <w:pPr>
              <w:pStyle w:val="Normal6a"/>
            </w:pPr>
            <w:r>
              <w:t>3.</w:t>
            </w:r>
            <w:r>
              <w:tab/>
            </w:r>
            <w:r>
              <w:t xml:space="preserve">Pro účely odst. 1 písm. b) tohoto článku se nízkou mírou uznávání rozumí míra uznávání žádostí o azyl nižší než </w:t>
            </w:r>
            <w:r>
              <w:rPr>
                <w:b/>
                <w:i/>
              </w:rPr>
              <w:t>3</w:t>
            </w:r>
            <w:r>
              <w:t xml:space="preserve"> %, pokud Komise v souladu s čl. 8b odst. 4 nebo čl. 8c odst. 2 nedojde k závěru, že v daném případě je použitelná vyšší míra uznávání.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Pro účely odst. 1 písm. c) se snížením míry spolupráce s třetí zemí uvedenou na seznamu v příloze II v oblasti zpětného přebírání osob rozumí podstatný nárůst, doložený odpovídajícími údaji, míry zamítnutých žádostí o zpětné převzetí podaných členským státem uvedené třetí zemi ohledně jejích státních příslušníků, </w:t>
            </w:r>
            <w:r>
              <w:rPr>
                <w:b/>
                <w:i/>
              </w:rPr>
              <w:t>nebo je-li taková povinnost stanovena v dohodě o zpětném přebírání osob uzavřené mezi Unií nebo uvedeným členským státem a uvedenou</w:t>
            </w:r>
            <w:r>
              <w:t xml:space="preserve"> třetí </w:t>
            </w:r>
            <w:r>
              <w:rPr>
                <w:b/>
                <w:i/>
              </w:rPr>
              <w:t>zemí, ohledně státních příslušníků třetích zemí, kteří přešli přes danou třetí zemi</w:t>
            </w:r>
            <w:r>
              <w:t>.</w:t>
            </w:r>
          </w:p>
        </w:tc>
        <w:tc>
          <w:tcPr>
            <w:tcW w:w="4876" w:type="dxa"/>
          </w:tcPr>
          <w:p>
            <w:pPr>
              <w:pStyle w:val="Normal6a"/>
            </w:pPr>
            <w:r>
              <w:t>4.</w:t>
            </w:r>
            <w:r>
              <w:tab/>
            </w:r>
            <w:r>
              <w:t xml:space="preserve">Pro účely odst. 1 písm. c) se snížením míry spolupráce s třetí zemí uvedenou na seznamu v příloze II v oblasti zpětného přebírání osob rozumí podstatný nárůst, doložený odpovídajícími údaji, míry zamítnutých žádostí o zpětné převzetí podaných členským státem uvedené třetí zemi ohledně jejích státních příslušníků, </w:t>
            </w:r>
            <w:r>
              <w:rPr>
                <w:b/>
                <w:i/>
              </w:rPr>
              <w:t>pokud lze jasně prokázat, že omezení spolupráce je výsledkem činností či nečinnosti příslušné</w:t>
            </w:r>
            <w:r>
              <w:t xml:space="preserve"> třetí </w:t>
            </w:r>
            <w:r>
              <w:rPr>
                <w:b/>
                <w:i/>
              </w:rPr>
              <w:t>země a nelze ji připsat dožadujícímu členskému státu</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Pro účely odst. 1 písm. c) se snížením míry spolupráce s třetí zemí uvedenou na seznamu v příloze II v oblasti zpětného přebírání osob rozumí </w:t>
            </w:r>
            <w:r>
              <w:rPr>
                <w:b/>
                <w:i/>
              </w:rPr>
              <w:t>podstatný</w:t>
            </w:r>
            <w:r>
              <w:t xml:space="preserve"> nárůst, doložený odpovídajícími údaji, míry zamítnutých žádostí o zpětné převzetí podaných členským státem uvedené třetí zemi ohledně jejích státních příslušníků, nebo je-li taková povinnost stanovena v dohodě o zpětném přebírání osob uzavřené mezi Unií nebo uvedeným členským státem a uvedenou třetí zemí, ohledně státních příslušníků třetích zemí, kteří přešli přes danou třetí zemi.</w:t>
            </w:r>
          </w:p>
        </w:tc>
        <w:tc>
          <w:tcPr>
            <w:tcW w:w="4876" w:type="dxa"/>
          </w:tcPr>
          <w:p>
            <w:pPr>
              <w:pStyle w:val="Normal6a"/>
            </w:pPr>
            <w:r>
              <w:t>4.</w:t>
            </w:r>
            <w:r>
              <w:tab/>
            </w:r>
            <w:r>
              <w:t xml:space="preserve">Pro účely odst. 1 písm. c) se snížením míry spolupráce s třetí zemí uvedenou na seznamu v příloze II v oblasti zpětného přebírání osob rozumí nárůst </w:t>
            </w:r>
            <w:r>
              <w:rPr>
                <w:b/>
                <w:i/>
              </w:rPr>
              <w:t>míry</w:t>
            </w:r>
            <w:r>
              <w:t>, doložený odpovídajícími údaji, míry zamítnutých žádostí o zpětné převzetí podaných členským státem uvedené třetí zemi ohledně jejích státních příslušníků, nebo je-li taková povinnost stanovena v dohodě o zpětném přebírání osob uzavřené mezi Unií nebo uvedeným členským státem a uvedenou třetí zemí, ohledně státních příslušníků třetích zemí, kteří přešli přes danou třetí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1 – odst. 2 – písm.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zamítání</w:t>
            </w:r>
            <w:r>
              <w:t xml:space="preserve"> žádostí o zpětné převzetí </w:t>
            </w:r>
            <w:r>
              <w:rPr>
                <w:b/>
                <w:i/>
              </w:rPr>
              <w:t>osob nebo jejich nevyřizování včas</w:t>
            </w:r>
            <w:r>
              <w:t>;</w:t>
            </w:r>
          </w:p>
        </w:tc>
        <w:tc>
          <w:tcPr>
            <w:tcW w:w="4876" w:type="dxa"/>
          </w:tcPr>
          <w:p>
            <w:pPr>
              <w:pStyle w:val="Normal6a"/>
            </w:pPr>
            <w:r>
              <w:t>a)</w:t>
            </w:r>
            <w:r>
              <w:tab/>
            </w:r>
            <w:r>
              <w:rPr>
                <w:b/>
                <w:i/>
              </w:rPr>
              <w:t>zamítnutí nebo neprovedení</w:t>
            </w:r>
            <w:r>
              <w:t xml:space="preserve"> žádostí o zpětné převzetí </w:t>
            </w:r>
            <w:r>
              <w:rPr>
                <w:b/>
                <w:i/>
              </w:rPr>
              <w:t>včas, neposkytnutí pomoci při včasné identifikaci státních příslušníků třetích zemí pobývajících na území členského státu bez práva tak učinit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1 – odst. 5 – písm.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rPr>
                <w:b/>
                <w:i/>
              </w:rPr>
              <w:t>zamítání</w:t>
            </w:r>
            <w:r>
              <w:t xml:space="preserve"> žádostí o zpětné převzetí </w:t>
            </w:r>
            <w:r>
              <w:rPr>
                <w:b/>
                <w:i/>
              </w:rPr>
              <w:t>osob nebo jejich nevyřizování včas</w:t>
            </w:r>
            <w:r>
              <w:t>;</w:t>
            </w:r>
          </w:p>
        </w:tc>
        <w:tc>
          <w:tcPr>
            <w:tcW w:w="4876" w:type="dxa"/>
          </w:tcPr>
          <w:p>
            <w:pPr>
              <w:pStyle w:val="Normal6a"/>
            </w:pPr>
            <w:r>
              <w:t>a)</w:t>
            </w:r>
            <w:r>
              <w:tab/>
            </w:r>
            <w:r>
              <w:rPr>
                <w:b/>
                <w:i/>
              </w:rPr>
              <w:t>zamítnutí nebo nezpracování</w:t>
            </w:r>
            <w:r>
              <w:t xml:space="preserve"> žádostí o zpětné převzetí </w:t>
            </w:r>
            <w:r>
              <w:rPr>
                <w:b/>
                <w:i/>
              </w:rPr>
              <w:t>do čtyř týdnů od rozhodnutí o navrácení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Slovo „včas“ je příliš vágní.</w:t>
      </w:r>
      <w:r>
        <w:t xml:space="preserve"> </w:t>
      </w:r>
      <w:r>
        <w:t>Jiné země potřebují přísné normy pro zpětné přebírání osob, aby jim byl umožněn v prvé řadě bezvízový přístup.</w:t>
      </w:r>
      <w:r>
        <w:t xml:space="preserve"> </w:t>
      </w:r>
      <w:r>
        <w:t>Spojené státy například vyžadují, aby země s bezvízovým stykem přijaly své občany do tří týdnů od konečného usnesení o vyhoštění.</w:t>
      </w:r>
      <w:r>
        <w:t xml:space="preserve"> </w:t>
      </w:r>
      <w:r>
        <w:t>EU má problém s navracením a země uvedené v příloze II by měly být přísně časově omezeny, co se týče rozhodnutí o navrácení.</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5 – písm.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zamítání žádostí o zpětné převzetí osob nebo jejich nevyřizování </w:t>
            </w:r>
            <w:r>
              <w:rPr>
                <w:b/>
                <w:i/>
              </w:rPr>
              <w:t>včas</w:t>
            </w:r>
            <w:r>
              <w:t>;</w:t>
            </w:r>
          </w:p>
        </w:tc>
        <w:tc>
          <w:tcPr>
            <w:tcW w:w="4876" w:type="dxa"/>
          </w:tcPr>
          <w:p>
            <w:pPr>
              <w:pStyle w:val="Normal6a"/>
            </w:pPr>
            <w:r>
              <w:t>a)</w:t>
            </w:r>
            <w:r>
              <w:tab/>
            </w:r>
            <w:r>
              <w:t>zamítání žádostí o zpětné převzetí osob nebo jejich nevyřizování;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5 – písm.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nevydávání cestovních dokladů pro účely návratu včas ve lhůtách stanovených v dohodě o zpětném přebírání osob nebo odmítání uznávat evropské cestovní doklady vydané po uplynutí lhůt stanovených v dohodě o zpětném přebírání osob;</w:t>
            </w:r>
          </w:p>
        </w:tc>
        <w:tc>
          <w:tcPr>
            <w:tcW w:w="4876" w:type="dxa"/>
          </w:tcPr>
          <w:p>
            <w:pPr>
              <w:pStyle w:val="Normal6a"/>
            </w:pPr>
            <w:r>
              <w:t>b)</w:t>
            </w:r>
            <w:r>
              <w:tab/>
            </w:r>
            <w:r>
              <w:t xml:space="preserve">nevydávání cestovních dokladů pro účely návratu včas ve lhůtách stanovených v dohodě o zpětném přebírání osob nebo odmítání uznávat evropské cestovní doklady vydané po uplynutí lhůt stanovených v dohodě o zpětném přebírání osob </w:t>
            </w:r>
            <w:r>
              <w:rPr>
                <w:b/>
                <w:i/>
              </w:rPr>
              <w:t>nebo jiné vytváření přetrvávající praktické překážky pro výkon rozhodnutí o zpětném přebírání osob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5 – písm.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nevydávání cestovních dokladů pro účely návratu včas ve lhůtách stanovených v dohodě o zpětném přebírání osob nebo odmítání uznávat evropské cestovní doklady vydané po uplynutí lhůt stanovených v dohodě o zpětném přebírání osob;</w:t>
            </w:r>
          </w:p>
        </w:tc>
        <w:tc>
          <w:tcPr>
            <w:tcW w:w="4876" w:type="dxa"/>
          </w:tcPr>
          <w:p>
            <w:pPr>
              <w:pStyle w:val="Normal6a"/>
            </w:pPr>
            <w:r>
              <w:t>b)</w:t>
            </w:r>
            <w:r>
              <w:tab/>
            </w:r>
            <w:r>
              <w:t xml:space="preserve">nevydávání cestovních dokladů </w:t>
            </w:r>
            <w:r>
              <w:rPr>
                <w:b/>
                <w:i/>
              </w:rPr>
              <w:t>osobám, které uzná za osoby s právem pobytu na jeho území,</w:t>
            </w:r>
            <w:r>
              <w:t xml:space="preserve"> pro účely návratu včas ve lhůtách stanovených v dohodě o zpětném přebírání osob nebo odmítání uznávat evropské cestovní doklady vydané po uplynutí lhůt stanovených v dohodě o zpětném přebírání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5 – písm.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nevydávání cestovních dokladů pro účely návratu včas ve lhůtách stanovených v dohodě o zpětném přebírání osob nebo odmítání uznávat evropské cestovní doklady vydané po uplynutí lhůt stanovených v dohodě o zpětném přebírání osob;</w:t>
            </w:r>
          </w:p>
        </w:tc>
        <w:tc>
          <w:tcPr>
            <w:tcW w:w="4876" w:type="dxa"/>
          </w:tcPr>
          <w:p>
            <w:pPr>
              <w:pStyle w:val="Normal6a"/>
            </w:pPr>
            <w:r>
              <w:t>b)</w:t>
            </w:r>
            <w:r>
              <w:tab/>
            </w:r>
            <w:r>
              <w:t xml:space="preserve">nevydávání cestovních dokladů </w:t>
            </w:r>
            <w:r>
              <w:rPr>
                <w:b/>
                <w:i/>
              </w:rPr>
              <w:t>vlastním státním příslušníkům nebo osobám, které mají právo pobytu na jeho území </w:t>
            </w:r>
            <w:r>
              <w:t>pro účely návratu včas ve lhůtách stanovených v dohodě o zpětném přebírání osob nebo odmítání uznávat evropské cestovní doklady vydané po uplynutí lhůt stanovených v dohodě o zpětném přebírání osob;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5 – písm.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vypovězení dohody o zpětném přebírání osob uzavřené mezi třetí zemí uvedenou na seznamu v příloze II s Unií nebo přerušení jejího uplatňování.</w:t>
            </w:r>
          </w:p>
        </w:tc>
        <w:tc>
          <w:tcPr>
            <w:tcW w:w="4876" w:type="dxa"/>
          </w:tcPr>
          <w:p>
            <w:pPr>
              <w:pStyle w:val="Normal6a"/>
            </w:pPr>
            <w:r>
              <w:t>c)</w:t>
            </w:r>
            <w:r>
              <w:tab/>
            </w:r>
            <w:r>
              <w:t xml:space="preserve">vypovězení </w:t>
            </w:r>
            <w:r>
              <w:rPr>
                <w:b/>
                <w:i/>
              </w:rPr>
              <w:t>nebo jiné narušení</w:t>
            </w:r>
            <w:r>
              <w:t xml:space="preserve"> dohody o zpětném přebírání osob uzavřené mezi třetí zemí uvedenou na seznamu v příloze II s Unií nebo přerušení jejího uplatňování.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název</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Oznámení </w:t>
            </w:r>
            <w:r>
              <w:rPr>
                <w:b/>
                <w:i/>
              </w:rPr>
              <w:t>členských států</w:t>
            </w:r>
            <w:r>
              <w:t xml:space="preserve"> a přezkoumání tohoto oznámení</w:t>
            </w:r>
          </w:p>
        </w:tc>
        <w:tc>
          <w:tcPr>
            <w:tcW w:w="4876" w:type="dxa"/>
          </w:tcPr>
          <w:p>
            <w:pPr>
              <w:pStyle w:val="Normal6a"/>
            </w:pPr>
            <w:r>
              <w:t>Oznámení a přezkoumání tohoto oznámení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Členský stát může učinit oznámení Komisi, pokud se během nejméně dvouměsíčního období ve srovnání se stejným obdobím předchozího roku nebo s obdobím posledních dvou měsíců před zavedením osvobození od vízové povinnosti pro státní příslušníky třetí země uvedené na seznamu v příloze II potýká s jednou či více z okolností, které představují důvody pro pozastavení uvedené v čl. 8a odst. 1 písm. a), b), c) a písm. d) bodě i).</w:t>
            </w:r>
          </w:p>
        </w:tc>
        <w:tc>
          <w:tcPr>
            <w:tcW w:w="4876" w:type="dxa"/>
          </w:tcPr>
          <w:p>
            <w:pPr>
              <w:pStyle w:val="Normal6a"/>
            </w:pPr>
            <w:r>
              <w:t>1.</w:t>
            </w:r>
            <w:r>
              <w:tab/>
            </w:r>
            <w:r>
              <w:t>Členský stát může učinit oznámení Komisi, pokud se během nejméně dvouměsíčního</w:t>
            </w:r>
            <w:r>
              <w:rPr>
                <w:b/>
                <w:i/>
              </w:rPr>
              <w:t>, ale nejvíce dvanáctiměsíčního</w:t>
            </w:r>
            <w:r>
              <w:t xml:space="preserve"> období ve srovnání se stejným obdobím předchozího roku nebo s obdobím posledních dvou měsíců před zavedením osvobození od vízové povinnosti pro státní příslušníky třetí země uvedené na seznamu v příloze II potýká s jednou či více z okolností, které představují důvody pro pozastavení uvedené v čl. 8a odst. 1 písm. a), b), c) a písm. d) bodě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Členský stát může učinit oznámení Komisi, pokud se během nejméně dvouměsíčního období ve srovnání se stejným obdobím předchozího roku nebo s obdobím posledních dvou měsíců před zavedením osvobození od vízové povinnosti pro státní příslušníky třetí země uvedené na seznamu v příloze II potýká s jednou či více z okolností, které představují důvody pro pozastavení uvedené v čl. 8a odst. 1 písm. a)</w:t>
            </w:r>
            <w:r>
              <w:rPr>
                <w:b/>
                <w:i/>
              </w:rPr>
              <w:t>, b), c) a písm. d) bodě i).</w:t>
            </w:r>
          </w:p>
        </w:tc>
        <w:tc>
          <w:tcPr>
            <w:tcW w:w="4876" w:type="dxa"/>
          </w:tcPr>
          <w:p>
            <w:pPr>
              <w:pStyle w:val="Normal6a"/>
            </w:pPr>
            <w:r>
              <w:t>1.</w:t>
            </w:r>
            <w:r>
              <w:tab/>
            </w:r>
            <w:r>
              <w:t>Členský stát může učinit oznámení Komisi, pokud se během nejméně dvouměsíčního období ve srovnání se stejným obdobím předchozího roku nebo s obdobím posledních dvou měsíců před zavedením osvobození od vízové povinnosti pro státní příslušníky třetí země uvedené na seznamu v příloze II potýká s jednou či více z okolností, které představují důvody pro pozastavení uvedené v čl. 8a odst. 1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Členský stát může učinit oznámení Komisi, pokud se během nejméně dvouměsíčního období ve srovnání se stejným obdobím předchozího roku nebo s obdobím posledních dvou měsíců před zavedením osvobození od vízové povinnosti pro státní příslušníky třetí země uvedené na seznamu v příloze II potýká s jednou či více z okolností, které představují důvody pro pozastavení uvedené v čl. 8a odst. 1 písm. a), b), c) a </w:t>
            </w:r>
            <w:r>
              <w:rPr>
                <w:b/>
                <w:i/>
              </w:rPr>
              <w:t>písm. d) bodě i)</w:t>
            </w:r>
            <w:r>
              <w:t>.</w:t>
            </w:r>
          </w:p>
        </w:tc>
        <w:tc>
          <w:tcPr>
            <w:tcW w:w="4876" w:type="dxa"/>
          </w:tcPr>
          <w:p>
            <w:pPr>
              <w:pStyle w:val="Normal6a"/>
            </w:pPr>
            <w:r>
              <w:t>1.</w:t>
            </w:r>
            <w:r>
              <w:tab/>
            </w:r>
            <w:r>
              <w:t>Členský stát může učinit oznámení Komisi, pokud se během nejméně dvouměsíčního období ve srovnání se stejným obdobím předchozího roku nebo s obdobím posledních dvou měsíců před zavedením osvobození od vízové povinnosti pro státní příslušníky třetí země uvedené na seznamu v příloze II potýká s jednou či více z okolností, které představují důvody pro pozastavení uvedené v čl. 8a odst. 1 písm. a), b), c) a</w:t>
            </w:r>
            <w:r>
              <w:rPr>
                <w:b/>
                <w:i/>
              </w:rPr>
              <w:t xml:space="preserve">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bod 1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Členský stát může Komisi rovněž oznámit existenci okolností, které představují důvody pro pozastavení uvedené v čl. 8a odst. 1 písm. e), f), g) a 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1 – bod 1 b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Evropský parlament může Komisi rovněž oznámit existenci okolností, které představují důvody pro pozastavení podle čl. 8a odst. 1 písm. e), f), ga) a gb).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Oznámení uvedené v prvním odstavci tohoto článku musí uvádět důvody, na nichž se zakládá, a zahrnovat příslušné údaje a statistiky, jakož i podrobné vysvětlení předběžných opatření, která dotčený členský stát přijal k nápravě situace. Dotčený členský stát může ve svém oznámení uvést kategorie státních příslušníků dané třetí země, na něž se má vztahovat prováděcí akt podle čl. 8e odst. 1, a uvede pro to podrobné důvody.</w:t>
            </w:r>
          </w:p>
        </w:tc>
        <w:tc>
          <w:tcPr>
            <w:tcW w:w="4876" w:type="dxa"/>
          </w:tcPr>
          <w:p>
            <w:pPr>
              <w:pStyle w:val="Normal6a"/>
            </w:pPr>
            <w:r>
              <w:t>2.</w:t>
            </w:r>
            <w:r>
              <w:tab/>
            </w:r>
            <w:r>
              <w:t xml:space="preserve">Oznámení uvedené v prvním odstavci tohoto článku musí uvádět důvody, na nichž se zakládá, a zahrnovat příslušné údaje a statistiky, jakož i podrobné vysvětlení předběžných opatření, která dotčený členský stát přijal k nápravě situace. Dotčený členský stát může ve svém oznámení uvést kategorie státních příslušníků dané třetí země, na něž se má vztahovat prováděcí akt podle čl. 8e odst. 1, a uvede pro to podrobné důvody. </w:t>
            </w:r>
            <w:r>
              <w:rPr>
                <w:b/>
                <w:i/>
              </w:rPr>
              <w:t>Za výjimečných okolností, které vyžadují okamžitá opatření, mohou členské státy oznámit Komisi okolnosti uvedené v čl. 8a odst. 1, které se týkají období kratšího než dva měsíce, za předpokladu, že dotyčné členské státy uvedou podrobné odůvodnění potřebné akutní reakce.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Oznámení uvedené v </w:t>
            </w:r>
            <w:r>
              <w:rPr>
                <w:b/>
                <w:i/>
              </w:rPr>
              <w:t>prvním odstavci</w:t>
            </w:r>
            <w:r>
              <w:t xml:space="preserve"> tohoto článku musí uvádět důvody, na nichž se zakládá</w:t>
            </w:r>
            <w:r>
              <w:rPr>
                <w:b/>
                <w:i/>
              </w:rPr>
              <w:t>, a zahrnovat</w:t>
            </w:r>
            <w:r>
              <w:t xml:space="preserve"> příslušné údaje a statistiky, jakož i podrobné vysvětlení předběžných opatření, která </w:t>
            </w:r>
            <w:r>
              <w:rPr>
                <w:b/>
                <w:i/>
              </w:rPr>
              <w:t>dotčený</w:t>
            </w:r>
            <w:r>
              <w:t xml:space="preserve"> členský stát přijal k nápravě situace. </w:t>
            </w:r>
            <w:r>
              <w:rPr>
                <w:b/>
                <w:i/>
              </w:rPr>
              <w:t>Dotčený členský stát může ve svém oznámení uvést kategorie státních příslušníků dané třetí země, na něž se má vztahovat prováděcí akt podle čl. 8e odst. 1, a uvede pro to podrobné důvody.</w:t>
            </w:r>
          </w:p>
        </w:tc>
        <w:tc>
          <w:tcPr>
            <w:tcW w:w="4876" w:type="dxa"/>
          </w:tcPr>
          <w:p>
            <w:pPr>
              <w:pStyle w:val="Normal6a"/>
            </w:pPr>
            <w:r>
              <w:t>2.</w:t>
            </w:r>
            <w:r>
              <w:tab/>
            </w:r>
            <w:r>
              <w:t xml:space="preserve">Oznámení uvedené v </w:t>
            </w:r>
            <w:r>
              <w:rPr>
                <w:b/>
                <w:i/>
              </w:rPr>
              <w:t>odstavcích 1, 1a a 1b</w:t>
            </w:r>
            <w:r>
              <w:t xml:space="preserve"> tohoto článku musí uvádět důvody, na nichž se zakládá</w:t>
            </w:r>
            <w:r>
              <w:rPr>
                <w:b/>
                <w:i/>
              </w:rPr>
              <w:t>.</w:t>
            </w:r>
            <w:r>
              <w:t xml:space="preserve"> </w:t>
            </w:r>
            <w:r>
              <w:rPr>
                <w:b/>
                <w:i/>
              </w:rPr>
              <w:t>Oznámení uvedené v odstavcích 1 a 1a případně obsahuje všechny</w:t>
            </w:r>
            <w:r>
              <w:t xml:space="preserve"> příslušné údaje a statistiky, jakož i podrobné vysvětlení předběžných opatření, která </w:t>
            </w:r>
            <w:r>
              <w:rPr>
                <w:b/>
                <w:i/>
              </w:rPr>
              <w:t>daný</w:t>
            </w:r>
            <w:r>
              <w:t xml:space="preserve"> členský stát přijal k nápravě situace.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Dotčený členský stát nebo Evropský parlament může ve svém oznámení uvést kategorie státních příslušníků dané třetí země, na něž se má vztahovat prováděcí akt podle čl. 8e odst. 1, a uvede pro to podrobné důvody.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Oznámení uvedené v prvním odstavci tohoto článku musí uvádět důvody, na nichž se zakládá, a zahrnovat příslušné údaje a statistiky, jakož i podrobné vysvětlení předběžných opatření, která dotčený členský stát přijal k nápravě situace. Dotčený členský stát může ve svém oznámení uvést kategorie státních příslušníků dané třetí země, na něž se má vztahovat </w:t>
            </w:r>
            <w:r>
              <w:rPr>
                <w:b/>
                <w:i/>
              </w:rPr>
              <w:t>prováděcí</w:t>
            </w:r>
            <w:r>
              <w:t xml:space="preserve"> akt podle čl. 8e odst. 1, a uvede pro to podrobné důvody.</w:t>
            </w:r>
          </w:p>
        </w:tc>
        <w:tc>
          <w:tcPr>
            <w:tcW w:w="4876" w:type="dxa"/>
          </w:tcPr>
          <w:p>
            <w:pPr>
              <w:pStyle w:val="Normal6a"/>
            </w:pPr>
            <w:r>
              <w:t>2.</w:t>
            </w:r>
            <w:r>
              <w:tab/>
            </w:r>
            <w:r>
              <w:t xml:space="preserve">Oznámení uvedené v prvním odstavci tohoto článku musí uvádět důvody, na nichž se zakládá, a zahrnovat příslušné údaje a statistiky, jakož i podrobné vysvětlení předběžných opatření, která dotčený členský stát přijal k nápravě situace. Dotčený členský stát může ve svém oznámení uvést kategorie státních příslušníků dané třetí země, na něž se má vztahovat akt </w:t>
            </w:r>
            <w:r>
              <w:rPr>
                <w:b/>
                <w:i/>
              </w:rPr>
              <w:t>v přenesené pravomoci</w:t>
            </w:r>
            <w:r>
              <w:t xml:space="preserve"> podle čl. 8e odst. 1, a uvede pro to podrobné důvody.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Komise posoudí veškerá oznámení podle odstavce 1 tohoto článku, přičemž zohlední:</w:t>
            </w:r>
          </w:p>
        </w:tc>
        <w:tc>
          <w:tcPr>
            <w:tcW w:w="4876" w:type="dxa"/>
          </w:tcPr>
          <w:p>
            <w:pPr>
              <w:pStyle w:val="Normal6a"/>
            </w:pPr>
            <w:r>
              <w:t>4.</w:t>
            </w:r>
            <w:r>
              <w:tab/>
            </w:r>
            <w:r>
              <w:t>Komise posoudí veškerá oznámení podle odstavce 1</w:t>
            </w:r>
            <w:r>
              <w:rPr>
                <w:b/>
                <w:i/>
              </w:rPr>
              <w:t>, 1a a 1b</w:t>
            </w:r>
            <w:r>
              <w:t xml:space="preserve"> tohoto článku, přičemž zohlední: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5 – písm.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zda existuje některá z okolností, které představují důvody uvedené v čl. 8a odst. 1 </w:t>
            </w:r>
            <w:r>
              <w:rPr>
                <w:b/>
                <w:i/>
              </w:rPr>
              <w:t>písm. a), b), c) nebo písm. d) bodě i);</w:t>
            </w:r>
          </w:p>
        </w:tc>
        <w:tc>
          <w:tcPr>
            <w:tcW w:w="4876" w:type="dxa"/>
          </w:tcPr>
          <w:p>
            <w:pPr>
              <w:pStyle w:val="Normal6a"/>
            </w:pPr>
            <w:r>
              <w:t>a)</w:t>
            </w:r>
            <w:r>
              <w:tab/>
            </w:r>
            <w:r>
              <w:t>zda existuje některá z okolností, které představují důvody uvedené v čl. 8a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4 – písm.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zda existuje některá z okolností, které představují důvody uvedené v čl. 8a odst. 1 </w:t>
            </w:r>
            <w:r>
              <w:rPr>
                <w:b/>
                <w:i/>
              </w:rPr>
              <w:t>písm. a), b), c) nebo písm. d) bodě i);</w:t>
            </w:r>
          </w:p>
        </w:tc>
        <w:tc>
          <w:tcPr>
            <w:tcW w:w="4876" w:type="dxa"/>
          </w:tcPr>
          <w:p>
            <w:pPr>
              <w:pStyle w:val="Normal6a"/>
            </w:pPr>
            <w:r>
              <w:t>a)</w:t>
            </w:r>
            <w:r>
              <w:tab/>
            </w:r>
            <w:r>
              <w:t>zda existuje některá z okolností, které představují důvody uvedené v čl. 8a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4 – písm.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zda existuje některá z okolností, které představují důvody uvedené v čl. 8a odst. 1 písm. a), b), c) nebo </w:t>
            </w:r>
            <w:r>
              <w:rPr>
                <w:b/>
                <w:i/>
              </w:rPr>
              <w:t>písm. d) bodě i)</w:t>
            </w:r>
            <w:r>
              <w:t>;</w:t>
            </w:r>
          </w:p>
        </w:tc>
        <w:tc>
          <w:tcPr>
            <w:tcW w:w="4876" w:type="dxa"/>
          </w:tcPr>
          <w:p>
            <w:pPr>
              <w:pStyle w:val="Normal6a"/>
            </w:pPr>
            <w:r>
              <w:t>a)</w:t>
            </w:r>
            <w:r>
              <w:tab/>
            </w:r>
            <w:r>
              <w:t>zda existuje některá z okolností, které představují důvody uvedené v čl. 8a odst. 1 písm. a), b), c) nebo</w:t>
            </w:r>
            <w:r>
              <w:rPr>
                <w:b/>
                <w:i/>
              </w:rPr>
              <w:t xml:space="preserve">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4 – písm.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zda existuje některá z okolností, které představují důvody uvedené v čl. 8a odst. 1 písm. a), b)</w:t>
            </w:r>
            <w:r>
              <w:rPr>
                <w:b/>
                <w:i/>
              </w:rPr>
              <w:t>, c)</w:t>
            </w:r>
            <w:r>
              <w:t xml:space="preserve"> nebo písm. d) bodě i);</w:t>
            </w:r>
          </w:p>
        </w:tc>
        <w:tc>
          <w:tcPr>
            <w:tcW w:w="4876" w:type="dxa"/>
          </w:tcPr>
          <w:p>
            <w:pPr>
              <w:pStyle w:val="Normal6a"/>
            </w:pPr>
            <w:r>
              <w:t>a)</w:t>
            </w:r>
            <w:r>
              <w:tab/>
            </w:r>
            <w:r>
              <w:t>zda existuje některá z okolností, které představují důvody uvedené v čl. 8a odst. 1 písm. a), b) nebo písm. d) bodě 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4 – písm.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celkovou otázku veřejného pořádku </w:t>
            </w:r>
            <w:r>
              <w:rPr>
                <w:b/>
                <w:i/>
              </w:rPr>
              <w:t>a vnitřní bezpečnosti</w:t>
            </w:r>
            <w:r>
              <w:t xml:space="preserve"> v konzultaci s dotčeným členským státem.</w:t>
            </w:r>
          </w:p>
        </w:tc>
        <w:tc>
          <w:tcPr>
            <w:tcW w:w="4876" w:type="dxa"/>
          </w:tcPr>
          <w:p>
            <w:pPr>
              <w:pStyle w:val="Normal6a"/>
            </w:pPr>
            <w:r>
              <w:t>f)</w:t>
            </w:r>
            <w:r>
              <w:tab/>
            </w:r>
            <w:r>
              <w:t>celkovou otázku veřejného pořádku v konzultaci s dotčeným členským státem.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8a – odst. 4 – pís. fa (nové)</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dopad na vzájemnost v oblasti víz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4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Komise rovněž posoudí nezbytnost, přiměřenost a důsledky pozastavení osvobození od vízové povinnosti, přičemž zohlední zejména:</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celkové vnější vztahy Unie a jejích členských států s dotčenou třetí zemí;</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vhodnost pozastavení osvobození od vízové povinnosti k nápravě situace;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dopad pozastavení na práva státních příslušníků dotčené třetí země;</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zásadu vízové vzájemnosti a zásadu nediskriminace;</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potenciální rizika, jimž čelí obránci lidských 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r>
        <w:rPr>
          <w:rStyle w:val="HideTWBExt"/>
          <w:b w:val="0"/>
        </w:rPr>
        <w:t>&lt;AuNomDe&gt;</w:t>
      </w:r>
      <w:r>
        <w:rPr>
          <w:rStyle w:val="HideTWBInt"/>
        </w:rPr>
        <w:t>{The Left}</w:t>
      </w:r>
      <w:r>
        <w:t>za skupinu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8b – odst. 5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Komise před přijetím rozhodnutí o dočasném pozastavení osvobození od vízové povinnosti pro státní příslušníky třetí země důkladně posoudí situaci v oblasti lidských práv v této třetí zemi a zohlední všechny možné důsledky pozastavení osvobození od vízové povinnosti pro tuto situaci a danou zemi.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8c – odst. 1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Při monitorování a analýze informuje Komisi Evropská pohraniční a pobřežní stráž, Agentura Evropské unie pro azyl, Agentura Evropské unie pro spolupráci v oblasti prosazování práva (Europol) nebo jakýkoli jiný příslušný orgán, instituce nebo jiný subjekt Unie.</w:t>
            </w:r>
            <w:r>
              <w:t xml:space="preserve"> </w:t>
            </w:r>
            <w:r>
              <w:rPr>
                <w:b/>
                <w:i/>
              </w:rPr>
              <w:t>Zohlední rovněž údaje uložené ve Vízovém informačním systému (VIS), Schengenském informačním systému (SIS II), Systému vstupu/výstupu (EES), Evropském systému pro cestovní informace a povolení (ETIAS) a Evropském informačním systému rejstříků trestů pro státní příslušníky třetích zemí (ECRIS-TCN).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8c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Pokud má Komise s ohledem na příslušné údaje, zprávy a statistiky konkrétní a spolehlivé informace o existenci některého z důvodů uvedených v čl. 8a odst. 1, informuje o své analýze Evropský parlament a Radu a použijí se články 8e a 8f.</w:t>
            </w:r>
          </w:p>
        </w:tc>
        <w:tc>
          <w:tcPr>
            <w:tcW w:w="4876" w:type="dxa"/>
          </w:tcPr>
          <w:p>
            <w:pPr>
              <w:pStyle w:val="Normal6a"/>
            </w:pPr>
            <w:r>
              <w:t>2.</w:t>
            </w:r>
            <w:r>
              <w:tab/>
            </w:r>
            <w:r>
              <w:t>Pokud má Komise s ohledem na příslušné údaje, zprávy a statistiky </w:t>
            </w:r>
            <w:r>
              <w:rPr>
                <w:b/>
                <w:i/>
              </w:rPr>
              <w:t>a po posouzení nezbytnosti, přiměřenosti a důsledků pozastavení osvobození od vízové povinnosti podle čl. 8b odst. 4a</w:t>
            </w:r>
            <w:r>
              <w:t xml:space="preserve"> konkrétní a spolehlivé informace o existenci některého z důvodů uvedených v čl. 8a odst. 1, informuje o své analýze Evropský parlament a Radu a použijí se články 8e a 8f.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8d – odst.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Komise podává Evropskému parlamentu a Radě zprávu o sledování prováděném v souladu s čl. 8c odst. 1 ve vztahu ke třetím zemím, které byly uvedeny na seznamu v příloze II </w:t>
            </w:r>
            <w:r>
              <w:rPr>
                <w:b/>
                <w:i/>
              </w:rPr>
              <w:t>na základě úspěšného uzavření dialogu o uvolnění vízového režimu vedeného mezi Unií a danou třetí zemí, a to nejméně jednou ročně po dobu sedmi let ode dne vstupu uvolnění vízového režimu pro tyto třetí země v platnost a poté vždy, když to Komise považuje za nezbytné, nebo na žádost Evropského parlamentu nebo Rady.</w:t>
            </w:r>
            <w:r>
              <w:t xml:space="preserve"> </w:t>
            </w:r>
            <w:r>
              <w:rPr>
                <w:b/>
                <w:i/>
              </w:rPr>
              <w:t>Zpráva se zaměří na třetí země, o nichž se Komise na základě konkrétních a spolehlivých informací domnívá, že již nesplňují určité zvláštní požadavky, které jsou založeny na článku 1 a byly použity k posouzení toho, zda je vhodné uvolnit vízový režim</w:t>
            </w:r>
            <w:r>
              <w:t>.</w:t>
            </w:r>
          </w:p>
        </w:tc>
        <w:tc>
          <w:tcPr>
            <w:tcW w:w="4876" w:type="dxa"/>
          </w:tcPr>
          <w:p>
            <w:pPr>
              <w:pStyle w:val="Normal6a"/>
            </w:pPr>
            <w:r>
              <w:t>1.</w:t>
            </w:r>
            <w:r>
              <w:tab/>
            </w:r>
            <w:r>
              <w:t>Komise podává Evropskému parlamentu a Radě zprávu o sledování prováděném v souladu s čl. 8c odst. 1 ve vztahu ke třetím zemím, které byly uvedeny na seznamu v příloze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8d – odst. 1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Komise podává tyto zprávy pravidelně, čímž zajistí, že o každé třetí zemi bude podána zpráva alespoň jednou během čtyř let.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8d – odst. 1 b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V případě třetích zemí, které byly zařazeny na seznam v důsledku úspěšného uzavření dialogu o uvolnění vízového režimu vedeného mezi Unií a touto třetí zemí, podává Komise každoročně zprávu po dobu sedmi let ode dne vstupu uvolnění vízového režimu pro tyto třetí země v platnost.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8d – odst. 1 c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1c.</w:t>
            </w:r>
            <w:r>
              <w:tab/>
            </w:r>
            <w:r>
              <w:rPr>
                <w:b/>
                <w:i/>
              </w:rPr>
              <w:t>Kdykoli to Komise považuje za nezbytné, podá zprávu o třetích zemích, o nichž se Komise na základě konkrétních a spolehlivých informací domnívá, že již nesplňují určité zvláštní požadavky, které jsou založeny na článku 1 a byly použity k posouzení toho, zda je vhodné uvolnit vízový režim.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8d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Komise rovněž podává zprávy o třetích zemích uvedených </w:t>
            </w:r>
            <w:r>
              <w:rPr>
                <w:b/>
                <w:i/>
              </w:rPr>
              <w:t>na seznamu</w:t>
            </w:r>
            <w:r>
              <w:t xml:space="preserve"> v příloze II</w:t>
            </w:r>
            <w:r>
              <w:rPr>
                <w:b/>
                <w:i/>
              </w:rPr>
              <w:t>, které nejsou uvedeny v odstavci 1 tohoto článku, kdykoli to považuje za nezbytné nebo na žádost Evropského parlamentu nebo Rady</w:t>
            </w:r>
            <w:r>
              <w:t>.</w:t>
            </w:r>
          </w:p>
        </w:tc>
        <w:tc>
          <w:tcPr>
            <w:tcW w:w="4876" w:type="dxa"/>
          </w:tcPr>
          <w:p>
            <w:pPr>
              <w:pStyle w:val="Normal6a"/>
            </w:pPr>
            <w:r>
              <w:t>2.</w:t>
            </w:r>
            <w:r>
              <w:tab/>
            </w:r>
            <w:r>
              <w:t xml:space="preserve">Komise rovněž </w:t>
            </w:r>
            <w:r>
              <w:rPr>
                <w:b/>
                <w:i/>
              </w:rPr>
              <w:t>na žádost Evropského parlamentu nebo Rady</w:t>
            </w:r>
            <w:r>
              <w:t xml:space="preserve"> podává zprávy o třetích zemích uvedených v příloze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název</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Prováděcí</w:t>
            </w:r>
            <w:r>
              <w:t xml:space="preserve"> akty</w:t>
            </w:r>
          </w:p>
        </w:tc>
        <w:tc>
          <w:tcPr>
            <w:tcW w:w="4876" w:type="dxa"/>
          </w:tcPr>
          <w:p>
            <w:pPr>
              <w:pStyle w:val="Normal6a"/>
            </w:pPr>
            <w:r>
              <w:t xml:space="preserve">Akty </w:t>
            </w:r>
            <w:r>
              <w:rPr>
                <w:b/>
                <w:i/>
              </w:rPr>
              <w:t>v přenesené pravomoci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1 – pododstavec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Pokud na základě posouzení uvedeného v čl. 8b odst. 4 nebo analýzy uvedené v čl. 8c odst. 2 a s ohledem na dopad, který by pozastavení osvobození od vízové povinnosti mělo na celkové vnější vztahy Unie a jejích členských států s danou třetí zemí, a v úzké spolupráci s touto třetí zemí v zájmu nalezení alternativního dlouhodobého řešení Komise rozhodne, že je třeba přijmout opatření, nebo pokud prostá většina členských států oznámila Komisi existenci okolností uvedených v čl. 8a odst. 1 písm. a), b), c) nebo </w:t>
            </w:r>
            <w:r>
              <w:rPr>
                <w:b/>
                <w:i/>
              </w:rPr>
              <w:t>písm. d) bodě i)</w:t>
            </w:r>
            <w:r>
              <w:t xml:space="preserve">, přijme Komise </w:t>
            </w:r>
            <w:r>
              <w:rPr>
                <w:b/>
                <w:i/>
              </w:rPr>
              <w:t>prováděcí akt</w:t>
            </w:r>
            <w:r>
              <w:t>, kterým dočasně pozastaví osvobození státních příslušníků dané třetí země od vízové povinnosti na dobu 12 měsíců.</w:t>
            </w:r>
          </w:p>
        </w:tc>
        <w:tc>
          <w:tcPr>
            <w:tcW w:w="4876" w:type="dxa"/>
          </w:tcPr>
          <w:p>
            <w:pPr>
              <w:pStyle w:val="Normal6a"/>
            </w:pPr>
            <w:r>
              <w:t xml:space="preserve">Pokud na základě posouzení uvedeného v čl. 8b odst. 4 nebo analýzy uvedené v čl. 8c odst. 2 a s ohledem na </w:t>
            </w:r>
            <w:r>
              <w:rPr>
                <w:b/>
                <w:i/>
              </w:rPr>
              <w:t>nezbytnost, přiměřenost a</w:t>
            </w:r>
            <w:r>
              <w:t xml:space="preserve"> dopad, který by pozastavení osvobození od vízové povinnosti mělo na celkové vnější vztahy Unie a jejích členských států s danou třetí zemí </w:t>
            </w:r>
            <w:r>
              <w:rPr>
                <w:b/>
                <w:i/>
              </w:rPr>
              <w:t>a jejími státními příslušníky podle čl. 8b odst. 4a</w:t>
            </w:r>
            <w:r>
              <w:t>, a v úzké spolupráci s touto třetí zemí v zájmu nalezení alternativního dlouhodobého řešení Komise rozhodne, že je třeba přijmout opatření, nebo pokud prostá většina členských států oznámila Komisi existenci okolností uvedených v čl. 8a odst. 1 písm. a), b), c) nebo</w:t>
            </w:r>
            <w:r>
              <w:rPr>
                <w:b/>
                <w:i/>
              </w:rPr>
              <w:t xml:space="preserve"> d)</w:t>
            </w:r>
            <w:r>
              <w:t xml:space="preserve">, přijme Komise </w:t>
            </w:r>
            <w:r>
              <w:rPr>
                <w:b/>
                <w:i/>
              </w:rPr>
              <w:t>akt v přenesené pravomoci</w:t>
            </w:r>
            <w:r>
              <w:t>, kterým dočasně pozastaví osvobození státních příslušníků dané třetí země od vízové povinnosti na dobu 12 měsíců.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1 – pododstavec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Pozastavení se bude vztahovat na určité kategorie státních příslušníků dané třetí země vymezené odkazem na příslušné druhy cestovních dokladů </w:t>
            </w:r>
            <w:r>
              <w:rPr>
                <w:b/>
                <w:i/>
              </w:rPr>
              <w:t>a</w:t>
            </w:r>
            <w:r>
              <w:t xml:space="preserve"> případně další kritéria. Při rozhodování o tom, na které kategorie se pozastavení vztahuje, Komise na základě dostupných informací zahrne kategorie</w:t>
            </w:r>
            <w:r>
              <w:rPr>
                <w:b/>
                <w:i/>
              </w:rPr>
              <w:t>, které jsou dostatečně široké, aby mohly</w:t>
            </w:r>
            <w:r>
              <w:t xml:space="preserve"> účinně přispět k nápravě okolností, které vedly k pozastavení, a zároveň dodrží zásadu proporcionality a nediskriminace v souladu s článkem 21 Listiny základních práv Evropské unie. V uvedeném </w:t>
            </w:r>
            <w:r>
              <w:rPr>
                <w:b/>
                <w:i/>
              </w:rPr>
              <w:t>prováděcím aktu</w:t>
            </w:r>
            <w:r>
              <w:t xml:space="preserve"> se pevně stanoví den, ke kterému pozastavení osvobození od vízové povinnosti nabývá účinku.</w:t>
            </w:r>
          </w:p>
        </w:tc>
        <w:tc>
          <w:tcPr>
            <w:tcW w:w="4876" w:type="dxa"/>
          </w:tcPr>
          <w:p>
            <w:pPr>
              <w:pStyle w:val="Normal6a"/>
            </w:pPr>
            <w:r>
              <w:t xml:space="preserve">Pozastavení se bude vztahovat na určité kategorie státních příslušníků dané třetí země </w:t>
            </w:r>
            <w:r>
              <w:rPr>
                <w:b/>
                <w:i/>
              </w:rPr>
              <w:t>na vybrané fyzické osoby</w:t>
            </w:r>
            <w:r>
              <w:t xml:space="preserve"> vymezené odkazem na příslušné druhy cestovních dokladů</w:t>
            </w:r>
            <w:r>
              <w:rPr>
                <w:b/>
                <w:i/>
              </w:rPr>
              <w:t>,</w:t>
            </w:r>
            <w:r>
              <w:t xml:space="preserve"> případně další kritéria. Při rozhodování o tom, na které kategorie </w:t>
            </w:r>
            <w:r>
              <w:rPr>
                <w:b/>
                <w:i/>
              </w:rPr>
              <w:t>nebo vybrané fyzické osoby</w:t>
            </w:r>
            <w:r>
              <w:t xml:space="preserve"> se pozastavení vztahuje, Komise na základě dostupných informací </w:t>
            </w:r>
            <w:r>
              <w:rPr>
                <w:b/>
                <w:i/>
              </w:rPr>
              <w:t>a posouzení dopadu a důsledků tohoto pozastavení </w:t>
            </w:r>
            <w:r>
              <w:t xml:space="preserve">zahrne </w:t>
            </w:r>
            <w:r>
              <w:rPr>
                <w:b/>
                <w:i/>
              </w:rPr>
              <w:t>pouze</w:t>
            </w:r>
            <w:r>
              <w:t xml:space="preserve"> kategorie </w:t>
            </w:r>
            <w:r>
              <w:rPr>
                <w:b/>
                <w:i/>
              </w:rPr>
              <w:t>nebo vybrané fyzické osoby, které jsou schopny</w:t>
            </w:r>
            <w:r>
              <w:t xml:space="preserve"> účinně přispět k nápravě okolností, které vedly k pozastavení, a zároveň dodrží zásadu proporcionality a nediskriminace v souladu s článkem 21 Listiny základních práv Evropské unie. V uvedeném </w:t>
            </w:r>
            <w:r>
              <w:rPr>
                <w:b/>
                <w:i/>
              </w:rPr>
              <w:t>aktu v přenesené pravomoci</w:t>
            </w:r>
            <w:r>
              <w:t xml:space="preserve"> se pevně stanoví den, ke kterému pozastavení osvobození od vízové povinnosti nabývá účinku.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1 – pododstavec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Komise přijme </w:t>
            </w:r>
            <w:r>
              <w:rPr>
                <w:b/>
                <w:i/>
              </w:rPr>
              <w:t>prováděcí</w:t>
            </w:r>
            <w:r>
              <w:t xml:space="preserve"> akt uvedený v prvním pododstavci ve lhůtě jednoho měsíce od:</w:t>
            </w:r>
          </w:p>
        </w:tc>
        <w:tc>
          <w:tcPr>
            <w:tcW w:w="4876" w:type="dxa"/>
          </w:tcPr>
          <w:p>
            <w:pPr>
              <w:pStyle w:val="Normal6a"/>
            </w:pPr>
            <w:r>
              <w:t xml:space="preserve">Komise přijme akt </w:t>
            </w:r>
            <w:r>
              <w:rPr>
                <w:b/>
                <w:i/>
              </w:rPr>
              <w:t>v přenesené pravomoci</w:t>
            </w:r>
            <w:r>
              <w:t xml:space="preserve"> uvedený v prvním pododstavci ve lhůtě jednoho měsíce od: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1 – pododstavec 3 - písm.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obdržení oznámení prosté většiny členských států o existenci důvodů uvedených v čl. 8a odst. 1 písm. a), b), c) nebo </w:t>
            </w:r>
            <w:r>
              <w:rPr>
                <w:b/>
                <w:i/>
              </w:rPr>
              <w:t>písm. d) bodě i)</w:t>
            </w:r>
            <w:r>
              <w:t>.</w:t>
            </w:r>
          </w:p>
        </w:tc>
        <w:tc>
          <w:tcPr>
            <w:tcW w:w="4876" w:type="dxa"/>
          </w:tcPr>
          <w:p>
            <w:pPr>
              <w:pStyle w:val="Normal6a"/>
            </w:pPr>
            <w:r>
              <w:t>c)</w:t>
            </w:r>
            <w:r>
              <w:tab/>
            </w:r>
            <w:r>
              <w:t>obdržení oznámení prosté většiny členských států o existenci důvodů uvedených v čl. 8a odst. 1 písm. a), b), c) nebo</w:t>
            </w:r>
            <w:r>
              <w:rPr>
                <w:b/>
                <w:i/>
              </w:rPr>
              <w:t xml:space="preserve"> 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1 – pododstavec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Prováděcí akty</w:t>
            </w:r>
            <w:r>
              <w:t xml:space="preserve"> uvedené v prvním pododstavci se přijímají </w:t>
            </w:r>
            <w:r>
              <w:rPr>
                <w:b/>
                <w:i/>
              </w:rPr>
              <w:t>přezkumným postupem podle čl. 11 odst. 2</w:t>
            </w:r>
            <w:r>
              <w:t>.</w:t>
            </w:r>
          </w:p>
        </w:tc>
        <w:tc>
          <w:tcPr>
            <w:tcW w:w="4876" w:type="dxa"/>
          </w:tcPr>
          <w:p>
            <w:pPr>
              <w:pStyle w:val="Normal6a"/>
            </w:pPr>
            <w:r>
              <w:rPr>
                <w:b/>
                <w:i/>
              </w:rPr>
              <w:t>Akty v přenesené pravomoci</w:t>
            </w:r>
            <w:r>
              <w:t xml:space="preserve"> uvedené v prvním pododstavci se přijímají </w:t>
            </w:r>
            <w:r>
              <w:rPr>
                <w:b/>
                <w:i/>
              </w:rPr>
              <w:t>v souladu s článkem 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V závažných, naléhavých a řádně odůvodněných případech přijme Komise postupem uvedeným v čl. 11 odst. 4 okamžitě použitelné prováděcí akty, kterými dočasně pozastaví osvobození státních příslušníků dané třetí země od vízové povinnosti na dobu 12 měsíců.</w:t>
            </w:r>
          </w:p>
        </w:tc>
        <w:tc>
          <w:tcPr>
            <w:tcW w:w="4876" w:type="dxa"/>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V závažných, naléhavých a řádně odůvodněných případech </w:t>
            </w:r>
            <w:r>
              <w:rPr>
                <w:b/>
                <w:i/>
              </w:rPr>
              <w:t>přijme</w:t>
            </w:r>
            <w:r>
              <w:t xml:space="preserve"> Komise postupem </w:t>
            </w:r>
            <w:r>
              <w:rPr>
                <w:b/>
                <w:i/>
              </w:rPr>
              <w:t>uvedeným v</w:t>
            </w:r>
            <w:r>
              <w:t xml:space="preserve"> čl. 11 odst. 4 okamžitě použitelné prováděcí akty, kterými dočasně pozastaví osvobození státních příslušníků </w:t>
            </w:r>
            <w:r>
              <w:rPr>
                <w:b/>
                <w:i/>
              </w:rPr>
              <w:t>dané</w:t>
            </w:r>
            <w:r>
              <w:t xml:space="preserve"> třetí země od vízové povinnosti na dobu 12 měsíců.</w:t>
            </w:r>
          </w:p>
        </w:tc>
        <w:tc>
          <w:tcPr>
            <w:tcW w:w="4876" w:type="dxa"/>
          </w:tcPr>
          <w:p>
            <w:pPr>
              <w:pStyle w:val="Normal6a"/>
            </w:pPr>
            <w:r>
              <w:t>2.</w:t>
            </w:r>
            <w:r>
              <w:tab/>
            </w:r>
            <w:r>
              <w:t>V závažných, naléhavých a řádně odůvodněných případech</w:t>
            </w:r>
            <w:r>
              <w:rPr>
                <w:b/>
                <w:i/>
              </w:rPr>
              <w:t>, kdy je závažná hrozba pro veřejný pořádek nebo vnitřní bezpečnost členského státu podle čl. 8a písm. d) nepředvídatelná a vyžaduje okamžité opatření, může</w:t>
            </w:r>
            <w:r>
              <w:t xml:space="preserve"> Komise postupem </w:t>
            </w:r>
            <w:r>
              <w:rPr>
                <w:b/>
                <w:i/>
              </w:rPr>
              <w:t>podle</w:t>
            </w:r>
            <w:r>
              <w:t xml:space="preserve"> čl. 11 odst. 4 </w:t>
            </w:r>
            <w:r>
              <w:rPr>
                <w:b/>
                <w:i/>
              </w:rPr>
              <w:t>přijmout</w:t>
            </w:r>
            <w:r>
              <w:t xml:space="preserve"> okamžitě použitelné prováděcí akty, kterými dočasně pozastaví osvobození státních příslušníků </w:t>
            </w:r>
            <w:r>
              <w:rPr>
                <w:b/>
                <w:i/>
              </w:rPr>
              <w:t>dotčené</w:t>
            </w:r>
            <w:r>
              <w:t xml:space="preserve"> třetí země od vízové povinnosti na dobu </w:t>
            </w:r>
            <w:r>
              <w:rPr>
                <w:b/>
                <w:i/>
              </w:rPr>
              <w:t>nejvýše tří měsíců.</w:t>
            </w:r>
            <w:r>
              <w:t xml:space="preserve"> </w:t>
            </w:r>
            <w:r>
              <w:rPr>
                <w:b/>
                <w:i/>
              </w:rPr>
              <w:t>Pokud Komise v této lhůtě na základě posouzení uvedeného v článku 8c rozhodne, že jsou zapotřebí další opatření, může přijmout prováděcí akt postupem podle čl. 8e odst. 1 nejpozději jeden měsíc před uplynutím tříměsíční lhůty.</w:t>
            </w:r>
            <w:r>
              <w:t xml:space="preserve"> </w:t>
            </w:r>
            <w:r>
              <w:rPr>
                <w:b/>
                <w:i/>
              </w:rPr>
              <w:t>Celková doba pozastavení vízové povinnosti podle okamžitě použitelného prováděcího aktu a prováděcího aktu nepřesáhne</w:t>
            </w:r>
            <w:r>
              <w:t xml:space="preserve"> 12 měsíců.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 závažných, naléhavých a řádně odůvodněných případech přijme Komise postupem uvedeným v čl. 11 odst. 4 okamžitě použitelné prováděcí akty, kterými dočasně pozastaví osvobození státních příslušníků dané třetí země od vízové povinnosti na dobu 12 měsíců.</w:t>
            </w:r>
          </w:p>
        </w:tc>
        <w:tc>
          <w:tcPr>
            <w:tcW w:w="4876" w:type="dxa"/>
          </w:tcPr>
          <w:p>
            <w:pPr>
              <w:pStyle w:val="Normal6a"/>
            </w:pPr>
            <w:r>
              <w:t>2.</w:t>
            </w:r>
            <w:r>
              <w:tab/>
            </w:r>
            <w:r>
              <w:t xml:space="preserve">V závažných, naléhavých a řádně odůvodněných případech přijme Komise postupem uvedeným v čl. 11 odst. 4 okamžitě použitelné prováděcí akty, kterými dočasně pozastaví osvobození státních příslušníků dané třetí země od vízové povinnosti na dobu 12 měsíců. </w:t>
            </w:r>
            <w:r>
              <w:rPr>
                <w:b/>
                <w:i/>
              </w:rPr>
              <w:t>V takových případech Komise v průběhu celého postupu otevřeně, komplexně a důsledně informuje Radu a 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Během doby trvání pozastavení naváže Komise s danou třetí zemí posílený dialog za účelem nápravy dotyčných okolností.</w:t>
            </w:r>
          </w:p>
        </w:tc>
        <w:tc>
          <w:tcPr>
            <w:tcW w:w="4876" w:type="dxa"/>
          </w:tcPr>
          <w:p>
            <w:pPr>
              <w:pStyle w:val="Normal6a"/>
            </w:pPr>
            <w:r>
              <w:t>3.</w:t>
            </w:r>
            <w:r>
              <w:tab/>
            </w:r>
            <w:r>
              <w:t xml:space="preserve">Během doby trvání pozastavení naváže Komise s danou třetí zemí posílený dialog za účelem nápravy dotyčných okolností. </w:t>
            </w:r>
            <w:r>
              <w:rPr>
                <w:b/>
                <w:i/>
              </w:rPr>
              <w:t>Aniž je dotčeno uplatňování článku 6, jsou během doby trvání pozastavení státní příslušníci dané třetí země povinni mít při překračování vnějších hranic členských států vízum.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Během doby trvání pozastavení naváže Komise s danou třetí zemí posílený dialog za účelem nápravy dotyčných okolností.</w:t>
            </w:r>
          </w:p>
        </w:tc>
        <w:tc>
          <w:tcPr>
            <w:tcW w:w="4876" w:type="dxa"/>
          </w:tcPr>
          <w:p>
            <w:pPr>
              <w:pStyle w:val="Normal6a"/>
            </w:pPr>
            <w:r>
              <w:t>3.</w:t>
            </w:r>
            <w:r>
              <w:tab/>
            </w:r>
            <w:r>
              <w:t>Během doby trvání pozastavení naváže Komise s danou třetí zemí posílený dialog za účelem nápravy dotyčných okolností</w:t>
            </w:r>
            <w:r>
              <w:rPr>
                <w:b/>
                <w:i/>
              </w:rPr>
              <w:t> a bude pravidelně podávat Evropskému parlamentu a Radě zprávy o pokroku a výsledcích tohoto pozastavení, jakož i o účinnosti uplatňovaného pozastavení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8e – odst.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Pokud jsou okolnosti, které vedly k dočasnému pozastavení osvobození od vízové povinnosti, odstraněny před koncem doby platnosti </w:t>
            </w:r>
            <w:r>
              <w:rPr>
                <w:b/>
                <w:i/>
              </w:rPr>
              <w:t>prováděcích</w:t>
            </w:r>
            <w:r>
              <w:t xml:space="preserve"> aktů přijatých podle odstavců 1 a 2, přijme Komise </w:t>
            </w:r>
            <w:r>
              <w:rPr>
                <w:b/>
                <w:i/>
              </w:rPr>
              <w:t>prováděcí</w:t>
            </w:r>
            <w:r>
              <w:t xml:space="preserve"> akt, kterým dočasné pozastavení zruší </w:t>
            </w:r>
            <w:r>
              <w:rPr>
                <w:b/>
                <w:i/>
              </w:rPr>
              <w:t>přezkumným postupem uvedeným v čl. 11 odst. 2</w:t>
            </w:r>
            <w:r>
              <w:t>.</w:t>
            </w:r>
          </w:p>
        </w:tc>
        <w:tc>
          <w:tcPr>
            <w:tcW w:w="4876" w:type="dxa"/>
          </w:tcPr>
          <w:p>
            <w:pPr>
              <w:pStyle w:val="Normal6a"/>
            </w:pPr>
            <w:r>
              <w:t>4.</w:t>
            </w:r>
            <w:r>
              <w:tab/>
            </w:r>
            <w:r>
              <w:t xml:space="preserve">Pokud jsou okolnosti, které vedly k dočasnému pozastavení osvobození od vízové povinnosti, odstraněny před koncem doby platnosti aktů </w:t>
            </w:r>
            <w:r>
              <w:rPr>
                <w:b/>
                <w:i/>
              </w:rPr>
              <w:t>v přenesené pravomoci</w:t>
            </w:r>
            <w:r>
              <w:t xml:space="preserve"> přijatých podle odstavců 1 a 2, přijme Komise akt </w:t>
            </w:r>
            <w:r>
              <w:rPr>
                <w:b/>
                <w:i/>
              </w:rPr>
              <w:t>v přenesené pravomoci</w:t>
            </w:r>
            <w:r>
              <w:t>, kterým dočasné pozastavení zruší </w:t>
            </w:r>
            <w:r>
              <w:rPr>
                <w:b/>
                <w:i/>
              </w:rPr>
              <w:t>v souladu s článkem 10</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8f - název</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Akty v přenesené pravomoci</w:t>
            </w:r>
          </w:p>
        </w:tc>
        <w:tc>
          <w:tcPr>
            <w:tcW w:w="4876" w:type="dxa"/>
          </w:tcPr>
          <w:p>
            <w:pPr>
              <w:pStyle w:val="Normal6a"/>
            </w:pPr>
            <w:r>
              <w:rPr>
                <w:b/>
                <w:i/>
              </w:rPr>
              <w:t>Prodloužení pozastavení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8f – odst.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Pokud důvody uvedené v článku 8a přetrvávají, přijme Komise nejpozději dva měsíce před uplynutím dvanáctiměsíční lhůty uvedené v čl. 8e odst. 1 akt v přenesené pravomoci v souladu s článkem 10, kterým změní přílohu II s cílem dočasně pozastavit uplatňování uvedené přílohy na dobu 24 měsíců pro všechny státní příslušníky dané třetí země. Tato změna se provede tak, že se k názvu dané třetí země připojí poznámka pod čarou uvádějící, že osvobození od vízové povinnosti týkající se této třetí země je pozastaveno, a upřesňující dobu trvání tohoto pozastavení. Akt v přenesené pravomoci nabude účinku dnem uplynutí doby platnosti </w:t>
            </w:r>
            <w:r>
              <w:rPr>
                <w:b/>
                <w:i/>
              </w:rPr>
              <w:t>prováděcího</w:t>
            </w:r>
            <w:r>
              <w:t xml:space="preserve"> aktu uvedeného v čl. 8e odst. 1.</w:t>
            </w:r>
          </w:p>
        </w:tc>
        <w:tc>
          <w:tcPr>
            <w:tcW w:w="4876" w:type="dxa"/>
          </w:tcPr>
          <w:p>
            <w:pPr>
              <w:pStyle w:val="Normal6a"/>
            </w:pPr>
            <w:r>
              <w:t>1.</w:t>
            </w:r>
            <w:r>
              <w:tab/>
            </w:r>
            <w:r>
              <w:t xml:space="preserve">Pokud důvody uvedené v článku 8a přetrvávají, přijme Komise nejpozději dva měsíce před uplynutím dvanáctiměsíční lhůty uvedené v čl. 8e odst. 1 akt v přenesené pravomoci v souladu s článkem 10, kterým změní přílohu II s cílem dočasně pozastavit uplatňování uvedené přílohy na dobu 24 měsíců pro všechny státní příslušníky dané třetí země. Tato změna se provede tak, že se k názvu dané třetí země připojí poznámka pod čarou uvádějící, že osvobození od vízové povinnosti týkající se této třetí země je pozastaveno, a upřesňující dobu trvání tohoto pozastavení. Akt v přenesené pravomoci nabude účinku dnem uplynutí doby platnosti aktu </w:t>
            </w:r>
            <w:r>
              <w:rPr>
                <w:b/>
                <w:i/>
              </w:rPr>
              <w:t>v přenesené pravomoci</w:t>
            </w:r>
            <w:r>
              <w:t xml:space="preserve"> uvedeného v čl. 8e odst.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 bod 2</w:t>
      </w:r>
      <w:r>
        <w:rPr>
          <w:rStyle w:val="HideTWBExt"/>
        </w:rPr>
        <w:t>&lt;/Article&gt;</w:t>
      </w:r>
    </w:p>
    <w:p>
      <w:r>
        <w:rPr>
          <w:rStyle w:val="HideTWBExt"/>
        </w:rPr>
        <w:t>&lt;DocAmend2&gt;</w:t>
      </w:r>
      <w:r>
        <w:t>Nařízení (EU) 2018/1806</w:t>
      </w:r>
      <w:r>
        <w:rPr>
          <w:rStyle w:val="HideTWBExt"/>
        </w:rPr>
        <w:t>&lt;/DocAmend2&gt;</w:t>
      </w:r>
    </w:p>
    <w:p>
      <w:r>
        <w:rPr>
          <w:rStyle w:val="HideTWBExt"/>
        </w:rPr>
        <w:t>&lt;Article2&gt;</w:t>
      </w:r>
      <w:r>
        <w:t>Čl. 8f – odst. 1 a (nový)</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Znění navržené Komisí</w:t>
            </w:r>
          </w:p>
        </w:tc>
        <w:tc>
          <w:tcPr>
            <w:tcW w:w="4876" w:type="dxa"/>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K aktu v přenesené pravomoci se připojí zpráva Evropskému parlamentu a Radě, která podrobně popisuje výsledek posíleného dialogu s dotčenou třetí zemí, opatření přijatá touto třetí zemí a dotčenými členskými státy a důvody, proč se má za to, že okolnosti vedoucí k dočasnému pozastavení nebyly napraveny.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759.969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67</w:t>
    </w:r>
    <w:r>
      <w:fldChar w:fldCharType="end"/>
    </w:r>
    <w:r>
      <w:tab/>
    </w:r>
    <w:r>
      <w:rPr>
        <w:rStyle w:val="HideTWBExt"/>
      </w:rPr>
      <w:t>&lt;PathFdR&gt;</w:t>
    </w:r>
    <w:r>
      <w:t>AM\1299078CS.docx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AM\1299078CS.docx</w:t>
    </w:r>
    <w:r>
      <w:rPr>
        <w:rStyle w:val="HideTWBExt"/>
      </w:rPr>
      <w:t>&lt;/PathFdR&gt;</w:t>
    </w:r>
    <w:r>
      <w:tab/>
    </w:r>
    <w:r>
      <w:fldChar w:fldCharType="begin"/>
    </w:r>
    <w:r>
      <w:instrText xml:space="preserve"> PAGE </w:instrText>
    </w:r>
    <w:r>
      <w:fldChar w:fldCharType="separate"/>
    </w:r>
    <w:r>
      <w:t>67</w:t>
    </w:r>
    <w:r>
      <w:fldChar w:fldCharType="end"/>
    </w:r>
    <w:r>
      <w:t>/</w:t>
    </w:r>
    <w:r>
      <w:fldChar w:fldCharType="begin"/>
    </w:r>
    <w:r>
      <w:instrText xml:space="preserve"> NUMPAGES </w:instrText>
    </w:r>
    <w:r>
      <w:fldChar w:fldCharType="separate"/>
    </w:r>
    <w:r>
      <w:t>67</w:t>
    </w:r>
    <w:r>
      <w:fldChar w:fldCharType="end"/>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AM\1299078CS.docx</w:t>
    </w:r>
    <w:r>
      <w:rPr>
        <w:rStyle w:val="HideTWBExt"/>
      </w:rPr>
      <w:t>&lt;/PathFdR&gt;</w:t>
    </w:r>
    <w:r>
      <w:tab/>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67</Pages>
  <Words>15138</Words>
  <Characters>83036</Characters>
  <Application>Microsoft Office Word</Application>
  <DocSecurity>0</DocSecurity>
  <Lines>1</Lines>
  <Paragraphs>1337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55876</vt:lpwstr>
  </property>
  <property fmtid="{D5CDD505-2E9C-101B-9397-08002B2CF9AE}" pid="7" name="dmxml.render.traceId">
    <vt:lpwstr>660bcca406875647ac29454df359fbcf</vt:lpwstr>
  </property>
  <property fmtid="{D5CDD505-2E9C-101B-9397-08002B2CF9AE}" pid="8" name="FooterPath">
    <vt:lpwstr>AM\1299078CS.docx</vt:lpwstr>
  </property>
  <property fmtid="{D5CDD505-2E9C-101B-9397-08002B2CF9AE}" pid="9" name="PE Number">
    <vt:lpwstr>759.969</vt:lpwstr>
  </property>
  <property fmtid="{D5CDD505-2E9C-101B-9397-08002B2CF9AE}" pid="10" name="UID">
    <vt:lpwstr>eu.europa.europarl-DIN1-2024-0000017064_02.00-cs-01.00_text-xml</vt:lpwstr>
  </property>
</Properties>
</file>