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04A7C" w:rsidRPr="00FA40C1" w14:paraId="443DC137" w14:textId="77777777">
        <w:trPr>
          <w:trHeight w:hRule="exact" w:val="1417"/>
          <w:jc w:val="center"/>
        </w:trPr>
        <w:tc>
          <w:tcPr>
            <w:tcW w:w="6804" w:type="dxa"/>
            <w:vAlign w:val="center"/>
          </w:tcPr>
          <w:p w14:paraId="407429F3" w14:textId="77777777" w:rsidR="00AC1B9B" w:rsidRPr="00FA40C1" w:rsidRDefault="0075447F">
            <w:pPr>
              <w:pStyle w:val="EPName"/>
              <w:rPr>
                <w:color w:val="000000" w:themeColor="text1"/>
              </w:rPr>
            </w:pPr>
            <w:r w:rsidRPr="00FA40C1">
              <w:rPr>
                <w:color w:val="000000" w:themeColor="text1"/>
              </w:rPr>
              <w:t>Parlement européen</w:t>
            </w:r>
          </w:p>
          <w:p w14:paraId="437A32DB" w14:textId="77777777" w:rsidR="00AC1B9B" w:rsidRPr="00FA40C1" w:rsidRDefault="0075447F">
            <w:pPr>
              <w:pStyle w:val="EPTerm"/>
              <w:rPr>
                <w:color w:val="000000" w:themeColor="text1"/>
              </w:rPr>
            </w:pPr>
            <w:r w:rsidRPr="00FA40C1">
              <w:rPr>
                <w:color w:val="000000" w:themeColor="text1"/>
              </w:rPr>
              <w:t>2019-2024</w:t>
            </w:r>
          </w:p>
        </w:tc>
        <w:tc>
          <w:tcPr>
            <w:tcW w:w="2268" w:type="dxa"/>
          </w:tcPr>
          <w:p w14:paraId="41FDE4C2" w14:textId="77777777" w:rsidR="00AC1B9B" w:rsidRPr="00FA40C1" w:rsidRDefault="004863DB">
            <w:pPr>
              <w:pStyle w:val="EPLogo"/>
              <w:rPr>
                <w:color w:val="000000" w:themeColor="text1"/>
              </w:rPr>
            </w:pPr>
            <w:r>
              <w:rPr>
                <w:color w:val="000000" w:themeColor="text1"/>
              </w:rPr>
              <w:pict w14:anchorId="13CA3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5pt">
                  <v:imagedata r:id="rId6" o:title=""/>
                </v:shape>
              </w:pict>
            </w:r>
          </w:p>
        </w:tc>
      </w:tr>
    </w:tbl>
    <w:p w14:paraId="102A338D" w14:textId="77777777" w:rsidR="00AC1B9B" w:rsidRPr="00FA40C1" w:rsidRDefault="0075447F">
      <w:pPr>
        <w:pStyle w:val="LineTop"/>
        <w:rPr>
          <w:color w:val="000000" w:themeColor="text1"/>
        </w:rPr>
      </w:pPr>
      <w:r w:rsidRPr="00FA40C1">
        <w:rPr>
          <w:color w:val="000000" w:themeColor="text1"/>
        </w:rPr>
        <w:t xml:space="preserve"> </w:t>
      </w:r>
    </w:p>
    <w:p w14:paraId="3E085029" w14:textId="77777777" w:rsidR="00AC1B9B" w:rsidRPr="00FA40C1" w:rsidRDefault="0075447F">
      <w:pPr>
        <w:pStyle w:val="EPBody"/>
        <w:rPr>
          <w:color w:val="000000" w:themeColor="text1"/>
        </w:rPr>
      </w:pPr>
      <w:r w:rsidRPr="00FA40C1">
        <w:rPr>
          <w:rStyle w:val="HideTWBExt"/>
          <w:rFonts w:eastAsia="Times New Roman"/>
          <w:i w:val="0"/>
        </w:rPr>
        <w:t>&lt;Commission&gt;</w:t>
      </w:r>
      <w:r w:rsidRPr="00FA40C1">
        <w:rPr>
          <w:rStyle w:val="HideTWBInt"/>
          <w:i w:val="0"/>
        </w:rPr>
        <w:t>{LIBE}</w:t>
      </w:r>
      <w:r w:rsidRPr="00FA40C1">
        <w:rPr>
          <w:color w:val="000000" w:themeColor="text1"/>
        </w:rPr>
        <w:t>Commission des libertés civiles, de la justice et des affaires intérieures</w:t>
      </w:r>
      <w:r w:rsidRPr="00FA40C1">
        <w:rPr>
          <w:rStyle w:val="HideTWBExt"/>
          <w:rFonts w:eastAsia="Times New Roman"/>
          <w:i w:val="0"/>
        </w:rPr>
        <w:t>&lt;/Commission&gt;</w:t>
      </w:r>
    </w:p>
    <w:p w14:paraId="5FF8079D" w14:textId="77777777" w:rsidR="00AC1B9B" w:rsidRPr="00FA40C1" w:rsidRDefault="0075447F">
      <w:pPr>
        <w:pStyle w:val="LineBottom"/>
        <w:rPr>
          <w:color w:val="000000" w:themeColor="text1"/>
        </w:rPr>
      </w:pPr>
      <w:r w:rsidRPr="00FA40C1">
        <w:rPr>
          <w:color w:val="000000" w:themeColor="text1"/>
        </w:rPr>
        <w:t xml:space="preserve"> </w:t>
      </w:r>
    </w:p>
    <w:p w14:paraId="49490041" w14:textId="77777777" w:rsidR="00AC1B9B" w:rsidRPr="00FA40C1" w:rsidRDefault="0075447F">
      <w:pPr>
        <w:pStyle w:val="CoverReference"/>
        <w:rPr>
          <w:color w:val="000000" w:themeColor="text1"/>
        </w:rPr>
      </w:pPr>
      <w:r w:rsidRPr="00FA40C1">
        <w:rPr>
          <w:rStyle w:val="HideTWBExt"/>
          <w:rFonts w:eastAsia="Times New Roman"/>
          <w:b w:val="0"/>
        </w:rPr>
        <w:t>&lt;RefProc&gt;</w:t>
      </w:r>
      <w:r w:rsidRPr="00FA40C1">
        <w:rPr>
          <w:color w:val="000000" w:themeColor="text1"/>
        </w:rPr>
        <w:t>2023/0371</w:t>
      </w:r>
      <w:r w:rsidRPr="00FA40C1">
        <w:rPr>
          <w:rStyle w:val="HideTWBExt"/>
          <w:rFonts w:eastAsia="Times New Roman"/>
          <w:b w:val="0"/>
        </w:rPr>
        <w:t>&lt;/RefProc&gt;&lt;RefTypeProc&gt;</w:t>
      </w:r>
      <w:r w:rsidRPr="00FA40C1">
        <w:rPr>
          <w:color w:val="000000" w:themeColor="text1"/>
        </w:rPr>
        <w:t>(COD)</w:t>
      </w:r>
      <w:r w:rsidRPr="00FA40C1">
        <w:rPr>
          <w:rStyle w:val="HideTWBExt"/>
          <w:rFonts w:eastAsia="Times New Roman"/>
          <w:b w:val="0"/>
        </w:rPr>
        <w:t>&lt;/RefTypeProc&gt;</w:t>
      </w:r>
    </w:p>
    <w:p w14:paraId="109B9EE0" w14:textId="77777777" w:rsidR="00AC1B9B" w:rsidRPr="00FA40C1" w:rsidRDefault="0075447F">
      <w:pPr>
        <w:pStyle w:val="CoverDate"/>
        <w:rPr>
          <w:color w:val="000000" w:themeColor="text1"/>
        </w:rPr>
      </w:pPr>
      <w:r w:rsidRPr="00FA40C1">
        <w:rPr>
          <w:rStyle w:val="HideTWBExt"/>
        </w:rPr>
        <w:t>&lt;Date&gt;</w:t>
      </w:r>
      <w:r w:rsidRPr="00FA40C1">
        <w:rPr>
          <w:rStyle w:val="HideTWBInt"/>
        </w:rPr>
        <w:t>{18/03/2024}</w:t>
      </w:r>
      <w:r w:rsidRPr="00FA40C1">
        <w:rPr>
          <w:color w:val="000000" w:themeColor="text1"/>
        </w:rPr>
        <w:t>18.3.2024</w:t>
      </w:r>
      <w:r w:rsidRPr="00FA40C1">
        <w:rPr>
          <w:rStyle w:val="HideTWBExt"/>
        </w:rPr>
        <w:t>&lt;/Date&gt;</w:t>
      </w:r>
    </w:p>
    <w:p w14:paraId="3D2AA202" w14:textId="77777777" w:rsidR="00AC1B9B" w:rsidRPr="00FA40C1" w:rsidRDefault="0075447F">
      <w:pPr>
        <w:pStyle w:val="CoverDocType"/>
        <w:rPr>
          <w:color w:val="000000" w:themeColor="text1"/>
        </w:rPr>
      </w:pPr>
      <w:r w:rsidRPr="00FA40C1">
        <w:rPr>
          <w:rStyle w:val="HideTWBExt"/>
          <w:b w:val="0"/>
        </w:rPr>
        <w:t>&lt;TypeAM&gt;</w:t>
      </w:r>
      <w:r w:rsidRPr="00FA40C1">
        <w:rPr>
          <w:color w:val="000000" w:themeColor="text1"/>
        </w:rPr>
        <w:t>AMENDEMENTS</w:t>
      </w:r>
      <w:r w:rsidRPr="00FA40C1">
        <w:rPr>
          <w:rStyle w:val="HideTWBExt"/>
          <w:b w:val="0"/>
        </w:rPr>
        <w:t>&lt;/TypeAM&gt;</w:t>
      </w:r>
    </w:p>
    <w:p w14:paraId="27960E21" w14:textId="77777777" w:rsidR="00AC1B9B" w:rsidRPr="00FA40C1" w:rsidRDefault="0075447F">
      <w:pPr>
        <w:pStyle w:val="CoverDocType24a"/>
        <w:rPr>
          <w:color w:val="000000" w:themeColor="text1"/>
        </w:rPr>
      </w:pPr>
      <w:r w:rsidRPr="00FA40C1">
        <w:rPr>
          <w:rStyle w:val="HideTWBExt"/>
          <w:rFonts w:eastAsia="Times New Roman"/>
          <w:b w:val="0"/>
        </w:rPr>
        <w:t>&lt;RangeAM&gt;</w:t>
      </w:r>
      <w:r w:rsidRPr="00FA40C1">
        <w:rPr>
          <w:color w:val="000000" w:themeColor="text1"/>
        </w:rPr>
        <w:t>7 - 134</w:t>
      </w:r>
      <w:r w:rsidRPr="00FA40C1">
        <w:rPr>
          <w:rStyle w:val="HideTWBExt"/>
          <w:rFonts w:eastAsia="Times New Roman"/>
          <w:b w:val="0"/>
        </w:rPr>
        <w:t>&lt;/RangeAM&gt;</w:t>
      </w:r>
    </w:p>
    <w:p w14:paraId="42A8D4F1" w14:textId="77777777" w:rsidR="00AC1B9B" w:rsidRPr="00FA40C1" w:rsidRDefault="0075447F">
      <w:pPr>
        <w:pStyle w:val="CoverBold"/>
        <w:rPr>
          <w:color w:val="000000" w:themeColor="text1"/>
        </w:rPr>
      </w:pPr>
      <w:r w:rsidRPr="00FA40C1">
        <w:rPr>
          <w:rStyle w:val="HideTWBExt"/>
          <w:b w:val="0"/>
        </w:rPr>
        <w:t>&lt;TitreType&gt;</w:t>
      </w:r>
      <w:r w:rsidRPr="00FA40C1">
        <w:rPr>
          <w:color w:val="000000" w:themeColor="text1"/>
        </w:rPr>
        <w:t>Projet de rapport</w:t>
      </w:r>
      <w:r w:rsidRPr="00FA40C1">
        <w:rPr>
          <w:rStyle w:val="HideTWBExt"/>
          <w:b w:val="0"/>
        </w:rPr>
        <w:t>&lt;/TitreType&gt;</w:t>
      </w:r>
    </w:p>
    <w:p w14:paraId="61FDE9EE" w14:textId="77777777" w:rsidR="00AC1B9B" w:rsidRPr="00FA40C1" w:rsidRDefault="0075447F">
      <w:pPr>
        <w:pStyle w:val="CoverBold"/>
        <w:rPr>
          <w:color w:val="000000" w:themeColor="text1"/>
        </w:rPr>
      </w:pPr>
      <w:r w:rsidRPr="00FA40C1">
        <w:rPr>
          <w:rStyle w:val="HideTWBExt"/>
          <w:b w:val="0"/>
        </w:rPr>
        <w:t>&lt;Rapporteur&gt;</w:t>
      </w:r>
      <w:r w:rsidRPr="00FA40C1">
        <w:rPr>
          <w:color w:val="000000" w:themeColor="text1"/>
        </w:rPr>
        <w:t>Matjaž Nemec</w:t>
      </w:r>
      <w:r w:rsidRPr="00FA40C1">
        <w:rPr>
          <w:rStyle w:val="HideTWBExt"/>
          <w:b w:val="0"/>
        </w:rPr>
        <w:t>&lt;/Rapporteur&gt;</w:t>
      </w:r>
    </w:p>
    <w:p w14:paraId="65043B22" w14:textId="77777777" w:rsidR="00AC1B9B" w:rsidRPr="00FA40C1" w:rsidRDefault="0075447F">
      <w:pPr>
        <w:pStyle w:val="CoverNormal24a"/>
        <w:rPr>
          <w:color w:val="000000" w:themeColor="text1"/>
        </w:rPr>
      </w:pPr>
      <w:r w:rsidRPr="00FA40C1">
        <w:rPr>
          <w:rStyle w:val="HideTWBExt"/>
        </w:rPr>
        <w:t>&lt;DocRefPE&gt;</w:t>
      </w:r>
      <w:r w:rsidRPr="00FA40C1">
        <w:rPr>
          <w:color w:val="000000" w:themeColor="text1"/>
        </w:rPr>
        <w:t>(PE759.070v01-00)</w:t>
      </w:r>
      <w:r w:rsidRPr="00FA40C1">
        <w:rPr>
          <w:rStyle w:val="HideTWBExt"/>
        </w:rPr>
        <w:t>&lt;/DocRefPE&gt;</w:t>
      </w:r>
    </w:p>
    <w:p w14:paraId="6E5D61DD" w14:textId="77777777" w:rsidR="00AC1B9B" w:rsidRPr="00FA40C1" w:rsidRDefault="0075447F">
      <w:pPr>
        <w:pStyle w:val="CoverNormal24a"/>
        <w:rPr>
          <w:color w:val="000000" w:themeColor="text1"/>
        </w:rPr>
      </w:pPr>
      <w:r w:rsidRPr="00FA40C1">
        <w:rPr>
          <w:rStyle w:val="HideTWBExt"/>
        </w:rPr>
        <w:t>&lt;Titre&gt;</w:t>
      </w:r>
      <w:r w:rsidRPr="00FA40C1">
        <w:rPr>
          <w:color w:val="000000" w:themeColor="text1"/>
        </w:rPr>
        <w:t>modifiant le règlement (UE) 2018/1806 en ce qui concerne la révision du mécanisme de suspension</w:t>
      </w:r>
      <w:r w:rsidRPr="00FA40C1">
        <w:rPr>
          <w:rStyle w:val="HideTWBExt"/>
        </w:rPr>
        <w:t>&lt;/Titre&gt;</w:t>
      </w:r>
    </w:p>
    <w:p w14:paraId="0F804550" w14:textId="77777777" w:rsidR="00AC1B9B" w:rsidRPr="00FA40C1" w:rsidRDefault="0075447F">
      <w:pPr>
        <w:pStyle w:val="CoverNormal"/>
        <w:rPr>
          <w:color w:val="000000" w:themeColor="text1"/>
        </w:rPr>
      </w:pPr>
      <w:r w:rsidRPr="00FA40C1">
        <w:rPr>
          <w:rStyle w:val="HideTWBExt"/>
        </w:rPr>
        <w:t>&lt;DocAmend&gt;</w:t>
      </w:r>
      <w:r w:rsidRPr="00FA40C1">
        <w:rPr>
          <w:color w:val="000000" w:themeColor="text1"/>
        </w:rPr>
        <w:t>Proposition de règlement</w:t>
      </w:r>
      <w:r w:rsidRPr="00FA40C1">
        <w:rPr>
          <w:rStyle w:val="HideTWBExt"/>
        </w:rPr>
        <w:t>&lt;/DocAmend&gt;</w:t>
      </w:r>
    </w:p>
    <w:p w14:paraId="46EFC270" w14:textId="77777777" w:rsidR="00AC1B9B" w:rsidRPr="00FA40C1" w:rsidRDefault="0075447F">
      <w:pPr>
        <w:pStyle w:val="CoverNormal24a"/>
        <w:rPr>
          <w:color w:val="000000" w:themeColor="text1"/>
        </w:rPr>
      </w:pPr>
      <w:r w:rsidRPr="00FA40C1">
        <w:rPr>
          <w:rStyle w:val="HideTWBExt"/>
        </w:rPr>
        <w:t>&lt;DocRef&gt;</w:t>
      </w:r>
      <w:r w:rsidRPr="00FA40C1">
        <w:rPr>
          <w:color w:val="000000" w:themeColor="text1"/>
        </w:rPr>
        <w:t>(COM(2023)0642 – C9-0392/2023 – 2023/0371(COD))</w:t>
      </w:r>
      <w:r w:rsidRPr="00FA40C1">
        <w:rPr>
          <w:rStyle w:val="HideTWBExt"/>
        </w:rPr>
        <w:t>&lt;/DocRef&gt;</w:t>
      </w:r>
    </w:p>
    <w:p w14:paraId="77031B40" w14:textId="77777777" w:rsidR="00AC1B9B" w:rsidRPr="00FA40C1" w:rsidRDefault="0075447F">
      <w:pPr>
        <w:rPr>
          <w:color w:val="000000" w:themeColor="text1"/>
        </w:rPr>
      </w:pPr>
      <w:r w:rsidRPr="00FA40C1">
        <w:rPr>
          <w:color w:val="000000" w:themeColor="text1"/>
        </w:rPr>
        <w:br w:type="page"/>
      </w:r>
      <w:r w:rsidRPr="00FA40C1">
        <w:rPr>
          <w:color w:val="000000" w:themeColor="text1"/>
        </w:rPr>
        <w:lastRenderedPageBreak/>
        <w:t>AM_Com_LegReport</w:t>
      </w:r>
      <w:bookmarkStart w:id="0" w:name="_GoBack"/>
      <w:bookmarkEnd w:id="0"/>
    </w:p>
    <w:p w14:paraId="3D24D800" w14:textId="2DD8E7EE" w:rsidR="00804A7C" w:rsidRPr="00FA40C1" w:rsidRDefault="0075447F" w:rsidP="00804A7C">
      <w:pPr>
        <w:pStyle w:val="AmNumberTabs"/>
        <w:rPr>
          <w:color w:val="000000" w:themeColor="text1"/>
        </w:rPr>
      </w:pPr>
      <w:r w:rsidRPr="00FA40C1">
        <w:rPr>
          <w:color w:val="000000" w:themeColor="text1"/>
        </w:rPr>
        <w:br w:type="page"/>
      </w:r>
      <w:r w:rsidR="00804A7C" w:rsidRPr="00FA40C1">
        <w:rPr>
          <w:rStyle w:val="HideTWBExt"/>
          <w:b w:val="0"/>
        </w:rPr>
        <w:lastRenderedPageBreak/>
        <w:t>&lt;RepeatBlock-Amend&gt;&lt;Amend&gt;</w:t>
      </w:r>
      <w:r w:rsidR="00804A7C" w:rsidRPr="00FA40C1">
        <w:rPr>
          <w:color w:val="000000" w:themeColor="text1"/>
        </w:rPr>
        <w:t>Amendement</w:t>
      </w:r>
      <w:r w:rsidR="00804A7C" w:rsidRPr="00FA40C1">
        <w:rPr>
          <w:color w:val="000000" w:themeColor="text1"/>
        </w:rPr>
        <w:tab/>
      </w:r>
      <w:r w:rsidR="00804A7C" w:rsidRPr="00FA40C1">
        <w:rPr>
          <w:color w:val="000000" w:themeColor="text1"/>
        </w:rPr>
        <w:tab/>
      </w:r>
      <w:r w:rsidR="00804A7C" w:rsidRPr="00FA40C1">
        <w:rPr>
          <w:rStyle w:val="HideTWBExt"/>
          <w:b w:val="0"/>
        </w:rPr>
        <w:t>&lt;NumAm&gt;</w:t>
      </w:r>
      <w:r w:rsidR="00804A7C" w:rsidRPr="00FA40C1">
        <w:rPr>
          <w:color w:val="000000" w:themeColor="text1"/>
        </w:rPr>
        <w:t>7</w:t>
      </w:r>
      <w:r w:rsidR="00804A7C" w:rsidRPr="00FA40C1">
        <w:rPr>
          <w:rStyle w:val="HideTWBExt"/>
          <w:b w:val="0"/>
        </w:rPr>
        <w:t>&lt;/NumAm&gt;</w:t>
      </w:r>
    </w:p>
    <w:p w14:paraId="497F530A"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34A174B6" w14:textId="77777777" w:rsidR="00804A7C" w:rsidRPr="00FA40C1" w:rsidRDefault="00804A7C" w:rsidP="00804A7C">
      <w:pPr>
        <w:pStyle w:val="NormalBold"/>
        <w:rPr>
          <w:color w:val="000000" w:themeColor="text1"/>
        </w:rPr>
      </w:pPr>
      <w:r w:rsidRPr="00FA40C1">
        <w:rPr>
          <w:rStyle w:val="HideTWBExt"/>
          <w:b w:val="0"/>
        </w:rPr>
        <w:t>&lt;/RepeatBlock-By&gt;</w:t>
      </w:r>
    </w:p>
    <w:p w14:paraId="310727E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A93D00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5DACBA1" w14:textId="77777777" w:rsidTr="00BF4F5C">
        <w:trPr>
          <w:trHeight w:hRule="exact" w:val="240"/>
          <w:jc w:val="center"/>
        </w:trPr>
        <w:tc>
          <w:tcPr>
            <w:tcW w:w="9752" w:type="dxa"/>
            <w:gridSpan w:val="2"/>
          </w:tcPr>
          <w:p w14:paraId="13A11622" w14:textId="77777777" w:rsidR="00804A7C" w:rsidRPr="00FA40C1" w:rsidRDefault="00804A7C" w:rsidP="00BF4F5C">
            <w:pPr>
              <w:rPr>
                <w:color w:val="000000" w:themeColor="text1"/>
              </w:rPr>
            </w:pPr>
          </w:p>
        </w:tc>
      </w:tr>
      <w:tr w:rsidR="00804A7C" w:rsidRPr="00FA40C1" w14:paraId="1A04519C" w14:textId="77777777" w:rsidTr="00BF4F5C">
        <w:trPr>
          <w:trHeight w:val="240"/>
          <w:jc w:val="center"/>
        </w:trPr>
        <w:tc>
          <w:tcPr>
            <w:tcW w:w="4876" w:type="dxa"/>
          </w:tcPr>
          <w:p w14:paraId="55C2989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56475B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74301A7" w14:textId="77777777" w:rsidTr="00BF4F5C">
        <w:trPr>
          <w:jc w:val="center"/>
        </w:trPr>
        <w:tc>
          <w:tcPr>
            <w:tcW w:w="4876" w:type="dxa"/>
          </w:tcPr>
          <w:p w14:paraId="32BB91A2" w14:textId="77777777" w:rsidR="00804A7C" w:rsidRPr="00FA40C1" w:rsidRDefault="00804A7C" w:rsidP="00BF4F5C">
            <w:pPr>
              <w:pStyle w:val="Normal6a"/>
              <w:rPr>
                <w:color w:val="000000" w:themeColor="text1"/>
              </w:rPr>
            </w:pPr>
          </w:p>
        </w:tc>
        <w:tc>
          <w:tcPr>
            <w:tcW w:w="4876" w:type="dxa"/>
          </w:tcPr>
          <w:p w14:paraId="60CEC406" w14:textId="77777777" w:rsidR="00804A7C" w:rsidRPr="00FA40C1" w:rsidRDefault="00804A7C" w:rsidP="00BF4F5C">
            <w:pPr>
              <w:pStyle w:val="Normal6a"/>
              <w:rPr>
                <w:color w:val="000000" w:themeColor="text1"/>
              </w:rPr>
            </w:pPr>
            <w:r w:rsidRPr="00FA40C1">
              <w:rPr>
                <w:b/>
                <w:i/>
                <w:color w:val="000000" w:themeColor="text1"/>
              </w:rPr>
              <w:t>(1 bis)</w:t>
            </w:r>
            <w:r w:rsidRPr="00FA40C1">
              <w:rPr>
                <w:color w:val="000000" w:themeColor="text1"/>
              </w:rPr>
              <w:tab/>
            </w:r>
            <w:r w:rsidRPr="00FA40C1">
              <w:rPr>
                <w:b/>
                <w:i/>
                <w:color w:val="000000" w:themeColor="text1"/>
              </w:rPr>
              <w:t>Le régime d’exemption de visa offre d’importants avantages tant à l’Union qu’aux pays tiers. Les relations économiques, sociales et culturelles avec les pays tiers apportent la prospérité et font de l’Union un bloc ouvert et libre. À cet égard, la politique commune de l’UE en matière de visas constitue le pilier de ses relations avec les pays tiers.</w:t>
            </w:r>
          </w:p>
        </w:tc>
      </w:tr>
    </w:tbl>
    <w:p w14:paraId="60A35DF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6581DE6" w14:textId="77777777" w:rsidR="00804A7C" w:rsidRPr="00FA40C1" w:rsidRDefault="00804A7C" w:rsidP="00804A7C">
      <w:pPr>
        <w:rPr>
          <w:color w:val="000000" w:themeColor="text1"/>
        </w:rPr>
      </w:pPr>
      <w:r w:rsidRPr="00FA40C1">
        <w:rPr>
          <w:rStyle w:val="HideTWBExt"/>
        </w:rPr>
        <w:t>&lt;/Amend&gt;</w:t>
      </w:r>
    </w:p>
    <w:p w14:paraId="18AD7F5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w:t>
      </w:r>
      <w:r w:rsidRPr="00FA40C1">
        <w:rPr>
          <w:rStyle w:val="HideTWBExt"/>
          <w:b w:val="0"/>
        </w:rPr>
        <w:t>&lt;/NumAm&gt;</w:t>
      </w:r>
    </w:p>
    <w:p w14:paraId="52FAD5E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7BEC68E3" w14:textId="77777777" w:rsidR="00804A7C" w:rsidRPr="00FA40C1" w:rsidRDefault="00804A7C" w:rsidP="00804A7C">
      <w:pPr>
        <w:pStyle w:val="NormalBold"/>
        <w:rPr>
          <w:color w:val="000000" w:themeColor="text1"/>
        </w:rPr>
      </w:pPr>
      <w:r w:rsidRPr="00FA40C1">
        <w:rPr>
          <w:rStyle w:val="HideTWBExt"/>
          <w:b w:val="0"/>
        </w:rPr>
        <w:t>&lt;/RepeatBlock-By&gt;</w:t>
      </w:r>
    </w:p>
    <w:p w14:paraId="3780BD3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0E8688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 ter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765B311" w14:textId="77777777" w:rsidTr="00BF4F5C">
        <w:trPr>
          <w:trHeight w:hRule="exact" w:val="240"/>
          <w:jc w:val="center"/>
        </w:trPr>
        <w:tc>
          <w:tcPr>
            <w:tcW w:w="9752" w:type="dxa"/>
            <w:gridSpan w:val="2"/>
          </w:tcPr>
          <w:p w14:paraId="4EFE2887" w14:textId="77777777" w:rsidR="00804A7C" w:rsidRPr="00FA40C1" w:rsidRDefault="00804A7C" w:rsidP="00BF4F5C">
            <w:pPr>
              <w:rPr>
                <w:color w:val="000000" w:themeColor="text1"/>
              </w:rPr>
            </w:pPr>
          </w:p>
        </w:tc>
      </w:tr>
      <w:tr w:rsidR="00804A7C" w:rsidRPr="00FA40C1" w14:paraId="143C9809" w14:textId="77777777" w:rsidTr="00BF4F5C">
        <w:trPr>
          <w:trHeight w:val="240"/>
          <w:jc w:val="center"/>
        </w:trPr>
        <w:tc>
          <w:tcPr>
            <w:tcW w:w="4876" w:type="dxa"/>
          </w:tcPr>
          <w:p w14:paraId="6393357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17803F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D9F282F" w14:textId="77777777" w:rsidTr="00BF4F5C">
        <w:trPr>
          <w:jc w:val="center"/>
        </w:trPr>
        <w:tc>
          <w:tcPr>
            <w:tcW w:w="4876" w:type="dxa"/>
          </w:tcPr>
          <w:p w14:paraId="73A1566D" w14:textId="77777777" w:rsidR="00804A7C" w:rsidRPr="00FA40C1" w:rsidRDefault="00804A7C" w:rsidP="00BF4F5C">
            <w:pPr>
              <w:pStyle w:val="Normal6a"/>
              <w:rPr>
                <w:color w:val="000000" w:themeColor="text1"/>
              </w:rPr>
            </w:pPr>
          </w:p>
        </w:tc>
        <w:tc>
          <w:tcPr>
            <w:tcW w:w="4876" w:type="dxa"/>
          </w:tcPr>
          <w:p w14:paraId="0F7D868A" w14:textId="77777777" w:rsidR="00804A7C" w:rsidRPr="00FA40C1" w:rsidRDefault="00804A7C" w:rsidP="00BF4F5C">
            <w:pPr>
              <w:pStyle w:val="Normal6a"/>
              <w:rPr>
                <w:color w:val="000000" w:themeColor="text1"/>
              </w:rPr>
            </w:pPr>
            <w:r w:rsidRPr="00FA40C1">
              <w:rPr>
                <w:b/>
                <w:i/>
                <w:color w:val="000000" w:themeColor="text1"/>
              </w:rPr>
              <w:t>(1 ter)</w:t>
            </w:r>
            <w:r w:rsidRPr="00FA40C1">
              <w:rPr>
                <w:color w:val="000000" w:themeColor="text1"/>
              </w:rPr>
              <w:tab/>
            </w:r>
            <w:r w:rsidRPr="00FA40C1">
              <w:rPr>
                <w:b/>
                <w:i/>
                <w:color w:val="000000" w:themeColor="text1"/>
              </w:rPr>
              <w:t>Dans le même temps, l’évolution du contexte géopolitique a fait naître de nouveaux risques liés au régime d’exemption de visa. L’utilisation abusive qui est faite du régime d’exemption de visa et les risques pour la sécurité qui découlent dudit régime au sein de l’Union requièrent une réponse rapide et adéquate. Par conséquent, l’Union doit disposer des moyens nécessaires pour faire face à ces risques.</w:t>
            </w:r>
          </w:p>
        </w:tc>
      </w:tr>
    </w:tbl>
    <w:p w14:paraId="3DD57AED"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1D9A67F" w14:textId="77777777" w:rsidR="00804A7C" w:rsidRPr="00FA40C1" w:rsidRDefault="00804A7C" w:rsidP="00804A7C">
      <w:pPr>
        <w:rPr>
          <w:color w:val="000000" w:themeColor="text1"/>
        </w:rPr>
      </w:pPr>
      <w:r w:rsidRPr="00FA40C1">
        <w:rPr>
          <w:rStyle w:val="HideTWBExt"/>
        </w:rPr>
        <w:t>&lt;/Amend&gt;</w:t>
      </w:r>
    </w:p>
    <w:p w14:paraId="26F5B28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w:t>
      </w:r>
      <w:r w:rsidRPr="00FA40C1">
        <w:rPr>
          <w:rStyle w:val="HideTWBExt"/>
          <w:b w:val="0"/>
        </w:rPr>
        <w:t>&lt;/NumAm&gt;</w:t>
      </w:r>
    </w:p>
    <w:p w14:paraId="3ACF982D" w14:textId="77777777" w:rsidR="00804A7C" w:rsidRPr="00FA40C1" w:rsidRDefault="00804A7C" w:rsidP="00804A7C">
      <w:pPr>
        <w:pStyle w:val="NormalBold"/>
        <w:rPr>
          <w:color w:val="000000" w:themeColor="text1"/>
        </w:rPr>
      </w:pPr>
      <w:r w:rsidRPr="00FA40C1">
        <w:rPr>
          <w:rStyle w:val="HideTWBExt"/>
          <w:b w:val="0"/>
        </w:rPr>
        <w:lastRenderedPageBreak/>
        <w:t>&lt;RepeatBlock-By&gt;&lt;Members&gt;</w:t>
      </w:r>
      <w:r w:rsidRPr="00FA40C1">
        <w:rPr>
          <w:color w:val="000000" w:themeColor="text1"/>
        </w:rPr>
        <w:t>Miguel Urbán Crespo</w:t>
      </w:r>
      <w:r w:rsidRPr="00FA40C1">
        <w:rPr>
          <w:rStyle w:val="HideTWBExt"/>
          <w:b w:val="0"/>
        </w:rPr>
        <w:t>&lt;/Members&gt;</w:t>
      </w:r>
    </w:p>
    <w:p w14:paraId="490DBEBA" w14:textId="77777777" w:rsidR="00804A7C" w:rsidRPr="00FA40C1" w:rsidRDefault="00804A7C" w:rsidP="00804A7C">
      <w:pPr>
        <w:pStyle w:val="NormalBold"/>
        <w:rPr>
          <w:color w:val="000000" w:themeColor="text1"/>
        </w:rPr>
      </w:pPr>
      <w:r w:rsidRPr="00FA40C1">
        <w:rPr>
          <w:rStyle w:val="HideTWBExt"/>
          <w:b w:val="0"/>
        </w:rPr>
        <w:t>&lt;/RepeatBlock-By&gt;</w:t>
      </w:r>
    </w:p>
    <w:p w14:paraId="2F5AD13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A1A120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8FA90E8" w14:textId="77777777" w:rsidTr="00BF4F5C">
        <w:trPr>
          <w:trHeight w:hRule="exact" w:val="240"/>
          <w:jc w:val="center"/>
        </w:trPr>
        <w:tc>
          <w:tcPr>
            <w:tcW w:w="9752" w:type="dxa"/>
            <w:gridSpan w:val="2"/>
          </w:tcPr>
          <w:p w14:paraId="6532CD4B" w14:textId="77777777" w:rsidR="00804A7C" w:rsidRPr="00FA40C1" w:rsidRDefault="00804A7C" w:rsidP="00BF4F5C">
            <w:pPr>
              <w:rPr>
                <w:color w:val="000000" w:themeColor="text1"/>
              </w:rPr>
            </w:pPr>
          </w:p>
        </w:tc>
      </w:tr>
      <w:tr w:rsidR="00804A7C" w:rsidRPr="00FA40C1" w14:paraId="120CAE43" w14:textId="77777777" w:rsidTr="00BF4F5C">
        <w:trPr>
          <w:trHeight w:val="240"/>
          <w:jc w:val="center"/>
        </w:trPr>
        <w:tc>
          <w:tcPr>
            <w:tcW w:w="4876" w:type="dxa"/>
          </w:tcPr>
          <w:p w14:paraId="6F960C3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A6078F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EAF3C18" w14:textId="77777777" w:rsidTr="00BF4F5C">
        <w:trPr>
          <w:jc w:val="center"/>
        </w:trPr>
        <w:tc>
          <w:tcPr>
            <w:tcW w:w="4876" w:type="dxa"/>
          </w:tcPr>
          <w:p w14:paraId="0B860BB9" w14:textId="77777777" w:rsidR="00804A7C" w:rsidRPr="00FA40C1" w:rsidRDefault="00804A7C" w:rsidP="00BF4F5C">
            <w:pPr>
              <w:pStyle w:val="Normal6a"/>
              <w:rPr>
                <w:color w:val="000000" w:themeColor="text1"/>
              </w:rPr>
            </w:pPr>
            <w:r w:rsidRPr="00FA40C1">
              <w:rPr>
                <w:b/>
                <w:i/>
                <w:color w:val="000000" w:themeColor="text1"/>
              </w:rPr>
              <w:t>(2)</w:t>
            </w:r>
            <w:r w:rsidRPr="00FA40C1">
              <w:rPr>
                <w:color w:val="000000" w:themeColor="text1"/>
              </w:rPr>
              <w:tab/>
            </w:r>
            <w:r w:rsidRPr="00FA40C1">
              <w:rPr>
                <w:b/>
                <w:i/>
                <w:color w:val="000000" w:themeColor="text1"/>
              </w:rPr>
              <w:t>Le mécanisme de suspension temporaire de l’exemption de l’obligation de visa pour les ressortissants d’un pays tiers figurant sur la liste de l’annexe II du règlement (UE) 2018/1806 (ci-après dénommé le «mécanisme de suspension») devrait être renforcé afin que l’Union dispose d’une protection plus efficace pour prévenir un éventail plus large de risques en matière de migration irrégulière, d’ordre public et de sécurité découlant des pays tiers énumérés à ladite annexe II, ainsi que l’utilisation abusive de l’exemption de visa par l’application de programmes de citoyenneté par investissement par ces pays tiers.</w:t>
            </w:r>
          </w:p>
        </w:tc>
        <w:tc>
          <w:tcPr>
            <w:tcW w:w="4876" w:type="dxa"/>
          </w:tcPr>
          <w:p w14:paraId="307C6158"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13A1375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AD5D20A" w14:textId="77777777" w:rsidR="00804A7C" w:rsidRPr="00FA40C1" w:rsidRDefault="00804A7C" w:rsidP="00804A7C">
      <w:pPr>
        <w:rPr>
          <w:color w:val="000000" w:themeColor="text1"/>
        </w:rPr>
      </w:pPr>
      <w:r w:rsidRPr="00FA40C1">
        <w:rPr>
          <w:rStyle w:val="HideTWBExt"/>
        </w:rPr>
        <w:t>&lt;/Amend&gt;</w:t>
      </w:r>
    </w:p>
    <w:p w14:paraId="7C3A27A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w:t>
      </w:r>
      <w:r w:rsidRPr="00FA40C1">
        <w:rPr>
          <w:rStyle w:val="HideTWBExt"/>
          <w:b w:val="0"/>
        </w:rPr>
        <w:t>&lt;/NumAm&gt;</w:t>
      </w:r>
    </w:p>
    <w:p w14:paraId="5E11223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525B6AE1" w14:textId="77777777" w:rsidR="00804A7C" w:rsidRPr="00FA40C1" w:rsidRDefault="00804A7C" w:rsidP="00804A7C">
      <w:pPr>
        <w:pStyle w:val="NormalBold"/>
        <w:rPr>
          <w:color w:val="000000" w:themeColor="text1"/>
        </w:rPr>
      </w:pPr>
      <w:r w:rsidRPr="00FA40C1">
        <w:rPr>
          <w:rStyle w:val="HideTWBExt"/>
          <w:b w:val="0"/>
        </w:rPr>
        <w:t>&lt;/RepeatBlock-By&gt;</w:t>
      </w:r>
    </w:p>
    <w:p w14:paraId="1820291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4D4E15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3A327B0" w14:textId="77777777" w:rsidTr="00BF4F5C">
        <w:trPr>
          <w:trHeight w:hRule="exact" w:val="240"/>
          <w:jc w:val="center"/>
        </w:trPr>
        <w:tc>
          <w:tcPr>
            <w:tcW w:w="9752" w:type="dxa"/>
            <w:gridSpan w:val="2"/>
          </w:tcPr>
          <w:p w14:paraId="15D4E6B3" w14:textId="77777777" w:rsidR="00804A7C" w:rsidRPr="00FA40C1" w:rsidRDefault="00804A7C" w:rsidP="00BF4F5C">
            <w:pPr>
              <w:rPr>
                <w:color w:val="000000" w:themeColor="text1"/>
              </w:rPr>
            </w:pPr>
          </w:p>
        </w:tc>
      </w:tr>
      <w:tr w:rsidR="00804A7C" w:rsidRPr="00FA40C1" w14:paraId="2F049E07" w14:textId="77777777" w:rsidTr="00BF4F5C">
        <w:trPr>
          <w:trHeight w:val="240"/>
          <w:jc w:val="center"/>
        </w:trPr>
        <w:tc>
          <w:tcPr>
            <w:tcW w:w="4876" w:type="dxa"/>
          </w:tcPr>
          <w:p w14:paraId="4536496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EABC72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F2E0063" w14:textId="77777777" w:rsidTr="00BF4F5C">
        <w:trPr>
          <w:jc w:val="center"/>
        </w:trPr>
        <w:tc>
          <w:tcPr>
            <w:tcW w:w="4876" w:type="dxa"/>
          </w:tcPr>
          <w:p w14:paraId="5F2F517A"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Le mécanisme de suspension temporaire de l’exemption de l’obligation de visa pour les ressortissants d’un pays tiers figurant sur la liste de l’annexe II du règlement (UE) 2018/1806 (ci-après dénommé le «mécanisme de suspension») devrait être renforcé afin que l’Union dispose d’une protection plus efficace pour prévenir un éventail plus large de risques en matière de migration irrégulière, d’ordre public et de sécurité découlant des pays tiers énumérés à ladite annexe II, </w:t>
            </w:r>
            <w:r w:rsidRPr="00FA40C1">
              <w:rPr>
                <w:b/>
                <w:i/>
                <w:color w:val="000000" w:themeColor="text1"/>
              </w:rPr>
              <w:t>ainsi que</w:t>
            </w:r>
            <w:r w:rsidRPr="00FA40C1">
              <w:rPr>
                <w:color w:val="000000" w:themeColor="text1"/>
              </w:rPr>
              <w:t xml:space="preserve"> </w:t>
            </w:r>
            <w:r w:rsidRPr="00FA40C1">
              <w:rPr>
                <w:color w:val="000000" w:themeColor="text1"/>
              </w:rPr>
              <w:lastRenderedPageBreak/>
              <w:t>l’utilisation abusive de l’exemption de visa par l’application de programmes de citoyenneté par investissement par ces pays tiers.</w:t>
            </w:r>
          </w:p>
        </w:tc>
        <w:tc>
          <w:tcPr>
            <w:tcW w:w="4876" w:type="dxa"/>
          </w:tcPr>
          <w:p w14:paraId="3555947B" w14:textId="77777777" w:rsidR="00804A7C" w:rsidRPr="00FA40C1" w:rsidRDefault="00804A7C" w:rsidP="00BF4F5C">
            <w:pPr>
              <w:pStyle w:val="Normal6a"/>
              <w:rPr>
                <w:color w:val="000000" w:themeColor="text1"/>
              </w:rPr>
            </w:pPr>
            <w:r w:rsidRPr="00FA40C1">
              <w:rPr>
                <w:color w:val="000000" w:themeColor="text1"/>
              </w:rPr>
              <w:lastRenderedPageBreak/>
              <w:t>(2)</w:t>
            </w:r>
            <w:r w:rsidRPr="00FA40C1">
              <w:rPr>
                <w:color w:val="000000" w:themeColor="text1"/>
              </w:rPr>
              <w:tab/>
              <w:t xml:space="preserve">Le mécanisme de suspension temporaire de l’exemption de l’obligation de visa pour les ressortissants d’un pays tiers figurant sur la liste de l’annexe II du règlement (UE) 2018/1806 (ci-après dénommé le «mécanisme de suspension») devrait </w:t>
            </w:r>
            <w:r w:rsidRPr="00FA40C1">
              <w:rPr>
                <w:b/>
                <w:i/>
                <w:color w:val="000000" w:themeColor="text1"/>
              </w:rPr>
              <w:t>donc</w:t>
            </w:r>
            <w:r w:rsidRPr="00FA40C1">
              <w:rPr>
                <w:color w:val="000000" w:themeColor="text1"/>
              </w:rPr>
              <w:t xml:space="preserve"> être renforcé afin que l’Union dispose d’une protection plus efficace pour prévenir un éventail plus large de risques en matière de migration irrégulière, d’ordre public et de sécurité découlant des pays tiers énumérés à ladite annexe II, </w:t>
            </w:r>
            <w:r w:rsidRPr="00FA40C1">
              <w:rPr>
                <w:b/>
                <w:i/>
                <w:color w:val="000000" w:themeColor="text1"/>
              </w:rPr>
              <w:t>ou de</w:t>
            </w:r>
            <w:r w:rsidRPr="00FA40C1">
              <w:rPr>
                <w:color w:val="000000" w:themeColor="text1"/>
              </w:rPr>
              <w:t xml:space="preserve"> </w:t>
            </w:r>
            <w:r w:rsidRPr="00FA40C1">
              <w:rPr>
                <w:color w:val="000000" w:themeColor="text1"/>
              </w:rPr>
              <w:lastRenderedPageBreak/>
              <w:t>l’utilisation abusive de l’exemption de visa par l’application de programmes de citoyenneté par investissement par ces pays tiers</w:t>
            </w:r>
            <w:r w:rsidRPr="00FA40C1">
              <w:rPr>
                <w:b/>
                <w:i/>
                <w:color w:val="000000" w:themeColor="text1"/>
              </w:rPr>
              <w:t>, et en tant qu’instrument diplomatique faisant suite à une détérioration brutale des relations extérieures avec les pays tiers concernés</w:t>
            </w:r>
            <w:r w:rsidRPr="00FA40C1">
              <w:rPr>
                <w:color w:val="000000" w:themeColor="text1"/>
              </w:rPr>
              <w:t>.</w:t>
            </w:r>
          </w:p>
        </w:tc>
      </w:tr>
    </w:tbl>
    <w:p w14:paraId="12D1974E" w14:textId="77777777" w:rsidR="00804A7C" w:rsidRPr="00FA40C1" w:rsidRDefault="00804A7C" w:rsidP="00804A7C">
      <w:pPr>
        <w:pStyle w:val="AmOrLang"/>
        <w:rPr>
          <w:color w:val="000000" w:themeColor="text1"/>
        </w:rPr>
      </w:pPr>
      <w:r w:rsidRPr="00FA40C1">
        <w:rPr>
          <w:color w:val="000000" w:themeColor="text1"/>
        </w:rPr>
        <w:lastRenderedPageBreak/>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DA64DCD" w14:textId="77777777" w:rsidR="00804A7C" w:rsidRPr="00FA40C1" w:rsidRDefault="00804A7C" w:rsidP="00804A7C">
      <w:pPr>
        <w:rPr>
          <w:color w:val="000000" w:themeColor="text1"/>
        </w:rPr>
      </w:pPr>
      <w:r w:rsidRPr="00FA40C1">
        <w:rPr>
          <w:rStyle w:val="HideTWBExt"/>
        </w:rPr>
        <w:t>&lt;/Amend&gt;</w:t>
      </w:r>
    </w:p>
    <w:p w14:paraId="7D50C1A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w:t>
      </w:r>
      <w:r w:rsidRPr="00FA40C1">
        <w:rPr>
          <w:rStyle w:val="HideTWBExt"/>
          <w:b w:val="0"/>
        </w:rPr>
        <w:t>&lt;/NumAm&gt;</w:t>
      </w:r>
    </w:p>
    <w:p w14:paraId="1E22260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1F1A4FEF" w14:textId="77777777" w:rsidR="00804A7C" w:rsidRPr="00FA40C1" w:rsidRDefault="00804A7C" w:rsidP="00804A7C">
      <w:pPr>
        <w:pStyle w:val="NormalBold"/>
        <w:rPr>
          <w:color w:val="000000" w:themeColor="text1"/>
        </w:rPr>
      </w:pPr>
      <w:r w:rsidRPr="00FA40C1">
        <w:rPr>
          <w:rStyle w:val="HideTWBExt"/>
          <w:b w:val="0"/>
        </w:rPr>
        <w:t>&lt;/RepeatBlock-By&gt;</w:t>
      </w:r>
    </w:p>
    <w:p w14:paraId="4F7958C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D503CD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97682BF" w14:textId="77777777" w:rsidTr="00BF4F5C">
        <w:trPr>
          <w:trHeight w:hRule="exact" w:val="240"/>
          <w:jc w:val="center"/>
        </w:trPr>
        <w:tc>
          <w:tcPr>
            <w:tcW w:w="9752" w:type="dxa"/>
            <w:gridSpan w:val="2"/>
          </w:tcPr>
          <w:p w14:paraId="0A3AB676" w14:textId="77777777" w:rsidR="00804A7C" w:rsidRPr="00FA40C1" w:rsidRDefault="00804A7C" w:rsidP="00BF4F5C">
            <w:pPr>
              <w:rPr>
                <w:color w:val="000000" w:themeColor="text1"/>
              </w:rPr>
            </w:pPr>
          </w:p>
        </w:tc>
      </w:tr>
      <w:tr w:rsidR="00804A7C" w:rsidRPr="00FA40C1" w14:paraId="6BD483CE" w14:textId="77777777" w:rsidTr="00BF4F5C">
        <w:trPr>
          <w:trHeight w:val="240"/>
          <w:jc w:val="center"/>
        </w:trPr>
        <w:tc>
          <w:tcPr>
            <w:tcW w:w="4876" w:type="dxa"/>
          </w:tcPr>
          <w:p w14:paraId="22827D8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315867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46F8E15" w14:textId="77777777" w:rsidTr="00BF4F5C">
        <w:trPr>
          <w:jc w:val="center"/>
        </w:trPr>
        <w:tc>
          <w:tcPr>
            <w:tcW w:w="4876" w:type="dxa"/>
          </w:tcPr>
          <w:p w14:paraId="52D16A5A"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Le mécanisme de suspension temporaire de l’exemption de l’obligation de visa pour les ressortissants d’un pays tiers figurant sur la liste de l’annexe II du règlement (UE) 2018/1806 (ci-après dénommé le «mécanisme de suspension») devrait être renforcé afin que l’Union dispose d’une protection plus efficace pour prévenir </w:t>
            </w:r>
            <w:r w:rsidRPr="00FA40C1">
              <w:rPr>
                <w:b/>
                <w:i/>
                <w:color w:val="000000" w:themeColor="text1"/>
              </w:rPr>
              <w:t>un éventail plus large de risques en matière de migration irrégulière, d’ordre public et de sécurité découlant des pays tiers énumérés à ladite annexe II, ainsi que</w:t>
            </w:r>
            <w:r w:rsidRPr="00FA40C1">
              <w:rPr>
                <w:color w:val="000000" w:themeColor="text1"/>
              </w:rPr>
              <w:t xml:space="preserve"> l’utilisation abusive de l’exemption de visa par l’application de programmes de citoyenneté par investissement par ces pays tiers.</w:t>
            </w:r>
          </w:p>
        </w:tc>
        <w:tc>
          <w:tcPr>
            <w:tcW w:w="4876" w:type="dxa"/>
          </w:tcPr>
          <w:p w14:paraId="46E9DA7B"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Le mécanisme de suspension temporaire de l’exemption de l’obligation de visa pour les ressortissants d’un pays tiers figurant sur la liste de l’annexe II du règlement (UE) 2018/1806 (ci-après dénommé le «mécanisme de suspension») devrait être renforcé afin que l’Union dispose d’une protection plus efficace pour prévenir l’utilisation abusive de l’exemption de visa par l’application de programmes de citoyenneté par investissement par ces pays tiers.</w:t>
            </w:r>
          </w:p>
        </w:tc>
      </w:tr>
    </w:tbl>
    <w:p w14:paraId="16AA769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494A38D" w14:textId="77777777" w:rsidR="00804A7C" w:rsidRPr="00FA40C1" w:rsidRDefault="00804A7C" w:rsidP="00804A7C">
      <w:pPr>
        <w:rPr>
          <w:color w:val="000000" w:themeColor="text1"/>
        </w:rPr>
      </w:pPr>
      <w:r w:rsidRPr="00FA40C1">
        <w:rPr>
          <w:rStyle w:val="HideTWBExt"/>
        </w:rPr>
        <w:t>&lt;/Amend&gt;</w:t>
      </w:r>
    </w:p>
    <w:p w14:paraId="54ACABC9"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w:t>
      </w:r>
      <w:r w:rsidRPr="00FA40C1">
        <w:rPr>
          <w:rStyle w:val="HideTWBExt"/>
          <w:b w:val="0"/>
        </w:rPr>
        <w:t>&lt;/NumAm&gt;</w:t>
      </w:r>
    </w:p>
    <w:p w14:paraId="7F472F4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8EEDC1D" w14:textId="77777777" w:rsidR="00804A7C" w:rsidRPr="00FA40C1" w:rsidRDefault="00804A7C" w:rsidP="00804A7C">
      <w:pPr>
        <w:pStyle w:val="NormalBold"/>
        <w:rPr>
          <w:color w:val="000000" w:themeColor="text1"/>
        </w:rPr>
      </w:pPr>
      <w:r w:rsidRPr="00FA40C1">
        <w:rPr>
          <w:rStyle w:val="HideTWBExt"/>
          <w:b w:val="0"/>
        </w:rPr>
        <w:t>&lt;/RepeatBlock-By&gt;</w:t>
      </w:r>
    </w:p>
    <w:p w14:paraId="2E7F2C7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FD9823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2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38EB999" w14:textId="77777777" w:rsidTr="00BF4F5C">
        <w:trPr>
          <w:trHeight w:hRule="exact" w:val="240"/>
          <w:jc w:val="center"/>
        </w:trPr>
        <w:tc>
          <w:tcPr>
            <w:tcW w:w="9752" w:type="dxa"/>
            <w:gridSpan w:val="2"/>
          </w:tcPr>
          <w:p w14:paraId="366609B2" w14:textId="77777777" w:rsidR="00804A7C" w:rsidRPr="00FA40C1" w:rsidRDefault="00804A7C" w:rsidP="00BF4F5C">
            <w:pPr>
              <w:rPr>
                <w:color w:val="000000" w:themeColor="text1"/>
              </w:rPr>
            </w:pPr>
          </w:p>
        </w:tc>
      </w:tr>
      <w:tr w:rsidR="00804A7C" w:rsidRPr="00FA40C1" w14:paraId="2A081CA9" w14:textId="77777777" w:rsidTr="00BF4F5C">
        <w:trPr>
          <w:trHeight w:val="240"/>
          <w:jc w:val="center"/>
        </w:trPr>
        <w:tc>
          <w:tcPr>
            <w:tcW w:w="4876" w:type="dxa"/>
          </w:tcPr>
          <w:p w14:paraId="1572E472" w14:textId="77777777" w:rsidR="00804A7C" w:rsidRPr="00FA40C1" w:rsidRDefault="00804A7C" w:rsidP="00BF4F5C">
            <w:pPr>
              <w:pStyle w:val="AmColumnHeading"/>
              <w:rPr>
                <w:color w:val="000000" w:themeColor="text1"/>
              </w:rPr>
            </w:pPr>
            <w:r w:rsidRPr="00FA40C1">
              <w:rPr>
                <w:color w:val="000000" w:themeColor="text1"/>
              </w:rPr>
              <w:lastRenderedPageBreak/>
              <w:t>Texte proposé par la Commission</w:t>
            </w:r>
          </w:p>
        </w:tc>
        <w:tc>
          <w:tcPr>
            <w:tcW w:w="4876" w:type="dxa"/>
          </w:tcPr>
          <w:p w14:paraId="73B2B64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609BCD2" w14:textId="77777777" w:rsidTr="00BF4F5C">
        <w:trPr>
          <w:jc w:val="center"/>
        </w:trPr>
        <w:tc>
          <w:tcPr>
            <w:tcW w:w="4876" w:type="dxa"/>
          </w:tcPr>
          <w:p w14:paraId="144048E7" w14:textId="77777777" w:rsidR="00804A7C" w:rsidRPr="00FA40C1" w:rsidRDefault="00804A7C" w:rsidP="00BF4F5C">
            <w:pPr>
              <w:pStyle w:val="Normal6a"/>
              <w:rPr>
                <w:color w:val="000000" w:themeColor="text1"/>
              </w:rPr>
            </w:pPr>
          </w:p>
        </w:tc>
        <w:tc>
          <w:tcPr>
            <w:tcW w:w="4876" w:type="dxa"/>
          </w:tcPr>
          <w:p w14:paraId="013980AA" w14:textId="77777777" w:rsidR="00804A7C" w:rsidRPr="00FA40C1" w:rsidRDefault="00804A7C" w:rsidP="00BF4F5C">
            <w:pPr>
              <w:pStyle w:val="Normal6a"/>
              <w:rPr>
                <w:color w:val="000000" w:themeColor="text1"/>
              </w:rPr>
            </w:pPr>
            <w:r w:rsidRPr="00FA40C1">
              <w:rPr>
                <w:b/>
                <w:i/>
                <w:color w:val="000000" w:themeColor="text1"/>
              </w:rPr>
              <w:t>(2 bis)</w:t>
            </w:r>
            <w:r w:rsidRPr="00FA40C1">
              <w:rPr>
                <w:color w:val="000000" w:themeColor="text1"/>
              </w:rPr>
              <w:tab/>
            </w:r>
            <w:r w:rsidRPr="00FA40C1">
              <w:rPr>
                <w:b/>
                <w:i/>
                <w:color w:val="000000" w:themeColor="text1"/>
              </w:rPr>
              <w:t>Il devrait également être possible de déclencher le mécanisme de suspension en cas de violation grave par un pays tiers des principes de la charte des Nations unies, ou en cas de violation grave des obligations découlant du droit international relatif aux droits de l’homme ou du droit international humanitaire, compte tenu des principes qui guident les actions extérieures de l’Union, tels qu’ils sont consacrés à l’article 21, paragraphe 1.</w:t>
            </w:r>
          </w:p>
        </w:tc>
      </w:tr>
    </w:tbl>
    <w:p w14:paraId="0E9D8D9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D4CF1BE" w14:textId="77777777" w:rsidR="00804A7C" w:rsidRPr="00FA40C1" w:rsidRDefault="00804A7C" w:rsidP="00804A7C">
      <w:pPr>
        <w:rPr>
          <w:color w:val="000000" w:themeColor="text1"/>
        </w:rPr>
      </w:pPr>
      <w:r w:rsidRPr="00FA40C1">
        <w:rPr>
          <w:rStyle w:val="HideTWBExt"/>
        </w:rPr>
        <w:t>&lt;/Amend&gt;</w:t>
      </w:r>
    </w:p>
    <w:p w14:paraId="2EBCED3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w:t>
      </w:r>
      <w:r w:rsidRPr="00FA40C1">
        <w:rPr>
          <w:rStyle w:val="HideTWBExt"/>
          <w:b w:val="0"/>
        </w:rPr>
        <w:t>&lt;/NumAm&gt;</w:t>
      </w:r>
    </w:p>
    <w:p w14:paraId="20E5532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18B33EBB" w14:textId="77777777" w:rsidR="00804A7C" w:rsidRPr="00FA40C1" w:rsidRDefault="00804A7C" w:rsidP="00804A7C">
      <w:pPr>
        <w:pStyle w:val="NormalBold"/>
        <w:rPr>
          <w:color w:val="000000" w:themeColor="text1"/>
        </w:rPr>
      </w:pPr>
      <w:r w:rsidRPr="00FA40C1">
        <w:rPr>
          <w:rStyle w:val="HideTWBExt"/>
          <w:b w:val="0"/>
        </w:rPr>
        <w:t>&lt;/RepeatBlock-By&gt;</w:t>
      </w:r>
    </w:p>
    <w:p w14:paraId="2F7A5DA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468BC9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3</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9141292" w14:textId="77777777" w:rsidTr="00BF4F5C">
        <w:trPr>
          <w:trHeight w:hRule="exact" w:val="240"/>
          <w:jc w:val="center"/>
        </w:trPr>
        <w:tc>
          <w:tcPr>
            <w:tcW w:w="9752" w:type="dxa"/>
            <w:gridSpan w:val="2"/>
          </w:tcPr>
          <w:p w14:paraId="4116F725" w14:textId="77777777" w:rsidR="00804A7C" w:rsidRPr="00FA40C1" w:rsidRDefault="00804A7C" w:rsidP="00BF4F5C">
            <w:pPr>
              <w:rPr>
                <w:color w:val="000000" w:themeColor="text1"/>
              </w:rPr>
            </w:pPr>
          </w:p>
        </w:tc>
      </w:tr>
      <w:tr w:rsidR="00804A7C" w:rsidRPr="00FA40C1" w14:paraId="7C94C7E6" w14:textId="77777777" w:rsidTr="00BF4F5C">
        <w:trPr>
          <w:trHeight w:val="240"/>
          <w:jc w:val="center"/>
        </w:trPr>
        <w:tc>
          <w:tcPr>
            <w:tcW w:w="4876" w:type="dxa"/>
          </w:tcPr>
          <w:p w14:paraId="0219338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BD95B6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10B2F63" w14:textId="77777777" w:rsidTr="00BF4F5C">
        <w:trPr>
          <w:jc w:val="center"/>
        </w:trPr>
        <w:tc>
          <w:tcPr>
            <w:tcW w:w="4876" w:type="dxa"/>
          </w:tcPr>
          <w:p w14:paraId="72C5C3F4"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Concrètement, le recours au mécanisme de suspension devrait être facilité en élargissant les motifs possibles de suspension</w:t>
            </w:r>
            <w:r w:rsidRPr="00FA40C1">
              <w:rPr>
                <w:b/>
                <w:i/>
                <w:color w:val="000000" w:themeColor="text1"/>
              </w:rPr>
              <w:t>, en adaptant les seuils et procédures pertinents</w:t>
            </w:r>
            <w:r w:rsidRPr="00FA40C1">
              <w:rPr>
                <w:color w:val="000000" w:themeColor="text1"/>
              </w:rPr>
              <w:t xml:space="preserve"> et en renforçant les obligations de la Commission en matière de suivi et de rapports.</w:t>
            </w:r>
          </w:p>
        </w:tc>
        <w:tc>
          <w:tcPr>
            <w:tcW w:w="4876" w:type="dxa"/>
          </w:tcPr>
          <w:p w14:paraId="27FB5C28"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Concrètement, le recours au mécanisme de suspension devrait être facilité en élargissant les motifs possibles de suspension et en renforçant les obligations de la Commission en matière de suivi et de rapports. </w:t>
            </w:r>
            <w:r w:rsidRPr="00FA40C1">
              <w:rPr>
                <w:b/>
                <w:i/>
                <w:color w:val="000000" w:themeColor="text1"/>
              </w:rPr>
              <w:t>La Commission doit, en outre, évaluer l’incidence de la mesure proposée en se fondant sur le principe de réciprocité en matière de visas, qui, de façon générale, constitue un principe de la politique de l’UE en matière de visas. </w:t>
            </w:r>
          </w:p>
        </w:tc>
      </w:tr>
    </w:tbl>
    <w:p w14:paraId="5525E66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A048D3B" w14:textId="77777777" w:rsidR="00804A7C" w:rsidRPr="00FA40C1" w:rsidRDefault="00804A7C" w:rsidP="00804A7C">
      <w:pPr>
        <w:rPr>
          <w:color w:val="000000" w:themeColor="text1"/>
        </w:rPr>
      </w:pPr>
      <w:r w:rsidRPr="00FA40C1">
        <w:rPr>
          <w:rStyle w:val="HideTWBExt"/>
        </w:rPr>
        <w:t>&lt;/Amend&gt;</w:t>
      </w:r>
    </w:p>
    <w:p w14:paraId="486D2E3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14</w:t>
      </w:r>
      <w:r w:rsidRPr="00FA40C1">
        <w:rPr>
          <w:rStyle w:val="HideTWBExt"/>
          <w:b w:val="0"/>
        </w:rPr>
        <w:t>&lt;/NumAm&gt;</w:t>
      </w:r>
    </w:p>
    <w:p w14:paraId="1F91B9C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34911F66" w14:textId="77777777" w:rsidR="00804A7C" w:rsidRPr="00FA40C1" w:rsidRDefault="00804A7C" w:rsidP="00804A7C">
      <w:pPr>
        <w:pStyle w:val="NormalBold"/>
        <w:rPr>
          <w:color w:val="000000" w:themeColor="text1"/>
        </w:rPr>
      </w:pPr>
      <w:r w:rsidRPr="00FA40C1">
        <w:rPr>
          <w:rStyle w:val="HideTWBExt"/>
          <w:b w:val="0"/>
        </w:rPr>
        <w:t>&lt;/RepeatBlock-By&gt;</w:t>
      </w:r>
    </w:p>
    <w:p w14:paraId="3E6E5B8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ABB25B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3</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E8BE517" w14:textId="77777777" w:rsidTr="00BF4F5C">
        <w:trPr>
          <w:trHeight w:hRule="exact" w:val="240"/>
          <w:jc w:val="center"/>
        </w:trPr>
        <w:tc>
          <w:tcPr>
            <w:tcW w:w="9752" w:type="dxa"/>
            <w:gridSpan w:val="2"/>
          </w:tcPr>
          <w:p w14:paraId="68A289C3" w14:textId="77777777" w:rsidR="00804A7C" w:rsidRPr="00FA40C1" w:rsidRDefault="00804A7C" w:rsidP="00BF4F5C">
            <w:pPr>
              <w:rPr>
                <w:color w:val="000000" w:themeColor="text1"/>
              </w:rPr>
            </w:pPr>
          </w:p>
        </w:tc>
      </w:tr>
      <w:tr w:rsidR="00804A7C" w:rsidRPr="00FA40C1" w14:paraId="0A2E764C" w14:textId="77777777" w:rsidTr="00BF4F5C">
        <w:trPr>
          <w:trHeight w:val="240"/>
          <w:jc w:val="center"/>
        </w:trPr>
        <w:tc>
          <w:tcPr>
            <w:tcW w:w="4876" w:type="dxa"/>
          </w:tcPr>
          <w:p w14:paraId="17E088B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BEA64EC"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BA0D3E3" w14:textId="77777777" w:rsidTr="00BF4F5C">
        <w:trPr>
          <w:jc w:val="center"/>
        </w:trPr>
        <w:tc>
          <w:tcPr>
            <w:tcW w:w="4876" w:type="dxa"/>
          </w:tcPr>
          <w:p w14:paraId="337CFCCE"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Concrètement, </w:t>
            </w:r>
            <w:r w:rsidRPr="00FA40C1">
              <w:rPr>
                <w:b/>
                <w:i/>
                <w:color w:val="000000" w:themeColor="text1"/>
              </w:rPr>
              <w:t>le recours au</w:t>
            </w:r>
            <w:r w:rsidRPr="00FA40C1">
              <w:rPr>
                <w:color w:val="000000" w:themeColor="text1"/>
              </w:rPr>
              <w:t xml:space="preserve"> mécanisme de suspension </w:t>
            </w:r>
            <w:r w:rsidRPr="00FA40C1">
              <w:rPr>
                <w:b/>
                <w:i/>
                <w:color w:val="000000" w:themeColor="text1"/>
              </w:rPr>
              <w:t>devrait</w:t>
            </w:r>
            <w:r w:rsidRPr="00FA40C1">
              <w:rPr>
                <w:color w:val="000000" w:themeColor="text1"/>
              </w:rPr>
              <w:t xml:space="preserve"> être </w:t>
            </w:r>
            <w:r w:rsidRPr="00FA40C1">
              <w:rPr>
                <w:b/>
                <w:i/>
                <w:color w:val="000000" w:themeColor="text1"/>
              </w:rPr>
              <w:t>facilité en élargissant les motifs possibles de suspension, en adaptant</w:t>
            </w:r>
            <w:r w:rsidRPr="00FA40C1">
              <w:rPr>
                <w:color w:val="000000" w:themeColor="text1"/>
              </w:rPr>
              <w:t xml:space="preserve"> les seuils et procédures pertinents et en renforçant les obligations de la Commission en matière de suivi et de rapports.</w:t>
            </w:r>
          </w:p>
        </w:tc>
        <w:tc>
          <w:tcPr>
            <w:tcW w:w="4876" w:type="dxa"/>
          </w:tcPr>
          <w:p w14:paraId="5CFB3158"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Concrètement, </w:t>
            </w:r>
            <w:r w:rsidRPr="00FA40C1">
              <w:rPr>
                <w:b/>
                <w:i/>
                <w:color w:val="000000" w:themeColor="text1"/>
              </w:rPr>
              <w:t>les critères de déclenchement du</w:t>
            </w:r>
            <w:r w:rsidRPr="00FA40C1">
              <w:rPr>
                <w:color w:val="000000" w:themeColor="text1"/>
              </w:rPr>
              <w:t xml:space="preserve"> mécanisme de suspension </w:t>
            </w:r>
            <w:r w:rsidRPr="00FA40C1">
              <w:rPr>
                <w:b/>
                <w:i/>
                <w:color w:val="000000" w:themeColor="text1"/>
              </w:rPr>
              <w:t>devraient</w:t>
            </w:r>
            <w:r w:rsidRPr="00FA40C1">
              <w:rPr>
                <w:color w:val="000000" w:themeColor="text1"/>
              </w:rPr>
              <w:t xml:space="preserve"> être </w:t>
            </w:r>
            <w:r w:rsidRPr="00FA40C1">
              <w:rPr>
                <w:b/>
                <w:i/>
                <w:color w:val="000000" w:themeColor="text1"/>
              </w:rPr>
              <w:t>clarifiés, en précisant davantage</w:t>
            </w:r>
            <w:r w:rsidRPr="00FA40C1">
              <w:rPr>
                <w:color w:val="000000" w:themeColor="text1"/>
              </w:rPr>
              <w:t xml:space="preserve"> les seuils et procédures pertinents et en renforçant les obligations de la Commission en matière de suivi et de rapports.</w:t>
            </w:r>
          </w:p>
        </w:tc>
      </w:tr>
    </w:tbl>
    <w:p w14:paraId="53ED79E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86AE6AA" w14:textId="77777777" w:rsidR="00804A7C" w:rsidRPr="00FA40C1" w:rsidRDefault="00804A7C" w:rsidP="00804A7C">
      <w:pPr>
        <w:rPr>
          <w:color w:val="000000" w:themeColor="text1"/>
        </w:rPr>
      </w:pPr>
      <w:r w:rsidRPr="00FA40C1">
        <w:rPr>
          <w:rStyle w:val="HideTWBExt"/>
        </w:rPr>
        <w:t>&lt;/Amend&gt;</w:t>
      </w:r>
    </w:p>
    <w:p w14:paraId="16AD454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15</w:t>
      </w:r>
      <w:r w:rsidRPr="00FA40C1">
        <w:rPr>
          <w:rStyle w:val="HideTWBExt"/>
          <w:b w:val="0"/>
        </w:rPr>
        <w:t>&lt;/NumAm&gt;</w:t>
      </w:r>
    </w:p>
    <w:p w14:paraId="10483B0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3E0DE4F2" w14:textId="77777777" w:rsidR="00804A7C" w:rsidRPr="00FA40C1" w:rsidRDefault="00804A7C" w:rsidP="00804A7C">
      <w:pPr>
        <w:pStyle w:val="NormalBold"/>
        <w:rPr>
          <w:color w:val="000000" w:themeColor="text1"/>
        </w:rPr>
      </w:pPr>
      <w:r w:rsidRPr="00FA40C1">
        <w:rPr>
          <w:rStyle w:val="HideTWBExt"/>
          <w:b w:val="0"/>
        </w:rPr>
        <w:t>&lt;/RepeatBlock-By&gt;</w:t>
      </w:r>
    </w:p>
    <w:p w14:paraId="3614EA7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B74775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3</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F9D58B3" w14:textId="77777777" w:rsidTr="00BF4F5C">
        <w:trPr>
          <w:trHeight w:hRule="exact" w:val="240"/>
          <w:jc w:val="center"/>
        </w:trPr>
        <w:tc>
          <w:tcPr>
            <w:tcW w:w="9752" w:type="dxa"/>
            <w:gridSpan w:val="2"/>
          </w:tcPr>
          <w:p w14:paraId="1E12BB04" w14:textId="77777777" w:rsidR="00804A7C" w:rsidRPr="00FA40C1" w:rsidRDefault="00804A7C" w:rsidP="00BF4F5C">
            <w:pPr>
              <w:rPr>
                <w:color w:val="000000" w:themeColor="text1"/>
              </w:rPr>
            </w:pPr>
          </w:p>
        </w:tc>
      </w:tr>
      <w:tr w:rsidR="00804A7C" w:rsidRPr="00FA40C1" w14:paraId="3AB3A51D" w14:textId="77777777" w:rsidTr="00BF4F5C">
        <w:trPr>
          <w:trHeight w:val="240"/>
          <w:jc w:val="center"/>
        </w:trPr>
        <w:tc>
          <w:tcPr>
            <w:tcW w:w="4876" w:type="dxa"/>
          </w:tcPr>
          <w:p w14:paraId="6260B978"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3B826C2"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CA57DCD" w14:textId="77777777" w:rsidTr="00BF4F5C">
        <w:trPr>
          <w:jc w:val="center"/>
        </w:trPr>
        <w:tc>
          <w:tcPr>
            <w:tcW w:w="4876" w:type="dxa"/>
          </w:tcPr>
          <w:p w14:paraId="18D20BB3"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Concrètement, le recours au mécanisme de suspension devrait être facilité en élargissant les motifs possibles de suspension, en adaptant les </w:t>
            </w:r>
            <w:r w:rsidRPr="00FA40C1">
              <w:rPr>
                <w:b/>
                <w:i/>
                <w:color w:val="000000" w:themeColor="text1"/>
              </w:rPr>
              <w:t>seuils et</w:t>
            </w:r>
            <w:r w:rsidRPr="00FA40C1">
              <w:rPr>
                <w:color w:val="000000" w:themeColor="text1"/>
              </w:rPr>
              <w:t xml:space="preserve"> procédures </w:t>
            </w:r>
            <w:r w:rsidRPr="00FA40C1">
              <w:rPr>
                <w:b/>
                <w:i/>
                <w:color w:val="000000" w:themeColor="text1"/>
              </w:rPr>
              <w:t>pertinents</w:t>
            </w:r>
            <w:r w:rsidRPr="00FA40C1">
              <w:rPr>
                <w:color w:val="000000" w:themeColor="text1"/>
              </w:rPr>
              <w:t xml:space="preserve"> et en renforçant les obligations de la Commission en matière de suivi et de rapports.</w:t>
            </w:r>
          </w:p>
        </w:tc>
        <w:tc>
          <w:tcPr>
            <w:tcW w:w="4876" w:type="dxa"/>
          </w:tcPr>
          <w:p w14:paraId="4D17946A"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Concrètement, le recours au mécanisme de suspension devrait être facilité en élargissant les motifs possibles de suspension, en adaptant les procédures </w:t>
            </w:r>
            <w:r w:rsidRPr="00FA40C1">
              <w:rPr>
                <w:b/>
                <w:i/>
                <w:color w:val="000000" w:themeColor="text1"/>
              </w:rPr>
              <w:t>pertinentes</w:t>
            </w:r>
            <w:r w:rsidRPr="00FA40C1">
              <w:rPr>
                <w:color w:val="000000" w:themeColor="text1"/>
              </w:rPr>
              <w:t xml:space="preserve"> et en renforçant les obligations de la Commission en matière de suivi et de rapports.</w:t>
            </w:r>
          </w:p>
        </w:tc>
      </w:tr>
    </w:tbl>
    <w:p w14:paraId="13D7EC67"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D94F778" w14:textId="77777777" w:rsidR="00804A7C" w:rsidRPr="00FA40C1" w:rsidRDefault="00804A7C" w:rsidP="00804A7C">
      <w:pPr>
        <w:rPr>
          <w:color w:val="000000" w:themeColor="text1"/>
        </w:rPr>
      </w:pPr>
      <w:r w:rsidRPr="00FA40C1">
        <w:rPr>
          <w:rStyle w:val="HideTWBExt"/>
        </w:rPr>
        <w:t>&lt;/Amend&gt;</w:t>
      </w:r>
    </w:p>
    <w:p w14:paraId="694A4CE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16</w:t>
      </w:r>
      <w:r w:rsidRPr="00FA40C1">
        <w:rPr>
          <w:rStyle w:val="HideTWBExt"/>
          <w:b w:val="0"/>
        </w:rPr>
        <w:t>&lt;/NumAm&gt;</w:t>
      </w:r>
    </w:p>
    <w:p w14:paraId="62746BC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27572D19" w14:textId="77777777" w:rsidR="00804A7C" w:rsidRPr="00FA40C1" w:rsidRDefault="00804A7C" w:rsidP="00804A7C">
      <w:pPr>
        <w:pStyle w:val="NormalBold"/>
        <w:rPr>
          <w:color w:val="000000" w:themeColor="text1"/>
        </w:rPr>
      </w:pPr>
      <w:r w:rsidRPr="00FA40C1">
        <w:rPr>
          <w:rStyle w:val="HideTWBExt"/>
          <w:b w:val="0"/>
        </w:rPr>
        <w:t>&lt;/RepeatBlock-By&gt;</w:t>
      </w:r>
    </w:p>
    <w:p w14:paraId="5669EB5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875C7C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3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E87C35E" w14:textId="77777777" w:rsidTr="00BF4F5C">
        <w:trPr>
          <w:trHeight w:hRule="exact" w:val="240"/>
          <w:jc w:val="center"/>
        </w:trPr>
        <w:tc>
          <w:tcPr>
            <w:tcW w:w="9752" w:type="dxa"/>
            <w:gridSpan w:val="2"/>
          </w:tcPr>
          <w:p w14:paraId="197E54CC" w14:textId="77777777" w:rsidR="00804A7C" w:rsidRPr="00FA40C1" w:rsidRDefault="00804A7C" w:rsidP="00BF4F5C">
            <w:pPr>
              <w:rPr>
                <w:color w:val="000000" w:themeColor="text1"/>
              </w:rPr>
            </w:pPr>
          </w:p>
        </w:tc>
      </w:tr>
      <w:tr w:rsidR="00804A7C" w:rsidRPr="00FA40C1" w14:paraId="21355AB4" w14:textId="77777777" w:rsidTr="00BF4F5C">
        <w:trPr>
          <w:trHeight w:val="240"/>
          <w:jc w:val="center"/>
        </w:trPr>
        <w:tc>
          <w:tcPr>
            <w:tcW w:w="4876" w:type="dxa"/>
          </w:tcPr>
          <w:p w14:paraId="595EBBE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25B3CB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6134B13" w14:textId="77777777" w:rsidTr="00BF4F5C">
        <w:trPr>
          <w:jc w:val="center"/>
        </w:trPr>
        <w:tc>
          <w:tcPr>
            <w:tcW w:w="4876" w:type="dxa"/>
          </w:tcPr>
          <w:p w14:paraId="16E56889" w14:textId="77777777" w:rsidR="00804A7C" w:rsidRPr="00FA40C1" w:rsidRDefault="00804A7C" w:rsidP="00BF4F5C">
            <w:pPr>
              <w:pStyle w:val="Normal6a"/>
              <w:rPr>
                <w:color w:val="000000" w:themeColor="text1"/>
              </w:rPr>
            </w:pPr>
          </w:p>
        </w:tc>
        <w:tc>
          <w:tcPr>
            <w:tcW w:w="4876" w:type="dxa"/>
          </w:tcPr>
          <w:p w14:paraId="79E80BA2" w14:textId="77777777" w:rsidR="00804A7C" w:rsidRPr="00FA40C1" w:rsidRDefault="00804A7C" w:rsidP="00BF4F5C">
            <w:pPr>
              <w:pStyle w:val="Normal6a"/>
              <w:rPr>
                <w:color w:val="000000" w:themeColor="text1"/>
              </w:rPr>
            </w:pPr>
            <w:r w:rsidRPr="00FA40C1">
              <w:rPr>
                <w:b/>
                <w:i/>
                <w:color w:val="000000" w:themeColor="text1"/>
              </w:rPr>
              <w:t>(3 bis)</w:t>
            </w:r>
            <w:r w:rsidRPr="00FA40C1">
              <w:rPr>
                <w:color w:val="000000" w:themeColor="text1"/>
              </w:rPr>
              <w:tab/>
            </w:r>
            <w:r w:rsidRPr="00FA40C1">
              <w:rPr>
                <w:b/>
                <w:i/>
                <w:color w:val="000000" w:themeColor="text1"/>
              </w:rPr>
              <w:t>Lorsque la Commission envisage de suspendre l’exemption de visa ou comme suite à une notification par un État membre, son évaluation devait tenir compte des potentielles conséquences de la suspension sur les ressortissants du pays tiers concerné.</w:t>
            </w:r>
          </w:p>
        </w:tc>
      </w:tr>
    </w:tbl>
    <w:p w14:paraId="3D33F03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C945A49" w14:textId="77777777" w:rsidR="00804A7C" w:rsidRPr="00FA40C1" w:rsidRDefault="00804A7C" w:rsidP="00804A7C">
      <w:pPr>
        <w:rPr>
          <w:color w:val="000000" w:themeColor="text1"/>
        </w:rPr>
      </w:pPr>
      <w:r w:rsidRPr="00FA40C1">
        <w:rPr>
          <w:rStyle w:val="HideTWBExt"/>
        </w:rPr>
        <w:t>&lt;/Amend&gt;</w:t>
      </w:r>
    </w:p>
    <w:p w14:paraId="5FCB649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17</w:t>
      </w:r>
      <w:r w:rsidRPr="00FA40C1">
        <w:rPr>
          <w:rStyle w:val="HideTWBExt"/>
          <w:b w:val="0"/>
        </w:rPr>
        <w:t>&lt;/NumAm&gt;</w:t>
      </w:r>
    </w:p>
    <w:p w14:paraId="18DEF85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3CEA8C6E" w14:textId="77777777" w:rsidR="00804A7C" w:rsidRPr="00FA40C1" w:rsidRDefault="00804A7C" w:rsidP="00804A7C">
      <w:pPr>
        <w:pStyle w:val="NormalBold"/>
        <w:rPr>
          <w:color w:val="000000" w:themeColor="text1"/>
        </w:rPr>
      </w:pPr>
      <w:r w:rsidRPr="00FA40C1">
        <w:rPr>
          <w:rStyle w:val="HideTWBExt"/>
          <w:b w:val="0"/>
        </w:rPr>
        <w:t>&lt;/RepeatBlock-By&gt;</w:t>
      </w:r>
    </w:p>
    <w:p w14:paraId="0D1A3BD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27685D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4</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08157C6" w14:textId="77777777" w:rsidTr="00BF4F5C">
        <w:trPr>
          <w:trHeight w:hRule="exact" w:val="240"/>
          <w:jc w:val="center"/>
        </w:trPr>
        <w:tc>
          <w:tcPr>
            <w:tcW w:w="9752" w:type="dxa"/>
            <w:gridSpan w:val="2"/>
          </w:tcPr>
          <w:p w14:paraId="57F86D2E" w14:textId="77777777" w:rsidR="00804A7C" w:rsidRPr="00FA40C1" w:rsidRDefault="00804A7C" w:rsidP="00BF4F5C">
            <w:pPr>
              <w:rPr>
                <w:color w:val="000000" w:themeColor="text1"/>
              </w:rPr>
            </w:pPr>
          </w:p>
        </w:tc>
      </w:tr>
      <w:tr w:rsidR="00804A7C" w:rsidRPr="00FA40C1" w14:paraId="6438E9D5" w14:textId="77777777" w:rsidTr="00BF4F5C">
        <w:trPr>
          <w:trHeight w:val="240"/>
          <w:jc w:val="center"/>
        </w:trPr>
        <w:tc>
          <w:tcPr>
            <w:tcW w:w="4876" w:type="dxa"/>
          </w:tcPr>
          <w:p w14:paraId="2D112D82"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70BA15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FB73D00" w14:textId="77777777" w:rsidTr="00BF4F5C">
        <w:trPr>
          <w:jc w:val="center"/>
        </w:trPr>
        <w:tc>
          <w:tcPr>
            <w:tcW w:w="4876" w:type="dxa"/>
          </w:tcPr>
          <w:p w14:paraId="766F73CE" w14:textId="77777777" w:rsidR="00804A7C" w:rsidRPr="00FA40C1" w:rsidRDefault="00804A7C" w:rsidP="00BF4F5C">
            <w:pPr>
              <w:pStyle w:val="Normal6a"/>
              <w:rPr>
                <w:color w:val="000000" w:themeColor="text1"/>
              </w:rPr>
            </w:pPr>
            <w:r w:rsidRPr="00FA40C1">
              <w:rPr>
                <w:b/>
                <w:i/>
                <w:color w:val="000000" w:themeColor="text1"/>
              </w:rPr>
              <w:t>(4)</w:t>
            </w:r>
            <w:r w:rsidRPr="00FA40C1">
              <w:rPr>
                <w:color w:val="000000" w:themeColor="text1"/>
              </w:rPr>
              <w:tab/>
            </w:r>
            <w:r w:rsidRPr="00FA40C1">
              <w:rPr>
                <w:b/>
                <w:i/>
                <w:color w:val="000000" w:themeColor="text1"/>
              </w:rPr>
              <w:t>L’Union a conclu plusieurs accords d’exemption de visa de court séjour avec des pays figurant sur la liste de l’annexe II du règlement (UE) 2018/1806, qui peuvent prévoir des motifs ou des procédures de suspension différents de ceux prévus dans le mécanisme de suspension, et elle pourrait conclure d’autres accords de ce type à l’avenir. Étant donné que l’Union respecte les conventions internationales et est donc liée par lesdits accords, les dispositions différentes spécifiques de ces derniers devraient être appliquées en lieu et place des dispositions pertinentes du mécanisme de suspension.</w:t>
            </w:r>
          </w:p>
        </w:tc>
        <w:tc>
          <w:tcPr>
            <w:tcW w:w="4876" w:type="dxa"/>
          </w:tcPr>
          <w:p w14:paraId="2CBAA777"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03ABE86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4FF116D" w14:textId="77777777" w:rsidR="00804A7C" w:rsidRPr="00FA40C1" w:rsidRDefault="00804A7C" w:rsidP="00804A7C">
      <w:pPr>
        <w:rPr>
          <w:color w:val="000000" w:themeColor="text1"/>
        </w:rPr>
      </w:pPr>
      <w:r w:rsidRPr="00FA40C1">
        <w:rPr>
          <w:rStyle w:val="HideTWBExt"/>
        </w:rPr>
        <w:t>&lt;/Amend&gt;</w:t>
      </w:r>
    </w:p>
    <w:p w14:paraId="2A73BA0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18</w:t>
      </w:r>
      <w:r w:rsidRPr="00FA40C1">
        <w:rPr>
          <w:rStyle w:val="HideTWBExt"/>
          <w:b w:val="0"/>
        </w:rPr>
        <w:t>&lt;/NumAm&gt;</w:t>
      </w:r>
    </w:p>
    <w:p w14:paraId="34B366F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6182112F" w14:textId="77777777" w:rsidR="00804A7C" w:rsidRPr="00FA40C1" w:rsidRDefault="00804A7C" w:rsidP="00804A7C">
      <w:pPr>
        <w:pStyle w:val="NormalBold"/>
        <w:rPr>
          <w:color w:val="000000" w:themeColor="text1"/>
        </w:rPr>
      </w:pPr>
      <w:r w:rsidRPr="00FA40C1">
        <w:rPr>
          <w:rStyle w:val="HideTWBExt"/>
          <w:b w:val="0"/>
        </w:rPr>
        <w:t>&lt;/RepeatBlock-By&gt;</w:t>
      </w:r>
    </w:p>
    <w:p w14:paraId="55DA10C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9C2F19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4</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BD3B220" w14:textId="77777777" w:rsidTr="00BF4F5C">
        <w:trPr>
          <w:trHeight w:hRule="exact" w:val="240"/>
          <w:jc w:val="center"/>
        </w:trPr>
        <w:tc>
          <w:tcPr>
            <w:tcW w:w="9752" w:type="dxa"/>
            <w:gridSpan w:val="2"/>
          </w:tcPr>
          <w:p w14:paraId="36BC2B3E" w14:textId="77777777" w:rsidR="00804A7C" w:rsidRPr="00FA40C1" w:rsidRDefault="00804A7C" w:rsidP="00BF4F5C">
            <w:pPr>
              <w:rPr>
                <w:color w:val="000000" w:themeColor="text1"/>
              </w:rPr>
            </w:pPr>
          </w:p>
        </w:tc>
      </w:tr>
      <w:tr w:rsidR="00804A7C" w:rsidRPr="00FA40C1" w14:paraId="4D07A5C8" w14:textId="77777777" w:rsidTr="00BF4F5C">
        <w:trPr>
          <w:trHeight w:val="240"/>
          <w:jc w:val="center"/>
        </w:trPr>
        <w:tc>
          <w:tcPr>
            <w:tcW w:w="4876" w:type="dxa"/>
          </w:tcPr>
          <w:p w14:paraId="3365763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674770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8E908CD" w14:textId="77777777" w:rsidTr="00BF4F5C">
        <w:trPr>
          <w:jc w:val="center"/>
        </w:trPr>
        <w:tc>
          <w:tcPr>
            <w:tcW w:w="4876" w:type="dxa"/>
          </w:tcPr>
          <w:p w14:paraId="396FB9C1"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L’Union a conclu plusieurs accords d’exemption de visa de court séjour avec des pays figurant sur la liste de l’annexe II du règlement (UE) 2018/1806, qui peuvent prévoir des motifs ou des procédures de suspension différents de ceux prévus dans le mécanisme de suspension</w:t>
            </w:r>
            <w:r w:rsidRPr="00FA40C1">
              <w:rPr>
                <w:b/>
                <w:i/>
                <w:color w:val="000000" w:themeColor="text1"/>
              </w:rPr>
              <w:t>, et elle pourrait conclure d’autres accords de ce type à l’avenir</w:t>
            </w:r>
            <w:r w:rsidRPr="00FA40C1">
              <w:rPr>
                <w:color w:val="000000" w:themeColor="text1"/>
              </w:rPr>
              <w:t>.</w:t>
            </w:r>
            <w:r w:rsidRPr="00FA40C1">
              <w:rPr>
                <w:b/>
                <w:i/>
                <w:color w:val="000000" w:themeColor="text1"/>
              </w:rPr>
              <w:t xml:space="preserve"> Étant donné que</w:t>
            </w:r>
            <w:r w:rsidRPr="00FA40C1">
              <w:rPr>
                <w:color w:val="000000" w:themeColor="text1"/>
              </w:rPr>
              <w:t xml:space="preserve"> l’Union </w:t>
            </w:r>
            <w:r w:rsidRPr="00FA40C1">
              <w:rPr>
                <w:b/>
                <w:i/>
                <w:color w:val="000000" w:themeColor="text1"/>
              </w:rPr>
              <w:t>respecte les conventions internationales et est donc liée par lesdits accords</w:t>
            </w:r>
            <w:r w:rsidRPr="00FA40C1">
              <w:rPr>
                <w:color w:val="000000" w:themeColor="text1"/>
              </w:rPr>
              <w:t xml:space="preserve">, les </w:t>
            </w:r>
            <w:r w:rsidRPr="00FA40C1">
              <w:rPr>
                <w:b/>
                <w:i/>
                <w:color w:val="000000" w:themeColor="text1"/>
              </w:rPr>
              <w:t>dispositions différentes</w:t>
            </w:r>
            <w:r w:rsidRPr="00FA40C1">
              <w:rPr>
                <w:color w:val="000000" w:themeColor="text1"/>
              </w:rPr>
              <w:t xml:space="preserve"> spécifiques </w:t>
            </w:r>
            <w:r w:rsidRPr="00FA40C1">
              <w:rPr>
                <w:b/>
                <w:i/>
                <w:color w:val="000000" w:themeColor="text1"/>
              </w:rPr>
              <w:t>de</w:t>
            </w:r>
            <w:r w:rsidRPr="00FA40C1">
              <w:rPr>
                <w:color w:val="000000" w:themeColor="text1"/>
              </w:rPr>
              <w:t xml:space="preserve"> ces </w:t>
            </w:r>
            <w:r w:rsidRPr="00FA40C1">
              <w:rPr>
                <w:b/>
                <w:i/>
                <w:color w:val="000000" w:themeColor="text1"/>
              </w:rPr>
              <w:t>derniers</w:t>
            </w:r>
            <w:r w:rsidRPr="00FA40C1">
              <w:rPr>
                <w:color w:val="000000" w:themeColor="text1"/>
              </w:rPr>
              <w:t xml:space="preserve"> devraient être </w:t>
            </w:r>
            <w:r w:rsidRPr="00FA40C1">
              <w:rPr>
                <w:b/>
                <w:i/>
                <w:color w:val="000000" w:themeColor="text1"/>
              </w:rPr>
              <w:t>appliquées en lieu et place des dispositions pertinentes du</w:t>
            </w:r>
            <w:r w:rsidRPr="00FA40C1">
              <w:rPr>
                <w:color w:val="000000" w:themeColor="text1"/>
              </w:rPr>
              <w:t xml:space="preserve"> mécanisme de suspension.</w:t>
            </w:r>
          </w:p>
        </w:tc>
        <w:tc>
          <w:tcPr>
            <w:tcW w:w="4876" w:type="dxa"/>
          </w:tcPr>
          <w:p w14:paraId="0E3601A0"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L’Union a conclu plusieurs accords d’exemption de visa de court séjour avec des pays figurant sur la liste de l’annexe II du règlement (UE) 2018/1806, qui peuvent prévoir des motifs ou des procédures de suspension différents de ceux prévus dans le mécanisme de suspension.</w:t>
            </w:r>
            <w:r w:rsidRPr="00FA40C1">
              <w:rPr>
                <w:b/>
                <w:i/>
                <w:color w:val="000000" w:themeColor="text1"/>
              </w:rPr>
              <w:t xml:space="preserve"> </w:t>
            </w:r>
            <w:r w:rsidRPr="00FA40C1">
              <w:rPr>
                <w:color w:val="000000" w:themeColor="text1"/>
              </w:rPr>
              <w:t xml:space="preserve">L’Union </w:t>
            </w:r>
            <w:r w:rsidRPr="00FA40C1">
              <w:rPr>
                <w:b/>
                <w:i/>
                <w:color w:val="000000" w:themeColor="text1"/>
              </w:rPr>
              <w:t>devrait pouvoir suspendre le régime d’exemption de visa, également au niveau du droit de l’Union</w:t>
            </w:r>
            <w:r w:rsidRPr="00FA40C1">
              <w:rPr>
                <w:color w:val="000000" w:themeColor="text1"/>
              </w:rPr>
              <w:t xml:space="preserve">, </w:t>
            </w:r>
            <w:r w:rsidRPr="00FA40C1">
              <w:rPr>
                <w:b/>
                <w:i/>
                <w:color w:val="000000" w:themeColor="text1"/>
              </w:rPr>
              <w:t>raison pour laquelle</w:t>
            </w:r>
            <w:r w:rsidRPr="00FA40C1">
              <w:rPr>
                <w:color w:val="000000" w:themeColor="text1"/>
              </w:rPr>
              <w:t xml:space="preserve"> les </w:t>
            </w:r>
            <w:r w:rsidRPr="00FA40C1">
              <w:rPr>
                <w:b/>
                <w:i/>
                <w:color w:val="000000" w:themeColor="text1"/>
              </w:rPr>
              <w:t>motifs de suspension</w:t>
            </w:r>
            <w:r w:rsidRPr="00FA40C1">
              <w:rPr>
                <w:color w:val="000000" w:themeColor="text1"/>
              </w:rPr>
              <w:t xml:space="preserve"> spécifiques </w:t>
            </w:r>
            <w:r w:rsidRPr="00FA40C1">
              <w:rPr>
                <w:b/>
                <w:i/>
                <w:color w:val="000000" w:themeColor="text1"/>
              </w:rPr>
              <w:t>prévus dans</w:t>
            </w:r>
            <w:r w:rsidRPr="00FA40C1">
              <w:rPr>
                <w:color w:val="000000" w:themeColor="text1"/>
              </w:rPr>
              <w:t xml:space="preserve"> ces </w:t>
            </w:r>
            <w:r w:rsidRPr="00FA40C1">
              <w:rPr>
                <w:b/>
                <w:i/>
                <w:color w:val="000000" w:themeColor="text1"/>
              </w:rPr>
              <w:t>accords</w:t>
            </w:r>
            <w:r w:rsidRPr="00FA40C1">
              <w:rPr>
                <w:color w:val="000000" w:themeColor="text1"/>
              </w:rPr>
              <w:t xml:space="preserve"> devraient être </w:t>
            </w:r>
            <w:r w:rsidRPr="00FA40C1">
              <w:rPr>
                <w:b/>
                <w:i/>
                <w:color w:val="000000" w:themeColor="text1"/>
              </w:rPr>
              <w:t>présentés dans le</w:t>
            </w:r>
            <w:r w:rsidRPr="00FA40C1">
              <w:rPr>
                <w:color w:val="000000" w:themeColor="text1"/>
              </w:rPr>
              <w:t xml:space="preserve"> mécanisme de suspension. </w:t>
            </w:r>
            <w:r w:rsidRPr="00FA40C1">
              <w:rPr>
                <w:b/>
                <w:i/>
                <w:color w:val="000000" w:themeColor="text1"/>
              </w:rPr>
              <w:t>Toutefois, le recours aux motifs de suspension prévus dans les accords d’exemption de visa de court séjour devait être limité au champ d’application de ces accords.</w:t>
            </w:r>
          </w:p>
        </w:tc>
      </w:tr>
    </w:tbl>
    <w:p w14:paraId="2F038AB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5EDA46A" w14:textId="77777777" w:rsidR="00804A7C" w:rsidRPr="00FA40C1" w:rsidRDefault="00804A7C" w:rsidP="00804A7C">
      <w:pPr>
        <w:rPr>
          <w:color w:val="000000" w:themeColor="text1"/>
        </w:rPr>
      </w:pPr>
      <w:r w:rsidRPr="00FA40C1">
        <w:rPr>
          <w:rStyle w:val="HideTWBExt"/>
        </w:rPr>
        <w:t>&lt;/Amend&gt;</w:t>
      </w:r>
    </w:p>
    <w:p w14:paraId="498C8B4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19</w:t>
      </w:r>
      <w:r w:rsidRPr="00FA40C1">
        <w:rPr>
          <w:rStyle w:val="HideTWBExt"/>
          <w:b w:val="0"/>
        </w:rPr>
        <w:t>&lt;/NumAm&gt;</w:t>
      </w:r>
    </w:p>
    <w:p w14:paraId="2FC7D97E"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20EF812E" w14:textId="77777777" w:rsidR="00804A7C" w:rsidRPr="00FA40C1" w:rsidRDefault="00804A7C" w:rsidP="00804A7C">
      <w:pPr>
        <w:pStyle w:val="NormalBold"/>
        <w:rPr>
          <w:color w:val="000000" w:themeColor="text1"/>
        </w:rPr>
      </w:pPr>
      <w:r w:rsidRPr="00FA40C1">
        <w:rPr>
          <w:rStyle w:val="HideTWBExt"/>
          <w:b w:val="0"/>
        </w:rPr>
        <w:t>&lt;/RepeatBlock-By&gt;</w:t>
      </w:r>
    </w:p>
    <w:p w14:paraId="1F3B835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92ACBA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4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BCB3BDD" w14:textId="77777777" w:rsidTr="00BF4F5C">
        <w:trPr>
          <w:trHeight w:hRule="exact" w:val="240"/>
          <w:jc w:val="center"/>
        </w:trPr>
        <w:tc>
          <w:tcPr>
            <w:tcW w:w="9752" w:type="dxa"/>
            <w:gridSpan w:val="2"/>
          </w:tcPr>
          <w:p w14:paraId="09D42CE6" w14:textId="77777777" w:rsidR="00804A7C" w:rsidRPr="00FA40C1" w:rsidRDefault="00804A7C" w:rsidP="00BF4F5C">
            <w:pPr>
              <w:rPr>
                <w:color w:val="000000" w:themeColor="text1"/>
              </w:rPr>
            </w:pPr>
          </w:p>
        </w:tc>
      </w:tr>
      <w:tr w:rsidR="00804A7C" w:rsidRPr="00FA40C1" w14:paraId="081A5721" w14:textId="77777777" w:rsidTr="00BF4F5C">
        <w:trPr>
          <w:trHeight w:val="240"/>
          <w:jc w:val="center"/>
        </w:trPr>
        <w:tc>
          <w:tcPr>
            <w:tcW w:w="4876" w:type="dxa"/>
          </w:tcPr>
          <w:p w14:paraId="2EC44BA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B9617C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21102F7" w14:textId="77777777" w:rsidTr="00BF4F5C">
        <w:trPr>
          <w:jc w:val="center"/>
        </w:trPr>
        <w:tc>
          <w:tcPr>
            <w:tcW w:w="4876" w:type="dxa"/>
          </w:tcPr>
          <w:p w14:paraId="758D44CF" w14:textId="77777777" w:rsidR="00804A7C" w:rsidRPr="00FA40C1" w:rsidRDefault="00804A7C" w:rsidP="00BF4F5C">
            <w:pPr>
              <w:pStyle w:val="Normal6a"/>
              <w:rPr>
                <w:color w:val="000000" w:themeColor="text1"/>
              </w:rPr>
            </w:pPr>
          </w:p>
        </w:tc>
        <w:tc>
          <w:tcPr>
            <w:tcW w:w="4876" w:type="dxa"/>
          </w:tcPr>
          <w:p w14:paraId="47959F67" w14:textId="77777777" w:rsidR="00804A7C" w:rsidRPr="00FA40C1" w:rsidRDefault="00804A7C" w:rsidP="00BF4F5C">
            <w:pPr>
              <w:pStyle w:val="Normal6a"/>
              <w:rPr>
                <w:color w:val="000000" w:themeColor="text1"/>
              </w:rPr>
            </w:pPr>
            <w:r w:rsidRPr="00FA40C1">
              <w:rPr>
                <w:b/>
                <w:i/>
                <w:color w:val="000000" w:themeColor="text1"/>
              </w:rPr>
              <w:t>(4 bis)</w:t>
            </w:r>
            <w:r w:rsidRPr="00FA40C1">
              <w:rPr>
                <w:color w:val="000000" w:themeColor="text1"/>
              </w:rPr>
              <w:tab/>
            </w:r>
            <w:r w:rsidRPr="00FA40C1">
              <w:rPr>
                <w:b/>
                <w:i/>
                <w:color w:val="000000" w:themeColor="text1"/>
              </w:rPr>
              <w:t>Le mécanisme de suspension devrait assurer une protection contre les menaces à l’ordre public et à la sécurité. Il s’agit notamment des risques immédiats pour la sécurité intérieure de l’Union, tels que le terrorisme, la criminalité organisée, les cyberattaques, la traite des êtres humains ainsi que le trafic de drogues et d’armes. En ce qui concerne l’aspect extérieur de la sécurité intérieure, il convient de tenir compte des priorités définies par la plateforme pluridisciplinaire européenne contre les menaces criminelles (EMPACT).</w:t>
            </w:r>
          </w:p>
        </w:tc>
      </w:tr>
    </w:tbl>
    <w:p w14:paraId="71ABA1A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0669C40" w14:textId="77777777" w:rsidR="00804A7C" w:rsidRPr="00FA40C1" w:rsidRDefault="00804A7C" w:rsidP="00804A7C">
      <w:pPr>
        <w:rPr>
          <w:color w:val="000000" w:themeColor="text1"/>
        </w:rPr>
      </w:pPr>
      <w:r w:rsidRPr="00FA40C1">
        <w:rPr>
          <w:rStyle w:val="HideTWBExt"/>
        </w:rPr>
        <w:t>&lt;/Amend&gt;</w:t>
      </w:r>
    </w:p>
    <w:p w14:paraId="58E5F20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20</w:t>
      </w:r>
      <w:r w:rsidRPr="00FA40C1">
        <w:rPr>
          <w:rStyle w:val="HideTWBExt"/>
          <w:b w:val="0"/>
        </w:rPr>
        <w:t>&lt;/NumAm&gt;</w:t>
      </w:r>
    </w:p>
    <w:p w14:paraId="0881FC5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7DBA3F43" w14:textId="77777777" w:rsidR="00804A7C" w:rsidRPr="00FA40C1" w:rsidRDefault="00804A7C" w:rsidP="00804A7C">
      <w:pPr>
        <w:pStyle w:val="NormalBold"/>
        <w:rPr>
          <w:color w:val="000000" w:themeColor="text1"/>
        </w:rPr>
      </w:pPr>
      <w:r w:rsidRPr="00FA40C1">
        <w:rPr>
          <w:rStyle w:val="HideTWBExt"/>
          <w:b w:val="0"/>
        </w:rPr>
        <w:t>&lt;/RepeatBlock-By&gt;</w:t>
      </w:r>
    </w:p>
    <w:p w14:paraId="6D19ED3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6AF3FC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5</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7EC8043" w14:textId="77777777" w:rsidTr="00BF4F5C">
        <w:trPr>
          <w:trHeight w:hRule="exact" w:val="240"/>
          <w:jc w:val="center"/>
        </w:trPr>
        <w:tc>
          <w:tcPr>
            <w:tcW w:w="9752" w:type="dxa"/>
            <w:gridSpan w:val="2"/>
          </w:tcPr>
          <w:p w14:paraId="5C2DE664" w14:textId="77777777" w:rsidR="00804A7C" w:rsidRPr="00FA40C1" w:rsidRDefault="00804A7C" w:rsidP="00BF4F5C">
            <w:pPr>
              <w:rPr>
                <w:color w:val="000000" w:themeColor="text1"/>
              </w:rPr>
            </w:pPr>
          </w:p>
        </w:tc>
      </w:tr>
      <w:tr w:rsidR="00804A7C" w:rsidRPr="00FA40C1" w14:paraId="74474479" w14:textId="77777777" w:rsidTr="00BF4F5C">
        <w:trPr>
          <w:trHeight w:val="240"/>
          <w:jc w:val="center"/>
        </w:trPr>
        <w:tc>
          <w:tcPr>
            <w:tcW w:w="4876" w:type="dxa"/>
          </w:tcPr>
          <w:p w14:paraId="770186C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09D0EA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D0DFA2E" w14:textId="77777777" w:rsidTr="00BF4F5C">
        <w:trPr>
          <w:jc w:val="center"/>
        </w:trPr>
        <w:tc>
          <w:tcPr>
            <w:tcW w:w="4876" w:type="dxa"/>
          </w:tcPr>
          <w:p w14:paraId="6D1ADE2D" w14:textId="77777777" w:rsidR="00804A7C" w:rsidRPr="00FA40C1" w:rsidRDefault="00804A7C" w:rsidP="00BF4F5C">
            <w:pPr>
              <w:pStyle w:val="Normal6a"/>
              <w:rPr>
                <w:color w:val="000000" w:themeColor="text1"/>
              </w:rPr>
            </w:pPr>
            <w:r w:rsidRPr="00FA40C1">
              <w:rPr>
                <w:b/>
                <w:i/>
                <w:color w:val="000000" w:themeColor="text1"/>
              </w:rPr>
              <w:t>(5)</w:t>
            </w:r>
            <w:r w:rsidRPr="00FA40C1">
              <w:rPr>
                <w:color w:val="000000" w:themeColor="text1"/>
              </w:rPr>
              <w:tab/>
            </w:r>
            <w:r w:rsidRPr="00FA40C1">
              <w:rPr>
                <w:b/>
                <w:i/>
                <w:color w:val="000000" w:themeColor="text1"/>
              </w:rPr>
              <w:t>Dans ses conclusions du 22 octobre 2021, le Conseil européen a invité la Commission à proposer tout changement nécessaire au cadre juridique de l’Union et des mesures concrètes afin d’assurer une réponse immédiate et appropriée aux menaces hybrides, conformément au droit de l’Union et aux obligations internationales. Par conséquent, il devrait être possible de déclencher le mécanisme de suspension en cas de risques ou de menaces pour l’ordre public ou la sécurité intérieure des États membres découlant de menaces hybrides, telles que les situations d’instrumentalisation étatique des migrants visant à déstabiliser ou à affaiblir la société et les principales institutions.</w:t>
            </w:r>
          </w:p>
        </w:tc>
        <w:tc>
          <w:tcPr>
            <w:tcW w:w="4876" w:type="dxa"/>
          </w:tcPr>
          <w:p w14:paraId="3ACA46E1"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1C43ABC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B20B419" w14:textId="77777777" w:rsidR="00804A7C" w:rsidRPr="00FA40C1" w:rsidRDefault="00804A7C" w:rsidP="00804A7C">
      <w:pPr>
        <w:rPr>
          <w:color w:val="000000" w:themeColor="text1"/>
        </w:rPr>
      </w:pPr>
      <w:r w:rsidRPr="00FA40C1">
        <w:rPr>
          <w:rStyle w:val="HideTWBExt"/>
        </w:rPr>
        <w:t>&lt;/Amend&gt;</w:t>
      </w:r>
    </w:p>
    <w:p w14:paraId="5C66CB1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21</w:t>
      </w:r>
      <w:r w:rsidRPr="00FA40C1">
        <w:rPr>
          <w:rStyle w:val="HideTWBExt"/>
          <w:b w:val="0"/>
        </w:rPr>
        <w:t>&lt;/NumAm&gt;</w:t>
      </w:r>
    </w:p>
    <w:p w14:paraId="6E8A33BA"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6EF68DF" w14:textId="77777777" w:rsidR="00804A7C" w:rsidRPr="00FA40C1" w:rsidRDefault="00804A7C" w:rsidP="00804A7C">
      <w:pPr>
        <w:pStyle w:val="NormalBold"/>
        <w:rPr>
          <w:color w:val="000000" w:themeColor="text1"/>
        </w:rPr>
      </w:pPr>
      <w:r w:rsidRPr="00FA40C1">
        <w:rPr>
          <w:rStyle w:val="HideTWBExt"/>
          <w:b w:val="0"/>
        </w:rPr>
        <w:t>&lt;/RepeatBlock-By&gt;</w:t>
      </w:r>
    </w:p>
    <w:p w14:paraId="6997080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21CE12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5</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4C4BEE1" w14:textId="77777777" w:rsidTr="00BF4F5C">
        <w:trPr>
          <w:trHeight w:hRule="exact" w:val="240"/>
          <w:jc w:val="center"/>
        </w:trPr>
        <w:tc>
          <w:tcPr>
            <w:tcW w:w="9752" w:type="dxa"/>
            <w:gridSpan w:val="2"/>
          </w:tcPr>
          <w:p w14:paraId="08F61D0A" w14:textId="77777777" w:rsidR="00804A7C" w:rsidRPr="00FA40C1" w:rsidRDefault="00804A7C" w:rsidP="00BF4F5C">
            <w:pPr>
              <w:rPr>
                <w:color w:val="000000" w:themeColor="text1"/>
              </w:rPr>
            </w:pPr>
          </w:p>
        </w:tc>
      </w:tr>
      <w:tr w:rsidR="00804A7C" w:rsidRPr="00FA40C1" w14:paraId="56165FCC" w14:textId="77777777" w:rsidTr="00BF4F5C">
        <w:trPr>
          <w:trHeight w:val="240"/>
          <w:jc w:val="center"/>
        </w:trPr>
        <w:tc>
          <w:tcPr>
            <w:tcW w:w="4876" w:type="dxa"/>
          </w:tcPr>
          <w:p w14:paraId="6ADBAB0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83E38D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7048D1A" w14:textId="77777777" w:rsidTr="00BF4F5C">
        <w:trPr>
          <w:jc w:val="center"/>
        </w:trPr>
        <w:tc>
          <w:tcPr>
            <w:tcW w:w="4876" w:type="dxa"/>
          </w:tcPr>
          <w:p w14:paraId="336605F4" w14:textId="77777777" w:rsidR="00804A7C" w:rsidRPr="00FA40C1" w:rsidRDefault="00804A7C" w:rsidP="00BF4F5C">
            <w:pPr>
              <w:pStyle w:val="Normal6a"/>
              <w:rPr>
                <w:color w:val="000000" w:themeColor="text1"/>
              </w:rPr>
            </w:pPr>
            <w:r w:rsidRPr="00FA40C1">
              <w:rPr>
                <w:b/>
                <w:i/>
                <w:color w:val="000000" w:themeColor="text1"/>
              </w:rPr>
              <w:t>(5)</w:t>
            </w:r>
            <w:r w:rsidRPr="00FA40C1">
              <w:rPr>
                <w:color w:val="000000" w:themeColor="text1"/>
              </w:rPr>
              <w:tab/>
            </w:r>
            <w:r w:rsidRPr="00FA40C1">
              <w:rPr>
                <w:b/>
                <w:i/>
                <w:color w:val="000000" w:themeColor="text1"/>
              </w:rPr>
              <w:t>Dans ses conclusions du 22 octobre 2021, le Conseil européen a invité la Commission à proposer tout changement nécessaire au cadre juridique de l’Union et des mesures concrètes afin d’assurer une réponse immédiate et appropriée aux menaces hybrides, conformément au droit de l’Union et aux obligations internationales. Par conséquent, il devrait être possible de déclencher le mécanisme de suspension en cas de risques ou de menaces pour l’ordre public ou la sécurité intérieure des États membres découlant de menaces hybrides, telles que les situations d’instrumentalisation étatique des migrants visant à déstabiliser ou à affaiblir la société et les principales institutions.</w:t>
            </w:r>
          </w:p>
        </w:tc>
        <w:tc>
          <w:tcPr>
            <w:tcW w:w="4876" w:type="dxa"/>
          </w:tcPr>
          <w:p w14:paraId="6BFF2A3E"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44A5EC9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C726E5E" w14:textId="77777777" w:rsidR="00804A7C" w:rsidRPr="00FA40C1" w:rsidRDefault="00804A7C" w:rsidP="00804A7C">
      <w:pPr>
        <w:rPr>
          <w:color w:val="000000" w:themeColor="text1"/>
        </w:rPr>
      </w:pPr>
      <w:r w:rsidRPr="00FA40C1">
        <w:rPr>
          <w:rStyle w:val="HideTWBExt"/>
        </w:rPr>
        <w:t>&lt;/Amend&gt;</w:t>
      </w:r>
    </w:p>
    <w:p w14:paraId="79648D0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22</w:t>
      </w:r>
      <w:r w:rsidRPr="00FA40C1">
        <w:rPr>
          <w:rStyle w:val="HideTWBExt"/>
          <w:b w:val="0"/>
        </w:rPr>
        <w:t>&lt;/NumAm&gt;</w:t>
      </w:r>
    </w:p>
    <w:p w14:paraId="2184055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60CD975F" w14:textId="77777777" w:rsidR="00804A7C" w:rsidRPr="00FA40C1" w:rsidRDefault="00804A7C" w:rsidP="00804A7C">
      <w:pPr>
        <w:pStyle w:val="NormalBold"/>
        <w:rPr>
          <w:color w:val="000000" w:themeColor="text1"/>
        </w:rPr>
      </w:pPr>
      <w:r w:rsidRPr="00FA40C1">
        <w:rPr>
          <w:rStyle w:val="HideTWBExt"/>
          <w:b w:val="0"/>
        </w:rPr>
        <w:t>&lt;/RepeatBlock-By&gt;</w:t>
      </w:r>
    </w:p>
    <w:p w14:paraId="4A34FD4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DE4E6C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5</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7581299" w14:textId="77777777" w:rsidTr="00BF4F5C">
        <w:trPr>
          <w:trHeight w:hRule="exact" w:val="240"/>
          <w:jc w:val="center"/>
        </w:trPr>
        <w:tc>
          <w:tcPr>
            <w:tcW w:w="9752" w:type="dxa"/>
            <w:gridSpan w:val="2"/>
          </w:tcPr>
          <w:p w14:paraId="01774328" w14:textId="77777777" w:rsidR="00804A7C" w:rsidRPr="00FA40C1" w:rsidRDefault="00804A7C" w:rsidP="00BF4F5C">
            <w:pPr>
              <w:rPr>
                <w:color w:val="000000" w:themeColor="text1"/>
              </w:rPr>
            </w:pPr>
          </w:p>
        </w:tc>
      </w:tr>
      <w:tr w:rsidR="00804A7C" w:rsidRPr="00FA40C1" w14:paraId="7E74DECE" w14:textId="77777777" w:rsidTr="00BF4F5C">
        <w:trPr>
          <w:trHeight w:val="240"/>
          <w:jc w:val="center"/>
        </w:trPr>
        <w:tc>
          <w:tcPr>
            <w:tcW w:w="4876" w:type="dxa"/>
          </w:tcPr>
          <w:p w14:paraId="68CE52D8"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E4D16E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14854AC" w14:textId="77777777" w:rsidTr="00BF4F5C">
        <w:trPr>
          <w:jc w:val="center"/>
        </w:trPr>
        <w:tc>
          <w:tcPr>
            <w:tcW w:w="4876" w:type="dxa"/>
          </w:tcPr>
          <w:p w14:paraId="64946FD5" w14:textId="77777777" w:rsidR="00804A7C" w:rsidRPr="00FA40C1" w:rsidRDefault="00804A7C" w:rsidP="00BF4F5C">
            <w:pPr>
              <w:pStyle w:val="Normal6a"/>
              <w:rPr>
                <w:color w:val="000000" w:themeColor="text1"/>
              </w:rPr>
            </w:pPr>
            <w:r w:rsidRPr="00FA40C1">
              <w:rPr>
                <w:color w:val="000000" w:themeColor="text1"/>
              </w:rPr>
              <w:t>(5)</w:t>
            </w:r>
            <w:r w:rsidRPr="00FA40C1">
              <w:rPr>
                <w:color w:val="000000" w:themeColor="text1"/>
              </w:rPr>
              <w:tab/>
              <w:t>Dans ses conclusions du 22 octobre 2021, le Conseil européen a invité la Commission à proposer tout changement nécessaire au cadre juridique de l’Union et des mesures concrètes afin d’assurer une réponse immédiate et appropriée aux menaces hybrides, conformément au droit de l’Union et aux obligations internationales. Par conséquent, il devrait être possible de déclencher le mécanisme de suspension en cas de risques ou de menaces pour l’ordre public ou la sécurité intérieure des États membres découlant de menaces hybrides, telles que les situations d’instrumentalisation étatique des migrants visant à déstabiliser ou à affaiblir la société et les principales institutions.</w:t>
            </w:r>
          </w:p>
        </w:tc>
        <w:tc>
          <w:tcPr>
            <w:tcW w:w="4876" w:type="dxa"/>
          </w:tcPr>
          <w:p w14:paraId="2D9326E8" w14:textId="77777777" w:rsidR="00804A7C" w:rsidRPr="00FA40C1" w:rsidRDefault="00804A7C" w:rsidP="00BF4F5C">
            <w:pPr>
              <w:pStyle w:val="Normal6a"/>
              <w:rPr>
                <w:color w:val="000000" w:themeColor="text1"/>
              </w:rPr>
            </w:pPr>
            <w:r w:rsidRPr="00FA40C1">
              <w:rPr>
                <w:color w:val="000000" w:themeColor="text1"/>
              </w:rPr>
              <w:t>(5)</w:t>
            </w:r>
            <w:r w:rsidRPr="00FA40C1">
              <w:rPr>
                <w:color w:val="000000" w:themeColor="text1"/>
              </w:rPr>
              <w:tab/>
              <w:t>Dans ses conclusions du 22 octobre 2021, le Conseil européen a invité la Commission à proposer tout changement nécessaire au cadre juridique de l’Union et des mesures concrètes afin d’assurer une réponse immédiate et appropriée aux menaces hybrides, conformément au droit de l’Union et aux obligations internationales. Par conséquent, il devrait être possible de déclencher le mécanisme de suspension en cas de risques ou de menaces pour l’ordre public ou la sécurité intérieure des États membres découlant de menaces hybrides, telles que les situations d’instrumentalisation étatique des migrants visant à déstabiliser ou à affaiblir la société et les principales institutions</w:t>
            </w:r>
            <w:r w:rsidRPr="00FA40C1">
              <w:rPr>
                <w:b/>
                <w:i/>
                <w:color w:val="000000" w:themeColor="text1"/>
              </w:rPr>
              <w:t>, visées à l’article premier, paragraphe 4, point b), premier alinéa, du règlement sur les situations de crise</w:t>
            </w:r>
            <w:r w:rsidRPr="00FA40C1">
              <w:rPr>
                <w:color w:val="000000" w:themeColor="text1"/>
              </w:rPr>
              <w:t xml:space="preserve">. </w:t>
            </w:r>
            <w:r w:rsidRPr="00FA40C1">
              <w:rPr>
                <w:b/>
                <w:i/>
                <w:color w:val="000000" w:themeColor="text1"/>
              </w:rPr>
              <w:t>Ces menaces pour l’ordre public ou la sécurité intérieure des États membres découlant de menaces hybrides peuvent également concerner l’ingérence étrangère clandestine dans les processus politiques, les cyberopérations ainsi que l’espionnage économique.</w:t>
            </w:r>
          </w:p>
        </w:tc>
      </w:tr>
    </w:tbl>
    <w:p w14:paraId="4EE4FB6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18DDC70" w14:textId="77777777" w:rsidR="00804A7C" w:rsidRPr="00FA40C1" w:rsidRDefault="00804A7C" w:rsidP="00804A7C">
      <w:pPr>
        <w:rPr>
          <w:color w:val="000000" w:themeColor="text1"/>
        </w:rPr>
      </w:pPr>
      <w:r w:rsidRPr="00FA40C1">
        <w:rPr>
          <w:rStyle w:val="HideTWBExt"/>
        </w:rPr>
        <w:t>&lt;/Amend&gt;</w:t>
      </w:r>
    </w:p>
    <w:p w14:paraId="0436679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23</w:t>
      </w:r>
      <w:r w:rsidRPr="00FA40C1">
        <w:rPr>
          <w:rStyle w:val="HideTWBExt"/>
          <w:b w:val="0"/>
        </w:rPr>
        <w:t>&lt;/NumAm&gt;</w:t>
      </w:r>
    </w:p>
    <w:p w14:paraId="3630A7E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03A54588" w14:textId="77777777" w:rsidR="00804A7C" w:rsidRPr="00FA40C1" w:rsidRDefault="00804A7C" w:rsidP="00804A7C">
      <w:pPr>
        <w:pStyle w:val="NormalBold"/>
        <w:rPr>
          <w:color w:val="000000" w:themeColor="text1"/>
        </w:rPr>
      </w:pPr>
      <w:r w:rsidRPr="00FA40C1">
        <w:rPr>
          <w:rStyle w:val="HideTWBExt"/>
          <w:b w:val="0"/>
        </w:rPr>
        <w:t>&lt;/RepeatBlock-By&gt;</w:t>
      </w:r>
    </w:p>
    <w:p w14:paraId="76691E0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9B14E5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5</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2CF8398" w14:textId="77777777" w:rsidTr="00BF4F5C">
        <w:trPr>
          <w:trHeight w:hRule="exact" w:val="240"/>
          <w:jc w:val="center"/>
        </w:trPr>
        <w:tc>
          <w:tcPr>
            <w:tcW w:w="9752" w:type="dxa"/>
            <w:gridSpan w:val="2"/>
          </w:tcPr>
          <w:p w14:paraId="6217B6DF" w14:textId="77777777" w:rsidR="00804A7C" w:rsidRPr="00FA40C1" w:rsidRDefault="00804A7C" w:rsidP="00BF4F5C">
            <w:pPr>
              <w:rPr>
                <w:color w:val="000000" w:themeColor="text1"/>
              </w:rPr>
            </w:pPr>
          </w:p>
        </w:tc>
      </w:tr>
      <w:tr w:rsidR="00804A7C" w:rsidRPr="00FA40C1" w14:paraId="7C676277" w14:textId="77777777" w:rsidTr="00BF4F5C">
        <w:trPr>
          <w:trHeight w:val="240"/>
          <w:jc w:val="center"/>
        </w:trPr>
        <w:tc>
          <w:tcPr>
            <w:tcW w:w="4876" w:type="dxa"/>
          </w:tcPr>
          <w:p w14:paraId="2DF83E5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77CDE42"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012D308" w14:textId="77777777" w:rsidTr="00BF4F5C">
        <w:trPr>
          <w:jc w:val="center"/>
        </w:trPr>
        <w:tc>
          <w:tcPr>
            <w:tcW w:w="4876" w:type="dxa"/>
          </w:tcPr>
          <w:p w14:paraId="25395CED" w14:textId="77777777" w:rsidR="00804A7C" w:rsidRPr="00FA40C1" w:rsidRDefault="00804A7C" w:rsidP="00BF4F5C">
            <w:pPr>
              <w:pStyle w:val="Normal6a"/>
              <w:rPr>
                <w:color w:val="000000" w:themeColor="text1"/>
              </w:rPr>
            </w:pPr>
            <w:r w:rsidRPr="00FA40C1">
              <w:rPr>
                <w:color w:val="000000" w:themeColor="text1"/>
              </w:rPr>
              <w:t>(5)</w:t>
            </w:r>
            <w:r w:rsidRPr="00FA40C1">
              <w:rPr>
                <w:color w:val="000000" w:themeColor="text1"/>
              </w:rPr>
              <w:tab/>
              <w:t xml:space="preserve">Dans ses conclusions du 22 octobre 2021, le Conseil européen a invité la Commission à proposer tout changement nécessaire au cadre juridique de l’Union et des mesures concrètes afin d’assurer une réponse immédiate et appropriée aux </w:t>
            </w:r>
            <w:r w:rsidRPr="00FA40C1">
              <w:rPr>
                <w:b/>
                <w:i/>
                <w:color w:val="000000" w:themeColor="text1"/>
              </w:rPr>
              <w:t>menaces hybrides</w:t>
            </w:r>
            <w:r w:rsidRPr="00FA40C1">
              <w:rPr>
                <w:color w:val="000000" w:themeColor="text1"/>
              </w:rPr>
              <w:t xml:space="preserve">, conformément au droit de l’Union et aux obligations internationales. </w:t>
            </w:r>
            <w:r w:rsidRPr="00FA40C1">
              <w:rPr>
                <w:b/>
                <w:i/>
                <w:color w:val="000000" w:themeColor="text1"/>
              </w:rPr>
              <w:t>Par conséquent, il devrait être possible de déclencher le mécanisme de suspension en cas de risques ou de menaces pour l’ordre public ou la sécurité intérieure des États membres découlant de menaces hybrides, telles que les situations d’instrumentalisation étatique des migrants visant à déstabiliser ou à affaiblir la société et les principales institutions.</w:t>
            </w:r>
          </w:p>
        </w:tc>
        <w:tc>
          <w:tcPr>
            <w:tcW w:w="4876" w:type="dxa"/>
          </w:tcPr>
          <w:p w14:paraId="24AEC6F1" w14:textId="77777777" w:rsidR="00804A7C" w:rsidRPr="00FA40C1" w:rsidRDefault="00804A7C" w:rsidP="00BF4F5C">
            <w:pPr>
              <w:pStyle w:val="Normal6a"/>
              <w:rPr>
                <w:color w:val="000000" w:themeColor="text1"/>
              </w:rPr>
            </w:pPr>
            <w:r w:rsidRPr="00FA40C1">
              <w:rPr>
                <w:color w:val="000000" w:themeColor="text1"/>
              </w:rPr>
              <w:t>(5)</w:t>
            </w:r>
            <w:r w:rsidRPr="00FA40C1">
              <w:rPr>
                <w:color w:val="000000" w:themeColor="text1"/>
              </w:rPr>
              <w:tab/>
              <w:t xml:space="preserve">Dans ses conclusions du 22 octobre 2021, le Conseil européen a invité la Commission à proposer tout changement nécessaire au cadre juridique de l’Union et des mesures concrètes afin d’assurer une réponse immédiate et appropriée aux </w:t>
            </w:r>
            <w:r w:rsidRPr="00FA40C1">
              <w:rPr>
                <w:b/>
                <w:i/>
                <w:color w:val="000000" w:themeColor="text1"/>
              </w:rPr>
              <w:t>défis</w:t>
            </w:r>
            <w:r w:rsidRPr="00FA40C1">
              <w:rPr>
                <w:color w:val="000000" w:themeColor="text1"/>
              </w:rPr>
              <w:t>, conformément au droit de l’Union et aux obligations internationales. </w:t>
            </w:r>
          </w:p>
        </w:tc>
      </w:tr>
    </w:tbl>
    <w:p w14:paraId="4D36BEA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83E252D" w14:textId="77777777" w:rsidR="00804A7C" w:rsidRPr="00FA40C1" w:rsidRDefault="00804A7C" w:rsidP="00804A7C">
      <w:pPr>
        <w:rPr>
          <w:color w:val="000000" w:themeColor="text1"/>
        </w:rPr>
      </w:pPr>
      <w:r w:rsidRPr="00FA40C1">
        <w:rPr>
          <w:rStyle w:val="HideTWBExt"/>
        </w:rPr>
        <w:t>&lt;/Amend&gt;</w:t>
      </w:r>
    </w:p>
    <w:p w14:paraId="56F4550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24</w:t>
      </w:r>
      <w:r w:rsidRPr="00FA40C1">
        <w:rPr>
          <w:rStyle w:val="HideTWBExt"/>
          <w:b w:val="0"/>
        </w:rPr>
        <w:t>&lt;/NumAm&gt;</w:t>
      </w:r>
    </w:p>
    <w:p w14:paraId="766FFA9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40ED3A0A" w14:textId="77777777" w:rsidR="00804A7C" w:rsidRPr="00FA40C1" w:rsidRDefault="00804A7C" w:rsidP="00804A7C">
      <w:pPr>
        <w:pStyle w:val="NormalBold"/>
        <w:rPr>
          <w:color w:val="000000" w:themeColor="text1"/>
        </w:rPr>
      </w:pPr>
      <w:r w:rsidRPr="00FA40C1">
        <w:rPr>
          <w:rStyle w:val="HideTWBExt"/>
          <w:b w:val="0"/>
        </w:rPr>
        <w:t>&lt;/RepeatBlock-By&gt;</w:t>
      </w:r>
    </w:p>
    <w:p w14:paraId="67D85AB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21BEF9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5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F52AF9E" w14:textId="77777777" w:rsidTr="00BF4F5C">
        <w:trPr>
          <w:trHeight w:hRule="exact" w:val="240"/>
          <w:jc w:val="center"/>
        </w:trPr>
        <w:tc>
          <w:tcPr>
            <w:tcW w:w="9752" w:type="dxa"/>
            <w:gridSpan w:val="2"/>
          </w:tcPr>
          <w:p w14:paraId="34C39C5F" w14:textId="77777777" w:rsidR="00804A7C" w:rsidRPr="00FA40C1" w:rsidRDefault="00804A7C" w:rsidP="00BF4F5C">
            <w:pPr>
              <w:rPr>
                <w:color w:val="000000" w:themeColor="text1"/>
              </w:rPr>
            </w:pPr>
          </w:p>
        </w:tc>
      </w:tr>
      <w:tr w:rsidR="00804A7C" w:rsidRPr="00FA40C1" w14:paraId="3A4904AB" w14:textId="77777777" w:rsidTr="00BF4F5C">
        <w:trPr>
          <w:trHeight w:val="240"/>
          <w:jc w:val="center"/>
        </w:trPr>
        <w:tc>
          <w:tcPr>
            <w:tcW w:w="4876" w:type="dxa"/>
          </w:tcPr>
          <w:p w14:paraId="322828B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9AE2ED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74F7C6C" w14:textId="77777777" w:rsidTr="00BF4F5C">
        <w:trPr>
          <w:jc w:val="center"/>
        </w:trPr>
        <w:tc>
          <w:tcPr>
            <w:tcW w:w="4876" w:type="dxa"/>
          </w:tcPr>
          <w:p w14:paraId="1E44DDEE" w14:textId="77777777" w:rsidR="00804A7C" w:rsidRPr="00FA40C1" w:rsidRDefault="00804A7C" w:rsidP="00BF4F5C">
            <w:pPr>
              <w:pStyle w:val="Normal6a"/>
              <w:rPr>
                <w:color w:val="000000" w:themeColor="text1"/>
              </w:rPr>
            </w:pPr>
          </w:p>
        </w:tc>
        <w:tc>
          <w:tcPr>
            <w:tcW w:w="4876" w:type="dxa"/>
          </w:tcPr>
          <w:p w14:paraId="5302A3B7" w14:textId="77777777" w:rsidR="00804A7C" w:rsidRPr="00FA40C1" w:rsidRDefault="00804A7C" w:rsidP="00BF4F5C">
            <w:pPr>
              <w:pStyle w:val="Normal6a"/>
              <w:rPr>
                <w:color w:val="000000" w:themeColor="text1"/>
              </w:rPr>
            </w:pPr>
            <w:r w:rsidRPr="00FA40C1">
              <w:rPr>
                <w:b/>
                <w:i/>
                <w:color w:val="000000" w:themeColor="text1"/>
              </w:rPr>
              <w:t>(5 bis)</w:t>
            </w:r>
            <w:r w:rsidRPr="00FA40C1">
              <w:rPr>
                <w:color w:val="000000" w:themeColor="text1"/>
              </w:rPr>
              <w:tab/>
            </w:r>
            <w:r w:rsidRPr="00FA40C1">
              <w:rPr>
                <w:b/>
                <w:i/>
                <w:color w:val="000000" w:themeColor="text1"/>
              </w:rPr>
              <w:t>Il est également important que la sécurité des documents soit garantie conformément aux normes de l’Union européenne. L’Union a mis en place des dispositifs de sécurité avancés ainsi que des exigences biométriques pour les documents de voyage. Ces mesures permettent de prévenir la falsification et la contrefaçon des documents de voyage et établissent un lien fiable entre le document et son titulaire. Pour garantir la validité et la fiabilité des documents de voyage, les pays figurant sur la liste de l’annexe II devraient délivrer des documents de voyage conformément à ces exigences.</w:t>
            </w:r>
          </w:p>
        </w:tc>
      </w:tr>
    </w:tbl>
    <w:p w14:paraId="2F65060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1A48591" w14:textId="77777777" w:rsidR="00804A7C" w:rsidRPr="00FA40C1" w:rsidRDefault="00804A7C" w:rsidP="00804A7C">
      <w:pPr>
        <w:rPr>
          <w:color w:val="000000" w:themeColor="text1"/>
        </w:rPr>
      </w:pPr>
      <w:r w:rsidRPr="00FA40C1">
        <w:rPr>
          <w:rStyle w:val="HideTWBExt"/>
        </w:rPr>
        <w:t>&lt;/Amend&gt;</w:t>
      </w:r>
    </w:p>
    <w:p w14:paraId="5EA0870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25</w:t>
      </w:r>
      <w:r w:rsidRPr="00FA40C1">
        <w:rPr>
          <w:rStyle w:val="HideTWBExt"/>
          <w:b w:val="0"/>
        </w:rPr>
        <w:t>&lt;/NumAm&gt;</w:t>
      </w:r>
    </w:p>
    <w:p w14:paraId="4F68878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78236502" w14:textId="77777777" w:rsidR="00804A7C" w:rsidRPr="00FA40C1" w:rsidRDefault="00804A7C" w:rsidP="00804A7C">
      <w:pPr>
        <w:pStyle w:val="NormalBold"/>
        <w:rPr>
          <w:color w:val="000000" w:themeColor="text1"/>
        </w:rPr>
      </w:pPr>
      <w:r w:rsidRPr="00FA40C1">
        <w:rPr>
          <w:rStyle w:val="HideTWBExt"/>
          <w:b w:val="0"/>
        </w:rPr>
        <w:t>&lt;/RepeatBlock-By&gt;</w:t>
      </w:r>
    </w:p>
    <w:p w14:paraId="00E6F55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75DD40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6</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8F42565" w14:textId="77777777" w:rsidTr="00BF4F5C">
        <w:trPr>
          <w:trHeight w:hRule="exact" w:val="240"/>
          <w:jc w:val="center"/>
        </w:trPr>
        <w:tc>
          <w:tcPr>
            <w:tcW w:w="9752" w:type="dxa"/>
            <w:gridSpan w:val="2"/>
          </w:tcPr>
          <w:p w14:paraId="259B1151" w14:textId="77777777" w:rsidR="00804A7C" w:rsidRPr="00FA40C1" w:rsidRDefault="00804A7C" w:rsidP="00BF4F5C">
            <w:pPr>
              <w:rPr>
                <w:color w:val="000000" w:themeColor="text1"/>
              </w:rPr>
            </w:pPr>
          </w:p>
        </w:tc>
      </w:tr>
      <w:tr w:rsidR="00804A7C" w:rsidRPr="00FA40C1" w14:paraId="33A2D1C0" w14:textId="77777777" w:rsidTr="00BF4F5C">
        <w:trPr>
          <w:trHeight w:val="240"/>
          <w:jc w:val="center"/>
        </w:trPr>
        <w:tc>
          <w:tcPr>
            <w:tcW w:w="4876" w:type="dxa"/>
          </w:tcPr>
          <w:p w14:paraId="594B6CC8"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990D5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3119ED9" w14:textId="77777777" w:rsidTr="00BF4F5C">
        <w:trPr>
          <w:jc w:val="center"/>
        </w:trPr>
        <w:tc>
          <w:tcPr>
            <w:tcW w:w="4876" w:type="dxa"/>
          </w:tcPr>
          <w:p w14:paraId="08557D3C" w14:textId="77777777" w:rsidR="00804A7C" w:rsidRPr="00FA40C1" w:rsidRDefault="00804A7C" w:rsidP="00BF4F5C">
            <w:pPr>
              <w:pStyle w:val="Normal6a"/>
              <w:rPr>
                <w:color w:val="000000" w:themeColor="text1"/>
              </w:rPr>
            </w:pPr>
            <w:r w:rsidRPr="00FA40C1">
              <w:rPr>
                <w:color w:val="000000" w:themeColor="text1"/>
              </w:rPr>
              <w:t>(6)</w:t>
            </w:r>
            <w:r w:rsidRPr="00FA40C1">
              <w:rPr>
                <w:color w:val="000000" w:themeColor="text1"/>
              </w:rPr>
              <w:tab/>
              <w:t>Les programmes de citoyenneté par investissement appliqués par des pays tiers figurant sur la liste de l’annexe II du règlement (UE) 2018/1806 permettent aux ressortissants de pays tiers qui seraient normalement soumis à l’obligation de visa de se rendre dans l’Union sans visa. Un programme de citoyenneté par investissement octroie la citoyenneté en échange de paiements ou d’investissements prédéterminés, en l’absence de tout lien réel avec le pays tiers concerné. L’Union respecte le droit des pays souverains de décider de leurs propres procédures de naturalisation, mais les pays tiers exemptés de l’obligation de visa devraient être dissuadés d’utiliser l’accès à l’Union en exemption de visa pour monnayer leur citoyenneté contre des investissements individuels. Afin d’empêcher que cet accès à l’Union en exemption de visa ne soit utilisé à cette fin, il devrait être possible de suspendre l’exemption de visa à l’égard d’un pays tiers qui choisit d’appliquer de tels programmes, permettant d’octroyer la citoyenneté en l’absence de tout lien réel avec le pays tiers concerné.</w:t>
            </w:r>
          </w:p>
        </w:tc>
        <w:tc>
          <w:tcPr>
            <w:tcW w:w="4876" w:type="dxa"/>
          </w:tcPr>
          <w:p w14:paraId="52B2090A" w14:textId="77777777" w:rsidR="00804A7C" w:rsidRPr="00FA40C1" w:rsidRDefault="00804A7C" w:rsidP="00BF4F5C">
            <w:pPr>
              <w:pStyle w:val="Normal6a"/>
              <w:rPr>
                <w:color w:val="000000" w:themeColor="text1"/>
              </w:rPr>
            </w:pPr>
            <w:r w:rsidRPr="00FA40C1">
              <w:rPr>
                <w:color w:val="000000" w:themeColor="text1"/>
              </w:rPr>
              <w:t>(6)</w:t>
            </w:r>
            <w:r w:rsidRPr="00FA40C1">
              <w:rPr>
                <w:color w:val="000000" w:themeColor="text1"/>
              </w:rPr>
              <w:tab/>
              <w:t xml:space="preserve">Les programmes de citoyenneté par investissement appliqués par des pays tiers figurant sur la liste de l’annexe II du règlement (UE) 2018/1806 permettent aux ressortissants de pays tiers qui seraient normalement soumis à l’obligation de visa de se rendre dans l’Union sans visa. Un programme de citoyenneté par investissement octroie la citoyenneté en échange de paiements ou d’investissements prédéterminés, en l’absence de tout lien réel avec le pays tiers concerné. L’Union respecte le droit des pays souverains de décider de leurs propres procédures de naturalisation, mais les pays tiers exemptés de l’obligation de visa devraient être dissuadés d’utiliser l’accès à l’Union en exemption de visa pour monnayer leur citoyenneté contre des investissements individuels. </w:t>
            </w:r>
            <w:r w:rsidRPr="00FA40C1">
              <w:rPr>
                <w:b/>
                <w:i/>
                <w:color w:val="000000" w:themeColor="text1"/>
              </w:rPr>
              <w:t>L’absence de contrôles de sécurité exhaustifs, de procédures de vérification et de mesures de vigilance entraîne plusieurs risques graves pour la sécurité des citoyens de l’Union, par exemple des risques découlant du blanchiment de capitaux et de la corruption.</w:t>
            </w:r>
            <w:r w:rsidRPr="00FA40C1">
              <w:rPr>
                <w:color w:val="000000" w:themeColor="text1"/>
              </w:rPr>
              <w:t xml:space="preserve"> Afin d’empêcher que cet accès à l’Union en exemption de visa ne soit utilisé à cette fin, il devrait être possible de suspendre l’exemption de visa à l’égard d’un pays tiers qui choisit d’appliquer de tels programmes, permettant d’octroyer la citoyenneté en l’absence de tout lien réel avec le pays tiers concerné.</w:t>
            </w:r>
          </w:p>
        </w:tc>
      </w:tr>
    </w:tbl>
    <w:p w14:paraId="2607B8F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1506056" w14:textId="77777777" w:rsidR="00804A7C" w:rsidRPr="00FA40C1" w:rsidRDefault="00804A7C" w:rsidP="00804A7C">
      <w:pPr>
        <w:rPr>
          <w:color w:val="000000" w:themeColor="text1"/>
        </w:rPr>
      </w:pPr>
      <w:r w:rsidRPr="00FA40C1">
        <w:rPr>
          <w:rStyle w:val="HideTWBExt"/>
        </w:rPr>
        <w:t>&lt;/Amend&gt;</w:t>
      </w:r>
    </w:p>
    <w:p w14:paraId="6178803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26</w:t>
      </w:r>
      <w:r w:rsidRPr="00FA40C1">
        <w:rPr>
          <w:rStyle w:val="HideTWBExt"/>
          <w:b w:val="0"/>
        </w:rPr>
        <w:t>&lt;/NumAm&gt;</w:t>
      </w:r>
    </w:p>
    <w:p w14:paraId="66DAE11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75F94062" w14:textId="77777777" w:rsidR="00804A7C" w:rsidRPr="00FA40C1" w:rsidRDefault="00804A7C" w:rsidP="00804A7C">
      <w:pPr>
        <w:pStyle w:val="NormalBold"/>
        <w:rPr>
          <w:color w:val="000000" w:themeColor="text1"/>
        </w:rPr>
      </w:pPr>
      <w:r w:rsidRPr="00FA40C1">
        <w:rPr>
          <w:rStyle w:val="HideTWBExt"/>
          <w:b w:val="0"/>
        </w:rPr>
        <w:t>&lt;/RepeatBlock-By&gt;</w:t>
      </w:r>
    </w:p>
    <w:p w14:paraId="7627EF6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519244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6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329FD55" w14:textId="77777777" w:rsidTr="00BF4F5C">
        <w:trPr>
          <w:trHeight w:hRule="exact" w:val="240"/>
          <w:jc w:val="center"/>
        </w:trPr>
        <w:tc>
          <w:tcPr>
            <w:tcW w:w="9752" w:type="dxa"/>
            <w:gridSpan w:val="2"/>
          </w:tcPr>
          <w:p w14:paraId="609299FA" w14:textId="77777777" w:rsidR="00804A7C" w:rsidRPr="00FA40C1" w:rsidRDefault="00804A7C" w:rsidP="00BF4F5C">
            <w:pPr>
              <w:rPr>
                <w:color w:val="000000" w:themeColor="text1"/>
              </w:rPr>
            </w:pPr>
          </w:p>
        </w:tc>
      </w:tr>
      <w:tr w:rsidR="00804A7C" w:rsidRPr="00FA40C1" w14:paraId="19EE7FB8" w14:textId="77777777" w:rsidTr="00BF4F5C">
        <w:trPr>
          <w:trHeight w:val="240"/>
          <w:jc w:val="center"/>
        </w:trPr>
        <w:tc>
          <w:tcPr>
            <w:tcW w:w="4876" w:type="dxa"/>
          </w:tcPr>
          <w:p w14:paraId="2CE8AD3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549592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9BC793A" w14:textId="77777777" w:rsidTr="00BF4F5C">
        <w:trPr>
          <w:jc w:val="center"/>
        </w:trPr>
        <w:tc>
          <w:tcPr>
            <w:tcW w:w="4876" w:type="dxa"/>
          </w:tcPr>
          <w:p w14:paraId="6DA67934" w14:textId="77777777" w:rsidR="00804A7C" w:rsidRPr="00FA40C1" w:rsidRDefault="00804A7C" w:rsidP="00BF4F5C">
            <w:pPr>
              <w:pStyle w:val="Normal6a"/>
              <w:rPr>
                <w:color w:val="000000" w:themeColor="text1"/>
              </w:rPr>
            </w:pPr>
          </w:p>
        </w:tc>
        <w:tc>
          <w:tcPr>
            <w:tcW w:w="4876" w:type="dxa"/>
          </w:tcPr>
          <w:p w14:paraId="2684A50C" w14:textId="77777777" w:rsidR="00804A7C" w:rsidRPr="00FA40C1" w:rsidRDefault="00804A7C" w:rsidP="00BF4F5C">
            <w:pPr>
              <w:pStyle w:val="Normal6a"/>
              <w:rPr>
                <w:color w:val="000000" w:themeColor="text1"/>
              </w:rPr>
            </w:pPr>
            <w:r w:rsidRPr="00FA40C1">
              <w:rPr>
                <w:b/>
                <w:i/>
                <w:color w:val="000000" w:themeColor="text1"/>
              </w:rPr>
              <w:t>(6 bis)</w:t>
            </w:r>
            <w:r w:rsidRPr="00FA40C1">
              <w:rPr>
                <w:color w:val="000000" w:themeColor="text1"/>
              </w:rPr>
              <w:tab/>
            </w:r>
            <w:r w:rsidRPr="00FA40C1">
              <w:rPr>
                <w:b/>
                <w:i/>
                <w:color w:val="000000" w:themeColor="text1"/>
              </w:rPr>
              <w:t>Le déclenchement du mécanisme de suspension devrait être envisagé dans le cadre plus large des relations de l’Union avec le pays tiers concerné. Il conviendrait de porter une attention particulière aux relations diplomatiques et extérieures de l’Union avec les pays tiers. Il s’agit notamment de tenir compte des aspects relatifs aux droits de l’homme et aux libertés fondamentales, aux violations d’accords bilatéraux entre l’Union et des pays tiers, aux actes hostiles à l’encontre de l’Union ou d’États membres et du non-respect des sanctions pertinentes de l’Union ou du non-alignement sur ces sanctions.</w:t>
            </w:r>
          </w:p>
        </w:tc>
      </w:tr>
    </w:tbl>
    <w:p w14:paraId="5E8384E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68F76A6" w14:textId="77777777" w:rsidR="00804A7C" w:rsidRPr="00FA40C1" w:rsidRDefault="00804A7C" w:rsidP="00804A7C">
      <w:pPr>
        <w:rPr>
          <w:color w:val="000000" w:themeColor="text1"/>
        </w:rPr>
      </w:pPr>
      <w:r w:rsidRPr="00FA40C1">
        <w:rPr>
          <w:rStyle w:val="HideTWBExt"/>
        </w:rPr>
        <w:t>&lt;/Amend&gt;</w:t>
      </w:r>
    </w:p>
    <w:p w14:paraId="68389C3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27</w:t>
      </w:r>
      <w:r w:rsidRPr="00FA40C1">
        <w:rPr>
          <w:rStyle w:val="HideTWBExt"/>
          <w:b w:val="0"/>
        </w:rPr>
        <w:t>&lt;/NumAm&gt;</w:t>
      </w:r>
    </w:p>
    <w:p w14:paraId="5ECCC27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704C3D31" w14:textId="77777777" w:rsidR="00804A7C" w:rsidRPr="00FA40C1" w:rsidRDefault="00804A7C" w:rsidP="00804A7C">
      <w:pPr>
        <w:pStyle w:val="NormalBold"/>
        <w:rPr>
          <w:color w:val="000000" w:themeColor="text1"/>
        </w:rPr>
      </w:pPr>
      <w:r w:rsidRPr="00FA40C1">
        <w:rPr>
          <w:rStyle w:val="HideTWBExt"/>
          <w:b w:val="0"/>
        </w:rPr>
        <w:t>&lt;/RepeatBlock-By&gt;</w:t>
      </w:r>
    </w:p>
    <w:p w14:paraId="37D4805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E4BF65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7</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0CD8ABB" w14:textId="77777777" w:rsidTr="00BF4F5C">
        <w:trPr>
          <w:trHeight w:hRule="exact" w:val="240"/>
          <w:jc w:val="center"/>
        </w:trPr>
        <w:tc>
          <w:tcPr>
            <w:tcW w:w="9752" w:type="dxa"/>
            <w:gridSpan w:val="2"/>
          </w:tcPr>
          <w:p w14:paraId="73369A62" w14:textId="77777777" w:rsidR="00804A7C" w:rsidRPr="00FA40C1" w:rsidRDefault="00804A7C" w:rsidP="00BF4F5C">
            <w:pPr>
              <w:rPr>
                <w:color w:val="000000" w:themeColor="text1"/>
              </w:rPr>
            </w:pPr>
          </w:p>
        </w:tc>
      </w:tr>
      <w:tr w:rsidR="00804A7C" w:rsidRPr="00FA40C1" w14:paraId="4BDA4010" w14:textId="77777777" w:rsidTr="00BF4F5C">
        <w:trPr>
          <w:trHeight w:val="240"/>
          <w:jc w:val="center"/>
        </w:trPr>
        <w:tc>
          <w:tcPr>
            <w:tcW w:w="4876" w:type="dxa"/>
          </w:tcPr>
          <w:p w14:paraId="384FD56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9BB272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ED448B2" w14:textId="77777777" w:rsidTr="00BF4F5C">
        <w:trPr>
          <w:jc w:val="center"/>
        </w:trPr>
        <w:tc>
          <w:tcPr>
            <w:tcW w:w="4876" w:type="dxa"/>
          </w:tcPr>
          <w:p w14:paraId="0ED87C6F" w14:textId="77777777" w:rsidR="00804A7C" w:rsidRPr="00FA40C1" w:rsidRDefault="00804A7C" w:rsidP="00BF4F5C">
            <w:pPr>
              <w:pStyle w:val="Normal6a"/>
              <w:rPr>
                <w:color w:val="000000" w:themeColor="text1"/>
              </w:rPr>
            </w:pPr>
            <w:r w:rsidRPr="00FA40C1">
              <w:rPr>
                <w:b/>
                <w:i/>
                <w:color w:val="000000" w:themeColor="text1"/>
              </w:rPr>
              <w:t>(7)</w:t>
            </w:r>
            <w:r w:rsidRPr="00FA40C1">
              <w:rPr>
                <w:color w:val="000000" w:themeColor="text1"/>
              </w:rPr>
              <w:tab/>
            </w:r>
            <w:r w:rsidRPr="00FA40C1">
              <w:rPr>
                <w:b/>
                <w:i/>
                <w:color w:val="000000" w:themeColor="text1"/>
              </w:rPr>
              <w:t>Lorsque la politique en matière de visas d’un pays tiers figurant sur la liste de l’annexe II du règlement (UE) 2018/1806 n’est pas alignée sur celle de l’Union en ce qui concerne la liste des pays tiers dont les ressortissants sont soumis à l’obligation de visa pour franchir les frontières extérieures des États membres, cela peut entraîner une migration irrégulière vers l’Union, en particulier lorsque le pays tiers concerné se situe à proximité immédiate de l’Union. Par conséquent, il devrait être possible de déclencher le mécanisme de suspension lorsque, à la suite d’une évaluation, la Commission conclut qu’il existe un risque d’accroissement substantiel du nombre de ressortissants de pays tiers, autres que des ressortissants de ce pays tiers, qui arrivent légalement sur le territoire de ce dernier pour entrer ensuite irrégulièrement sur le territoire des États membres.</w:t>
            </w:r>
          </w:p>
        </w:tc>
        <w:tc>
          <w:tcPr>
            <w:tcW w:w="4876" w:type="dxa"/>
          </w:tcPr>
          <w:p w14:paraId="222A60E7"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40F5B92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DCC8A2C" w14:textId="77777777" w:rsidR="00804A7C" w:rsidRPr="00FA40C1" w:rsidRDefault="00804A7C" w:rsidP="00804A7C">
      <w:pPr>
        <w:rPr>
          <w:color w:val="000000" w:themeColor="text1"/>
        </w:rPr>
      </w:pPr>
      <w:r w:rsidRPr="00FA40C1">
        <w:rPr>
          <w:rStyle w:val="HideTWBExt"/>
        </w:rPr>
        <w:t>&lt;/Amend&gt;</w:t>
      </w:r>
    </w:p>
    <w:p w14:paraId="3A55FD0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28</w:t>
      </w:r>
      <w:r w:rsidRPr="00FA40C1">
        <w:rPr>
          <w:rStyle w:val="HideTWBExt"/>
          <w:b w:val="0"/>
        </w:rPr>
        <w:t>&lt;/NumAm&gt;</w:t>
      </w:r>
    </w:p>
    <w:p w14:paraId="0FD89BC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03DC2D62" w14:textId="77777777" w:rsidR="00804A7C" w:rsidRPr="00FA40C1" w:rsidRDefault="00804A7C" w:rsidP="00804A7C">
      <w:pPr>
        <w:pStyle w:val="NormalBold"/>
        <w:rPr>
          <w:color w:val="000000" w:themeColor="text1"/>
        </w:rPr>
      </w:pPr>
      <w:r w:rsidRPr="00FA40C1">
        <w:rPr>
          <w:rStyle w:val="HideTWBExt"/>
          <w:b w:val="0"/>
        </w:rPr>
        <w:t>&lt;/RepeatBlock-By&gt;</w:t>
      </w:r>
    </w:p>
    <w:p w14:paraId="30C5BC2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CCFFCC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7</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CC1D832" w14:textId="77777777" w:rsidTr="00BF4F5C">
        <w:trPr>
          <w:trHeight w:hRule="exact" w:val="240"/>
          <w:jc w:val="center"/>
        </w:trPr>
        <w:tc>
          <w:tcPr>
            <w:tcW w:w="9752" w:type="dxa"/>
            <w:gridSpan w:val="2"/>
          </w:tcPr>
          <w:p w14:paraId="42226678" w14:textId="77777777" w:rsidR="00804A7C" w:rsidRPr="00FA40C1" w:rsidRDefault="00804A7C" w:rsidP="00BF4F5C">
            <w:pPr>
              <w:rPr>
                <w:color w:val="000000" w:themeColor="text1"/>
              </w:rPr>
            </w:pPr>
          </w:p>
        </w:tc>
      </w:tr>
      <w:tr w:rsidR="00804A7C" w:rsidRPr="00FA40C1" w14:paraId="396B666E" w14:textId="77777777" w:rsidTr="00BF4F5C">
        <w:trPr>
          <w:trHeight w:val="240"/>
          <w:jc w:val="center"/>
        </w:trPr>
        <w:tc>
          <w:tcPr>
            <w:tcW w:w="4876" w:type="dxa"/>
          </w:tcPr>
          <w:p w14:paraId="738FBE6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C88066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3A19103" w14:textId="77777777" w:rsidTr="00BF4F5C">
        <w:trPr>
          <w:jc w:val="center"/>
        </w:trPr>
        <w:tc>
          <w:tcPr>
            <w:tcW w:w="4876" w:type="dxa"/>
          </w:tcPr>
          <w:p w14:paraId="684553EA" w14:textId="77777777" w:rsidR="00804A7C" w:rsidRPr="00FA40C1" w:rsidRDefault="00804A7C" w:rsidP="00BF4F5C">
            <w:pPr>
              <w:pStyle w:val="Normal6a"/>
              <w:rPr>
                <w:color w:val="000000" w:themeColor="text1"/>
              </w:rPr>
            </w:pPr>
            <w:r w:rsidRPr="00FA40C1">
              <w:rPr>
                <w:b/>
                <w:i/>
                <w:color w:val="000000" w:themeColor="text1"/>
              </w:rPr>
              <w:t>(7)</w:t>
            </w:r>
            <w:r w:rsidRPr="00FA40C1">
              <w:rPr>
                <w:color w:val="000000" w:themeColor="text1"/>
              </w:rPr>
              <w:tab/>
            </w:r>
            <w:r w:rsidRPr="00FA40C1">
              <w:rPr>
                <w:b/>
                <w:i/>
                <w:color w:val="000000" w:themeColor="text1"/>
              </w:rPr>
              <w:t>Lorsque la politique en matière de visas d’un pays tiers figurant sur la liste de l’annexe II du règlement (UE) 2018/1806 n’est pas alignée sur celle de l’Union en ce qui concerne la liste des pays tiers dont les ressortissants sont soumis à l’obligation de visa pour franchir les frontières extérieures des États membres, cela peut entraîner une migration irrégulière vers l’Union, en particulier lorsque le pays tiers concerné se situe à proximité immédiate de l’Union. Par conséquent, il devrait être possible de déclencher le mécanisme de suspension lorsque, à la suite d’une évaluation, la Commission conclut qu’il existe un risque d’accroissement substantiel du nombre de ressortissants de pays tiers, autres que des ressortissants de ce pays tiers, qui arrivent légalement sur le territoire de ce dernier pour entrer ensuite irrégulièrement sur le territoire des États membres.</w:t>
            </w:r>
          </w:p>
        </w:tc>
        <w:tc>
          <w:tcPr>
            <w:tcW w:w="4876" w:type="dxa"/>
          </w:tcPr>
          <w:p w14:paraId="46B11C90"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3844EB9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70FE9D5" w14:textId="77777777" w:rsidR="00804A7C" w:rsidRPr="00FA40C1" w:rsidRDefault="00804A7C" w:rsidP="00804A7C">
      <w:pPr>
        <w:rPr>
          <w:color w:val="000000" w:themeColor="text1"/>
        </w:rPr>
      </w:pPr>
      <w:r w:rsidRPr="00FA40C1">
        <w:rPr>
          <w:rStyle w:val="HideTWBExt"/>
        </w:rPr>
        <w:t>&lt;/Amend&gt;</w:t>
      </w:r>
    </w:p>
    <w:p w14:paraId="3DAE9E9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29</w:t>
      </w:r>
      <w:r w:rsidRPr="00FA40C1">
        <w:rPr>
          <w:rStyle w:val="HideTWBExt"/>
          <w:b w:val="0"/>
        </w:rPr>
        <w:t>&lt;/NumAm&gt;</w:t>
      </w:r>
    </w:p>
    <w:p w14:paraId="6F05EA1A"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50F2E7F2" w14:textId="77777777" w:rsidR="00804A7C" w:rsidRPr="00FA40C1" w:rsidRDefault="00804A7C" w:rsidP="00804A7C">
      <w:pPr>
        <w:pStyle w:val="NormalBold"/>
        <w:rPr>
          <w:color w:val="000000" w:themeColor="text1"/>
        </w:rPr>
      </w:pPr>
      <w:r w:rsidRPr="00FA40C1">
        <w:rPr>
          <w:rStyle w:val="HideTWBExt"/>
          <w:b w:val="0"/>
        </w:rPr>
        <w:t>&lt;/RepeatBlock-By&gt;</w:t>
      </w:r>
    </w:p>
    <w:p w14:paraId="11B91C8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58883A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7</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766E4E6" w14:textId="77777777" w:rsidTr="00BF4F5C">
        <w:trPr>
          <w:trHeight w:hRule="exact" w:val="240"/>
          <w:jc w:val="center"/>
        </w:trPr>
        <w:tc>
          <w:tcPr>
            <w:tcW w:w="9752" w:type="dxa"/>
            <w:gridSpan w:val="2"/>
          </w:tcPr>
          <w:p w14:paraId="612F1C8B" w14:textId="77777777" w:rsidR="00804A7C" w:rsidRPr="00FA40C1" w:rsidRDefault="00804A7C" w:rsidP="00BF4F5C">
            <w:pPr>
              <w:rPr>
                <w:color w:val="000000" w:themeColor="text1"/>
              </w:rPr>
            </w:pPr>
          </w:p>
        </w:tc>
      </w:tr>
      <w:tr w:rsidR="00804A7C" w:rsidRPr="00FA40C1" w14:paraId="03ACDC06" w14:textId="77777777" w:rsidTr="00BF4F5C">
        <w:trPr>
          <w:trHeight w:val="240"/>
          <w:jc w:val="center"/>
        </w:trPr>
        <w:tc>
          <w:tcPr>
            <w:tcW w:w="4876" w:type="dxa"/>
          </w:tcPr>
          <w:p w14:paraId="716834A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5B9CAF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DF8B0D5" w14:textId="77777777" w:rsidTr="00BF4F5C">
        <w:trPr>
          <w:jc w:val="center"/>
        </w:trPr>
        <w:tc>
          <w:tcPr>
            <w:tcW w:w="4876" w:type="dxa"/>
          </w:tcPr>
          <w:p w14:paraId="198187AE" w14:textId="77777777" w:rsidR="00804A7C" w:rsidRPr="00FA40C1" w:rsidRDefault="00804A7C" w:rsidP="00BF4F5C">
            <w:pPr>
              <w:pStyle w:val="Normal6a"/>
              <w:rPr>
                <w:color w:val="000000" w:themeColor="text1"/>
              </w:rPr>
            </w:pPr>
            <w:r w:rsidRPr="00FA40C1">
              <w:rPr>
                <w:color w:val="000000" w:themeColor="text1"/>
              </w:rPr>
              <w:t>(7)</w:t>
            </w:r>
            <w:r w:rsidRPr="00FA40C1">
              <w:rPr>
                <w:color w:val="000000" w:themeColor="text1"/>
              </w:rPr>
              <w:tab/>
              <w:t xml:space="preserve">Lorsque la politique en matière de visas d’un pays tiers figurant sur la liste de l’annexe II du règlement (UE) 2018/1806 n’est pas alignée sur celle de l’Union en ce qui concerne la liste des pays tiers dont les ressortissants sont soumis à l’obligation de visa pour franchir les frontières extérieures des États membres, cela peut entraîner une migration irrégulière vers l’Union, en particulier lorsque le pays tiers concerné se situe à proximité immédiate de l’Union. Par conséquent, il devrait être possible de déclencher le mécanisme de suspension lorsque, à la suite d’une évaluation, la Commission conclut qu’il existe un </w:t>
            </w:r>
            <w:r w:rsidRPr="00FA40C1">
              <w:rPr>
                <w:b/>
                <w:i/>
                <w:color w:val="000000" w:themeColor="text1"/>
              </w:rPr>
              <w:t>risque d’accroissement</w:t>
            </w:r>
            <w:r w:rsidRPr="00FA40C1">
              <w:rPr>
                <w:color w:val="000000" w:themeColor="text1"/>
              </w:rPr>
              <w:t xml:space="preserve"> substantiel du nombre de ressortissants de pays tiers, autres que des ressortissants de ce pays tiers, qui arrivent légalement sur le territoire de ce dernier pour entrer ensuite irrégulièrement sur le territoire des États membres.</w:t>
            </w:r>
          </w:p>
        </w:tc>
        <w:tc>
          <w:tcPr>
            <w:tcW w:w="4876" w:type="dxa"/>
          </w:tcPr>
          <w:p w14:paraId="193EEC37" w14:textId="77777777" w:rsidR="00804A7C" w:rsidRPr="00FA40C1" w:rsidRDefault="00804A7C" w:rsidP="00BF4F5C">
            <w:pPr>
              <w:pStyle w:val="Normal6a"/>
              <w:rPr>
                <w:color w:val="000000" w:themeColor="text1"/>
              </w:rPr>
            </w:pPr>
            <w:r w:rsidRPr="00FA40C1">
              <w:rPr>
                <w:color w:val="000000" w:themeColor="text1"/>
              </w:rPr>
              <w:t>(7)</w:t>
            </w:r>
            <w:r w:rsidRPr="00FA40C1">
              <w:rPr>
                <w:color w:val="000000" w:themeColor="text1"/>
              </w:rPr>
              <w:tab/>
              <w:t xml:space="preserve">Lorsque la politique en matière de visas d’un pays tiers figurant sur la liste de l’annexe II du règlement (UE) 2018/1806 n’est pas alignée sur celle de l’Union en ce qui concerne la liste des pays tiers dont les ressortissants sont soumis à l’obligation de visa pour franchir les frontières extérieures des États membres, cela peut entraîner une migration irrégulière vers l’Union, en particulier lorsque le pays tiers concerné se situe à proximité immédiate de l’Union. Par conséquent, il devrait être possible de déclencher le mécanisme de suspension lorsque, à la suite d’une évaluation, la Commission conclut qu’il existe un </w:t>
            </w:r>
            <w:r w:rsidRPr="00FA40C1">
              <w:rPr>
                <w:b/>
                <w:i/>
                <w:color w:val="000000" w:themeColor="text1"/>
              </w:rPr>
              <w:t>accroissement</w:t>
            </w:r>
            <w:r w:rsidRPr="00FA40C1">
              <w:rPr>
                <w:color w:val="000000" w:themeColor="text1"/>
              </w:rPr>
              <w:t xml:space="preserve"> substantiel du nombre de ressortissants de pays tiers, autres que des ressortissants de ce pays tiers, qui arrivent légalement sur le territoire de ce dernier pour entrer ensuite irrégulièrement sur le territoire des États membres.</w:t>
            </w:r>
          </w:p>
        </w:tc>
      </w:tr>
    </w:tbl>
    <w:p w14:paraId="68A48D5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BCFBBD2" w14:textId="77777777" w:rsidR="00804A7C" w:rsidRPr="00FA40C1" w:rsidRDefault="00804A7C" w:rsidP="00804A7C">
      <w:pPr>
        <w:rPr>
          <w:color w:val="000000" w:themeColor="text1"/>
        </w:rPr>
      </w:pPr>
      <w:r w:rsidRPr="00FA40C1">
        <w:rPr>
          <w:rStyle w:val="HideTWBExt"/>
        </w:rPr>
        <w:t>&lt;/Amend&gt;</w:t>
      </w:r>
    </w:p>
    <w:p w14:paraId="76ADE78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30</w:t>
      </w:r>
      <w:r w:rsidRPr="00FA40C1">
        <w:rPr>
          <w:rStyle w:val="HideTWBExt"/>
          <w:b w:val="0"/>
        </w:rPr>
        <w:t>&lt;/NumAm&gt;</w:t>
      </w:r>
    </w:p>
    <w:p w14:paraId="0898DC7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6B4ED61C" w14:textId="77777777" w:rsidR="00804A7C" w:rsidRPr="00FA40C1" w:rsidRDefault="00804A7C" w:rsidP="00804A7C">
      <w:pPr>
        <w:pStyle w:val="NormalBold"/>
        <w:rPr>
          <w:color w:val="000000" w:themeColor="text1"/>
        </w:rPr>
      </w:pPr>
      <w:r w:rsidRPr="00FA40C1">
        <w:rPr>
          <w:rStyle w:val="HideTWBExt"/>
          <w:b w:val="0"/>
        </w:rPr>
        <w:t>&lt;/RepeatBlock-By&gt;</w:t>
      </w:r>
    </w:p>
    <w:p w14:paraId="4A78ED4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C348A00"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8</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AC8E8F2" w14:textId="77777777" w:rsidTr="00BF4F5C">
        <w:trPr>
          <w:trHeight w:hRule="exact" w:val="240"/>
          <w:jc w:val="center"/>
        </w:trPr>
        <w:tc>
          <w:tcPr>
            <w:tcW w:w="9752" w:type="dxa"/>
            <w:gridSpan w:val="2"/>
          </w:tcPr>
          <w:p w14:paraId="269EF27A" w14:textId="77777777" w:rsidR="00804A7C" w:rsidRPr="00FA40C1" w:rsidRDefault="00804A7C" w:rsidP="00BF4F5C">
            <w:pPr>
              <w:rPr>
                <w:color w:val="000000" w:themeColor="text1"/>
              </w:rPr>
            </w:pPr>
          </w:p>
        </w:tc>
      </w:tr>
      <w:tr w:rsidR="00804A7C" w:rsidRPr="00FA40C1" w14:paraId="714A4119" w14:textId="77777777" w:rsidTr="00BF4F5C">
        <w:trPr>
          <w:trHeight w:val="240"/>
          <w:jc w:val="center"/>
        </w:trPr>
        <w:tc>
          <w:tcPr>
            <w:tcW w:w="4876" w:type="dxa"/>
          </w:tcPr>
          <w:p w14:paraId="489D4F5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5F9F57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88D9F86" w14:textId="77777777" w:rsidTr="00BF4F5C">
        <w:trPr>
          <w:jc w:val="center"/>
        </w:trPr>
        <w:tc>
          <w:tcPr>
            <w:tcW w:w="4876" w:type="dxa"/>
          </w:tcPr>
          <w:p w14:paraId="48B053BE"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 xml:space="preserve">Les seuils permettant de déclencher le mécanisme de suspension en cas d’accroissement substantiel du nombre de ressortissants de ce pays tiers qui se sont vu refuser l’entrée ou dont il s’avère qu’ils séjournent sur le territoire de cet État membre sans en avoir le droit, ou du nombre </w:t>
            </w:r>
            <w:r w:rsidRPr="00FA40C1">
              <w:rPr>
                <w:b/>
                <w:i/>
                <w:color w:val="000000" w:themeColor="text1"/>
              </w:rPr>
              <w:t>de demandes d’asile déposées par les ressortissants de ce pays tiers pour lequel le taux de reconnaissance est faible, ou du nombre</w:t>
            </w:r>
            <w:r w:rsidRPr="00FA40C1">
              <w:rPr>
                <w:color w:val="000000" w:themeColor="text1"/>
              </w:rPr>
              <w:t xml:space="preserve"> d’infractions pénales graves, lié à des ressortissants de ce pays tiers, devraient faire l’objet d’une évaluation au cas par cas </w:t>
            </w:r>
            <w:r w:rsidRPr="00FA40C1">
              <w:rPr>
                <w:b/>
                <w:i/>
                <w:color w:val="000000" w:themeColor="text1"/>
              </w:rPr>
              <w:t>par la Commission</w:t>
            </w:r>
            <w:r w:rsidRPr="00FA40C1">
              <w:rPr>
                <w:color w:val="000000" w:themeColor="text1"/>
              </w:rPr>
              <w:t>.</w:t>
            </w:r>
            <w:r w:rsidRPr="00FA40C1">
              <w:rPr>
                <w:b/>
                <w:i/>
                <w:color w:val="000000" w:themeColor="text1"/>
              </w:rPr>
              <w:t xml:space="preserve"> Concrètement, la Commission devrait être en mesure d’évaluer s’il existe des circonstances particulières, dans les cas notifiés par les États membres ou dans le cadre de sa propre analyse, qui justifient l’application de seuils inférieurs ou supérieurs à ceux indiqués dans les dispositions pertinentes du règlement (UE) 2018/1806. L’évaluation de la Commission devrait tenir compte, par exemple, du nombre de franchissements non autorisés des frontières extérieures des États membres, de demandes d’asile infondées ou d’infractions pénales proportionnellement au nombre et à la taille des États membres touchés et de l’incidence de ces chiffres sur la situation migratoire globale, le fonctionnement des systèmes d’asile ou la sécurité intérieure des États membres touchés, ainsi que des mesures prises par le pays tiers concerné pour remédier à la situation.</w:t>
            </w:r>
          </w:p>
        </w:tc>
        <w:tc>
          <w:tcPr>
            <w:tcW w:w="4876" w:type="dxa"/>
          </w:tcPr>
          <w:p w14:paraId="2F897D03"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Les seuils permettant de déclencher le mécanisme de suspension en cas d’accroissement substantiel du nombre de ressortissants de ce pays tiers qui se sont vu refuser l’entrée ou dont il s’avère qu’ils séjournent sur le territoire de cet État membre sans en avoir le droit, ou du nombre d’infractions pénales graves, lié à des ressortissants de ce pays tiers, devraient faire l’objet d’une évaluation au cas par cas.</w:t>
            </w:r>
            <w:r w:rsidRPr="00FA40C1">
              <w:rPr>
                <w:b/>
                <w:i/>
                <w:color w:val="000000" w:themeColor="text1"/>
              </w:rPr>
              <w:t> </w:t>
            </w:r>
          </w:p>
        </w:tc>
      </w:tr>
    </w:tbl>
    <w:p w14:paraId="7C2DC3C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2BD6D70" w14:textId="77777777" w:rsidR="00804A7C" w:rsidRPr="00FA40C1" w:rsidRDefault="00804A7C" w:rsidP="00804A7C">
      <w:pPr>
        <w:rPr>
          <w:color w:val="000000" w:themeColor="text1"/>
        </w:rPr>
      </w:pPr>
      <w:r w:rsidRPr="00FA40C1">
        <w:rPr>
          <w:rStyle w:val="HideTWBExt"/>
        </w:rPr>
        <w:t>&lt;/Amend&gt;</w:t>
      </w:r>
    </w:p>
    <w:p w14:paraId="41A8342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31</w:t>
      </w:r>
      <w:r w:rsidRPr="00FA40C1">
        <w:rPr>
          <w:rStyle w:val="HideTWBExt"/>
          <w:b w:val="0"/>
        </w:rPr>
        <w:t>&lt;/NumAm&gt;</w:t>
      </w:r>
    </w:p>
    <w:p w14:paraId="6CE634C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5683AA5B" w14:textId="77777777" w:rsidR="00804A7C" w:rsidRPr="00FA40C1" w:rsidRDefault="00804A7C" w:rsidP="00804A7C">
      <w:pPr>
        <w:pStyle w:val="NormalBold"/>
        <w:rPr>
          <w:color w:val="000000" w:themeColor="text1"/>
        </w:rPr>
      </w:pPr>
      <w:r w:rsidRPr="00FA40C1">
        <w:rPr>
          <w:rStyle w:val="HideTWBExt"/>
          <w:b w:val="0"/>
        </w:rPr>
        <w:t>&lt;/RepeatBlock-By&gt;</w:t>
      </w:r>
    </w:p>
    <w:p w14:paraId="142B4CD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C2F772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8</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92D6BD0" w14:textId="77777777" w:rsidTr="00BF4F5C">
        <w:trPr>
          <w:trHeight w:hRule="exact" w:val="240"/>
          <w:jc w:val="center"/>
        </w:trPr>
        <w:tc>
          <w:tcPr>
            <w:tcW w:w="9752" w:type="dxa"/>
            <w:gridSpan w:val="2"/>
          </w:tcPr>
          <w:p w14:paraId="23FBAD20" w14:textId="77777777" w:rsidR="00804A7C" w:rsidRPr="00FA40C1" w:rsidRDefault="00804A7C" w:rsidP="00BF4F5C">
            <w:pPr>
              <w:rPr>
                <w:color w:val="000000" w:themeColor="text1"/>
              </w:rPr>
            </w:pPr>
          </w:p>
        </w:tc>
      </w:tr>
      <w:tr w:rsidR="00804A7C" w:rsidRPr="00FA40C1" w14:paraId="29B8A970" w14:textId="77777777" w:rsidTr="00BF4F5C">
        <w:trPr>
          <w:trHeight w:val="240"/>
          <w:jc w:val="center"/>
        </w:trPr>
        <w:tc>
          <w:tcPr>
            <w:tcW w:w="4876" w:type="dxa"/>
          </w:tcPr>
          <w:p w14:paraId="2E8DAD1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C36B48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8A92B68" w14:textId="77777777" w:rsidTr="00BF4F5C">
        <w:trPr>
          <w:jc w:val="center"/>
        </w:trPr>
        <w:tc>
          <w:tcPr>
            <w:tcW w:w="4876" w:type="dxa"/>
          </w:tcPr>
          <w:p w14:paraId="2C48F3F9"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 xml:space="preserve">Les seuils permettant de déclencher le mécanisme de suspension en cas d’accroissement substantiel du nombre de ressortissants de ce pays tiers qui se sont vu refuser l’entrée ou dont il s’avère qu’ils séjournent sur le territoire de cet État membre sans en avoir le droit, ou du nombre de demandes d’asile déposées par les ressortissants de ce pays tiers pour lequel le taux de reconnaissance est faible, </w:t>
            </w:r>
            <w:r w:rsidRPr="00FA40C1">
              <w:rPr>
                <w:b/>
                <w:i/>
                <w:color w:val="000000" w:themeColor="text1"/>
              </w:rPr>
              <w:t>ou du nombre d’infractions pénales graves, lié à des ressortissants de ce pays tiers,</w:t>
            </w:r>
            <w:r w:rsidRPr="00FA40C1">
              <w:rPr>
                <w:color w:val="000000" w:themeColor="text1"/>
              </w:rPr>
              <w:t xml:space="preserve"> devraient </w:t>
            </w:r>
            <w:r w:rsidRPr="00FA40C1">
              <w:rPr>
                <w:b/>
                <w:i/>
                <w:color w:val="000000" w:themeColor="text1"/>
              </w:rPr>
              <w:t>faire l’objet d’une évaluation au cas par cas par la Commission</w:t>
            </w:r>
            <w:r w:rsidRPr="00FA40C1">
              <w:rPr>
                <w:color w:val="000000" w:themeColor="text1"/>
              </w:rPr>
              <w:t xml:space="preserve">. Concrètement, la Commission devrait </w:t>
            </w:r>
            <w:r w:rsidRPr="00FA40C1">
              <w:rPr>
                <w:b/>
                <w:i/>
                <w:color w:val="000000" w:themeColor="text1"/>
              </w:rPr>
              <w:t>être en mesure d’évaluer</w:t>
            </w:r>
            <w:r w:rsidRPr="00FA40C1">
              <w:rPr>
                <w:color w:val="000000" w:themeColor="text1"/>
              </w:rPr>
              <w:t xml:space="preserve"> s’il existe des circonstances particulières, dans les cas notifiés par les États membres ou dans le cadre de sa propre analyse, qui justifient l’application </w:t>
            </w:r>
            <w:r w:rsidRPr="00FA40C1">
              <w:rPr>
                <w:b/>
                <w:i/>
                <w:color w:val="000000" w:themeColor="text1"/>
              </w:rPr>
              <w:t>de seuils inférieurs ou supérieurs à ceux indiqués dans les</w:t>
            </w:r>
            <w:r w:rsidRPr="00FA40C1">
              <w:rPr>
                <w:color w:val="000000" w:themeColor="text1"/>
              </w:rPr>
              <w:t xml:space="preserve"> dispositions pertinentes du règlement (UE) 2018/1806. </w:t>
            </w:r>
            <w:r w:rsidRPr="00FA40C1">
              <w:rPr>
                <w:b/>
                <w:i/>
                <w:color w:val="000000" w:themeColor="text1"/>
              </w:rPr>
              <w:t>L’évaluation de la Commission devrait tenir compte, par exemple, du nombre de franchissements non autorisés des frontières extérieures des États membres, de demandes d’asile infondées ou d’infractions pénales proportionnellement au nombre et à la taille des États membres touchés et</w:t>
            </w:r>
            <w:r w:rsidRPr="00FA40C1">
              <w:rPr>
                <w:color w:val="000000" w:themeColor="text1"/>
              </w:rPr>
              <w:t xml:space="preserve"> de l’incidence </w:t>
            </w:r>
            <w:r w:rsidRPr="00FA40C1">
              <w:rPr>
                <w:b/>
                <w:i/>
                <w:color w:val="000000" w:themeColor="text1"/>
              </w:rPr>
              <w:t>de ces chiffres sur la situation migratoire globale, le fonctionnement des systèmes d’asile ou la sécurité intérieure des États membres touchés, ainsi que des mesures prises par</w:t>
            </w:r>
            <w:r w:rsidRPr="00FA40C1">
              <w:rPr>
                <w:color w:val="000000" w:themeColor="text1"/>
              </w:rPr>
              <w:t xml:space="preserve"> le pays tiers concerné pour remédier à la situation.</w:t>
            </w:r>
          </w:p>
        </w:tc>
        <w:tc>
          <w:tcPr>
            <w:tcW w:w="4876" w:type="dxa"/>
          </w:tcPr>
          <w:p w14:paraId="05C45979"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 xml:space="preserve">Les seuils permettant de déclencher le mécanisme de suspension en cas d’accroissement substantiel du nombre de ressortissants de ce pays tiers qui se sont vu refuser l’entrée ou dont il s’avère qu’ils séjournent sur le territoire de cet État membre sans en avoir le droit, ou du nombre de demandes d’asile déposées par les ressortissants de ce pays tiers pour lequel le taux de reconnaissance est faible, devraient </w:t>
            </w:r>
            <w:r w:rsidRPr="00FA40C1">
              <w:rPr>
                <w:b/>
                <w:i/>
                <w:color w:val="000000" w:themeColor="text1"/>
              </w:rPr>
              <w:t>être fixés clairement afin d’éviter les interprétations divergentes ainsi que le risque de pratiques variables</w:t>
            </w:r>
            <w:r w:rsidRPr="00FA40C1">
              <w:rPr>
                <w:color w:val="000000" w:themeColor="text1"/>
              </w:rPr>
              <w:t xml:space="preserve">. Concrètement, la Commission devrait </w:t>
            </w:r>
            <w:r w:rsidRPr="00FA40C1">
              <w:rPr>
                <w:b/>
                <w:i/>
                <w:color w:val="000000" w:themeColor="text1"/>
              </w:rPr>
              <w:t>évaluer</w:t>
            </w:r>
            <w:r w:rsidRPr="00FA40C1">
              <w:rPr>
                <w:color w:val="000000" w:themeColor="text1"/>
              </w:rPr>
              <w:t xml:space="preserve"> s’il existe des circonstances particulières, dans les cas notifiés par les États membres ou dans le cadre de sa propre analyse, qui justifient l’application </w:t>
            </w:r>
            <w:r w:rsidRPr="00FA40C1">
              <w:rPr>
                <w:b/>
                <w:i/>
                <w:color w:val="000000" w:themeColor="text1"/>
              </w:rPr>
              <w:t>des</w:t>
            </w:r>
            <w:r w:rsidRPr="00FA40C1">
              <w:rPr>
                <w:color w:val="000000" w:themeColor="text1"/>
              </w:rPr>
              <w:t xml:space="preserve"> dispositions pertinentes du règlement (UE) 2018/1806. </w:t>
            </w:r>
            <w:r w:rsidRPr="00FA40C1">
              <w:rPr>
                <w:b/>
                <w:i/>
                <w:color w:val="000000" w:themeColor="text1"/>
              </w:rPr>
              <w:t>En outre, compte tenu</w:t>
            </w:r>
            <w:r w:rsidRPr="00FA40C1">
              <w:rPr>
                <w:color w:val="000000" w:themeColor="text1"/>
              </w:rPr>
              <w:t xml:space="preserve"> de l’incidence </w:t>
            </w:r>
            <w:r w:rsidRPr="00FA40C1">
              <w:rPr>
                <w:b/>
                <w:i/>
                <w:color w:val="000000" w:themeColor="text1"/>
              </w:rPr>
              <w:t>que pourrait avoir une suspension de l’exemption de l’obligation de visa sur les relations avec</w:t>
            </w:r>
            <w:r w:rsidRPr="00FA40C1">
              <w:rPr>
                <w:color w:val="000000" w:themeColor="text1"/>
              </w:rPr>
              <w:t xml:space="preserve"> le pays tiers concerné </w:t>
            </w:r>
            <w:r w:rsidRPr="00FA40C1">
              <w:rPr>
                <w:b/>
                <w:i/>
                <w:color w:val="000000" w:themeColor="text1"/>
              </w:rPr>
              <w:t>et sur les droits de ses ressortissants, la Commission devrait évaluer de manière approfondie la nécessité, la proportionnalité ainsi que les conséquences de cette suspension avant d’adopter l’acte correspondant. Lors de cette évaluation, la Commission devrait tenir compte de l’incidence de la suspension proposée sur l’ensemble des relations extérieures de l’Union et de ses États membres avec le pays tiers concerné, sur les droits des ressortissants du pays tiers concerné et sur les principes de réciprocité en matière de visa et de non-discrimination, ainsi que déterminer si la suspension proposée constituerait une mesure appropriée</w:t>
            </w:r>
            <w:r w:rsidRPr="00FA40C1">
              <w:rPr>
                <w:color w:val="000000" w:themeColor="text1"/>
              </w:rPr>
              <w:t xml:space="preserve"> pour remédier à la situation.</w:t>
            </w:r>
            <w:r w:rsidRPr="00FA40C1">
              <w:rPr>
                <w:b/>
                <w:i/>
                <w:color w:val="000000" w:themeColor="text1"/>
              </w:rPr>
              <w:t> Il convient également de tenir compte des besoins en matière de mobilité des défenseurs des droits de l’homme, notamment en cas de détérioration de la situation des droits de l’homme dans le pays tiers concerné, ainsi que des risques potentiels que pourrait entraîner la suspension pour la continuité et l’efficacité de leur travail.</w:t>
            </w:r>
          </w:p>
        </w:tc>
      </w:tr>
    </w:tbl>
    <w:p w14:paraId="6CF3145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45F319B" w14:textId="77777777" w:rsidR="00804A7C" w:rsidRPr="00FA40C1" w:rsidRDefault="00804A7C" w:rsidP="00804A7C">
      <w:pPr>
        <w:rPr>
          <w:color w:val="000000" w:themeColor="text1"/>
        </w:rPr>
      </w:pPr>
      <w:r w:rsidRPr="00FA40C1">
        <w:rPr>
          <w:rStyle w:val="HideTWBExt"/>
        </w:rPr>
        <w:t>&lt;/Amend&gt;</w:t>
      </w:r>
    </w:p>
    <w:p w14:paraId="2941BFE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32</w:t>
      </w:r>
      <w:r w:rsidRPr="00FA40C1">
        <w:rPr>
          <w:rStyle w:val="HideTWBExt"/>
          <w:b w:val="0"/>
        </w:rPr>
        <w:t>&lt;/NumAm&gt;</w:t>
      </w:r>
    </w:p>
    <w:p w14:paraId="5A6B401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5F872113" w14:textId="77777777" w:rsidR="00804A7C" w:rsidRPr="00FA40C1" w:rsidRDefault="00804A7C" w:rsidP="00804A7C">
      <w:pPr>
        <w:pStyle w:val="NormalBold"/>
        <w:rPr>
          <w:color w:val="000000" w:themeColor="text1"/>
        </w:rPr>
      </w:pPr>
      <w:r w:rsidRPr="00FA40C1">
        <w:rPr>
          <w:rStyle w:val="HideTWBExt"/>
          <w:b w:val="0"/>
        </w:rPr>
        <w:t>&lt;/RepeatBlock-By&gt;</w:t>
      </w:r>
    </w:p>
    <w:p w14:paraId="5E0CCAD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BCF6EE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8</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13C83B7" w14:textId="77777777" w:rsidTr="00BF4F5C">
        <w:trPr>
          <w:trHeight w:hRule="exact" w:val="240"/>
          <w:jc w:val="center"/>
        </w:trPr>
        <w:tc>
          <w:tcPr>
            <w:tcW w:w="9752" w:type="dxa"/>
            <w:gridSpan w:val="2"/>
          </w:tcPr>
          <w:p w14:paraId="4FDD8B79" w14:textId="77777777" w:rsidR="00804A7C" w:rsidRPr="00FA40C1" w:rsidRDefault="00804A7C" w:rsidP="00BF4F5C">
            <w:pPr>
              <w:rPr>
                <w:color w:val="000000" w:themeColor="text1"/>
              </w:rPr>
            </w:pPr>
          </w:p>
        </w:tc>
      </w:tr>
      <w:tr w:rsidR="00804A7C" w:rsidRPr="00FA40C1" w14:paraId="6AE85537" w14:textId="77777777" w:rsidTr="00BF4F5C">
        <w:trPr>
          <w:trHeight w:val="240"/>
          <w:jc w:val="center"/>
        </w:trPr>
        <w:tc>
          <w:tcPr>
            <w:tcW w:w="4876" w:type="dxa"/>
          </w:tcPr>
          <w:p w14:paraId="0995C66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1E8CC0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28D246E" w14:textId="77777777" w:rsidTr="00BF4F5C">
        <w:trPr>
          <w:jc w:val="center"/>
        </w:trPr>
        <w:tc>
          <w:tcPr>
            <w:tcW w:w="4876" w:type="dxa"/>
          </w:tcPr>
          <w:p w14:paraId="6E19FC57"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Les seuils permettant de déclencher le mécanisme de suspension en cas d’accroissement substantiel du nombre de ressortissants de ce pays tiers qui se sont vu refuser l’entrée ou dont il s’avère qu’ils séjournent sur le territoire de cet État membre sans en avoir le droit, ou du nombre de demandes d’asile déposées par les ressortissants de ce pays tiers pour lequel le taux de reconnaissance est faible, ou du nombre d’infractions pénales graves, lié à des ressortissants de ce pays tiers, devraient faire l’objet d’une évaluation au cas par cas par la Commission. Concrètement, la Commission devrait être en mesure d’évaluer s’il existe des circonstances particulières, dans les cas notifiés par les États membres ou dans le cadre de sa propre analyse, qui justifient l’application de seuils inférieurs ou supérieurs à ceux indiqués dans les dispositions pertinentes du règlement (UE) 2018/1806. L’évaluation de la Commission devrait tenir compte, par exemple, du nombre de franchissements non autorisés des frontières extérieures des États membres, de demandes d’asile infondées ou d’infractions pénales proportionnellement au nombre et à la taille des États membres touchés et de l’incidence de ces chiffres sur la situation migratoire globale, le fonctionnement des systèmes d’asile ou la sécurité intérieure des États membres touchés, ainsi que des mesures prises par le pays tiers concerné pour remédier à la situation.</w:t>
            </w:r>
          </w:p>
        </w:tc>
        <w:tc>
          <w:tcPr>
            <w:tcW w:w="4876" w:type="dxa"/>
          </w:tcPr>
          <w:p w14:paraId="75F27C08" w14:textId="77777777" w:rsidR="00804A7C" w:rsidRPr="00FA40C1" w:rsidRDefault="00804A7C" w:rsidP="00BF4F5C">
            <w:pPr>
              <w:pStyle w:val="Normal6a"/>
              <w:rPr>
                <w:color w:val="000000" w:themeColor="text1"/>
              </w:rPr>
            </w:pPr>
            <w:r w:rsidRPr="00FA40C1">
              <w:rPr>
                <w:color w:val="000000" w:themeColor="text1"/>
              </w:rPr>
              <w:t>(8)</w:t>
            </w:r>
            <w:r w:rsidRPr="00FA40C1">
              <w:rPr>
                <w:color w:val="000000" w:themeColor="text1"/>
              </w:rPr>
              <w:tab/>
              <w:t xml:space="preserve">Les seuils permettant de déclencher le mécanisme de suspension en cas d’accroissement substantiel du nombre de ressortissants de ce pays tiers qui se sont vu refuser l’entrée ou dont il s’avère qu’ils séjournent sur le territoire de cet État membre sans en avoir le droit </w:t>
            </w:r>
            <w:r w:rsidRPr="00FA40C1">
              <w:rPr>
                <w:b/>
                <w:i/>
                <w:color w:val="000000" w:themeColor="text1"/>
              </w:rPr>
              <w:t>ou qu’ils dépassent la période de validité de l’exemption de visa</w:t>
            </w:r>
            <w:r w:rsidRPr="00FA40C1">
              <w:rPr>
                <w:color w:val="000000" w:themeColor="text1"/>
              </w:rPr>
              <w:t>, ou du nombre de demandes d’asile déposées par les ressortissants de ce pays tiers pour lequel le taux de reconnaissance est faible, ou du nombre d’infractions pénales graves, lié à des ressortissants de ce pays tiers, devraient faire l’objet d’une évaluation au cas par cas par la Commission. Concrètement, la Commission devrait être en mesure d’évaluer s’il existe des circonstances particulières, dans les cas notifiés par les États membres ou dans le cadre de sa propre analyse, qui justifient l’application de seuils inférieurs ou supérieurs à ceux indiqués dans les dispositions pertinentes du règlement (UE) 2018/1806. L’évaluation de la Commission devrait tenir compte, par exemple, du nombre de franchissements non autorisés des frontières extérieures des États membres, de demandes d’asile infondées ou d’infractions pénales proportionnellement au nombre et à la taille des États membres touchés et de l’incidence de ces chiffres sur la situation migratoire globale, le fonctionnement des systèmes d’asile ou la sécurité intérieure des États membres touchés, ainsi que des mesures prises par le pays tiers concerné pour remédier à la situation.</w:t>
            </w:r>
          </w:p>
        </w:tc>
      </w:tr>
    </w:tbl>
    <w:p w14:paraId="2BBB94F6"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64E64BA" w14:textId="77777777" w:rsidR="00804A7C" w:rsidRPr="00FA40C1" w:rsidRDefault="00804A7C" w:rsidP="00804A7C">
      <w:pPr>
        <w:rPr>
          <w:color w:val="000000" w:themeColor="text1"/>
        </w:rPr>
      </w:pPr>
      <w:r w:rsidRPr="00FA40C1">
        <w:rPr>
          <w:rStyle w:val="HideTWBExt"/>
        </w:rPr>
        <w:t>&lt;/Amend&gt;</w:t>
      </w:r>
    </w:p>
    <w:p w14:paraId="7F7AECB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33</w:t>
      </w:r>
      <w:r w:rsidRPr="00FA40C1">
        <w:rPr>
          <w:rStyle w:val="HideTWBExt"/>
          <w:b w:val="0"/>
        </w:rPr>
        <w:t>&lt;/NumAm&gt;</w:t>
      </w:r>
    </w:p>
    <w:p w14:paraId="29D812F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615BF8D3" w14:textId="77777777" w:rsidR="00804A7C" w:rsidRPr="00FA40C1" w:rsidRDefault="00804A7C" w:rsidP="00804A7C">
      <w:pPr>
        <w:pStyle w:val="NormalBold"/>
        <w:rPr>
          <w:color w:val="000000" w:themeColor="text1"/>
        </w:rPr>
      </w:pPr>
      <w:r w:rsidRPr="00FA40C1">
        <w:rPr>
          <w:rStyle w:val="HideTWBExt"/>
          <w:b w:val="0"/>
        </w:rPr>
        <w:t>&lt;/RepeatBlock-By&gt;</w:t>
      </w:r>
    </w:p>
    <w:p w14:paraId="20659CD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53F4E1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9</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1152FAA" w14:textId="77777777" w:rsidTr="00BF4F5C">
        <w:trPr>
          <w:trHeight w:hRule="exact" w:val="240"/>
          <w:jc w:val="center"/>
        </w:trPr>
        <w:tc>
          <w:tcPr>
            <w:tcW w:w="9752" w:type="dxa"/>
            <w:gridSpan w:val="2"/>
          </w:tcPr>
          <w:p w14:paraId="18A445C4" w14:textId="77777777" w:rsidR="00804A7C" w:rsidRPr="00FA40C1" w:rsidRDefault="00804A7C" w:rsidP="00BF4F5C">
            <w:pPr>
              <w:rPr>
                <w:color w:val="000000" w:themeColor="text1"/>
              </w:rPr>
            </w:pPr>
          </w:p>
        </w:tc>
      </w:tr>
      <w:tr w:rsidR="00804A7C" w:rsidRPr="00FA40C1" w14:paraId="2F98BE2F" w14:textId="77777777" w:rsidTr="00BF4F5C">
        <w:trPr>
          <w:trHeight w:val="240"/>
          <w:jc w:val="center"/>
        </w:trPr>
        <w:tc>
          <w:tcPr>
            <w:tcW w:w="4876" w:type="dxa"/>
          </w:tcPr>
          <w:p w14:paraId="54D2873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B99352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F80ABB1" w14:textId="77777777" w:rsidTr="00BF4F5C">
        <w:trPr>
          <w:jc w:val="center"/>
        </w:trPr>
        <w:tc>
          <w:tcPr>
            <w:tcW w:w="4876" w:type="dxa"/>
          </w:tcPr>
          <w:p w14:paraId="11C4E094"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Aux fins de la notification à la Commission des circonstances susceptibles de constituer un motif de suspension, les États membres devraient pouvoir tenir compte de périodes de référence supérieures à deux mois afin d’identifier non seulement les modifications soudaines de la situation concernée, mais aussi les tendances à plus long terme susceptibles de justifier le recours au mécanisme de suspension de l’exemption de visa.</w:t>
            </w:r>
          </w:p>
        </w:tc>
        <w:tc>
          <w:tcPr>
            <w:tcW w:w="4876" w:type="dxa"/>
          </w:tcPr>
          <w:p w14:paraId="48E83687"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 xml:space="preserve">Aux fins de la notification à la Commission des circonstances susceptibles de constituer un motif de suspension, les États membres devraient pouvoir tenir compte de périodes de référence supérieures à deux mois afin d’identifier non seulement les modifications soudaines de la situation concernée, mais aussi les tendances à plus long terme susceptibles de justifier le recours au mécanisme de suspension de l’exemption de visa. </w:t>
            </w:r>
            <w:r w:rsidRPr="00FA40C1">
              <w:rPr>
                <w:b/>
                <w:i/>
                <w:color w:val="000000" w:themeColor="text1"/>
              </w:rPr>
              <w:t>Dans des circonstances exceptionnelles nécessitant une action immédiate, la Commission devrait accepter une période de référence inférieure à deux mois lorsque plusieurs États membres lui adressent une notification. Les raisons du déclenchement du mécanisme pour les motifs énoncés dans le présent règlement devraient être détaillées et claires. La Commission informe immédiatement et pleinement le Conseil et le Parlement des notifications et des décisions qui en découlent.</w:t>
            </w:r>
          </w:p>
        </w:tc>
      </w:tr>
    </w:tbl>
    <w:p w14:paraId="5647663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C2824D2" w14:textId="77777777" w:rsidR="00804A7C" w:rsidRPr="00FA40C1" w:rsidRDefault="00804A7C" w:rsidP="00804A7C">
      <w:pPr>
        <w:rPr>
          <w:color w:val="000000" w:themeColor="text1"/>
        </w:rPr>
      </w:pPr>
      <w:r w:rsidRPr="00FA40C1">
        <w:rPr>
          <w:rStyle w:val="HideTWBExt"/>
        </w:rPr>
        <w:t>&lt;/Amend&gt;</w:t>
      </w:r>
    </w:p>
    <w:p w14:paraId="6654AF7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34</w:t>
      </w:r>
      <w:r w:rsidRPr="00FA40C1">
        <w:rPr>
          <w:rStyle w:val="HideTWBExt"/>
          <w:b w:val="0"/>
        </w:rPr>
        <w:t>&lt;/NumAm&gt;</w:t>
      </w:r>
    </w:p>
    <w:p w14:paraId="59DB4F1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4D75819D" w14:textId="77777777" w:rsidR="00804A7C" w:rsidRPr="00FA40C1" w:rsidRDefault="00804A7C" w:rsidP="00804A7C">
      <w:pPr>
        <w:pStyle w:val="NormalBold"/>
        <w:rPr>
          <w:color w:val="000000" w:themeColor="text1"/>
        </w:rPr>
      </w:pPr>
      <w:r w:rsidRPr="00FA40C1">
        <w:rPr>
          <w:rStyle w:val="HideTWBExt"/>
          <w:b w:val="0"/>
        </w:rPr>
        <w:t>&lt;/RepeatBlock-By&gt;</w:t>
      </w:r>
    </w:p>
    <w:p w14:paraId="2FFA4B9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032946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9</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194C615" w14:textId="77777777" w:rsidTr="00BF4F5C">
        <w:trPr>
          <w:trHeight w:hRule="exact" w:val="240"/>
          <w:jc w:val="center"/>
        </w:trPr>
        <w:tc>
          <w:tcPr>
            <w:tcW w:w="9752" w:type="dxa"/>
            <w:gridSpan w:val="2"/>
          </w:tcPr>
          <w:p w14:paraId="1F7333BE" w14:textId="77777777" w:rsidR="00804A7C" w:rsidRPr="00FA40C1" w:rsidRDefault="00804A7C" w:rsidP="00BF4F5C">
            <w:pPr>
              <w:rPr>
                <w:color w:val="000000" w:themeColor="text1"/>
              </w:rPr>
            </w:pPr>
          </w:p>
        </w:tc>
      </w:tr>
      <w:tr w:rsidR="00804A7C" w:rsidRPr="00FA40C1" w14:paraId="4EBE6F63" w14:textId="77777777" w:rsidTr="00BF4F5C">
        <w:trPr>
          <w:trHeight w:val="240"/>
          <w:jc w:val="center"/>
        </w:trPr>
        <w:tc>
          <w:tcPr>
            <w:tcW w:w="4876" w:type="dxa"/>
          </w:tcPr>
          <w:p w14:paraId="637FE71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CD19142"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2CAB633" w14:textId="77777777" w:rsidTr="00BF4F5C">
        <w:trPr>
          <w:jc w:val="center"/>
        </w:trPr>
        <w:tc>
          <w:tcPr>
            <w:tcW w:w="4876" w:type="dxa"/>
          </w:tcPr>
          <w:p w14:paraId="7AC3FDB5"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Aux fins de la notification à la Commission des circonstances susceptibles de constituer un motif de suspension, les États membres devraient pouvoir tenir compte de périodes de référence supérieures à deux mois afin d’identifier non seulement les modifications soudaines de la situation concernée, mais aussi les tendances à plus long terme susceptibles de justifier le recours au mécanisme de suspension de l’exemption de visa.</w:t>
            </w:r>
          </w:p>
        </w:tc>
        <w:tc>
          <w:tcPr>
            <w:tcW w:w="4876" w:type="dxa"/>
          </w:tcPr>
          <w:p w14:paraId="4BE8F34D"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Aux fins de la notification à la Commission des circonstances susceptibles de constituer un motif de suspension, les États membres devraient pouvoir tenir compte de périodes de référence supérieures à deux mois</w:t>
            </w:r>
            <w:r w:rsidRPr="00FA40C1">
              <w:rPr>
                <w:b/>
                <w:i/>
                <w:color w:val="000000" w:themeColor="text1"/>
              </w:rPr>
              <w:t>, mais ne dépassant pas douze mois,</w:t>
            </w:r>
            <w:r w:rsidRPr="00FA40C1">
              <w:rPr>
                <w:color w:val="000000" w:themeColor="text1"/>
              </w:rPr>
              <w:t xml:space="preserve"> afin d’identifier non seulement les modifications soudaines de la situation concernée, mais aussi les tendances à plus long terme susceptibles de justifier le recours au mécanisme de suspension de l’exemption de visa.</w:t>
            </w:r>
          </w:p>
        </w:tc>
      </w:tr>
    </w:tbl>
    <w:p w14:paraId="75BCAB9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20F1991" w14:textId="77777777" w:rsidR="00804A7C" w:rsidRPr="00FA40C1" w:rsidRDefault="00804A7C" w:rsidP="00804A7C">
      <w:pPr>
        <w:rPr>
          <w:color w:val="000000" w:themeColor="text1"/>
        </w:rPr>
      </w:pPr>
      <w:r w:rsidRPr="00FA40C1">
        <w:rPr>
          <w:rStyle w:val="HideTWBExt"/>
        </w:rPr>
        <w:t>&lt;/Amend&gt;</w:t>
      </w:r>
    </w:p>
    <w:p w14:paraId="14595B0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35</w:t>
      </w:r>
      <w:r w:rsidRPr="00FA40C1">
        <w:rPr>
          <w:rStyle w:val="HideTWBExt"/>
          <w:b w:val="0"/>
        </w:rPr>
        <w:t>&lt;/NumAm&gt;</w:t>
      </w:r>
    </w:p>
    <w:p w14:paraId="4306806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B77C960" w14:textId="77777777" w:rsidR="00804A7C" w:rsidRPr="00FA40C1" w:rsidRDefault="00804A7C" w:rsidP="00804A7C">
      <w:pPr>
        <w:pStyle w:val="NormalBold"/>
        <w:rPr>
          <w:color w:val="000000" w:themeColor="text1"/>
        </w:rPr>
      </w:pPr>
      <w:r w:rsidRPr="00FA40C1">
        <w:rPr>
          <w:rStyle w:val="HideTWBExt"/>
          <w:b w:val="0"/>
        </w:rPr>
        <w:t>&lt;/RepeatBlock-By&gt;</w:t>
      </w:r>
    </w:p>
    <w:p w14:paraId="6D75544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92FBB2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9</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2DA7838" w14:textId="77777777" w:rsidTr="00BF4F5C">
        <w:trPr>
          <w:trHeight w:hRule="exact" w:val="240"/>
          <w:jc w:val="center"/>
        </w:trPr>
        <w:tc>
          <w:tcPr>
            <w:tcW w:w="9752" w:type="dxa"/>
            <w:gridSpan w:val="2"/>
          </w:tcPr>
          <w:p w14:paraId="472BB563" w14:textId="77777777" w:rsidR="00804A7C" w:rsidRPr="00FA40C1" w:rsidRDefault="00804A7C" w:rsidP="00BF4F5C">
            <w:pPr>
              <w:rPr>
                <w:color w:val="000000" w:themeColor="text1"/>
              </w:rPr>
            </w:pPr>
          </w:p>
        </w:tc>
      </w:tr>
      <w:tr w:rsidR="00804A7C" w:rsidRPr="00FA40C1" w14:paraId="24E24392" w14:textId="77777777" w:rsidTr="00BF4F5C">
        <w:trPr>
          <w:trHeight w:val="240"/>
          <w:jc w:val="center"/>
        </w:trPr>
        <w:tc>
          <w:tcPr>
            <w:tcW w:w="4876" w:type="dxa"/>
          </w:tcPr>
          <w:p w14:paraId="4242F3B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D8C27D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17C9306" w14:textId="77777777" w:rsidTr="00BF4F5C">
        <w:trPr>
          <w:jc w:val="center"/>
        </w:trPr>
        <w:tc>
          <w:tcPr>
            <w:tcW w:w="4876" w:type="dxa"/>
          </w:tcPr>
          <w:p w14:paraId="1746FC4D"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 xml:space="preserve">Aux fins de la notification à la Commission des circonstances susceptibles de constituer un motif de suspension, les États membres devraient </w:t>
            </w:r>
            <w:r w:rsidRPr="00FA40C1">
              <w:rPr>
                <w:b/>
                <w:i/>
                <w:color w:val="000000" w:themeColor="text1"/>
              </w:rPr>
              <w:t>pouvoir</w:t>
            </w:r>
            <w:r w:rsidRPr="00FA40C1">
              <w:rPr>
                <w:color w:val="000000" w:themeColor="text1"/>
              </w:rPr>
              <w:t xml:space="preserve"> tenir compte de périodes de référence </w:t>
            </w:r>
            <w:r w:rsidRPr="00FA40C1">
              <w:rPr>
                <w:b/>
                <w:i/>
                <w:color w:val="000000" w:themeColor="text1"/>
              </w:rPr>
              <w:t>supérieures à</w:t>
            </w:r>
            <w:r w:rsidRPr="00FA40C1">
              <w:rPr>
                <w:color w:val="000000" w:themeColor="text1"/>
              </w:rPr>
              <w:t xml:space="preserve"> deux mois afin d’identifier </w:t>
            </w:r>
            <w:r w:rsidRPr="00FA40C1">
              <w:rPr>
                <w:b/>
                <w:i/>
                <w:color w:val="000000" w:themeColor="text1"/>
              </w:rPr>
              <w:t>non seulement</w:t>
            </w:r>
            <w:r w:rsidRPr="00FA40C1">
              <w:rPr>
                <w:color w:val="000000" w:themeColor="text1"/>
              </w:rPr>
              <w:t xml:space="preserve"> les modifications soudaines de la situation concernée</w:t>
            </w:r>
            <w:r w:rsidRPr="00FA40C1">
              <w:rPr>
                <w:b/>
                <w:i/>
                <w:color w:val="000000" w:themeColor="text1"/>
              </w:rPr>
              <w:t>, mais aussi les tendances à plus long terme</w:t>
            </w:r>
            <w:r w:rsidRPr="00FA40C1">
              <w:rPr>
                <w:color w:val="000000" w:themeColor="text1"/>
              </w:rPr>
              <w:t xml:space="preserve"> susceptibles de justifier le recours au mécanisme de suspension de l’exemption de visa.</w:t>
            </w:r>
          </w:p>
        </w:tc>
        <w:tc>
          <w:tcPr>
            <w:tcW w:w="4876" w:type="dxa"/>
          </w:tcPr>
          <w:p w14:paraId="1949DBA9" w14:textId="77777777" w:rsidR="00804A7C" w:rsidRPr="00FA40C1" w:rsidRDefault="00804A7C" w:rsidP="00BF4F5C">
            <w:pPr>
              <w:pStyle w:val="Normal6a"/>
              <w:rPr>
                <w:color w:val="000000" w:themeColor="text1"/>
              </w:rPr>
            </w:pPr>
            <w:r w:rsidRPr="00FA40C1">
              <w:rPr>
                <w:color w:val="000000" w:themeColor="text1"/>
              </w:rPr>
              <w:t>(9)</w:t>
            </w:r>
            <w:r w:rsidRPr="00FA40C1">
              <w:rPr>
                <w:color w:val="000000" w:themeColor="text1"/>
              </w:rPr>
              <w:tab/>
              <w:t xml:space="preserve">Aux fins de la notification à la Commission des circonstances susceptibles de constituer un motif de suspension, les États membres devraient tenir compte de périodes de référence </w:t>
            </w:r>
            <w:r w:rsidRPr="00FA40C1">
              <w:rPr>
                <w:b/>
                <w:i/>
                <w:color w:val="000000" w:themeColor="text1"/>
              </w:rPr>
              <w:t>de</w:t>
            </w:r>
            <w:r w:rsidRPr="00FA40C1">
              <w:rPr>
                <w:color w:val="000000" w:themeColor="text1"/>
              </w:rPr>
              <w:t xml:space="preserve"> deux mois afin d’identifier les modifications soudaines de la situation concernée susceptibles de justifier le recours au mécanisme de suspension de l’exemption de visa.</w:t>
            </w:r>
          </w:p>
        </w:tc>
      </w:tr>
    </w:tbl>
    <w:p w14:paraId="6321229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939241F" w14:textId="77777777" w:rsidR="00804A7C" w:rsidRPr="00FA40C1" w:rsidRDefault="00804A7C" w:rsidP="00804A7C">
      <w:pPr>
        <w:rPr>
          <w:color w:val="000000" w:themeColor="text1"/>
        </w:rPr>
      </w:pPr>
      <w:r w:rsidRPr="00FA40C1">
        <w:rPr>
          <w:rStyle w:val="HideTWBExt"/>
        </w:rPr>
        <w:t>&lt;/Amend&gt;</w:t>
      </w:r>
    </w:p>
    <w:p w14:paraId="61DD9245"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36</w:t>
      </w:r>
      <w:r w:rsidRPr="00FA40C1">
        <w:rPr>
          <w:rStyle w:val="HideTWBExt"/>
          <w:b w:val="0"/>
        </w:rPr>
        <w:t>&lt;/NumAm&gt;</w:t>
      </w:r>
    </w:p>
    <w:p w14:paraId="0C414AB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3FDC2CAA" w14:textId="77777777" w:rsidR="00804A7C" w:rsidRPr="00FA40C1" w:rsidRDefault="00804A7C" w:rsidP="00804A7C">
      <w:pPr>
        <w:pStyle w:val="NormalBold"/>
        <w:rPr>
          <w:color w:val="000000" w:themeColor="text1"/>
        </w:rPr>
      </w:pPr>
      <w:r w:rsidRPr="00FA40C1">
        <w:rPr>
          <w:rStyle w:val="HideTWBExt"/>
          <w:b w:val="0"/>
        </w:rPr>
        <w:t>&lt;/RepeatBlock-By&gt;</w:t>
      </w:r>
    </w:p>
    <w:p w14:paraId="7CAA5BF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E96BCE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9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AFDE2EB" w14:textId="77777777" w:rsidTr="00BF4F5C">
        <w:trPr>
          <w:trHeight w:hRule="exact" w:val="240"/>
          <w:jc w:val="center"/>
        </w:trPr>
        <w:tc>
          <w:tcPr>
            <w:tcW w:w="9752" w:type="dxa"/>
            <w:gridSpan w:val="2"/>
          </w:tcPr>
          <w:p w14:paraId="67DA4109" w14:textId="77777777" w:rsidR="00804A7C" w:rsidRPr="00FA40C1" w:rsidRDefault="00804A7C" w:rsidP="00BF4F5C">
            <w:pPr>
              <w:rPr>
                <w:color w:val="000000" w:themeColor="text1"/>
              </w:rPr>
            </w:pPr>
          </w:p>
        </w:tc>
      </w:tr>
      <w:tr w:rsidR="00804A7C" w:rsidRPr="00FA40C1" w14:paraId="5A9ECF0A" w14:textId="77777777" w:rsidTr="00BF4F5C">
        <w:trPr>
          <w:trHeight w:val="240"/>
          <w:jc w:val="center"/>
        </w:trPr>
        <w:tc>
          <w:tcPr>
            <w:tcW w:w="4876" w:type="dxa"/>
          </w:tcPr>
          <w:p w14:paraId="38F71362"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9AF716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1DDEBA4" w14:textId="77777777" w:rsidTr="00BF4F5C">
        <w:trPr>
          <w:jc w:val="center"/>
        </w:trPr>
        <w:tc>
          <w:tcPr>
            <w:tcW w:w="4876" w:type="dxa"/>
          </w:tcPr>
          <w:p w14:paraId="1979A341" w14:textId="77777777" w:rsidR="00804A7C" w:rsidRPr="00FA40C1" w:rsidRDefault="00804A7C" w:rsidP="00BF4F5C">
            <w:pPr>
              <w:pStyle w:val="Normal6a"/>
              <w:rPr>
                <w:color w:val="000000" w:themeColor="text1"/>
              </w:rPr>
            </w:pPr>
          </w:p>
        </w:tc>
        <w:tc>
          <w:tcPr>
            <w:tcW w:w="4876" w:type="dxa"/>
          </w:tcPr>
          <w:p w14:paraId="6A78A850" w14:textId="77777777" w:rsidR="00804A7C" w:rsidRPr="00FA40C1" w:rsidRDefault="00804A7C" w:rsidP="00BF4F5C">
            <w:pPr>
              <w:pStyle w:val="Normal6a"/>
              <w:rPr>
                <w:color w:val="000000" w:themeColor="text1"/>
              </w:rPr>
            </w:pPr>
            <w:r w:rsidRPr="00FA40C1">
              <w:rPr>
                <w:b/>
                <w:i/>
                <w:color w:val="000000" w:themeColor="text1"/>
              </w:rPr>
              <w:t>(9 bis)</w:t>
            </w:r>
            <w:r w:rsidRPr="00FA40C1">
              <w:rPr>
                <w:color w:val="000000" w:themeColor="text1"/>
              </w:rPr>
              <w:tab/>
            </w:r>
            <w:r w:rsidRPr="00FA40C1">
              <w:rPr>
                <w:b/>
                <w:i/>
                <w:color w:val="000000" w:themeColor="text1"/>
              </w:rPr>
              <w:t>Le Parlement devrait avoir la possibilité d’informer la Commission de son avis sur l’existence de circonstances pouvant constituer un motif de suspension, en particulier dans les cas de programmes de citoyenneté par investissement appliqués par des pays tiers figurant sur la liste de l’annexe II du règlement (UE) 2018/1806, ou lorsque la politique en matière de visas d’un pays tiers figurant sur cette liste n’est pas alignée sur celle de l’Union, ou en cas de détérioration importante et brutale des relations extérieures de l’Union avec un pays tiers figurant sur ladite liste, ou en présence avérée d’un des motifs de suspension prévus dans les accords d’exemption de visa de court séjour.</w:t>
            </w:r>
          </w:p>
        </w:tc>
      </w:tr>
    </w:tbl>
    <w:p w14:paraId="29A5BF9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6B46CA8" w14:textId="77777777" w:rsidR="00804A7C" w:rsidRPr="00FA40C1" w:rsidRDefault="00804A7C" w:rsidP="00804A7C">
      <w:pPr>
        <w:rPr>
          <w:color w:val="000000" w:themeColor="text1"/>
        </w:rPr>
      </w:pPr>
      <w:r w:rsidRPr="00FA40C1">
        <w:rPr>
          <w:rStyle w:val="HideTWBExt"/>
        </w:rPr>
        <w:t>&lt;/Amend&gt;</w:t>
      </w:r>
    </w:p>
    <w:p w14:paraId="4ABE99E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37</w:t>
      </w:r>
      <w:r w:rsidRPr="00FA40C1">
        <w:rPr>
          <w:rStyle w:val="HideTWBExt"/>
          <w:b w:val="0"/>
        </w:rPr>
        <w:t>&lt;/NumAm&gt;</w:t>
      </w:r>
    </w:p>
    <w:p w14:paraId="0D227EF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Charlie Weimers, Patryk Jaki, Vincenzo Sofo, Jorge Buxadé Villalba, Pirkko Ruohonen-Lerner</w:t>
      </w:r>
      <w:r w:rsidRPr="00FA40C1">
        <w:rPr>
          <w:rStyle w:val="HideTWBExt"/>
          <w:b w:val="0"/>
        </w:rPr>
        <w:t>&lt;/Members&gt;</w:t>
      </w:r>
    </w:p>
    <w:p w14:paraId="7F6EB4D4" w14:textId="77777777" w:rsidR="00804A7C" w:rsidRPr="00FA40C1" w:rsidRDefault="00804A7C" w:rsidP="00804A7C">
      <w:pPr>
        <w:rPr>
          <w:color w:val="000000" w:themeColor="text1"/>
        </w:rPr>
      </w:pPr>
      <w:r w:rsidRPr="00FA40C1">
        <w:rPr>
          <w:rStyle w:val="HideTWBExt"/>
        </w:rPr>
        <w:t>&lt;AuNomDe&gt;</w:t>
      </w:r>
      <w:r w:rsidRPr="00FA40C1">
        <w:rPr>
          <w:rStyle w:val="HideTWBInt"/>
        </w:rPr>
        <w:t>{ECR}</w:t>
      </w:r>
      <w:r w:rsidRPr="00FA40C1">
        <w:rPr>
          <w:color w:val="000000" w:themeColor="text1"/>
        </w:rPr>
        <w:t>au nom du groupe ECR</w:t>
      </w:r>
      <w:r w:rsidRPr="00FA40C1">
        <w:rPr>
          <w:rStyle w:val="HideTWBExt"/>
        </w:rPr>
        <w:t>&lt;/AuNomDe&gt;</w:t>
      </w:r>
    </w:p>
    <w:p w14:paraId="551C320F" w14:textId="77777777" w:rsidR="00804A7C" w:rsidRPr="00FA40C1" w:rsidRDefault="00804A7C" w:rsidP="00804A7C">
      <w:pPr>
        <w:pStyle w:val="NormalBold"/>
        <w:rPr>
          <w:color w:val="000000" w:themeColor="text1"/>
        </w:rPr>
      </w:pPr>
      <w:r w:rsidRPr="00FA40C1">
        <w:rPr>
          <w:rStyle w:val="HideTWBExt"/>
          <w:b w:val="0"/>
        </w:rPr>
        <w:t>&lt;/RepeatBlock-By&gt;</w:t>
      </w:r>
    </w:p>
    <w:p w14:paraId="35B94BD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09EF0D0"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9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557132A" w14:textId="77777777" w:rsidTr="00BF4F5C">
        <w:trPr>
          <w:trHeight w:hRule="exact" w:val="240"/>
          <w:jc w:val="center"/>
        </w:trPr>
        <w:tc>
          <w:tcPr>
            <w:tcW w:w="9752" w:type="dxa"/>
            <w:gridSpan w:val="2"/>
          </w:tcPr>
          <w:p w14:paraId="0C892B84" w14:textId="77777777" w:rsidR="00804A7C" w:rsidRPr="00FA40C1" w:rsidRDefault="00804A7C" w:rsidP="00BF4F5C">
            <w:pPr>
              <w:rPr>
                <w:color w:val="000000" w:themeColor="text1"/>
              </w:rPr>
            </w:pPr>
          </w:p>
        </w:tc>
      </w:tr>
      <w:tr w:rsidR="00804A7C" w:rsidRPr="00FA40C1" w14:paraId="2E464C15" w14:textId="77777777" w:rsidTr="00BF4F5C">
        <w:trPr>
          <w:trHeight w:val="240"/>
          <w:jc w:val="center"/>
        </w:trPr>
        <w:tc>
          <w:tcPr>
            <w:tcW w:w="4876" w:type="dxa"/>
          </w:tcPr>
          <w:p w14:paraId="7886EC2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B1F63D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55D97E6" w14:textId="77777777" w:rsidTr="00BF4F5C">
        <w:trPr>
          <w:jc w:val="center"/>
        </w:trPr>
        <w:tc>
          <w:tcPr>
            <w:tcW w:w="4876" w:type="dxa"/>
          </w:tcPr>
          <w:p w14:paraId="59E189C9" w14:textId="77777777" w:rsidR="00804A7C" w:rsidRPr="00FA40C1" w:rsidRDefault="00804A7C" w:rsidP="00BF4F5C">
            <w:pPr>
              <w:pStyle w:val="Normal6a"/>
              <w:rPr>
                <w:color w:val="000000" w:themeColor="text1"/>
              </w:rPr>
            </w:pPr>
          </w:p>
        </w:tc>
        <w:tc>
          <w:tcPr>
            <w:tcW w:w="4876" w:type="dxa"/>
          </w:tcPr>
          <w:p w14:paraId="3C6FBAC9" w14:textId="77777777" w:rsidR="00804A7C" w:rsidRPr="00FA40C1" w:rsidRDefault="00804A7C" w:rsidP="00BF4F5C">
            <w:pPr>
              <w:pStyle w:val="Normal6a"/>
              <w:rPr>
                <w:color w:val="000000" w:themeColor="text1"/>
              </w:rPr>
            </w:pPr>
            <w:r w:rsidRPr="00FA40C1">
              <w:rPr>
                <w:b/>
                <w:i/>
                <w:color w:val="000000" w:themeColor="text1"/>
              </w:rPr>
              <w:t>(9 bis)</w:t>
            </w:r>
            <w:r w:rsidRPr="00FA40C1">
              <w:rPr>
                <w:color w:val="000000" w:themeColor="text1"/>
              </w:rPr>
              <w:tab/>
            </w:r>
            <w:r w:rsidRPr="00FA40C1">
              <w:rPr>
                <w:b/>
                <w:i/>
                <w:color w:val="000000" w:themeColor="text1"/>
              </w:rPr>
              <w:t>Le suivi systématique par la Commission des critères particuliers, qui sont fondés sur l’article 1</w:t>
            </w:r>
            <w:r w:rsidRPr="00FA40C1">
              <w:rPr>
                <w:b/>
                <w:i/>
                <w:color w:val="000000" w:themeColor="text1"/>
                <w:vertAlign w:val="superscript"/>
              </w:rPr>
              <w:t>er</w:t>
            </w:r>
            <w:r w:rsidRPr="00FA40C1">
              <w:rPr>
                <w:b/>
                <w:i/>
                <w:color w:val="000000" w:themeColor="text1"/>
              </w:rPr>
              <w:t xml:space="preserve"> et qui ont été utilisés pour évaluer l’opportunité d’accorder une libéralisation du régime des visas, devrait se concentrer en particulier sur l’aspect sécuritaire afin de veiller à ce que les pays figurant à l’annexe II respectent les critères initiaux en matière d’application des lois, d’immigration, de sécurité des passeports, de lutte contre le terrorisme et de capacités de contrôle des frontières.</w:t>
            </w:r>
          </w:p>
        </w:tc>
      </w:tr>
    </w:tbl>
    <w:p w14:paraId="1299151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5CAF896" w14:textId="77777777" w:rsidR="00804A7C" w:rsidRPr="00FA40C1" w:rsidRDefault="00804A7C" w:rsidP="00804A7C">
      <w:pPr>
        <w:rPr>
          <w:color w:val="000000" w:themeColor="text1"/>
        </w:rPr>
      </w:pPr>
      <w:r w:rsidRPr="00FA40C1">
        <w:rPr>
          <w:rStyle w:val="HideTWBExt"/>
        </w:rPr>
        <w:t>&lt;/Amend&gt;</w:t>
      </w:r>
    </w:p>
    <w:p w14:paraId="5D78B47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38</w:t>
      </w:r>
      <w:r w:rsidRPr="00FA40C1">
        <w:rPr>
          <w:rStyle w:val="HideTWBExt"/>
          <w:b w:val="0"/>
        </w:rPr>
        <w:t>&lt;/NumAm&gt;</w:t>
      </w:r>
    </w:p>
    <w:p w14:paraId="7AAF373A"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2EE6A6A8" w14:textId="77777777" w:rsidR="00804A7C" w:rsidRPr="00FA40C1" w:rsidRDefault="00804A7C" w:rsidP="00804A7C">
      <w:pPr>
        <w:pStyle w:val="NormalBold"/>
        <w:rPr>
          <w:color w:val="000000" w:themeColor="text1"/>
        </w:rPr>
      </w:pPr>
      <w:r w:rsidRPr="00FA40C1">
        <w:rPr>
          <w:rStyle w:val="HideTWBExt"/>
          <w:b w:val="0"/>
        </w:rPr>
        <w:t>&lt;/RepeatBlock-By&gt;</w:t>
      </w:r>
    </w:p>
    <w:p w14:paraId="619434C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DBA780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10</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498052D" w14:textId="77777777" w:rsidTr="00BF4F5C">
        <w:trPr>
          <w:trHeight w:hRule="exact" w:val="240"/>
          <w:jc w:val="center"/>
        </w:trPr>
        <w:tc>
          <w:tcPr>
            <w:tcW w:w="9752" w:type="dxa"/>
            <w:gridSpan w:val="2"/>
          </w:tcPr>
          <w:p w14:paraId="459BC9C3" w14:textId="77777777" w:rsidR="00804A7C" w:rsidRPr="00FA40C1" w:rsidRDefault="00804A7C" w:rsidP="00BF4F5C">
            <w:pPr>
              <w:rPr>
                <w:color w:val="000000" w:themeColor="text1"/>
              </w:rPr>
            </w:pPr>
          </w:p>
        </w:tc>
      </w:tr>
      <w:tr w:rsidR="00804A7C" w:rsidRPr="00FA40C1" w14:paraId="3D6E3FEA" w14:textId="77777777" w:rsidTr="00BF4F5C">
        <w:trPr>
          <w:trHeight w:val="240"/>
          <w:jc w:val="center"/>
        </w:trPr>
        <w:tc>
          <w:tcPr>
            <w:tcW w:w="4876" w:type="dxa"/>
          </w:tcPr>
          <w:p w14:paraId="570B3FD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59C6F7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64B5216" w14:textId="77777777" w:rsidTr="00BF4F5C">
        <w:trPr>
          <w:jc w:val="center"/>
        </w:trPr>
        <w:tc>
          <w:tcPr>
            <w:tcW w:w="4876" w:type="dxa"/>
          </w:tcPr>
          <w:p w14:paraId="4996D99C" w14:textId="77777777" w:rsidR="00804A7C" w:rsidRPr="00FA40C1" w:rsidRDefault="00804A7C" w:rsidP="00BF4F5C">
            <w:pPr>
              <w:pStyle w:val="Normal6a"/>
              <w:rPr>
                <w:color w:val="000000" w:themeColor="text1"/>
              </w:rPr>
            </w:pPr>
            <w:r w:rsidRPr="00FA40C1">
              <w:rPr>
                <w:color w:val="000000" w:themeColor="text1"/>
              </w:rPr>
              <w:t>(10)</w:t>
            </w:r>
            <w:r w:rsidRPr="00FA40C1">
              <w:rPr>
                <w:color w:val="000000" w:themeColor="text1"/>
              </w:rPr>
              <w:tab/>
              <w:t xml:space="preserve">Chaque fois qu’elle l’estime nécessaire, ou à la demande du Parlement européen ou du Conseil, la Commission devrait rendre compte des résultats de son suivi systématique des régimes d’exemption de visa avec tous les pays tiers figurant sur la liste de l’annexe II du règlement (UE) 2018/1806. Son rapport devrait principalement porter sur les pays tiers qui, selon son analyse, posent des problèmes particuliers qui, s’ils ne sont pas traités, risquent d’entraîner le déclenchement du mécanisme de suspension. </w:t>
            </w:r>
            <w:r w:rsidRPr="00FA40C1">
              <w:rPr>
                <w:b/>
                <w:i/>
                <w:color w:val="000000" w:themeColor="text1"/>
              </w:rPr>
              <w:t>En particulier</w:t>
            </w:r>
            <w:r w:rsidRPr="00FA40C1">
              <w:rPr>
                <w:color w:val="000000" w:themeColor="text1"/>
              </w:rPr>
              <w:t xml:space="preserve">, la Commission devrait </w:t>
            </w:r>
            <w:r w:rsidRPr="00FA40C1">
              <w:rPr>
                <w:b/>
                <w:i/>
                <w:color w:val="000000" w:themeColor="text1"/>
              </w:rPr>
              <w:t>envisager de</w:t>
            </w:r>
            <w:r w:rsidRPr="00FA40C1">
              <w:rPr>
                <w:color w:val="000000" w:themeColor="text1"/>
              </w:rPr>
              <w:t xml:space="preserve"> faire rapport sur les pays qui ont été nouvellement inscrits sur la liste de l’annexe II sans passer par un dialogue sur la libéralisation du régime des visas, lorsqu’elle l’estime nécessaire, et notamment au cours des premières années suivant l’entrée en vigueur de l’exemption de visa pour ces pays.</w:t>
            </w:r>
          </w:p>
        </w:tc>
        <w:tc>
          <w:tcPr>
            <w:tcW w:w="4876" w:type="dxa"/>
          </w:tcPr>
          <w:p w14:paraId="3B271B33" w14:textId="77777777" w:rsidR="00804A7C" w:rsidRPr="00FA40C1" w:rsidRDefault="00804A7C" w:rsidP="00BF4F5C">
            <w:pPr>
              <w:pStyle w:val="Normal6a"/>
              <w:rPr>
                <w:color w:val="000000" w:themeColor="text1"/>
              </w:rPr>
            </w:pPr>
            <w:r w:rsidRPr="00FA40C1">
              <w:rPr>
                <w:color w:val="000000" w:themeColor="text1"/>
              </w:rPr>
              <w:t>(10)</w:t>
            </w:r>
            <w:r w:rsidRPr="00FA40C1">
              <w:rPr>
                <w:color w:val="000000" w:themeColor="text1"/>
              </w:rPr>
              <w:tab/>
              <w:t xml:space="preserve">Chaque fois qu’elle l’estime nécessaire, ou à la demande du Parlement européen ou du Conseil, la Commission devrait rendre compte des résultats de son suivi systématique des régimes d’exemption de visa avec tous les pays tiers figurant sur la liste de l’annexe II du règlement (UE) 2018/1806. Son rapport devrait principalement porter sur les pays tiers qui, selon son analyse, posent des problèmes particuliers qui, s’ils ne sont pas traités, risquent d’entraîner le déclenchement du mécanisme de suspension. </w:t>
            </w:r>
            <w:r w:rsidRPr="00FA40C1">
              <w:rPr>
                <w:b/>
                <w:i/>
                <w:color w:val="000000" w:themeColor="text1"/>
              </w:rPr>
              <w:t>Le suivi systématique et la transmission des informations sont effectués sur la base des données fournies par les agences de l’Union européenne telles que les données conservées dans le système d’information sur les visas (VIS), le système d’information Schengen (SIS II), le système d’entrée/de sortie (EES), le système européen d’information et d’autorisation concernant les voyages (ETIAS) et le système européen d’information sur les casiers judiciaires pour les ressortissants de pays tiers (ECRIS-TCN). La Commission devrait veiller à ce que chaque pays tiers figurant sur la liste de l’annexe II fasse l’objet d’un suivi et d’un rapport au moins tous les quatre ans. En outre</w:t>
            </w:r>
            <w:r w:rsidRPr="00FA40C1">
              <w:rPr>
                <w:color w:val="000000" w:themeColor="text1"/>
              </w:rPr>
              <w:t>, la Commission devrait faire rapport sur les pays qui ont été nouvellement inscrits sur la liste de l’annexe II sans passer par un dialogue sur la libéralisation du régime des visas, lorsqu’elle l’estime nécessaire, et notamment au cours des premières années suivant l’entrée en vigueur de l’exemption de visa pour ces pays.</w:t>
            </w:r>
          </w:p>
        </w:tc>
      </w:tr>
    </w:tbl>
    <w:p w14:paraId="7298F8A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188C0CA" w14:textId="77777777" w:rsidR="00804A7C" w:rsidRPr="00FA40C1" w:rsidRDefault="00804A7C" w:rsidP="00804A7C">
      <w:pPr>
        <w:rPr>
          <w:color w:val="000000" w:themeColor="text1"/>
        </w:rPr>
      </w:pPr>
      <w:r w:rsidRPr="00FA40C1">
        <w:rPr>
          <w:rStyle w:val="HideTWBExt"/>
        </w:rPr>
        <w:t>&lt;/Amend&gt;</w:t>
      </w:r>
    </w:p>
    <w:p w14:paraId="4EC0069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39</w:t>
      </w:r>
      <w:r w:rsidRPr="00FA40C1">
        <w:rPr>
          <w:rStyle w:val="HideTWBExt"/>
          <w:b w:val="0"/>
        </w:rPr>
        <w:t>&lt;/NumAm&gt;</w:t>
      </w:r>
    </w:p>
    <w:p w14:paraId="37CA572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87D5943" w14:textId="77777777" w:rsidR="00804A7C" w:rsidRPr="00FA40C1" w:rsidRDefault="00804A7C" w:rsidP="00804A7C">
      <w:pPr>
        <w:pStyle w:val="NormalBold"/>
        <w:rPr>
          <w:color w:val="000000" w:themeColor="text1"/>
        </w:rPr>
      </w:pPr>
      <w:r w:rsidRPr="00FA40C1">
        <w:rPr>
          <w:rStyle w:val="HideTWBExt"/>
          <w:b w:val="0"/>
        </w:rPr>
        <w:t>&lt;/RepeatBlock-By&gt;</w:t>
      </w:r>
    </w:p>
    <w:p w14:paraId="2BD65C19"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997EF1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10</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7DC47FD" w14:textId="77777777" w:rsidTr="00BF4F5C">
        <w:trPr>
          <w:trHeight w:hRule="exact" w:val="240"/>
          <w:jc w:val="center"/>
        </w:trPr>
        <w:tc>
          <w:tcPr>
            <w:tcW w:w="9752" w:type="dxa"/>
            <w:gridSpan w:val="2"/>
          </w:tcPr>
          <w:p w14:paraId="34BD290B" w14:textId="77777777" w:rsidR="00804A7C" w:rsidRPr="00FA40C1" w:rsidRDefault="00804A7C" w:rsidP="00BF4F5C">
            <w:pPr>
              <w:rPr>
                <w:color w:val="000000" w:themeColor="text1"/>
              </w:rPr>
            </w:pPr>
          </w:p>
        </w:tc>
      </w:tr>
      <w:tr w:rsidR="00804A7C" w:rsidRPr="00FA40C1" w14:paraId="6ADFC5B6" w14:textId="77777777" w:rsidTr="00BF4F5C">
        <w:trPr>
          <w:trHeight w:val="240"/>
          <w:jc w:val="center"/>
        </w:trPr>
        <w:tc>
          <w:tcPr>
            <w:tcW w:w="4876" w:type="dxa"/>
          </w:tcPr>
          <w:p w14:paraId="38C2893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A1676F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345856C" w14:textId="77777777" w:rsidTr="00BF4F5C">
        <w:trPr>
          <w:jc w:val="center"/>
        </w:trPr>
        <w:tc>
          <w:tcPr>
            <w:tcW w:w="4876" w:type="dxa"/>
          </w:tcPr>
          <w:p w14:paraId="25B0D659" w14:textId="77777777" w:rsidR="00804A7C" w:rsidRPr="00FA40C1" w:rsidRDefault="00804A7C" w:rsidP="00BF4F5C">
            <w:pPr>
              <w:pStyle w:val="Normal6a"/>
              <w:rPr>
                <w:color w:val="000000" w:themeColor="text1"/>
              </w:rPr>
            </w:pPr>
            <w:r w:rsidRPr="00FA40C1">
              <w:rPr>
                <w:color w:val="000000" w:themeColor="text1"/>
              </w:rPr>
              <w:t>(10)</w:t>
            </w:r>
            <w:r w:rsidRPr="00FA40C1">
              <w:rPr>
                <w:color w:val="000000" w:themeColor="text1"/>
              </w:rPr>
              <w:tab/>
              <w:t xml:space="preserve">Chaque fois qu’elle l’estime nécessaire, ou à la demande du Parlement européen ou du Conseil, la Commission devrait rendre compte des résultats de son suivi systématique des régimes d’exemption de visa avec tous les pays tiers figurant sur la liste de l’annexe II du règlement (UE) 2018/1806. Son rapport devrait principalement porter sur les pays tiers qui, selon son analyse, posent des problèmes particuliers qui, s’ils ne sont pas traités, risquent d’entraîner le déclenchement du mécanisme de suspension. En particulier, la Commission devrait </w:t>
            </w:r>
            <w:r w:rsidRPr="00FA40C1">
              <w:rPr>
                <w:b/>
                <w:i/>
                <w:color w:val="000000" w:themeColor="text1"/>
              </w:rPr>
              <w:t>envisager de</w:t>
            </w:r>
            <w:r w:rsidRPr="00FA40C1">
              <w:rPr>
                <w:color w:val="000000" w:themeColor="text1"/>
              </w:rPr>
              <w:t xml:space="preserve"> faire rapport sur les pays qui ont été nouvellement inscrits sur la liste de l’annexe II sans passer par un dialogue sur la libéralisation du régime des visas, lorsqu’elle l’estime nécessaire, et notamment au cours des premières années suivant l’entrée en vigueur de l’exemption de visa pour ces pays.</w:t>
            </w:r>
          </w:p>
        </w:tc>
        <w:tc>
          <w:tcPr>
            <w:tcW w:w="4876" w:type="dxa"/>
          </w:tcPr>
          <w:p w14:paraId="0C1BD84C" w14:textId="77777777" w:rsidR="00804A7C" w:rsidRPr="00FA40C1" w:rsidRDefault="00804A7C" w:rsidP="00BF4F5C">
            <w:pPr>
              <w:pStyle w:val="Normal6a"/>
              <w:rPr>
                <w:color w:val="000000" w:themeColor="text1"/>
              </w:rPr>
            </w:pPr>
            <w:r w:rsidRPr="00FA40C1">
              <w:rPr>
                <w:color w:val="000000" w:themeColor="text1"/>
              </w:rPr>
              <w:t>(10)</w:t>
            </w:r>
            <w:r w:rsidRPr="00FA40C1">
              <w:rPr>
                <w:color w:val="000000" w:themeColor="text1"/>
              </w:rPr>
              <w:tab/>
              <w:t>Chaque fois qu’elle l’estime nécessaire, ou à la demande du Parlement européen ou du Conseil, la Commission devrait rendre compte des résultats de son suivi systématique des régimes d’exemption de visa avec tous les pays tiers figurant sur la liste de l’annexe II du règlement (UE) 2018/1806. Son rapport devrait principalement porter sur les pays tiers qui, selon son analyse, posent des problèmes particuliers qui, s’ils ne sont pas traités, risquent d’entraîner le déclenchement du mécanisme de suspension. En particulier, la Commission devrait faire rapport sur les pays qui ont été nouvellement inscrits sur la liste de l’annexe II sans passer par un dialogue sur la libéralisation du régime des visas, lorsqu’elle l’estime nécessaire, et notamment au cours des premières années suivant l’entrée en vigueur de l’exemption de visa pour ces pays.</w:t>
            </w:r>
          </w:p>
        </w:tc>
      </w:tr>
    </w:tbl>
    <w:p w14:paraId="3D1C415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003C742" w14:textId="77777777" w:rsidR="00804A7C" w:rsidRPr="00FA40C1" w:rsidRDefault="00804A7C" w:rsidP="00804A7C">
      <w:pPr>
        <w:rPr>
          <w:color w:val="000000" w:themeColor="text1"/>
        </w:rPr>
      </w:pPr>
      <w:r w:rsidRPr="00FA40C1">
        <w:rPr>
          <w:rStyle w:val="HideTWBExt"/>
        </w:rPr>
        <w:t>&lt;/Amend&gt;</w:t>
      </w:r>
    </w:p>
    <w:p w14:paraId="1557BC8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40</w:t>
      </w:r>
      <w:r w:rsidRPr="00FA40C1">
        <w:rPr>
          <w:rStyle w:val="HideTWBExt"/>
          <w:b w:val="0"/>
        </w:rPr>
        <w:t>&lt;/NumAm&gt;</w:t>
      </w:r>
    </w:p>
    <w:p w14:paraId="61E735FE"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7E0F33A7" w14:textId="77777777" w:rsidR="00804A7C" w:rsidRPr="00FA40C1" w:rsidRDefault="00804A7C" w:rsidP="00804A7C">
      <w:pPr>
        <w:pStyle w:val="NormalBold"/>
        <w:rPr>
          <w:color w:val="000000" w:themeColor="text1"/>
        </w:rPr>
      </w:pPr>
      <w:r w:rsidRPr="00FA40C1">
        <w:rPr>
          <w:rStyle w:val="HideTWBExt"/>
          <w:b w:val="0"/>
        </w:rPr>
        <w:t>&lt;/RepeatBlock-By&gt;</w:t>
      </w:r>
    </w:p>
    <w:p w14:paraId="283D7A7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98FF72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10 bis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2CF1470" w14:textId="77777777" w:rsidTr="00BF4F5C">
        <w:trPr>
          <w:trHeight w:hRule="exact" w:val="240"/>
          <w:jc w:val="center"/>
        </w:trPr>
        <w:tc>
          <w:tcPr>
            <w:tcW w:w="9752" w:type="dxa"/>
            <w:gridSpan w:val="2"/>
          </w:tcPr>
          <w:p w14:paraId="030A7249" w14:textId="77777777" w:rsidR="00804A7C" w:rsidRPr="00FA40C1" w:rsidRDefault="00804A7C" w:rsidP="00BF4F5C">
            <w:pPr>
              <w:rPr>
                <w:color w:val="000000" w:themeColor="text1"/>
              </w:rPr>
            </w:pPr>
          </w:p>
        </w:tc>
      </w:tr>
      <w:tr w:rsidR="00804A7C" w:rsidRPr="00FA40C1" w14:paraId="036A2352" w14:textId="77777777" w:rsidTr="00BF4F5C">
        <w:trPr>
          <w:trHeight w:val="240"/>
          <w:jc w:val="center"/>
        </w:trPr>
        <w:tc>
          <w:tcPr>
            <w:tcW w:w="4876" w:type="dxa"/>
          </w:tcPr>
          <w:p w14:paraId="1D4FF63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FA476B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2C069B7" w14:textId="77777777" w:rsidTr="00BF4F5C">
        <w:trPr>
          <w:jc w:val="center"/>
        </w:trPr>
        <w:tc>
          <w:tcPr>
            <w:tcW w:w="4876" w:type="dxa"/>
          </w:tcPr>
          <w:p w14:paraId="19D9AB0D" w14:textId="77777777" w:rsidR="00804A7C" w:rsidRPr="00FA40C1" w:rsidRDefault="00804A7C" w:rsidP="00BF4F5C">
            <w:pPr>
              <w:pStyle w:val="Normal6a"/>
              <w:rPr>
                <w:color w:val="000000" w:themeColor="text1"/>
              </w:rPr>
            </w:pPr>
          </w:p>
        </w:tc>
        <w:tc>
          <w:tcPr>
            <w:tcW w:w="4876" w:type="dxa"/>
          </w:tcPr>
          <w:p w14:paraId="4E83D648" w14:textId="77777777" w:rsidR="00804A7C" w:rsidRPr="00FA40C1" w:rsidRDefault="00804A7C" w:rsidP="00BF4F5C">
            <w:pPr>
              <w:pStyle w:val="Normal6a"/>
              <w:rPr>
                <w:color w:val="000000" w:themeColor="text1"/>
              </w:rPr>
            </w:pPr>
            <w:r w:rsidRPr="00FA40C1">
              <w:rPr>
                <w:b/>
                <w:i/>
                <w:color w:val="000000" w:themeColor="text1"/>
              </w:rPr>
              <w:t>(10 bis)</w:t>
            </w:r>
            <w:r w:rsidRPr="00FA40C1">
              <w:rPr>
                <w:color w:val="000000" w:themeColor="text1"/>
              </w:rPr>
              <w:tab/>
            </w:r>
            <w:r w:rsidRPr="00FA40C1">
              <w:rPr>
                <w:b/>
                <w:i/>
                <w:color w:val="000000" w:themeColor="text1"/>
              </w:rPr>
              <w:t>Au vu des conséquences importantes que pourrait avoir la suspension temporaire de l’exemption de l’obligation de visa pour les ressortissants du pays tiers concerné, la Commission devrait privilégier une approche ciblée, en appliquant en premier lieu la mesure à certaines personnes occupant des postes à responsabilité, telles que les membres des délégations officielles du pays tiers, les membres des gouvernements locaux, régionaux et nationaux, les membres des parlements ou les hauts fonctionnaires ou hauts responsables militaires, tout en s’efforçant par tous les moyens de réduire autant que possible les conséquences négatives pour la population en général.</w:t>
            </w:r>
          </w:p>
        </w:tc>
      </w:tr>
    </w:tbl>
    <w:p w14:paraId="1AA457F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DD05BD4" w14:textId="77777777" w:rsidR="00804A7C" w:rsidRPr="00FA40C1" w:rsidRDefault="00804A7C" w:rsidP="00804A7C">
      <w:pPr>
        <w:rPr>
          <w:color w:val="000000" w:themeColor="text1"/>
        </w:rPr>
      </w:pPr>
      <w:r w:rsidRPr="00FA40C1">
        <w:rPr>
          <w:rStyle w:val="HideTWBExt"/>
        </w:rPr>
        <w:t>&lt;/Amend&gt;</w:t>
      </w:r>
    </w:p>
    <w:p w14:paraId="0A49417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41</w:t>
      </w:r>
      <w:r w:rsidRPr="00FA40C1">
        <w:rPr>
          <w:rStyle w:val="HideTWBExt"/>
          <w:b w:val="0"/>
        </w:rPr>
        <w:t>&lt;/NumAm&gt;</w:t>
      </w:r>
    </w:p>
    <w:p w14:paraId="3761901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34E22AC9" w14:textId="77777777" w:rsidR="00804A7C" w:rsidRPr="00FA40C1" w:rsidRDefault="00804A7C" w:rsidP="00804A7C">
      <w:pPr>
        <w:pStyle w:val="NormalBold"/>
        <w:rPr>
          <w:color w:val="000000" w:themeColor="text1"/>
        </w:rPr>
      </w:pPr>
      <w:r w:rsidRPr="00FA40C1">
        <w:rPr>
          <w:rStyle w:val="HideTWBExt"/>
          <w:b w:val="0"/>
        </w:rPr>
        <w:t>&lt;/RepeatBlock-By&gt;</w:t>
      </w:r>
    </w:p>
    <w:p w14:paraId="639025B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C04401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10 ter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73DE8B8" w14:textId="77777777" w:rsidTr="00BF4F5C">
        <w:trPr>
          <w:trHeight w:hRule="exact" w:val="240"/>
          <w:jc w:val="center"/>
        </w:trPr>
        <w:tc>
          <w:tcPr>
            <w:tcW w:w="9752" w:type="dxa"/>
            <w:gridSpan w:val="2"/>
          </w:tcPr>
          <w:p w14:paraId="3A1A8A71" w14:textId="77777777" w:rsidR="00804A7C" w:rsidRPr="00FA40C1" w:rsidRDefault="00804A7C" w:rsidP="00BF4F5C">
            <w:pPr>
              <w:rPr>
                <w:color w:val="000000" w:themeColor="text1"/>
              </w:rPr>
            </w:pPr>
          </w:p>
        </w:tc>
      </w:tr>
      <w:tr w:rsidR="00804A7C" w:rsidRPr="00FA40C1" w14:paraId="642BDC2C" w14:textId="77777777" w:rsidTr="00BF4F5C">
        <w:trPr>
          <w:trHeight w:val="240"/>
          <w:jc w:val="center"/>
        </w:trPr>
        <w:tc>
          <w:tcPr>
            <w:tcW w:w="4876" w:type="dxa"/>
          </w:tcPr>
          <w:p w14:paraId="0D15A24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1FE4F1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6D2740A" w14:textId="77777777" w:rsidTr="00BF4F5C">
        <w:trPr>
          <w:jc w:val="center"/>
        </w:trPr>
        <w:tc>
          <w:tcPr>
            <w:tcW w:w="4876" w:type="dxa"/>
          </w:tcPr>
          <w:p w14:paraId="01AA6924" w14:textId="77777777" w:rsidR="00804A7C" w:rsidRPr="00FA40C1" w:rsidRDefault="00804A7C" w:rsidP="00BF4F5C">
            <w:pPr>
              <w:pStyle w:val="Normal6a"/>
              <w:rPr>
                <w:color w:val="000000" w:themeColor="text1"/>
              </w:rPr>
            </w:pPr>
          </w:p>
        </w:tc>
        <w:tc>
          <w:tcPr>
            <w:tcW w:w="4876" w:type="dxa"/>
          </w:tcPr>
          <w:p w14:paraId="019045CD" w14:textId="77777777" w:rsidR="00804A7C" w:rsidRPr="00FA40C1" w:rsidRDefault="00804A7C" w:rsidP="00BF4F5C">
            <w:pPr>
              <w:pStyle w:val="Normal6a"/>
              <w:rPr>
                <w:color w:val="000000" w:themeColor="text1"/>
              </w:rPr>
            </w:pPr>
            <w:r w:rsidRPr="00FA40C1">
              <w:rPr>
                <w:b/>
                <w:i/>
                <w:color w:val="000000" w:themeColor="text1"/>
              </w:rPr>
              <w:t>(10 ter)</w:t>
            </w:r>
            <w:r w:rsidRPr="00FA40C1">
              <w:rPr>
                <w:color w:val="000000" w:themeColor="text1"/>
              </w:rPr>
              <w:tab/>
            </w:r>
            <w:r w:rsidRPr="00FA40C1">
              <w:rPr>
                <w:b/>
                <w:i/>
                <w:color w:val="000000" w:themeColor="text1"/>
              </w:rPr>
              <w:t>Au vu des répercussions profondes de la suspension sur les ressortissants des pays tiers concernés, et compte tenu de l’exigence inscrite à l’article 13 du traité UE disposant que l’Union dispose d’un cadre institutionnel visant à assurer l’efficacité de ses politiques et de ses actions, la Commission devrait en permanence vérifier que le déclenchement du mécanisme de suspension permettrait d’atteindre le résultat escompté ainsi que faire régulièrement rapport au Parlement européen et au Conseil à ce sujet.</w:t>
            </w:r>
          </w:p>
        </w:tc>
      </w:tr>
    </w:tbl>
    <w:p w14:paraId="22BA4E57"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05C147C" w14:textId="77777777" w:rsidR="00804A7C" w:rsidRPr="00FA40C1" w:rsidRDefault="00804A7C" w:rsidP="00804A7C">
      <w:pPr>
        <w:rPr>
          <w:color w:val="000000" w:themeColor="text1"/>
        </w:rPr>
      </w:pPr>
      <w:r w:rsidRPr="00FA40C1">
        <w:rPr>
          <w:rStyle w:val="HideTWBExt"/>
        </w:rPr>
        <w:t>&lt;/Amend&gt;</w:t>
      </w:r>
    </w:p>
    <w:p w14:paraId="615117E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42</w:t>
      </w:r>
      <w:r w:rsidRPr="00FA40C1">
        <w:rPr>
          <w:rStyle w:val="HideTWBExt"/>
          <w:b w:val="0"/>
        </w:rPr>
        <w:t>&lt;/NumAm&gt;</w:t>
      </w:r>
    </w:p>
    <w:p w14:paraId="7F0E72F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85E936D" w14:textId="77777777" w:rsidR="00804A7C" w:rsidRPr="00FA40C1" w:rsidRDefault="00804A7C" w:rsidP="00804A7C">
      <w:pPr>
        <w:pStyle w:val="NormalBold"/>
        <w:rPr>
          <w:color w:val="000000" w:themeColor="text1"/>
        </w:rPr>
      </w:pPr>
      <w:r w:rsidRPr="00FA40C1">
        <w:rPr>
          <w:rStyle w:val="HideTWBExt"/>
          <w:b w:val="0"/>
        </w:rPr>
        <w:t>&lt;/RepeatBlock-By&gt;</w:t>
      </w:r>
    </w:p>
    <w:p w14:paraId="0F4AA0E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D0C864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11</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435882C" w14:textId="77777777" w:rsidTr="00BF4F5C">
        <w:trPr>
          <w:trHeight w:hRule="exact" w:val="240"/>
          <w:jc w:val="center"/>
        </w:trPr>
        <w:tc>
          <w:tcPr>
            <w:tcW w:w="9752" w:type="dxa"/>
            <w:gridSpan w:val="2"/>
          </w:tcPr>
          <w:p w14:paraId="24874382" w14:textId="77777777" w:rsidR="00804A7C" w:rsidRPr="00FA40C1" w:rsidRDefault="00804A7C" w:rsidP="00BF4F5C">
            <w:pPr>
              <w:rPr>
                <w:color w:val="000000" w:themeColor="text1"/>
              </w:rPr>
            </w:pPr>
          </w:p>
        </w:tc>
      </w:tr>
      <w:tr w:rsidR="00804A7C" w:rsidRPr="00FA40C1" w14:paraId="7BE2AEAD" w14:textId="77777777" w:rsidTr="00BF4F5C">
        <w:trPr>
          <w:trHeight w:val="240"/>
          <w:jc w:val="center"/>
        </w:trPr>
        <w:tc>
          <w:tcPr>
            <w:tcW w:w="4876" w:type="dxa"/>
          </w:tcPr>
          <w:p w14:paraId="44B5F7C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3F011AC"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C83D329" w14:textId="77777777" w:rsidTr="00BF4F5C">
        <w:trPr>
          <w:jc w:val="center"/>
        </w:trPr>
        <w:tc>
          <w:tcPr>
            <w:tcW w:w="4876" w:type="dxa"/>
          </w:tcPr>
          <w:p w14:paraId="42540FB8" w14:textId="77777777" w:rsidR="00804A7C" w:rsidRPr="00FA40C1" w:rsidRDefault="00804A7C" w:rsidP="00BF4F5C">
            <w:pPr>
              <w:pStyle w:val="Normal6a"/>
              <w:rPr>
                <w:color w:val="000000" w:themeColor="text1"/>
              </w:rPr>
            </w:pPr>
            <w:r w:rsidRPr="00FA40C1">
              <w:rPr>
                <w:color w:val="000000" w:themeColor="text1"/>
              </w:rPr>
              <w:t>(11)</w:t>
            </w:r>
            <w:r w:rsidRPr="00FA40C1">
              <w:rPr>
                <w:color w:val="000000" w:themeColor="text1"/>
              </w:rPr>
              <w:tab/>
              <w:t xml:space="preserve">Lorsqu’il a été décidé de suspendre temporairement l’exemption de visa à l’égard d’un pays tiers, il convient de prévoir un délai suffisant pour le dialogue approfondi entre la Commission et le pays tiers concerné visant à remédier aux circonstances qui ont conduit à la suspension. À cette fin, la durée de la suspension temporaire fixée par un acte </w:t>
            </w:r>
            <w:r w:rsidRPr="00FA40C1">
              <w:rPr>
                <w:b/>
                <w:i/>
                <w:color w:val="000000" w:themeColor="text1"/>
              </w:rPr>
              <w:t>d’exécution</w:t>
            </w:r>
            <w:r w:rsidRPr="00FA40C1">
              <w:rPr>
                <w:color w:val="000000" w:themeColor="text1"/>
              </w:rPr>
              <w:t xml:space="preserve"> de la Commission devrait être de douze mois, dans une première phase, avec la possibilité de la proroger de vingt-quatre mois, par voie d’acte délégué, dans une deuxième phase. Lorsqu’aucune solution n’est trouvée avant la fin de la période de validité de l’acte délégué et que la Commission présente une proposition législative visant à transférer le pays tiers concerné de l’annexe II à l’annexe I du règlement (UE) 2018/1806, la Commission devrait adopter un acte délégué prorogeant la suspension temporaire jusqu’à l’entrée en vigueur de la proposition adoptée.</w:t>
            </w:r>
          </w:p>
        </w:tc>
        <w:tc>
          <w:tcPr>
            <w:tcW w:w="4876" w:type="dxa"/>
          </w:tcPr>
          <w:p w14:paraId="2DEBDCD6" w14:textId="77777777" w:rsidR="00804A7C" w:rsidRPr="00FA40C1" w:rsidRDefault="00804A7C" w:rsidP="00BF4F5C">
            <w:pPr>
              <w:pStyle w:val="Normal6a"/>
              <w:rPr>
                <w:color w:val="000000" w:themeColor="text1"/>
              </w:rPr>
            </w:pPr>
            <w:r w:rsidRPr="00FA40C1">
              <w:rPr>
                <w:color w:val="000000" w:themeColor="text1"/>
              </w:rPr>
              <w:t>(11)</w:t>
            </w:r>
            <w:r w:rsidRPr="00FA40C1">
              <w:rPr>
                <w:color w:val="000000" w:themeColor="text1"/>
              </w:rPr>
              <w:tab/>
              <w:t xml:space="preserve">Lorsqu’il a été décidé de suspendre temporairement l’exemption de visa à l’égard d’un pays tiers, il convient de prévoir un délai suffisant pour le dialogue approfondi entre la Commission et le pays tiers concerné visant à remédier aux circonstances qui ont conduit à la suspension. À cette fin, la durée de la suspension temporaire fixée par un acte </w:t>
            </w:r>
            <w:r w:rsidRPr="00FA40C1">
              <w:rPr>
                <w:b/>
                <w:i/>
                <w:color w:val="000000" w:themeColor="text1"/>
              </w:rPr>
              <w:t>délégué</w:t>
            </w:r>
            <w:r w:rsidRPr="00FA40C1">
              <w:rPr>
                <w:color w:val="000000" w:themeColor="text1"/>
              </w:rPr>
              <w:t xml:space="preserve"> de la Commission devrait être de douze mois, dans une première phase, avec la possibilité de la proroger de vingt-quatre mois, par voie d’acte délégué, dans une deuxième phase. Lorsqu’aucune solution n’est trouvée avant la fin de la période de validité de l’acte délégué et que la Commission présente une proposition législative visant à transférer le pays tiers concerné de l’annexe II à l’annexe I du règlement (UE) 2018/1806, la Commission devrait adopter un acte délégué prorogeant la suspension temporaire jusqu’à l’entrée en vigueur de la proposition adoptée.</w:t>
            </w:r>
          </w:p>
        </w:tc>
      </w:tr>
    </w:tbl>
    <w:p w14:paraId="7848A86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6726A51" w14:textId="77777777" w:rsidR="00804A7C" w:rsidRPr="00FA40C1" w:rsidRDefault="00804A7C" w:rsidP="00804A7C">
      <w:pPr>
        <w:rPr>
          <w:color w:val="000000" w:themeColor="text1"/>
        </w:rPr>
      </w:pPr>
      <w:r w:rsidRPr="00FA40C1">
        <w:rPr>
          <w:rStyle w:val="HideTWBExt"/>
        </w:rPr>
        <w:t>&lt;/Amend&gt;</w:t>
      </w:r>
    </w:p>
    <w:p w14:paraId="390B8AC9"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43</w:t>
      </w:r>
      <w:r w:rsidRPr="00FA40C1">
        <w:rPr>
          <w:rStyle w:val="HideTWBExt"/>
          <w:b w:val="0"/>
        </w:rPr>
        <w:t>&lt;/NumAm&gt;</w:t>
      </w:r>
    </w:p>
    <w:p w14:paraId="0AD8169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1EE762F8" w14:textId="77777777" w:rsidR="00804A7C" w:rsidRPr="00FA40C1" w:rsidRDefault="00804A7C" w:rsidP="00804A7C">
      <w:pPr>
        <w:pStyle w:val="NormalBold"/>
        <w:rPr>
          <w:color w:val="000000" w:themeColor="text1"/>
        </w:rPr>
      </w:pPr>
      <w:r w:rsidRPr="00FA40C1">
        <w:rPr>
          <w:rStyle w:val="HideTWBExt"/>
          <w:b w:val="0"/>
        </w:rPr>
        <w:t>&lt;/RepeatBlock-By&gt;</w:t>
      </w:r>
    </w:p>
    <w:p w14:paraId="2DCC7BD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8B7C65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9E97D03" w14:textId="77777777" w:rsidTr="00BF4F5C">
        <w:trPr>
          <w:trHeight w:hRule="exact" w:val="240"/>
          <w:jc w:val="center"/>
        </w:trPr>
        <w:tc>
          <w:tcPr>
            <w:tcW w:w="9752" w:type="dxa"/>
            <w:gridSpan w:val="2"/>
          </w:tcPr>
          <w:p w14:paraId="5D40CC46" w14:textId="77777777" w:rsidR="00804A7C" w:rsidRPr="00FA40C1" w:rsidRDefault="00804A7C" w:rsidP="00BF4F5C">
            <w:pPr>
              <w:rPr>
                <w:color w:val="000000" w:themeColor="text1"/>
              </w:rPr>
            </w:pPr>
          </w:p>
        </w:tc>
      </w:tr>
      <w:tr w:rsidR="00804A7C" w:rsidRPr="00FA40C1" w14:paraId="246A1E4F" w14:textId="77777777" w:rsidTr="00BF4F5C">
        <w:trPr>
          <w:trHeight w:val="240"/>
          <w:jc w:val="center"/>
        </w:trPr>
        <w:tc>
          <w:tcPr>
            <w:tcW w:w="4876" w:type="dxa"/>
          </w:tcPr>
          <w:p w14:paraId="2D6D9EE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176C4D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0A9EE10" w14:textId="77777777" w:rsidTr="00BF4F5C">
        <w:trPr>
          <w:jc w:val="center"/>
        </w:trPr>
        <w:tc>
          <w:tcPr>
            <w:tcW w:w="4876" w:type="dxa"/>
          </w:tcPr>
          <w:p w14:paraId="16198B01" w14:textId="77777777" w:rsidR="00804A7C" w:rsidRPr="00FA40C1" w:rsidRDefault="00804A7C" w:rsidP="00BF4F5C">
            <w:pPr>
              <w:pStyle w:val="Normal6a"/>
              <w:rPr>
                <w:color w:val="000000" w:themeColor="text1"/>
              </w:rPr>
            </w:pPr>
            <w:r w:rsidRPr="00FA40C1">
              <w:rPr>
                <w:b/>
                <w:i/>
                <w:color w:val="000000" w:themeColor="text1"/>
              </w:rPr>
              <w:t>(12)</w:t>
            </w:r>
            <w:r w:rsidRPr="00FA40C1">
              <w:rPr>
                <w:color w:val="000000" w:themeColor="text1"/>
              </w:rPr>
              <w:tab/>
            </w:r>
            <w:r w:rsidRPr="00FA40C1">
              <w:rPr>
                <w:b/>
                <w:i/>
                <w:color w:val="000000" w:themeColor="text1"/>
              </w:rPr>
              <w:t>La Commission devrait adopter des actes d’exécution immédiatement applicables lorsque, dans des cas dûment justifiés liés au déclenchement du mécanisme de suspension, des raisons d’urgence impérieuses requièrent d’agir promptement, notamment pour prévenir tout abus du régime d’exemption de visa causant un afflux massif de ressortissants de pays tiers arrivant de manière irrégulière sur le territoire des États membres ou une atteinte grave à l’ordre public ou à la sécurité intérieure des États membres.</w:t>
            </w:r>
          </w:p>
        </w:tc>
        <w:tc>
          <w:tcPr>
            <w:tcW w:w="4876" w:type="dxa"/>
          </w:tcPr>
          <w:p w14:paraId="6CF651B8"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521EBD2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04B0C69" w14:textId="77777777" w:rsidR="00804A7C" w:rsidRPr="00FA40C1" w:rsidRDefault="00804A7C" w:rsidP="00804A7C">
      <w:pPr>
        <w:rPr>
          <w:color w:val="000000" w:themeColor="text1"/>
        </w:rPr>
      </w:pPr>
      <w:r w:rsidRPr="00FA40C1">
        <w:rPr>
          <w:rStyle w:val="HideTWBExt"/>
        </w:rPr>
        <w:t>&lt;/Amend&gt;</w:t>
      </w:r>
    </w:p>
    <w:p w14:paraId="5F39F3C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44</w:t>
      </w:r>
      <w:r w:rsidRPr="00FA40C1">
        <w:rPr>
          <w:rStyle w:val="HideTWBExt"/>
          <w:b w:val="0"/>
        </w:rPr>
        <w:t>&lt;/NumAm&gt;</w:t>
      </w:r>
    </w:p>
    <w:p w14:paraId="4D494D7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102DAEF7" w14:textId="77777777" w:rsidR="00804A7C" w:rsidRPr="00FA40C1" w:rsidRDefault="00804A7C" w:rsidP="00804A7C">
      <w:pPr>
        <w:pStyle w:val="NormalBold"/>
        <w:rPr>
          <w:color w:val="000000" w:themeColor="text1"/>
        </w:rPr>
      </w:pPr>
      <w:r w:rsidRPr="00FA40C1">
        <w:rPr>
          <w:rStyle w:val="HideTWBExt"/>
          <w:b w:val="0"/>
        </w:rPr>
        <w:t>&lt;/RepeatBlock-By&gt;</w:t>
      </w:r>
    </w:p>
    <w:p w14:paraId="439E005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F7EDAF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1472957" w14:textId="77777777" w:rsidTr="00BF4F5C">
        <w:trPr>
          <w:trHeight w:hRule="exact" w:val="240"/>
          <w:jc w:val="center"/>
        </w:trPr>
        <w:tc>
          <w:tcPr>
            <w:tcW w:w="9752" w:type="dxa"/>
            <w:gridSpan w:val="2"/>
          </w:tcPr>
          <w:p w14:paraId="60A2669B" w14:textId="77777777" w:rsidR="00804A7C" w:rsidRPr="00FA40C1" w:rsidRDefault="00804A7C" w:rsidP="00BF4F5C">
            <w:pPr>
              <w:rPr>
                <w:color w:val="000000" w:themeColor="text1"/>
              </w:rPr>
            </w:pPr>
          </w:p>
        </w:tc>
      </w:tr>
      <w:tr w:rsidR="00804A7C" w:rsidRPr="00FA40C1" w14:paraId="292EA9CF" w14:textId="77777777" w:rsidTr="00BF4F5C">
        <w:trPr>
          <w:trHeight w:val="240"/>
          <w:jc w:val="center"/>
        </w:trPr>
        <w:tc>
          <w:tcPr>
            <w:tcW w:w="4876" w:type="dxa"/>
          </w:tcPr>
          <w:p w14:paraId="3209D11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A62037"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50A4CF0" w14:textId="77777777" w:rsidTr="00BF4F5C">
        <w:trPr>
          <w:jc w:val="center"/>
        </w:trPr>
        <w:tc>
          <w:tcPr>
            <w:tcW w:w="4876" w:type="dxa"/>
          </w:tcPr>
          <w:p w14:paraId="7E353D24" w14:textId="77777777" w:rsidR="00804A7C" w:rsidRPr="00FA40C1" w:rsidRDefault="00804A7C" w:rsidP="00BF4F5C">
            <w:pPr>
              <w:pStyle w:val="Normal6a"/>
              <w:rPr>
                <w:color w:val="000000" w:themeColor="text1"/>
              </w:rPr>
            </w:pPr>
            <w:r w:rsidRPr="00FA40C1">
              <w:rPr>
                <w:b/>
                <w:i/>
                <w:color w:val="000000" w:themeColor="text1"/>
              </w:rPr>
              <w:t>(12)</w:t>
            </w:r>
            <w:r w:rsidRPr="00FA40C1">
              <w:rPr>
                <w:color w:val="000000" w:themeColor="text1"/>
              </w:rPr>
              <w:tab/>
            </w:r>
            <w:r w:rsidRPr="00FA40C1">
              <w:rPr>
                <w:b/>
                <w:i/>
                <w:color w:val="000000" w:themeColor="text1"/>
              </w:rPr>
              <w:t>La Commission devrait adopter des actes d’exécution immédiatement applicables lorsque, dans des cas dûment justifiés liés au déclenchement du mécanisme de suspension, des raisons d’urgence impérieuses requièrent d’agir promptement, notamment pour prévenir tout abus du régime d’exemption de visa causant un afflux massif de ressortissants de pays tiers arrivant de manière irrégulière sur le territoire des États membres ou une atteinte grave à l’ordre public ou à la sécurité intérieure des États membres.</w:t>
            </w:r>
          </w:p>
        </w:tc>
        <w:tc>
          <w:tcPr>
            <w:tcW w:w="4876" w:type="dxa"/>
          </w:tcPr>
          <w:p w14:paraId="5B779134"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47364CE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9304EB3" w14:textId="77777777" w:rsidR="00804A7C" w:rsidRPr="00FA40C1" w:rsidRDefault="00804A7C" w:rsidP="00804A7C">
      <w:pPr>
        <w:rPr>
          <w:color w:val="000000" w:themeColor="text1"/>
        </w:rPr>
      </w:pPr>
      <w:r w:rsidRPr="00FA40C1">
        <w:rPr>
          <w:rStyle w:val="HideTWBExt"/>
        </w:rPr>
        <w:t>&lt;/Amend&gt;</w:t>
      </w:r>
    </w:p>
    <w:p w14:paraId="5B886A4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45</w:t>
      </w:r>
      <w:r w:rsidRPr="00FA40C1">
        <w:rPr>
          <w:rStyle w:val="HideTWBExt"/>
          <w:b w:val="0"/>
        </w:rPr>
        <w:t>&lt;/NumAm&gt;</w:t>
      </w:r>
    </w:p>
    <w:p w14:paraId="1B6325E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45B0DFA9" w14:textId="77777777" w:rsidR="00804A7C" w:rsidRPr="00FA40C1" w:rsidRDefault="00804A7C" w:rsidP="00804A7C">
      <w:pPr>
        <w:pStyle w:val="NormalBold"/>
        <w:rPr>
          <w:color w:val="000000" w:themeColor="text1"/>
        </w:rPr>
      </w:pPr>
      <w:r w:rsidRPr="00FA40C1">
        <w:rPr>
          <w:rStyle w:val="HideTWBExt"/>
          <w:b w:val="0"/>
        </w:rPr>
        <w:t>&lt;/RepeatBlock-By&gt;</w:t>
      </w:r>
    </w:p>
    <w:p w14:paraId="2D8135B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0F6160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12</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998EB93" w14:textId="77777777" w:rsidTr="00BF4F5C">
        <w:trPr>
          <w:trHeight w:hRule="exact" w:val="240"/>
          <w:jc w:val="center"/>
        </w:trPr>
        <w:tc>
          <w:tcPr>
            <w:tcW w:w="9752" w:type="dxa"/>
            <w:gridSpan w:val="2"/>
          </w:tcPr>
          <w:p w14:paraId="0BB7EA01" w14:textId="77777777" w:rsidR="00804A7C" w:rsidRPr="00FA40C1" w:rsidRDefault="00804A7C" w:rsidP="00BF4F5C">
            <w:pPr>
              <w:rPr>
                <w:color w:val="000000" w:themeColor="text1"/>
              </w:rPr>
            </w:pPr>
          </w:p>
        </w:tc>
      </w:tr>
      <w:tr w:rsidR="00804A7C" w:rsidRPr="00FA40C1" w14:paraId="0CB84962" w14:textId="77777777" w:rsidTr="00BF4F5C">
        <w:trPr>
          <w:trHeight w:val="240"/>
          <w:jc w:val="center"/>
        </w:trPr>
        <w:tc>
          <w:tcPr>
            <w:tcW w:w="4876" w:type="dxa"/>
          </w:tcPr>
          <w:p w14:paraId="6A923D9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752C0B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017D0AD" w14:textId="77777777" w:rsidTr="00BF4F5C">
        <w:trPr>
          <w:jc w:val="center"/>
        </w:trPr>
        <w:tc>
          <w:tcPr>
            <w:tcW w:w="4876" w:type="dxa"/>
          </w:tcPr>
          <w:p w14:paraId="14E3F5B8" w14:textId="77777777" w:rsidR="00804A7C" w:rsidRPr="00FA40C1" w:rsidRDefault="00804A7C" w:rsidP="00BF4F5C">
            <w:pPr>
              <w:pStyle w:val="Normal6a"/>
              <w:rPr>
                <w:color w:val="000000" w:themeColor="text1"/>
              </w:rPr>
            </w:pPr>
            <w:r w:rsidRPr="00FA40C1">
              <w:rPr>
                <w:color w:val="000000" w:themeColor="text1"/>
              </w:rPr>
              <w:t>(12)</w:t>
            </w:r>
            <w:r w:rsidRPr="00FA40C1">
              <w:rPr>
                <w:color w:val="000000" w:themeColor="text1"/>
              </w:rPr>
              <w:tab/>
              <w:t xml:space="preserve">La Commission devrait adopter des actes d’exécution immédiatement applicables lorsque, dans des cas dûment justifiés liés au déclenchement du mécanisme de suspension, </w:t>
            </w:r>
            <w:r w:rsidRPr="00FA40C1">
              <w:rPr>
                <w:b/>
                <w:i/>
                <w:color w:val="000000" w:themeColor="text1"/>
              </w:rPr>
              <w:t>des raisons d’urgence impérieuses requièrent</w:t>
            </w:r>
            <w:r w:rsidRPr="00FA40C1">
              <w:rPr>
                <w:color w:val="000000" w:themeColor="text1"/>
              </w:rPr>
              <w:t xml:space="preserve"> d’agir </w:t>
            </w:r>
            <w:r w:rsidRPr="00FA40C1">
              <w:rPr>
                <w:b/>
                <w:i/>
                <w:color w:val="000000" w:themeColor="text1"/>
              </w:rPr>
              <w:t>promptement</w:t>
            </w:r>
            <w:r w:rsidRPr="00FA40C1">
              <w:rPr>
                <w:color w:val="000000" w:themeColor="text1"/>
              </w:rPr>
              <w:t>, notamment pour prévenir tout abus du régime d’exemption de visa causant un afflux massif de ressortissants de pays tiers arrivant de manière irrégulière sur le territoire des États membres ou une atteinte grave à l’ordre public ou à la sécurité intérieure des États membres.</w:t>
            </w:r>
          </w:p>
        </w:tc>
        <w:tc>
          <w:tcPr>
            <w:tcW w:w="4876" w:type="dxa"/>
          </w:tcPr>
          <w:p w14:paraId="08564167" w14:textId="77777777" w:rsidR="00804A7C" w:rsidRPr="00FA40C1" w:rsidRDefault="00804A7C" w:rsidP="00BF4F5C">
            <w:pPr>
              <w:pStyle w:val="Normal6a"/>
              <w:rPr>
                <w:color w:val="000000" w:themeColor="text1"/>
              </w:rPr>
            </w:pPr>
            <w:r w:rsidRPr="00FA40C1">
              <w:rPr>
                <w:color w:val="000000" w:themeColor="text1"/>
              </w:rPr>
              <w:t>(12)</w:t>
            </w:r>
            <w:r w:rsidRPr="00FA40C1">
              <w:rPr>
                <w:color w:val="000000" w:themeColor="text1"/>
              </w:rPr>
              <w:tab/>
              <w:t xml:space="preserve">La Commission devrait adopter des actes d’exécution immédiatement applicables lorsque, dans des cas dûment justifiés liés au déclenchement du mécanisme de suspension, </w:t>
            </w:r>
            <w:r w:rsidRPr="00FA40C1">
              <w:rPr>
                <w:b/>
                <w:i/>
                <w:color w:val="000000" w:themeColor="text1"/>
              </w:rPr>
              <w:t>une menace grave pour l’ordre public ou la sécurité intérieure d’un État membre au sens de l’article 8 bis, point d), est imprévisible et requiert</w:t>
            </w:r>
            <w:r w:rsidRPr="00FA40C1">
              <w:rPr>
                <w:color w:val="000000" w:themeColor="text1"/>
              </w:rPr>
              <w:t xml:space="preserve"> d’agir </w:t>
            </w:r>
            <w:r w:rsidRPr="00FA40C1">
              <w:rPr>
                <w:b/>
                <w:i/>
                <w:color w:val="000000" w:themeColor="text1"/>
              </w:rPr>
              <w:t>immédiatement</w:t>
            </w:r>
            <w:r w:rsidRPr="00FA40C1">
              <w:rPr>
                <w:color w:val="000000" w:themeColor="text1"/>
              </w:rPr>
              <w:t>, notamment pour prévenir tout abus du régime d’exemption de visa causant un afflux massif de ressortissants de pays tiers arrivant de manière irrégulière sur le territoire des États membres ou une atteinte grave à l’ordre public ou à la sécurité intérieure des États membres.</w:t>
            </w:r>
          </w:p>
        </w:tc>
      </w:tr>
    </w:tbl>
    <w:p w14:paraId="5CAD68E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39DF056" w14:textId="77777777" w:rsidR="00804A7C" w:rsidRPr="00FA40C1" w:rsidRDefault="00804A7C" w:rsidP="00804A7C">
      <w:pPr>
        <w:rPr>
          <w:color w:val="000000" w:themeColor="text1"/>
        </w:rPr>
      </w:pPr>
      <w:r w:rsidRPr="00FA40C1">
        <w:rPr>
          <w:rStyle w:val="HideTWBExt"/>
        </w:rPr>
        <w:t>&lt;/Amend&gt;</w:t>
      </w:r>
    </w:p>
    <w:p w14:paraId="2B695BD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46</w:t>
      </w:r>
      <w:r w:rsidRPr="00FA40C1">
        <w:rPr>
          <w:rStyle w:val="HideTWBExt"/>
          <w:b w:val="0"/>
        </w:rPr>
        <w:t>&lt;/NumAm&gt;</w:t>
      </w:r>
    </w:p>
    <w:p w14:paraId="03F40DF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4C85036" w14:textId="77777777" w:rsidR="00804A7C" w:rsidRPr="00FA40C1" w:rsidRDefault="00804A7C" w:rsidP="00804A7C">
      <w:pPr>
        <w:pStyle w:val="NormalBold"/>
        <w:rPr>
          <w:color w:val="000000" w:themeColor="text1"/>
        </w:rPr>
      </w:pPr>
      <w:r w:rsidRPr="00FA40C1">
        <w:rPr>
          <w:rStyle w:val="HideTWBExt"/>
          <w:b w:val="0"/>
        </w:rPr>
        <w:t>&lt;/RepeatBlock-By&gt;</w:t>
      </w:r>
    </w:p>
    <w:p w14:paraId="53BA0A2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324282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Considérant 13</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7F60267" w14:textId="77777777" w:rsidTr="00BF4F5C">
        <w:trPr>
          <w:trHeight w:hRule="exact" w:val="240"/>
          <w:jc w:val="center"/>
        </w:trPr>
        <w:tc>
          <w:tcPr>
            <w:tcW w:w="9752" w:type="dxa"/>
            <w:gridSpan w:val="2"/>
          </w:tcPr>
          <w:p w14:paraId="3D260E0E" w14:textId="77777777" w:rsidR="00804A7C" w:rsidRPr="00FA40C1" w:rsidRDefault="00804A7C" w:rsidP="00BF4F5C">
            <w:pPr>
              <w:rPr>
                <w:color w:val="000000" w:themeColor="text1"/>
              </w:rPr>
            </w:pPr>
          </w:p>
        </w:tc>
      </w:tr>
      <w:tr w:rsidR="00804A7C" w:rsidRPr="00FA40C1" w14:paraId="3D5F2E76" w14:textId="77777777" w:rsidTr="00BF4F5C">
        <w:trPr>
          <w:trHeight w:val="240"/>
          <w:jc w:val="center"/>
        </w:trPr>
        <w:tc>
          <w:tcPr>
            <w:tcW w:w="4876" w:type="dxa"/>
          </w:tcPr>
          <w:p w14:paraId="33C7290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A7D8B8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85BD51A" w14:textId="77777777" w:rsidTr="00BF4F5C">
        <w:trPr>
          <w:jc w:val="center"/>
        </w:trPr>
        <w:tc>
          <w:tcPr>
            <w:tcW w:w="4876" w:type="dxa"/>
          </w:tcPr>
          <w:p w14:paraId="07862C21" w14:textId="77777777" w:rsidR="00804A7C" w:rsidRPr="00FA40C1" w:rsidRDefault="00804A7C" w:rsidP="00BF4F5C">
            <w:pPr>
              <w:pStyle w:val="Normal6a"/>
              <w:rPr>
                <w:color w:val="000000" w:themeColor="text1"/>
              </w:rPr>
            </w:pPr>
            <w:r w:rsidRPr="00FA40C1">
              <w:rPr>
                <w:color w:val="000000" w:themeColor="text1"/>
              </w:rPr>
              <w:t>(13)</w:t>
            </w:r>
            <w:r w:rsidRPr="00FA40C1">
              <w:rPr>
                <w:color w:val="000000" w:themeColor="text1"/>
              </w:rPr>
              <w:tab/>
              <w:t>La suspension temporaire devrait être levée dès qu’il est remédié aux circonstances qui ont conduit à la suspension avant la fin de la période de suspension. À cet effet, la Commission devrait adopter</w:t>
            </w:r>
            <w:r w:rsidRPr="00FA40C1">
              <w:rPr>
                <w:b/>
                <w:i/>
                <w:color w:val="000000" w:themeColor="text1"/>
              </w:rPr>
              <w:t>, respectivement, un acte d’exécution, avant la fin de la période de suspension prévue dans l’acte d’exécution concerné, et un acte délégué,</w:t>
            </w:r>
            <w:r w:rsidRPr="00FA40C1">
              <w:rPr>
                <w:color w:val="000000" w:themeColor="text1"/>
              </w:rPr>
              <w:t xml:space="preserve"> avant la fin de la période de suspension prévue dans </w:t>
            </w:r>
            <w:r w:rsidRPr="00FA40C1">
              <w:rPr>
                <w:b/>
                <w:i/>
                <w:color w:val="000000" w:themeColor="text1"/>
              </w:rPr>
              <w:t>l’acte délégué concerné</w:t>
            </w:r>
            <w:r w:rsidRPr="00FA40C1">
              <w:rPr>
                <w:color w:val="000000" w:themeColor="text1"/>
              </w:rPr>
              <w:t>.</w:t>
            </w:r>
          </w:p>
        </w:tc>
        <w:tc>
          <w:tcPr>
            <w:tcW w:w="4876" w:type="dxa"/>
          </w:tcPr>
          <w:p w14:paraId="41579780" w14:textId="77777777" w:rsidR="00804A7C" w:rsidRPr="00FA40C1" w:rsidRDefault="00804A7C" w:rsidP="00BF4F5C">
            <w:pPr>
              <w:pStyle w:val="Normal6a"/>
              <w:rPr>
                <w:color w:val="000000" w:themeColor="text1"/>
              </w:rPr>
            </w:pPr>
            <w:r w:rsidRPr="00FA40C1">
              <w:rPr>
                <w:color w:val="000000" w:themeColor="text1"/>
              </w:rPr>
              <w:t>(13)</w:t>
            </w:r>
            <w:r w:rsidRPr="00FA40C1">
              <w:rPr>
                <w:color w:val="000000" w:themeColor="text1"/>
              </w:rPr>
              <w:tab/>
              <w:t xml:space="preserve">La suspension temporaire devrait être levée dès qu’il est remédié aux circonstances qui ont conduit à la suspension avant la fin de la période de suspension </w:t>
            </w:r>
            <w:r w:rsidRPr="00FA40C1">
              <w:rPr>
                <w:b/>
                <w:i/>
                <w:color w:val="000000" w:themeColor="text1"/>
              </w:rPr>
              <w:t>ou lorsque la suspension se révèle inefficace pour remédier à la situation</w:t>
            </w:r>
            <w:r w:rsidRPr="00FA40C1">
              <w:rPr>
                <w:color w:val="000000" w:themeColor="text1"/>
              </w:rPr>
              <w:t xml:space="preserve">. À cet effet, la Commission devrait adopter </w:t>
            </w:r>
            <w:r w:rsidRPr="00FA40C1">
              <w:rPr>
                <w:b/>
                <w:i/>
                <w:color w:val="000000" w:themeColor="text1"/>
              </w:rPr>
              <w:t>des actes délégués</w:t>
            </w:r>
            <w:r w:rsidRPr="00FA40C1">
              <w:rPr>
                <w:color w:val="000000" w:themeColor="text1"/>
              </w:rPr>
              <w:t xml:space="preserve"> avant la fin de la période de suspension prévue dans </w:t>
            </w:r>
            <w:r w:rsidRPr="00FA40C1">
              <w:rPr>
                <w:b/>
                <w:i/>
                <w:color w:val="000000" w:themeColor="text1"/>
              </w:rPr>
              <w:t>les actes délégués concernés</w:t>
            </w:r>
            <w:r w:rsidRPr="00FA40C1">
              <w:rPr>
                <w:color w:val="000000" w:themeColor="text1"/>
              </w:rPr>
              <w:t>.</w:t>
            </w:r>
          </w:p>
        </w:tc>
      </w:tr>
    </w:tbl>
    <w:p w14:paraId="560B2AD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577AFF6" w14:textId="77777777" w:rsidR="00804A7C" w:rsidRPr="00FA40C1" w:rsidRDefault="00804A7C" w:rsidP="00804A7C">
      <w:pPr>
        <w:rPr>
          <w:color w:val="000000" w:themeColor="text1"/>
        </w:rPr>
      </w:pPr>
      <w:r w:rsidRPr="00FA40C1">
        <w:rPr>
          <w:rStyle w:val="HideTWBExt"/>
        </w:rPr>
        <w:t>&lt;/Amend&gt;</w:t>
      </w:r>
    </w:p>
    <w:p w14:paraId="4AB096A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47</w:t>
      </w:r>
      <w:r w:rsidRPr="00FA40C1">
        <w:rPr>
          <w:rStyle w:val="HideTWBExt"/>
          <w:b w:val="0"/>
        </w:rPr>
        <w:t>&lt;/NumAm&gt;</w:t>
      </w:r>
    </w:p>
    <w:p w14:paraId="7391042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Moritz Körner, Sophia in ‘t Veld</w:t>
      </w:r>
      <w:r w:rsidRPr="00FA40C1">
        <w:rPr>
          <w:rStyle w:val="HideTWBExt"/>
          <w:b w:val="0"/>
        </w:rPr>
        <w:t>&lt;/Members&gt;</w:t>
      </w:r>
    </w:p>
    <w:p w14:paraId="1D5A006D" w14:textId="77777777" w:rsidR="00804A7C" w:rsidRPr="00FA40C1" w:rsidRDefault="00804A7C" w:rsidP="00804A7C">
      <w:pPr>
        <w:pStyle w:val="NormalBold"/>
        <w:rPr>
          <w:color w:val="000000" w:themeColor="text1"/>
        </w:rPr>
      </w:pPr>
      <w:r w:rsidRPr="00FA40C1">
        <w:rPr>
          <w:rStyle w:val="HideTWBExt"/>
          <w:b w:val="0"/>
        </w:rPr>
        <w:t>&lt;/RepeatBlock-By&gt;</w:t>
      </w:r>
    </w:p>
    <w:p w14:paraId="20CF139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32E5D7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-1 (nouveau)</w:t>
      </w:r>
      <w:r w:rsidRPr="00FA40C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5B41D5B" w14:textId="77777777" w:rsidTr="00BF4F5C">
        <w:trPr>
          <w:trHeight w:hRule="exact" w:val="240"/>
          <w:jc w:val="center"/>
        </w:trPr>
        <w:tc>
          <w:tcPr>
            <w:tcW w:w="9752" w:type="dxa"/>
            <w:gridSpan w:val="2"/>
          </w:tcPr>
          <w:p w14:paraId="64C49C7C" w14:textId="77777777" w:rsidR="00804A7C" w:rsidRPr="00FA40C1" w:rsidRDefault="00804A7C" w:rsidP="00BF4F5C">
            <w:pPr>
              <w:rPr>
                <w:color w:val="000000" w:themeColor="text1"/>
              </w:rPr>
            </w:pPr>
          </w:p>
        </w:tc>
      </w:tr>
      <w:tr w:rsidR="00804A7C" w:rsidRPr="00FA40C1" w14:paraId="41A270BA" w14:textId="77777777" w:rsidTr="00BF4F5C">
        <w:trPr>
          <w:trHeight w:val="240"/>
          <w:jc w:val="center"/>
        </w:trPr>
        <w:tc>
          <w:tcPr>
            <w:tcW w:w="4876" w:type="dxa"/>
          </w:tcPr>
          <w:p w14:paraId="49D723D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D87E67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9DDDD83" w14:textId="77777777" w:rsidTr="00BF4F5C">
        <w:trPr>
          <w:jc w:val="center"/>
        </w:trPr>
        <w:tc>
          <w:tcPr>
            <w:tcW w:w="4876" w:type="dxa"/>
          </w:tcPr>
          <w:p w14:paraId="0FCB5A34" w14:textId="77777777" w:rsidR="00804A7C" w:rsidRPr="00FA40C1" w:rsidRDefault="00804A7C" w:rsidP="00BF4F5C">
            <w:pPr>
              <w:pStyle w:val="Normal6a"/>
              <w:rPr>
                <w:color w:val="000000" w:themeColor="text1"/>
              </w:rPr>
            </w:pPr>
          </w:p>
        </w:tc>
        <w:tc>
          <w:tcPr>
            <w:tcW w:w="4876" w:type="dxa"/>
          </w:tcPr>
          <w:p w14:paraId="07502D13" w14:textId="77777777" w:rsidR="00804A7C" w:rsidRPr="00FA40C1" w:rsidRDefault="00804A7C" w:rsidP="00BF4F5C">
            <w:pPr>
              <w:pStyle w:val="Normal6a"/>
              <w:rPr>
                <w:color w:val="000000" w:themeColor="text1"/>
              </w:rPr>
            </w:pPr>
            <w:r w:rsidRPr="00FA40C1">
              <w:rPr>
                <w:b/>
                <w:i/>
                <w:color w:val="000000" w:themeColor="text1"/>
              </w:rPr>
              <w:t>-1)</w:t>
            </w:r>
            <w:r w:rsidRPr="00FA40C1">
              <w:rPr>
                <w:color w:val="000000" w:themeColor="text1"/>
              </w:rPr>
              <w:tab/>
            </w:r>
            <w:r w:rsidRPr="00FA40C1">
              <w:rPr>
                <w:b/>
                <w:i/>
                <w:color w:val="000000" w:themeColor="text1"/>
              </w:rPr>
              <w:t>À l’article 7, le point d) est remplacé par le texte suivant:</w:t>
            </w:r>
          </w:p>
        </w:tc>
      </w:tr>
      <w:tr w:rsidR="00804A7C" w:rsidRPr="00FA40C1" w14:paraId="435C9934" w14:textId="77777777" w:rsidTr="00BF4F5C">
        <w:trPr>
          <w:jc w:val="center"/>
        </w:trPr>
        <w:tc>
          <w:tcPr>
            <w:tcW w:w="4876" w:type="dxa"/>
          </w:tcPr>
          <w:p w14:paraId="3F87B97D" w14:textId="77777777" w:rsidR="00804A7C" w:rsidRPr="00FA40C1" w:rsidRDefault="00804A7C" w:rsidP="00BF4F5C">
            <w:pPr>
              <w:pStyle w:val="Normal6a"/>
              <w:rPr>
                <w:color w:val="000000" w:themeColor="text1"/>
              </w:rPr>
            </w:pPr>
          </w:p>
        </w:tc>
        <w:tc>
          <w:tcPr>
            <w:tcW w:w="4876" w:type="dxa"/>
          </w:tcPr>
          <w:p w14:paraId="54E3D483" w14:textId="77777777" w:rsidR="00804A7C" w:rsidRPr="00FA40C1" w:rsidRDefault="00804A7C" w:rsidP="00BF4F5C">
            <w:pPr>
              <w:pStyle w:val="Normal6a"/>
              <w:rPr>
                <w:color w:val="000000" w:themeColor="text1"/>
              </w:rPr>
            </w:pPr>
            <w:r w:rsidRPr="00FA40C1">
              <w:rPr>
                <w:b/>
                <w:i/>
                <w:color w:val="000000" w:themeColor="text1"/>
              </w:rPr>
              <w:t>d) lorsqu’elle envisage de nouvelles mesures conformément au point e) ou h), la Commission tient compte des effets des mesures prises par l’État membre concerné en vue d’assurer l’exemption de l’obligation de visa avec le pays tiers en cause, des démarches entamées conformément au point b), et des conséquences de la suspension de l’exemption de l’obligation de visa pour les relations externes de l’Union et de ses États membres avec le pays tiers en cause;</w:t>
            </w:r>
          </w:p>
        </w:tc>
      </w:tr>
    </w:tbl>
    <w:p w14:paraId="526E442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B391AA0"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08BF6E81" w14:textId="77777777" w:rsidR="00804A7C" w:rsidRPr="00FA40C1" w:rsidRDefault="00804A7C" w:rsidP="00804A7C">
      <w:pPr>
        <w:pStyle w:val="AmJustText"/>
        <w:rPr>
          <w:color w:val="000000" w:themeColor="text1"/>
        </w:rPr>
      </w:pPr>
      <w:r w:rsidRPr="00FA40C1">
        <w:rPr>
          <w:color w:val="000000" w:themeColor="text1"/>
        </w:rPr>
        <w:t>Si cet amendement est adopté, la Commission sera enfin contrainte d’assurer la réciprocité en matière de visa pour tous les citoyens de l’Union. Le Parlement a poursuivi la Commission en justice car cette dernière n’a pas pris les mesures nécessaires sur le plan juridique pour assurer la réciprocité en matière de visa pour les citoyens bulgares, chypriotes et roumains avec les pays tiers. Cet amendement supprime simplement la référence au point f) dans l’article 7, point d) [qui ne fait donc plus référence qu’aux points e) et h)], et supprime par là même l’excuse utilisée par la Commission pour ne pas agir comme l’attendait le Parlement depuis 2014.</w:t>
      </w:r>
    </w:p>
    <w:p w14:paraId="32FF0070" w14:textId="77777777" w:rsidR="00804A7C" w:rsidRPr="00FA40C1" w:rsidRDefault="00804A7C" w:rsidP="00804A7C">
      <w:pPr>
        <w:rPr>
          <w:color w:val="000000" w:themeColor="text1"/>
        </w:rPr>
      </w:pPr>
      <w:r w:rsidRPr="00FA40C1">
        <w:rPr>
          <w:rStyle w:val="HideTWBExt"/>
        </w:rPr>
        <w:t>&lt;/Amend&gt;</w:t>
      </w:r>
    </w:p>
    <w:p w14:paraId="3ED8D40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48</w:t>
      </w:r>
      <w:r w:rsidRPr="00FA40C1">
        <w:rPr>
          <w:rStyle w:val="HideTWBExt"/>
          <w:b w:val="0"/>
        </w:rPr>
        <w:t>&lt;/NumAm&gt;</w:t>
      </w:r>
    </w:p>
    <w:p w14:paraId="1F4A334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7C9D3F58" w14:textId="77777777" w:rsidR="00804A7C" w:rsidRPr="00FA40C1" w:rsidRDefault="00804A7C" w:rsidP="00804A7C">
      <w:pPr>
        <w:pStyle w:val="NormalBold"/>
        <w:rPr>
          <w:color w:val="000000" w:themeColor="text1"/>
        </w:rPr>
      </w:pPr>
      <w:r w:rsidRPr="00FA40C1">
        <w:rPr>
          <w:rStyle w:val="HideTWBExt"/>
          <w:b w:val="0"/>
        </w:rPr>
        <w:t>&lt;/RepeatBlock-By&gt;</w:t>
      </w:r>
    </w:p>
    <w:p w14:paraId="3794010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3F8B00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1</w:t>
      </w:r>
      <w:r w:rsidRPr="00FA40C1">
        <w:rPr>
          <w:rStyle w:val="HideTWBExt"/>
          <w:b w:val="0"/>
        </w:rPr>
        <w:t>&lt;/Article&gt;</w:t>
      </w:r>
    </w:p>
    <w:p w14:paraId="3685DCC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872944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9639CC0" w14:textId="77777777" w:rsidTr="00BF4F5C">
        <w:trPr>
          <w:trHeight w:hRule="exact" w:val="240"/>
          <w:jc w:val="center"/>
        </w:trPr>
        <w:tc>
          <w:tcPr>
            <w:tcW w:w="9752" w:type="dxa"/>
            <w:gridSpan w:val="2"/>
          </w:tcPr>
          <w:p w14:paraId="6EAF6286" w14:textId="77777777" w:rsidR="00804A7C" w:rsidRPr="00FA40C1" w:rsidRDefault="00804A7C" w:rsidP="00BF4F5C">
            <w:pPr>
              <w:rPr>
                <w:color w:val="000000" w:themeColor="text1"/>
              </w:rPr>
            </w:pPr>
          </w:p>
        </w:tc>
      </w:tr>
      <w:tr w:rsidR="00804A7C" w:rsidRPr="00FA40C1" w14:paraId="0228CED7" w14:textId="77777777" w:rsidTr="00BF4F5C">
        <w:trPr>
          <w:trHeight w:val="240"/>
          <w:jc w:val="center"/>
        </w:trPr>
        <w:tc>
          <w:tcPr>
            <w:tcW w:w="4876" w:type="dxa"/>
          </w:tcPr>
          <w:p w14:paraId="5D81452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3467CA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6D970D9" w14:textId="77777777" w:rsidTr="00BF4F5C">
        <w:trPr>
          <w:jc w:val="center"/>
        </w:trPr>
        <w:tc>
          <w:tcPr>
            <w:tcW w:w="4876" w:type="dxa"/>
          </w:tcPr>
          <w:p w14:paraId="7293BC1C" w14:textId="77777777" w:rsidR="00804A7C" w:rsidRPr="00FA40C1" w:rsidRDefault="00804A7C" w:rsidP="00BF4F5C">
            <w:pPr>
              <w:pStyle w:val="Normal6a"/>
              <w:rPr>
                <w:color w:val="000000" w:themeColor="text1"/>
              </w:rPr>
            </w:pPr>
            <w:r w:rsidRPr="00FA40C1">
              <w:rPr>
                <w:b/>
                <w:i/>
                <w:color w:val="000000" w:themeColor="text1"/>
              </w:rPr>
              <w:t>2.</w:t>
            </w:r>
            <w:r w:rsidRPr="00FA40C1">
              <w:rPr>
                <w:color w:val="000000" w:themeColor="text1"/>
              </w:rPr>
              <w:tab/>
            </w:r>
            <w:r w:rsidRPr="00FA40C1">
              <w:rPr>
                <w:b/>
                <w:i/>
                <w:color w:val="000000" w:themeColor="text1"/>
              </w:rPr>
              <w:t>Dans les cas où un accord d’exemption de visa de court séjour entre l’Union et un pays tiers figurant sur la liste de l’annexe II contient des dispositions prévoyant des motifs ou des procédures de suspension différents, ces dispositions sont appliquées en lieu et place des articles 8 bis, 8 sexies et 8 septies du présent règlement.</w:t>
            </w:r>
          </w:p>
        </w:tc>
        <w:tc>
          <w:tcPr>
            <w:tcW w:w="4876" w:type="dxa"/>
          </w:tcPr>
          <w:p w14:paraId="28A46C3F"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1ECB050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D8BDED6" w14:textId="77777777" w:rsidR="00804A7C" w:rsidRPr="00FA40C1" w:rsidRDefault="00804A7C" w:rsidP="00804A7C">
      <w:pPr>
        <w:rPr>
          <w:color w:val="000000" w:themeColor="text1"/>
        </w:rPr>
      </w:pPr>
      <w:r w:rsidRPr="00FA40C1">
        <w:rPr>
          <w:rStyle w:val="HideTWBExt"/>
        </w:rPr>
        <w:t>&lt;/Amend&gt;</w:t>
      </w:r>
    </w:p>
    <w:p w14:paraId="31DDC4C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49</w:t>
      </w:r>
      <w:r w:rsidRPr="00FA40C1">
        <w:rPr>
          <w:rStyle w:val="HideTWBExt"/>
          <w:b w:val="0"/>
        </w:rPr>
        <w:t>&lt;/NumAm&gt;</w:t>
      </w:r>
    </w:p>
    <w:p w14:paraId="23D4104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1980E898" w14:textId="77777777" w:rsidR="00804A7C" w:rsidRPr="00FA40C1" w:rsidRDefault="00804A7C" w:rsidP="00804A7C">
      <w:pPr>
        <w:pStyle w:val="NormalBold"/>
        <w:rPr>
          <w:color w:val="000000" w:themeColor="text1"/>
        </w:rPr>
      </w:pPr>
      <w:r w:rsidRPr="00FA40C1">
        <w:rPr>
          <w:rStyle w:val="HideTWBExt"/>
          <w:b w:val="0"/>
        </w:rPr>
        <w:t>&lt;/RepeatBlock-By&gt;</w:t>
      </w:r>
    </w:p>
    <w:p w14:paraId="0167CFE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6A0518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1</w:t>
      </w:r>
      <w:r w:rsidRPr="00FA40C1">
        <w:rPr>
          <w:rStyle w:val="HideTWBExt"/>
          <w:b w:val="0"/>
        </w:rPr>
        <w:t>&lt;/Article&gt;</w:t>
      </w:r>
    </w:p>
    <w:p w14:paraId="4F63D65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422705D"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7369A67" w14:textId="77777777" w:rsidTr="00BF4F5C">
        <w:trPr>
          <w:trHeight w:hRule="exact" w:val="240"/>
          <w:jc w:val="center"/>
        </w:trPr>
        <w:tc>
          <w:tcPr>
            <w:tcW w:w="9752" w:type="dxa"/>
            <w:gridSpan w:val="2"/>
          </w:tcPr>
          <w:p w14:paraId="783D6AC9" w14:textId="77777777" w:rsidR="00804A7C" w:rsidRPr="00FA40C1" w:rsidRDefault="00804A7C" w:rsidP="00BF4F5C">
            <w:pPr>
              <w:rPr>
                <w:color w:val="000000" w:themeColor="text1"/>
              </w:rPr>
            </w:pPr>
          </w:p>
        </w:tc>
      </w:tr>
      <w:tr w:rsidR="00804A7C" w:rsidRPr="00FA40C1" w14:paraId="6A0D6742" w14:textId="77777777" w:rsidTr="00BF4F5C">
        <w:trPr>
          <w:trHeight w:val="240"/>
          <w:jc w:val="center"/>
        </w:trPr>
        <w:tc>
          <w:tcPr>
            <w:tcW w:w="4876" w:type="dxa"/>
          </w:tcPr>
          <w:p w14:paraId="34CE452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83F939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163C8C2" w14:textId="77777777" w:rsidTr="00BF4F5C">
        <w:trPr>
          <w:jc w:val="center"/>
        </w:trPr>
        <w:tc>
          <w:tcPr>
            <w:tcW w:w="4876" w:type="dxa"/>
          </w:tcPr>
          <w:p w14:paraId="1F3F4EA8"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Dans les cas où un accord d’exemption de visa de court séjour entre l’Union et un pays tiers figurant sur la liste de l’annexe II </w:t>
            </w:r>
            <w:r w:rsidRPr="00FA40C1">
              <w:rPr>
                <w:b/>
                <w:i/>
                <w:color w:val="000000" w:themeColor="text1"/>
              </w:rPr>
              <w:t>contient des dispositions prévoyant des motifs ou des procédures de suspension différents</w:t>
            </w:r>
            <w:r w:rsidRPr="00FA40C1">
              <w:rPr>
                <w:color w:val="000000" w:themeColor="text1"/>
              </w:rPr>
              <w:t xml:space="preserve">, </w:t>
            </w:r>
            <w:r w:rsidRPr="00FA40C1">
              <w:rPr>
                <w:b/>
                <w:i/>
                <w:color w:val="000000" w:themeColor="text1"/>
              </w:rPr>
              <w:t>ces dispositions sont appliquées en lieu et place des</w:t>
            </w:r>
            <w:r w:rsidRPr="00FA40C1">
              <w:rPr>
                <w:color w:val="000000" w:themeColor="text1"/>
              </w:rPr>
              <w:t xml:space="preserve"> articles 8 bis, 8 sexies et 8 septies du présent règlement.</w:t>
            </w:r>
          </w:p>
        </w:tc>
        <w:tc>
          <w:tcPr>
            <w:tcW w:w="4876" w:type="dxa"/>
          </w:tcPr>
          <w:p w14:paraId="5AB94A49"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Dans les cas où un accord d’exemption de visa de court séjour entre l’Union et un pays tiers figurant sur la liste de l’annexe II </w:t>
            </w:r>
            <w:r w:rsidRPr="00FA40C1">
              <w:rPr>
                <w:b/>
                <w:i/>
                <w:color w:val="000000" w:themeColor="text1"/>
              </w:rPr>
              <w:t>a été conclu</w:t>
            </w:r>
            <w:r w:rsidRPr="00FA40C1">
              <w:rPr>
                <w:color w:val="000000" w:themeColor="text1"/>
              </w:rPr>
              <w:t xml:space="preserve">, </w:t>
            </w:r>
            <w:r w:rsidRPr="00FA40C1">
              <w:rPr>
                <w:b/>
                <w:i/>
                <w:color w:val="000000" w:themeColor="text1"/>
              </w:rPr>
              <w:t>les</w:t>
            </w:r>
            <w:r w:rsidRPr="00FA40C1">
              <w:rPr>
                <w:color w:val="000000" w:themeColor="text1"/>
              </w:rPr>
              <w:t xml:space="preserve"> articles 8 bis, 8 sexies et 8 septies du présent règlement </w:t>
            </w:r>
            <w:r w:rsidRPr="00FA40C1">
              <w:rPr>
                <w:b/>
                <w:i/>
                <w:color w:val="000000" w:themeColor="text1"/>
              </w:rPr>
              <w:t>s’appliquent sans préjudice des dispositions pertinentes relatives aux motifs de suspension et aux procédures prévues dans l’accord</w:t>
            </w:r>
            <w:r w:rsidRPr="00FA40C1">
              <w:rPr>
                <w:color w:val="000000" w:themeColor="text1"/>
              </w:rPr>
              <w:t>.</w:t>
            </w:r>
          </w:p>
        </w:tc>
      </w:tr>
    </w:tbl>
    <w:p w14:paraId="3C19861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A3991AC" w14:textId="77777777" w:rsidR="00804A7C" w:rsidRPr="00FA40C1" w:rsidRDefault="00804A7C" w:rsidP="00804A7C">
      <w:pPr>
        <w:rPr>
          <w:color w:val="000000" w:themeColor="text1"/>
        </w:rPr>
      </w:pPr>
      <w:r w:rsidRPr="00FA40C1">
        <w:rPr>
          <w:rStyle w:val="HideTWBExt"/>
        </w:rPr>
        <w:t>&lt;/Amend&gt;</w:t>
      </w:r>
    </w:p>
    <w:p w14:paraId="22840D1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50</w:t>
      </w:r>
      <w:r w:rsidRPr="00FA40C1">
        <w:rPr>
          <w:rStyle w:val="HideTWBExt"/>
          <w:b w:val="0"/>
        </w:rPr>
        <w:t>&lt;/NumAm&gt;</w:t>
      </w:r>
    </w:p>
    <w:p w14:paraId="3EF8094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4C887FF2" w14:textId="77777777" w:rsidR="00804A7C" w:rsidRPr="00FA40C1" w:rsidRDefault="00804A7C" w:rsidP="00804A7C">
      <w:pPr>
        <w:pStyle w:val="NormalBold"/>
        <w:rPr>
          <w:color w:val="000000" w:themeColor="text1"/>
        </w:rPr>
      </w:pPr>
      <w:r w:rsidRPr="00FA40C1">
        <w:rPr>
          <w:rStyle w:val="HideTWBExt"/>
          <w:b w:val="0"/>
        </w:rPr>
        <w:t>&lt;/RepeatBlock-By&gt;</w:t>
      </w:r>
    </w:p>
    <w:p w14:paraId="2BA145A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4F8D56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91EC44E"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C5DA48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357A09A" w14:textId="77777777" w:rsidTr="00BF4F5C">
        <w:trPr>
          <w:trHeight w:hRule="exact" w:val="240"/>
          <w:jc w:val="center"/>
        </w:trPr>
        <w:tc>
          <w:tcPr>
            <w:tcW w:w="9752" w:type="dxa"/>
            <w:gridSpan w:val="2"/>
          </w:tcPr>
          <w:p w14:paraId="5F7E823F" w14:textId="77777777" w:rsidR="00804A7C" w:rsidRPr="00FA40C1" w:rsidRDefault="00804A7C" w:rsidP="00BF4F5C">
            <w:pPr>
              <w:rPr>
                <w:color w:val="000000" w:themeColor="text1"/>
              </w:rPr>
            </w:pPr>
          </w:p>
        </w:tc>
      </w:tr>
      <w:tr w:rsidR="00804A7C" w:rsidRPr="00FA40C1" w14:paraId="7EC6AEA9" w14:textId="77777777" w:rsidTr="00BF4F5C">
        <w:trPr>
          <w:trHeight w:val="240"/>
          <w:jc w:val="center"/>
        </w:trPr>
        <w:tc>
          <w:tcPr>
            <w:tcW w:w="4876" w:type="dxa"/>
          </w:tcPr>
          <w:p w14:paraId="23B8F52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9A0F43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20237BD" w14:textId="77777777" w:rsidTr="00BF4F5C">
        <w:trPr>
          <w:jc w:val="center"/>
        </w:trPr>
        <w:tc>
          <w:tcPr>
            <w:tcW w:w="4876" w:type="dxa"/>
          </w:tcPr>
          <w:p w14:paraId="272775D1"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Le mécanisme de suspension peut être déclenché pour </w:t>
            </w:r>
            <w:r w:rsidRPr="00FA40C1">
              <w:rPr>
                <w:b/>
                <w:i/>
                <w:color w:val="000000" w:themeColor="text1"/>
              </w:rPr>
              <w:t>les</w:t>
            </w:r>
            <w:r w:rsidRPr="00FA40C1">
              <w:rPr>
                <w:color w:val="000000" w:themeColor="text1"/>
              </w:rPr>
              <w:t xml:space="preserve"> motifs suivants:</w:t>
            </w:r>
          </w:p>
        </w:tc>
        <w:tc>
          <w:tcPr>
            <w:tcW w:w="4876" w:type="dxa"/>
          </w:tcPr>
          <w:p w14:paraId="2FDFA679"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Le mécanisme de suspension peut être déclenché pour </w:t>
            </w:r>
            <w:r w:rsidRPr="00FA40C1">
              <w:rPr>
                <w:b/>
                <w:i/>
                <w:color w:val="000000" w:themeColor="text1"/>
              </w:rPr>
              <w:t>un ou plusieurs des</w:t>
            </w:r>
            <w:r w:rsidRPr="00FA40C1">
              <w:rPr>
                <w:color w:val="000000" w:themeColor="text1"/>
              </w:rPr>
              <w:t xml:space="preserve"> motifs suivants:</w:t>
            </w:r>
          </w:p>
        </w:tc>
      </w:tr>
    </w:tbl>
    <w:p w14:paraId="1A2127F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5066A66" w14:textId="77777777" w:rsidR="00804A7C" w:rsidRPr="00FA40C1" w:rsidRDefault="00804A7C" w:rsidP="00804A7C">
      <w:pPr>
        <w:rPr>
          <w:color w:val="000000" w:themeColor="text1"/>
        </w:rPr>
      </w:pPr>
      <w:r w:rsidRPr="00FA40C1">
        <w:rPr>
          <w:rStyle w:val="HideTWBExt"/>
        </w:rPr>
        <w:t>&lt;/Amend&gt;</w:t>
      </w:r>
    </w:p>
    <w:p w14:paraId="33C5637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51</w:t>
      </w:r>
      <w:r w:rsidRPr="00FA40C1">
        <w:rPr>
          <w:rStyle w:val="HideTWBExt"/>
          <w:b w:val="0"/>
        </w:rPr>
        <w:t>&lt;/NumAm&gt;</w:t>
      </w:r>
    </w:p>
    <w:p w14:paraId="3684EDF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24AA2FF7" w14:textId="77777777" w:rsidR="00804A7C" w:rsidRPr="00FA40C1" w:rsidRDefault="00804A7C" w:rsidP="00804A7C">
      <w:pPr>
        <w:pStyle w:val="NormalBold"/>
        <w:rPr>
          <w:color w:val="000000" w:themeColor="text1"/>
        </w:rPr>
      </w:pPr>
      <w:r w:rsidRPr="00FA40C1">
        <w:rPr>
          <w:rStyle w:val="HideTWBExt"/>
          <w:b w:val="0"/>
        </w:rPr>
        <w:t>&lt;/RepeatBlock-By&gt;</w:t>
      </w:r>
    </w:p>
    <w:p w14:paraId="2FFEEDA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1EFC7C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6CF17C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1CFC68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2B3B2D2" w14:textId="77777777" w:rsidTr="00BF4F5C">
        <w:trPr>
          <w:trHeight w:hRule="exact" w:val="240"/>
          <w:jc w:val="center"/>
        </w:trPr>
        <w:tc>
          <w:tcPr>
            <w:tcW w:w="9752" w:type="dxa"/>
            <w:gridSpan w:val="2"/>
          </w:tcPr>
          <w:p w14:paraId="6B00A480" w14:textId="77777777" w:rsidR="00804A7C" w:rsidRPr="00FA40C1" w:rsidRDefault="00804A7C" w:rsidP="00BF4F5C">
            <w:pPr>
              <w:rPr>
                <w:color w:val="000000" w:themeColor="text1"/>
              </w:rPr>
            </w:pPr>
          </w:p>
        </w:tc>
      </w:tr>
      <w:tr w:rsidR="00804A7C" w:rsidRPr="00FA40C1" w14:paraId="413CA805" w14:textId="77777777" w:rsidTr="00BF4F5C">
        <w:trPr>
          <w:trHeight w:val="240"/>
          <w:jc w:val="center"/>
        </w:trPr>
        <w:tc>
          <w:tcPr>
            <w:tcW w:w="4876" w:type="dxa"/>
          </w:tcPr>
          <w:p w14:paraId="12DFE08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1B67F4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04E6DFD" w14:textId="77777777" w:rsidTr="00BF4F5C">
        <w:trPr>
          <w:jc w:val="center"/>
        </w:trPr>
        <w:tc>
          <w:tcPr>
            <w:tcW w:w="4876" w:type="dxa"/>
          </w:tcPr>
          <w:p w14:paraId="4F06A5A0"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 xml:space="preserve">un accroissement substantiel du nombre de ressortissants d’un pays tiers figurant sur la liste de l’annexe II qui se sont vu refuser l’entrée </w:t>
            </w:r>
            <w:r w:rsidRPr="00FA40C1">
              <w:rPr>
                <w:b/>
                <w:i/>
                <w:color w:val="000000" w:themeColor="text1"/>
              </w:rPr>
              <w:t>ou</w:t>
            </w:r>
            <w:r w:rsidRPr="00FA40C1">
              <w:rPr>
                <w:color w:val="000000" w:themeColor="text1"/>
              </w:rPr>
              <w:t xml:space="preserve"> dont il s’avère qu’ils séjournent sur le territoire d’un État membre sans en avoir le droit;</w:t>
            </w:r>
          </w:p>
        </w:tc>
        <w:tc>
          <w:tcPr>
            <w:tcW w:w="4876" w:type="dxa"/>
          </w:tcPr>
          <w:p w14:paraId="4D0CD4D9"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un accroissement substantiel du nombre de ressortissants d’un pays tiers figurant sur la liste de l’annexe II qui se sont vu refuser l’entrée</w:t>
            </w:r>
            <w:r w:rsidRPr="00FA40C1">
              <w:rPr>
                <w:b/>
                <w:i/>
                <w:color w:val="000000" w:themeColor="text1"/>
              </w:rPr>
              <w:t>,</w:t>
            </w:r>
            <w:r w:rsidRPr="00FA40C1">
              <w:rPr>
                <w:color w:val="000000" w:themeColor="text1"/>
              </w:rPr>
              <w:t xml:space="preserve"> dont il s’avère qu’ils séjournent sur le territoire d’un État membre sans en avoir le droit</w:t>
            </w:r>
            <w:r w:rsidRPr="00FA40C1">
              <w:rPr>
                <w:b/>
                <w:i/>
                <w:color w:val="000000" w:themeColor="text1"/>
              </w:rPr>
              <w:t>, ou qu’ils dépassent la période de validité de l’exemption de visa</w:t>
            </w:r>
            <w:r w:rsidRPr="00FA40C1">
              <w:rPr>
                <w:color w:val="000000" w:themeColor="text1"/>
              </w:rPr>
              <w:t>;</w:t>
            </w:r>
          </w:p>
        </w:tc>
      </w:tr>
    </w:tbl>
    <w:p w14:paraId="5BDE3EA0" w14:textId="77777777" w:rsidR="00804A7C" w:rsidRPr="004863DB" w:rsidRDefault="00804A7C" w:rsidP="00804A7C">
      <w:pPr>
        <w:pStyle w:val="AmOrLang"/>
        <w:rPr>
          <w:color w:val="000000" w:themeColor="text1"/>
          <w:lang w:val="es-ES"/>
        </w:rPr>
      </w:pPr>
      <w:r w:rsidRPr="004863DB">
        <w:rPr>
          <w:color w:val="000000" w:themeColor="text1"/>
          <w:lang w:val="es-ES"/>
        </w:rPr>
        <w:t xml:space="preserve">Or. </w:t>
      </w:r>
      <w:r w:rsidRPr="004863DB">
        <w:rPr>
          <w:rStyle w:val="HideTWBExt"/>
          <w:lang w:val="es-ES"/>
        </w:rPr>
        <w:t>&lt;Original&gt;</w:t>
      </w:r>
      <w:r w:rsidRPr="004863DB">
        <w:rPr>
          <w:rStyle w:val="HideTWBInt"/>
          <w:lang w:val="es-ES"/>
        </w:rPr>
        <w:t>{EN}</w:t>
      </w:r>
      <w:r w:rsidRPr="004863DB">
        <w:rPr>
          <w:color w:val="000000" w:themeColor="text1"/>
          <w:lang w:val="es-ES"/>
        </w:rPr>
        <w:t>en</w:t>
      </w:r>
      <w:r w:rsidRPr="004863DB">
        <w:rPr>
          <w:rStyle w:val="HideTWBExt"/>
          <w:lang w:val="es-ES"/>
        </w:rPr>
        <w:t>&lt;/Original&gt;</w:t>
      </w:r>
    </w:p>
    <w:p w14:paraId="78157769" w14:textId="77777777" w:rsidR="00804A7C" w:rsidRPr="004863DB" w:rsidRDefault="00804A7C" w:rsidP="00804A7C">
      <w:pPr>
        <w:rPr>
          <w:color w:val="000000" w:themeColor="text1"/>
          <w:lang w:val="es-ES"/>
        </w:rPr>
      </w:pPr>
      <w:r w:rsidRPr="004863DB">
        <w:rPr>
          <w:rStyle w:val="HideTWBExt"/>
          <w:lang w:val="es-ES"/>
        </w:rPr>
        <w:t>&lt;/Amend&gt;</w:t>
      </w:r>
    </w:p>
    <w:p w14:paraId="3F86B673" w14:textId="77777777" w:rsidR="00804A7C" w:rsidRPr="004863DB" w:rsidRDefault="00804A7C" w:rsidP="00804A7C">
      <w:pPr>
        <w:pStyle w:val="AmNumberTabs"/>
        <w:rPr>
          <w:color w:val="000000" w:themeColor="text1"/>
          <w:lang w:val="es-ES"/>
        </w:rPr>
      </w:pPr>
      <w:r w:rsidRPr="004863DB">
        <w:rPr>
          <w:rStyle w:val="HideTWBExt"/>
          <w:b w:val="0"/>
          <w:lang w:val="es-ES"/>
        </w:rPr>
        <w:t>&lt;Amend&gt;</w:t>
      </w:r>
      <w:r w:rsidRPr="004863DB">
        <w:rPr>
          <w:color w:val="000000" w:themeColor="text1"/>
          <w:lang w:val="es-ES"/>
        </w:rPr>
        <w:t>Amendement</w:t>
      </w:r>
      <w:r w:rsidRPr="004863DB">
        <w:rPr>
          <w:color w:val="000000" w:themeColor="text1"/>
          <w:lang w:val="es-ES"/>
        </w:rPr>
        <w:tab/>
      </w:r>
      <w:r w:rsidRPr="004863DB">
        <w:rPr>
          <w:color w:val="000000" w:themeColor="text1"/>
          <w:lang w:val="es-ES"/>
        </w:rPr>
        <w:tab/>
      </w:r>
      <w:r w:rsidRPr="004863DB">
        <w:rPr>
          <w:rStyle w:val="HideTWBExt"/>
          <w:b w:val="0"/>
          <w:lang w:val="es-ES"/>
        </w:rPr>
        <w:t>&lt;NumAm&gt;</w:t>
      </w:r>
      <w:r w:rsidRPr="004863DB">
        <w:rPr>
          <w:color w:val="000000" w:themeColor="text1"/>
          <w:lang w:val="es-ES"/>
        </w:rPr>
        <w:t>52</w:t>
      </w:r>
      <w:r w:rsidRPr="004863DB">
        <w:rPr>
          <w:rStyle w:val="HideTWBExt"/>
          <w:b w:val="0"/>
          <w:lang w:val="es-ES"/>
        </w:rPr>
        <w:t>&lt;/NumAm&gt;</w:t>
      </w:r>
    </w:p>
    <w:p w14:paraId="2E123784" w14:textId="77777777" w:rsidR="00804A7C" w:rsidRPr="004863DB" w:rsidRDefault="00804A7C" w:rsidP="00804A7C">
      <w:pPr>
        <w:pStyle w:val="NormalBold"/>
        <w:rPr>
          <w:color w:val="000000" w:themeColor="text1"/>
          <w:lang w:val="es-ES"/>
        </w:rPr>
      </w:pPr>
      <w:r w:rsidRPr="004863DB">
        <w:rPr>
          <w:rStyle w:val="HideTWBExt"/>
          <w:b w:val="0"/>
          <w:lang w:val="es-ES"/>
        </w:rPr>
        <w:t>&lt;RepeatBlock-By&gt;&lt;Members&gt;</w:t>
      </w:r>
      <w:r w:rsidRPr="004863DB">
        <w:rPr>
          <w:color w:val="000000" w:themeColor="text1"/>
          <w:lang w:val="es-ES"/>
        </w:rPr>
        <w:t>Leopoldo López Gil, Javier Zarzalejos</w:t>
      </w:r>
      <w:r w:rsidRPr="004863DB">
        <w:rPr>
          <w:rStyle w:val="HideTWBExt"/>
          <w:b w:val="0"/>
          <w:lang w:val="es-ES"/>
        </w:rPr>
        <w:t>&lt;/Members&gt;</w:t>
      </w:r>
    </w:p>
    <w:p w14:paraId="0BE87F59" w14:textId="77777777" w:rsidR="00804A7C" w:rsidRPr="004863DB" w:rsidRDefault="00804A7C" w:rsidP="00804A7C">
      <w:pPr>
        <w:pStyle w:val="NormalBold"/>
        <w:rPr>
          <w:color w:val="000000" w:themeColor="text1"/>
          <w:lang w:val="es-ES"/>
        </w:rPr>
      </w:pPr>
      <w:r w:rsidRPr="004863DB">
        <w:rPr>
          <w:rStyle w:val="HideTWBExt"/>
          <w:b w:val="0"/>
          <w:lang w:val="es-ES"/>
        </w:rPr>
        <w:t>&lt;/RepeatBlock-By&gt;</w:t>
      </w:r>
    </w:p>
    <w:p w14:paraId="716A3C3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395F83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B60C3E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A475D6A"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b</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B910B1D" w14:textId="77777777" w:rsidTr="00BF4F5C">
        <w:trPr>
          <w:trHeight w:hRule="exact" w:val="240"/>
          <w:jc w:val="center"/>
        </w:trPr>
        <w:tc>
          <w:tcPr>
            <w:tcW w:w="9752" w:type="dxa"/>
            <w:gridSpan w:val="2"/>
          </w:tcPr>
          <w:p w14:paraId="2ED77ADC" w14:textId="77777777" w:rsidR="00804A7C" w:rsidRPr="00FA40C1" w:rsidRDefault="00804A7C" w:rsidP="00BF4F5C">
            <w:pPr>
              <w:rPr>
                <w:color w:val="000000" w:themeColor="text1"/>
              </w:rPr>
            </w:pPr>
          </w:p>
        </w:tc>
      </w:tr>
      <w:tr w:rsidR="00804A7C" w:rsidRPr="00FA40C1" w14:paraId="249933B3" w14:textId="77777777" w:rsidTr="00BF4F5C">
        <w:trPr>
          <w:trHeight w:val="240"/>
          <w:jc w:val="center"/>
        </w:trPr>
        <w:tc>
          <w:tcPr>
            <w:tcW w:w="4876" w:type="dxa"/>
          </w:tcPr>
          <w:p w14:paraId="26640C1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72F81F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4B2037A" w14:textId="77777777" w:rsidTr="00BF4F5C">
        <w:trPr>
          <w:jc w:val="center"/>
        </w:trPr>
        <w:tc>
          <w:tcPr>
            <w:tcW w:w="4876" w:type="dxa"/>
          </w:tcPr>
          <w:p w14:paraId="24612D80" w14:textId="77777777" w:rsidR="00804A7C" w:rsidRPr="00FA40C1" w:rsidRDefault="00804A7C" w:rsidP="00BF4F5C">
            <w:pPr>
              <w:pStyle w:val="Normal6a"/>
              <w:rPr>
                <w:color w:val="000000" w:themeColor="text1"/>
              </w:rPr>
            </w:pPr>
            <w:r w:rsidRPr="00FA40C1">
              <w:rPr>
                <w:b/>
                <w:i/>
                <w:color w:val="000000" w:themeColor="text1"/>
              </w:rPr>
              <w:t>b)</w:t>
            </w:r>
            <w:r w:rsidRPr="00FA40C1">
              <w:rPr>
                <w:color w:val="000000" w:themeColor="text1"/>
              </w:rPr>
              <w:tab/>
            </w:r>
            <w:r w:rsidRPr="00FA40C1">
              <w:rPr>
                <w:b/>
                <w:i/>
                <w:color w:val="000000" w:themeColor="text1"/>
              </w:rPr>
              <w:t>un accroissement substantiel du nombre de demandes d’asile déposées par les ressortissants d’un pays tiers figurant sur la liste de l’annexe II pour lequel le taux de reconnaissance est faible;</w:t>
            </w:r>
          </w:p>
        </w:tc>
        <w:tc>
          <w:tcPr>
            <w:tcW w:w="4876" w:type="dxa"/>
          </w:tcPr>
          <w:p w14:paraId="3F1B4850"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0C3C0DB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{ES}</w:t>
      </w:r>
      <w:r w:rsidRPr="00FA40C1">
        <w:rPr>
          <w:color w:val="000000" w:themeColor="text1"/>
        </w:rPr>
        <w:t>es</w:t>
      </w:r>
      <w:r w:rsidRPr="00FA40C1">
        <w:rPr>
          <w:rStyle w:val="HideTWBExt"/>
        </w:rPr>
        <w:t>&lt;/Original&gt;</w:t>
      </w:r>
    </w:p>
    <w:p w14:paraId="76E67693" w14:textId="77777777" w:rsidR="00804A7C" w:rsidRPr="00FA40C1" w:rsidRDefault="00804A7C" w:rsidP="00804A7C">
      <w:pPr>
        <w:rPr>
          <w:color w:val="000000" w:themeColor="text1"/>
        </w:rPr>
      </w:pPr>
      <w:r w:rsidRPr="00FA40C1">
        <w:rPr>
          <w:rStyle w:val="HideTWBExt"/>
        </w:rPr>
        <w:t>&lt;/Amend&gt;</w:t>
      </w:r>
    </w:p>
    <w:p w14:paraId="4EF5A67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53</w:t>
      </w:r>
      <w:r w:rsidRPr="00FA40C1">
        <w:rPr>
          <w:rStyle w:val="HideTWBExt"/>
          <w:b w:val="0"/>
        </w:rPr>
        <w:t>&lt;/NumAm&gt;</w:t>
      </w:r>
    </w:p>
    <w:p w14:paraId="40FF1CF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1606DB7E" w14:textId="77777777" w:rsidR="00804A7C" w:rsidRPr="00FA40C1" w:rsidRDefault="00804A7C" w:rsidP="00804A7C">
      <w:pPr>
        <w:pStyle w:val="NormalBold"/>
        <w:rPr>
          <w:color w:val="000000" w:themeColor="text1"/>
        </w:rPr>
      </w:pPr>
      <w:r w:rsidRPr="00FA40C1">
        <w:rPr>
          <w:rStyle w:val="HideTWBExt"/>
          <w:b w:val="0"/>
        </w:rPr>
        <w:t>&lt;/RepeatBlock-By&gt;</w:t>
      </w:r>
    </w:p>
    <w:p w14:paraId="201F274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63177B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2CBCEC1"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FC778F6"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b</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C49F884" w14:textId="77777777" w:rsidTr="00BF4F5C">
        <w:trPr>
          <w:trHeight w:hRule="exact" w:val="240"/>
          <w:jc w:val="center"/>
        </w:trPr>
        <w:tc>
          <w:tcPr>
            <w:tcW w:w="9752" w:type="dxa"/>
            <w:gridSpan w:val="2"/>
          </w:tcPr>
          <w:p w14:paraId="12784DB6" w14:textId="77777777" w:rsidR="00804A7C" w:rsidRPr="00FA40C1" w:rsidRDefault="00804A7C" w:rsidP="00BF4F5C">
            <w:pPr>
              <w:rPr>
                <w:color w:val="000000" w:themeColor="text1"/>
              </w:rPr>
            </w:pPr>
          </w:p>
        </w:tc>
      </w:tr>
      <w:tr w:rsidR="00804A7C" w:rsidRPr="00FA40C1" w14:paraId="10FA7897" w14:textId="77777777" w:rsidTr="00BF4F5C">
        <w:trPr>
          <w:trHeight w:val="240"/>
          <w:jc w:val="center"/>
        </w:trPr>
        <w:tc>
          <w:tcPr>
            <w:tcW w:w="4876" w:type="dxa"/>
          </w:tcPr>
          <w:p w14:paraId="2CCF98A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320EB9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886855E" w14:textId="77777777" w:rsidTr="00BF4F5C">
        <w:trPr>
          <w:jc w:val="center"/>
        </w:trPr>
        <w:tc>
          <w:tcPr>
            <w:tcW w:w="4876" w:type="dxa"/>
          </w:tcPr>
          <w:p w14:paraId="73F0FAF0" w14:textId="77777777" w:rsidR="00804A7C" w:rsidRPr="00FA40C1" w:rsidRDefault="00804A7C" w:rsidP="00BF4F5C">
            <w:pPr>
              <w:pStyle w:val="Normal6a"/>
              <w:rPr>
                <w:color w:val="000000" w:themeColor="text1"/>
              </w:rPr>
            </w:pPr>
            <w:r w:rsidRPr="00FA40C1">
              <w:rPr>
                <w:b/>
                <w:i/>
                <w:color w:val="000000" w:themeColor="text1"/>
              </w:rPr>
              <w:t>b)</w:t>
            </w:r>
            <w:r w:rsidRPr="00FA40C1">
              <w:rPr>
                <w:color w:val="000000" w:themeColor="text1"/>
              </w:rPr>
              <w:tab/>
            </w:r>
            <w:r w:rsidRPr="00FA40C1">
              <w:rPr>
                <w:b/>
                <w:i/>
                <w:color w:val="000000" w:themeColor="text1"/>
              </w:rPr>
              <w:t>un accroissement substantiel du nombre de demandes d’asile déposées par les ressortissants d’un pays tiers figurant sur la liste de l’annexe II pour lequel le taux de reconnaissance est faible;</w:t>
            </w:r>
          </w:p>
        </w:tc>
        <w:tc>
          <w:tcPr>
            <w:tcW w:w="4876" w:type="dxa"/>
          </w:tcPr>
          <w:p w14:paraId="7ED7D154"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1BB738B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F08C9CE"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6F32DC8B" w14:textId="77777777" w:rsidR="00804A7C" w:rsidRPr="00FA40C1" w:rsidRDefault="00804A7C" w:rsidP="00804A7C">
      <w:pPr>
        <w:pStyle w:val="AmJustText"/>
        <w:rPr>
          <w:color w:val="000000" w:themeColor="text1"/>
        </w:rPr>
      </w:pPr>
      <w:r w:rsidRPr="00FA40C1">
        <w:rPr>
          <w:color w:val="000000" w:themeColor="text1"/>
        </w:rPr>
        <w:t>Cette formulation est susceptible de porter atteinte au droit d’asile garanti par l’article 18 de la charte des droits fondamentaux de l’Union européenne.</w:t>
      </w:r>
    </w:p>
    <w:p w14:paraId="0D43B23E" w14:textId="77777777" w:rsidR="00804A7C" w:rsidRPr="00FA40C1" w:rsidRDefault="00804A7C" w:rsidP="00804A7C">
      <w:pPr>
        <w:rPr>
          <w:color w:val="000000" w:themeColor="text1"/>
        </w:rPr>
      </w:pPr>
      <w:r w:rsidRPr="00FA40C1">
        <w:rPr>
          <w:rStyle w:val="HideTWBExt"/>
        </w:rPr>
        <w:t>&lt;/Amend&gt;</w:t>
      </w:r>
    </w:p>
    <w:p w14:paraId="7B4B4885"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54</w:t>
      </w:r>
      <w:r w:rsidRPr="00FA40C1">
        <w:rPr>
          <w:rStyle w:val="HideTWBExt"/>
          <w:b w:val="0"/>
        </w:rPr>
        <w:t>&lt;/NumAm&gt;</w:t>
      </w:r>
    </w:p>
    <w:p w14:paraId="122A120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Charlie Weimers, Patryk Jaki, Vincenzo Sofo, Jorge Buxadé Villalba, Pirkko Ruohonen-Lerner</w:t>
      </w:r>
      <w:r w:rsidRPr="00FA40C1">
        <w:rPr>
          <w:rStyle w:val="HideTWBExt"/>
          <w:b w:val="0"/>
        </w:rPr>
        <w:t>&lt;/Members&gt;</w:t>
      </w:r>
    </w:p>
    <w:p w14:paraId="730245D2" w14:textId="77777777" w:rsidR="00804A7C" w:rsidRPr="00FA40C1" w:rsidRDefault="00804A7C" w:rsidP="00804A7C">
      <w:pPr>
        <w:rPr>
          <w:color w:val="000000" w:themeColor="text1"/>
        </w:rPr>
      </w:pPr>
      <w:r w:rsidRPr="00FA40C1">
        <w:rPr>
          <w:rStyle w:val="HideTWBExt"/>
        </w:rPr>
        <w:t>&lt;AuNomDe&gt;</w:t>
      </w:r>
      <w:r w:rsidRPr="00FA40C1">
        <w:rPr>
          <w:rStyle w:val="HideTWBInt"/>
        </w:rPr>
        <w:t>{ECR}</w:t>
      </w:r>
      <w:r w:rsidRPr="00FA40C1">
        <w:rPr>
          <w:color w:val="000000" w:themeColor="text1"/>
        </w:rPr>
        <w:t>au nom du groupe ECR</w:t>
      </w:r>
      <w:r w:rsidRPr="00FA40C1">
        <w:rPr>
          <w:rStyle w:val="HideTWBExt"/>
        </w:rPr>
        <w:t>&lt;/AuNomDe&gt;</w:t>
      </w:r>
    </w:p>
    <w:p w14:paraId="393D7ABB" w14:textId="77777777" w:rsidR="00804A7C" w:rsidRPr="00FA40C1" w:rsidRDefault="00804A7C" w:rsidP="00804A7C">
      <w:pPr>
        <w:pStyle w:val="NormalBold"/>
        <w:rPr>
          <w:color w:val="000000" w:themeColor="text1"/>
        </w:rPr>
      </w:pPr>
      <w:r w:rsidRPr="00FA40C1">
        <w:rPr>
          <w:rStyle w:val="HideTWBExt"/>
          <w:b w:val="0"/>
        </w:rPr>
        <w:t>&lt;/RepeatBlock-By&gt;</w:t>
      </w:r>
    </w:p>
    <w:p w14:paraId="069A321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47FCA1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57876E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9762547"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b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2D67CEF" w14:textId="77777777" w:rsidTr="00BF4F5C">
        <w:trPr>
          <w:trHeight w:hRule="exact" w:val="240"/>
          <w:jc w:val="center"/>
        </w:trPr>
        <w:tc>
          <w:tcPr>
            <w:tcW w:w="9752" w:type="dxa"/>
            <w:gridSpan w:val="2"/>
          </w:tcPr>
          <w:p w14:paraId="5480F8D2" w14:textId="77777777" w:rsidR="00804A7C" w:rsidRPr="00FA40C1" w:rsidRDefault="00804A7C" w:rsidP="00BF4F5C">
            <w:pPr>
              <w:rPr>
                <w:color w:val="000000" w:themeColor="text1"/>
              </w:rPr>
            </w:pPr>
          </w:p>
        </w:tc>
      </w:tr>
      <w:tr w:rsidR="00804A7C" w:rsidRPr="00FA40C1" w14:paraId="584F9902" w14:textId="77777777" w:rsidTr="00BF4F5C">
        <w:trPr>
          <w:trHeight w:val="240"/>
          <w:jc w:val="center"/>
        </w:trPr>
        <w:tc>
          <w:tcPr>
            <w:tcW w:w="4876" w:type="dxa"/>
          </w:tcPr>
          <w:p w14:paraId="2983C53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F31106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C1C739C" w14:textId="77777777" w:rsidTr="00BF4F5C">
        <w:trPr>
          <w:jc w:val="center"/>
        </w:trPr>
        <w:tc>
          <w:tcPr>
            <w:tcW w:w="4876" w:type="dxa"/>
          </w:tcPr>
          <w:p w14:paraId="00ADCE27" w14:textId="77777777" w:rsidR="00804A7C" w:rsidRPr="00FA40C1" w:rsidRDefault="00804A7C" w:rsidP="00BF4F5C">
            <w:pPr>
              <w:pStyle w:val="Normal6a"/>
              <w:rPr>
                <w:color w:val="000000" w:themeColor="text1"/>
              </w:rPr>
            </w:pPr>
          </w:p>
        </w:tc>
        <w:tc>
          <w:tcPr>
            <w:tcW w:w="4876" w:type="dxa"/>
          </w:tcPr>
          <w:p w14:paraId="26CA5B47" w14:textId="77777777" w:rsidR="00804A7C" w:rsidRPr="00FA40C1" w:rsidRDefault="00804A7C" w:rsidP="00BF4F5C">
            <w:pPr>
              <w:pStyle w:val="Normal6a"/>
              <w:rPr>
                <w:color w:val="000000" w:themeColor="text1"/>
              </w:rPr>
            </w:pPr>
            <w:r w:rsidRPr="00FA40C1">
              <w:rPr>
                <w:b/>
                <w:i/>
                <w:color w:val="000000" w:themeColor="text1"/>
              </w:rPr>
              <w:t>b bis)</w:t>
            </w:r>
            <w:r w:rsidRPr="00FA40C1">
              <w:rPr>
                <w:color w:val="000000" w:themeColor="text1"/>
              </w:rPr>
              <w:tab/>
            </w:r>
            <w:r w:rsidRPr="00FA40C1">
              <w:rPr>
                <w:b/>
                <w:i/>
                <w:color w:val="000000" w:themeColor="text1"/>
              </w:rPr>
              <w:t>un accroissement substantiel du nombre de demandes d’asile déposées par les ressortissants d’un pays tiers figurant sur la liste de l’annexe II;</w:t>
            </w:r>
          </w:p>
        </w:tc>
      </w:tr>
    </w:tbl>
    <w:p w14:paraId="2A8BEB3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4CBA6B3"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23C6F553" w14:textId="77777777" w:rsidR="00804A7C" w:rsidRPr="00FA40C1" w:rsidRDefault="00804A7C" w:rsidP="00804A7C">
      <w:pPr>
        <w:pStyle w:val="AmJustText"/>
        <w:rPr>
          <w:color w:val="000000" w:themeColor="text1"/>
        </w:rPr>
      </w:pPr>
      <w:r w:rsidRPr="00FA40C1">
        <w:rPr>
          <w:color w:val="000000" w:themeColor="text1"/>
        </w:rPr>
        <w:t>En 2022, 15 % des demandes d’asile ont été déposées par des ressortissants de pays exemptés de l’obligation de visa. En 2023, ce chiffre est passé à environ 20 %, selon l’Agence de l’Union européenne pour l’asile. Un grand nombre de ces demandes ont été déposées par des ressortissants de pays tiers originaires de pays dont le taux de reconnaissance est supérieur à 4 %. Selon la Commission, «[l]a présente proposition a pour objectif principal d’adapter le mécanisme de suspension afin de pouvoir réagir de manière rapide et décisive aux nouveaux risques que font naître les pays tiers exemptés de l’obligation de visa dans le domaine de la migration irrégulière et de la sécurité, et de prévenir toute utilisation abusive du régime d’exemption de visa». L’objectif des accords d’exemption de l’obligation de visa est de promouvoir le développement économique, le tourisme et les échanges culturels, et non de faciliter la course au droit d’asile dans l’ensemble de l’espace Schengen. Par conséquent, un accroissement substantiel du nombre de demandes d’asile, indépendamment des taux de reconnaissance, devrait également être considéré comme un motif de suspension.</w:t>
      </w:r>
    </w:p>
    <w:p w14:paraId="22BE31E4" w14:textId="77777777" w:rsidR="00804A7C" w:rsidRPr="00FA40C1" w:rsidRDefault="00804A7C" w:rsidP="00804A7C">
      <w:pPr>
        <w:rPr>
          <w:color w:val="000000" w:themeColor="text1"/>
        </w:rPr>
      </w:pPr>
      <w:r w:rsidRPr="00FA40C1">
        <w:rPr>
          <w:rStyle w:val="HideTWBExt"/>
        </w:rPr>
        <w:t>&lt;/Amend&gt;</w:t>
      </w:r>
    </w:p>
    <w:p w14:paraId="3E3E529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55</w:t>
      </w:r>
      <w:r w:rsidRPr="00FA40C1">
        <w:rPr>
          <w:rStyle w:val="HideTWBExt"/>
          <w:b w:val="0"/>
        </w:rPr>
        <w:t>&lt;/NumAm&gt;</w:t>
      </w:r>
    </w:p>
    <w:p w14:paraId="77F340A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4A03F952" w14:textId="77777777" w:rsidR="00804A7C" w:rsidRPr="00FA40C1" w:rsidRDefault="00804A7C" w:rsidP="00804A7C">
      <w:pPr>
        <w:pStyle w:val="NormalBold"/>
        <w:rPr>
          <w:color w:val="000000" w:themeColor="text1"/>
        </w:rPr>
      </w:pPr>
      <w:r w:rsidRPr="00FA40C1">
        <w:rPr>
          <w:rStyle w:val="HideTWBExt"/>
          <w:b w:val="0"/>
        </w:rPr>
        <w:t>&lt;/RepeatBlock-By&gt;</w:t>
      </w:r>
    </w:p>
    <w:p w14:paraId="1580908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035B82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7E59418"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D6F28D9"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c</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AF12B54" w14:textId="77777777" w:rsidTr="00BF4F5C">
        <w:trPr>
          <w:trHeight w:hRule="exact" w:val="240"/>
          <w:jc w:val="center"/>
        </w:trPr>
        <w:tc>
          <w:tcPr>
            <w:tcW w:w="9752" w:type="dxa"/>
            <w:gridSpan w:val="2"/>
          </w:tcPr>
          <w:p w14:paraId="1C7EE3AD" w14:textId="77777777" w:rsidR="00804A7C" w:rsidRPr="00FA40C1" w:rsidRDefault="00804A7C" w:rsidP="00BF4F5C">
            <w:pPr>
              <w:rPr>
                <w:color w:val="000000" w:themeColor="text1"/>
              </w:rPr>
            </w:pPr>
          </w:p>
        </w:tc>
      </w:tr>
      <w:tr w:rsidR="00804A7C" w:rsidRPr="00FA40C1" w14:paraId="351C2E5C" w14:textId="77777777" w:rsidTr="00BF4F5C">
        <w:trPr>
          <w:trHeight w:val="240"/>
          <w:jc w:val="center"/>
        </w:trPr>
        <w:tc>
          <w:tcPr>
            <w:tcW w:w="4876" w:type="dxa"/>
          </w:tcPr>
          <w:p w14:paraId="21181A4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4B594D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1152898" w14:textId="77777777" w:rsidTr="00BF4F5C">
        <w:trPr>
          <w:jc w:val="center"/>
        </w:trPr>
        <w:tc>
          <w:tcPr>
            <w:tcW w:w="4876" w:type="dxa"/>
          </w:tcPr>
          <w:p w14:paraId="152B5DFC" w14:textId="77777777" w:rsidR="00804A7C" w:rsidRPr="00FA40C1" w:rsidRDefault="00804A7C" w:rsidP="00BF4F5C">
            <w:pPr>
              <w:pStyle w:val="Normal6a"/>
              <w:rPr>
                <w:color w:val="000000" w:themeColor="text1"/>
              </w:rPr>
            </w:pPr>
            <w:r w:rsidRPr="00FA40C1">
              <w:rPr>
                <w:b/>
                <w:i/>
                <w:color w:val="000000" w:themeColor="text1"/>
              </w:rPr>
              <w:t>c)</w:t>
            </w:r>
            <w:r w:rsidRPr="00FA40C1">
              <w:rPr>
                <w:color w:val="000000" w:themeColor="text1"/>
              </w:rPr>
              <w:tab/>
            </w:r>
            <w:r w:rsidRPr="00FA40C1">
              <w:rPr>
                <w:b/>
                <w:i/>
                <w:color w:val="000000" w:themeColor="text1"/>
              </w:rPr>
              <w:t>une diminution de la coopération en matière de réadmission avec un pays tiers figurant sur la liste de l’annexe II, ou d’autres cas de non-coopération en matière de réadmission;</w:t>
            </w:r>
          </w:p>
        </w:tc>
        <w:tc>
          <w:tcPr>
            <w:tcW w:w="4876" w:type="dxa"/>
          </w:tcPr>
          <w:p w14:paraId="3BC148DD"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23C30EA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D1723A6" w14:textId="77777777" w:rsidR="00804A7C" w:rsidRPr="00FA40C1" w:rsidRDefault="00804A7C" w:rsidP="00804A7C">
      <w:pPr>
        <w:rPr>
          <w:color w:val="000000" w:themeColor="text1"/>
        </w:rPr>
      </w:pPr>
      <w:r w:rsidRPr="00FA40C1">
        <w:rPr>
          <w:rStyle w:val="HideTWBExt"/>
        </w:rPr>
        <w:t>&lt;/Amend&gt;</w:t>
      </w:r>
    </w:p>
    <w:p w14:paraId="784A847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56</w:t>
      </w:r>
      <w:r w:rsidRPr="00FA40C1">
        <w:rPr>
          <w:rStyle w:val="HideTWBExt"/>
          <w:b w:val="0"/>
        </w:rPr>
        <w:t>&lt;/NumAm&gt;</w:t>
      </w:r>
    </w:p>
    <w:p w14:paraId="5DC9BE2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1F9092B2" w14:textId="77777777" w:rsidR="00804A7C" w:rsidRPr="00FA40C1" w:rsidRDefault="00804A7C" w:rsidP="00804A7C">
      <w:pPr>
        <w:pStyle w:val="NormalBold"/>
        <w:rPr>
          <w:color w:val="000000" w:themeColor="text1"/>
        </w:rPr>
      </w:pPr>
      <w:r w:rsidRPr="00FA40C1">
        <w:rPr>
          <w:rStyle w:val="HideTWBExt"/>
          <w:b w:val="0"/>
        </w:rPr>
        <w:t>&lt;/RepeatBlock-By&gt;</w:t>
      </w:r>
    </w:p>
    <w:p w14:paraId="085876C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4D282E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AF45EA9"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BE06092"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922D386" w14:textId="77777777" w:rsidTr="00BF4F5C">
        <w:trPr>
          <w:trHeight w:hRule="exact" w:val="240"/>
          <w:jc w:val="center"/>
        </w:trPr>
        <w:tc>
          <w:tcPr>
            <w:tcW w:w="9752" w:type="dxa"/>
            <w:gridSpan w:val="2"/>
          </w:tcPr>
          <w:p w14:paraId="19E59F74" w14:textId="77777777" w:rsidR="00804A7C" w:rsidRPr="00FA40C1" w:rsidRDefault="00804A7C" w:rsidP="00BF4F5C">
            <w:pPr>
              <w:rPr>
                <w:color w:val="000000" w:themeColor="text1"/>
              </w:rPr>
            </w:pPr>
          </w:p>
        </w:tc>
      </w:tr>
      <w:tr w:rsidR="00804A7C" w:rsidRPr="00FA40C1" w14:paraId="1F0B98E6" w14:textId="77777777" w:rsidTr="00BF4F5C">
        <w:trPr>
          <w:trHeight w:val="240"/>
          <w:jc w:val="center"/>
        </w:trPr>
        <w:tc>
          <w:tcPr>
            <w:tcW w:w="4876" w:type="dxa"/>
          </w:tcPr>
          <w:p w14:paraId="68197FD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54B265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0CD852C" w14:textId="77777777" w:rsidTr="00BF4F5C">
        <w:trPr>
          <w:jc w:val="center"/>
        </w:trPr>
        <w:tc>
          <w:tcPr>
            <w:tcW w:w="4876" w:type="dxa"/>
          </w:tcPr>
          <w:p w14:paraId="1AF5849A" w14:textId="77777777" w:rsidR="00804A7C" w:rsidRPr="00FA40C1" w:rsidRDefault="00804A7C" w:rsidP="00BF4F5C">
            <w:pPr>
              <w:pStyle w:val="Normal6a"/>
              <w:rPr>
                <w:color w:val="000000" w:themeColor="text1"/>
              </w:rPr>
            </w:pPr>
            <w:r w:rsidRPr="00FA40C1">
              <w:rPr>
                <w:color w:val="000000" w:themeColor="text1"/>
              </w:rPr>
              <w:t>d)</w:t>
            </w:r>
            <w:r w:rsidRPr="00FA40C1">
              <w:rPr>
                <w:color w:val="000000" w:themeColor="text1"/>
              </w:rPr>
              <w:tab/>
              <w:t xml:space="preserve">un risque important ou une menace imminente pour l’ordre public ou la sécurité intérieure des États membres lié à un pays tiers figurant sur la liste de l’annexe II et découlant </w:t>
            </w:r>
            <w:r w:rsidRPr="00FA40C1">
              <w:rPr>
                <w:b/>
                <w:i/>
                <w:color w:val="000000" w:themeColor="text1"/>
              </w:rPr>
              <w:t>de l’un des éléments suivants:</w:t>
            </w:r>
          </w:p>
        </w:tc>
        <w:tc>
          <w:tcPr>
            <w:tcW w:w="4876" w:type="dxa"/>
          </w:tcPr>
          <w:p w14:paraId="57ECC1A4" w14:textId="77777777" w:rsidR="00804A7C" w:rsidRPr="00FA40C1" w:rsidRDefault="00804A7C" w:rsidP="00BF4F5C">
            <w:pPr>
              <w:pStyle w:val="Normal6a"/>
              <w:rPr>
                <w:color w:val="000000" w:themeColor="text1"/>
              </w:rPr>
            </w:pPr>
            <w:r w:rsidRPr="00FA40C1">
              <w:rPr>
                <w:color w:val="000000" w:themeColor="text1"/>
              </w:rPr>
              <w:t>d)</w:t>
            </w:r>
            <w:r w:rsidRPr="00FA40C1">
              <w:rPr>
                <w:color w:val="000000" w:themeColor="text1"/>
              </w:rPr>
              <w:tab/>
              <w:t xml:space="preserve">un risque important ou une menace imminente pour l’ordre public ou la sécurité intérieure des États membres lié à un pays tiers figurant sur la liste de l’annexe II et découlant </w:t>
            </w:r>
            <w:r w:rsidRPr="00FA40C1">
              <w:rPr>
                <w:b/>
                <w:i/>
                <w:color w:val="000000" w:themeColor="text1"/>
              </w:rPr>
              <w:t>d’un accroissement substantiel des infractions pénales graves, lié à des ressortissants de ce pays tiers, étayé par des informations et des données objectives, concrètes et pertinentes, fournies par les autorités compétentes;</w:t>
            </w:r>
          </w:p>
        </w:tc>
      </w:tr>
    </w:tbl>
    <w:p w14:paraId="577AC59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BFB458B" w14:textId="77777777" w:rsidR="00804A7C" w:rsidRPr="00FA40C1" w:rsidRDefault="00804A7C" w:rsidP="00804A7C">
      <w:pPr>
        <w:rPr>
          <w:color w:val="000000" w:themeColor="text1"/>
        </w:rPr>
      </w:pPr>
      <w:r w:rsidRPr="00FA40C1">
        <w:rPr>
          <w:rStyle w:val="HideTWBExt"/>
        </w:rPr>
        <w:t>&lt;/Amend&gt;</w:t>
      </w:r>
    </w:p>
    <w:p w14:paraId="21EAD37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57</w:t>
      </w:r>
      <w:r w:rsidRPr="00FA40C1">
        <w:rPr>
          <w:rStyle w:val="HideTWBExt"/>
          <w:b w:val="0"/>
        </w:rPr>
        <w:t>&lt;/NumAm&gt;</w:t>
      </w:r>
    </w:p>
    <w:p w14:paraId="48BE4B0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47510F21" w14:textId="77777777" w:rsidR="00804A7C" w:rsidRPr="00FA40C1" w:rsidRDefault="00804A7C" w:rsidP="00804A7C">
      <w:pPr>
        <w:pStyle w:val="NormalBold"/>
        <w:rPr>
          <w:color w:val="000000" w:themeColor="text1"/>
        </w:rPr>
      </w:pPr>
      <w:r w:rsidRPr="00FA40C1">
        <w:rPr>
          <w:rStyle w:val="HideTWBExt"/>
          <w:b w:val="0"/>
        </w:rPr>
        <w:t>&lt;/RepeatBlock-By&gt;</w:t>
      </w:r>
    </w:p>
    <w:p w14:paraId="0BBE38B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B91674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4347A4B"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C44651D"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9F660F1" w14:textId="77777777" w:rsidTr="00BF4F5C">
        <w:trPr>
          <w:trHeight w:hRule="exact" w:val="240"/>
          <w:jc w:val="center"/>
        </w:trPr>
        <w:tc>
          <w:tcPr>
            <w:tcW w:w="9752" w:type="dxa"/>
            <w:gridSpan w:val="2"/>
          </w:tcPr>
          <w:p w14:paraId="46E7E985" w14:textId="77777777" w:rsidR="00804A7C" w:rsidRPr="00FA40C1" w:rsidRDefault="00804A7C" w:rsidP="00BF4F5C">
            <w:pPr>
              <w:rPr>
                <w:color w:val="000000" w:themeColor="text1"/>
              </w:rPr>
            </w:pPr>
          </w:p>
        </w:tc>
      </w:tr>
      <w:tr w:rsidR="00804A7C" w:rsidRPr="00FA40C1" w14:paraId="0BA58C55" w14:textId="77777777" w:rsidTr="00BF4F5C">
        <w:trPr>
          <w:trHeight w:val="240"/>
          <w:jc w:val="center"/>
        </w:trPr>
        <w:tc>
          <w:tcPr>
            <w:tcW w:w="4876" w:type="dxa"/>
          </w:tcPr>
          <w:p w14:paraId="0BF1DE4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8E95D1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525D7F9" w14:textId="77777777" w:rsidTr="00BF4F5C">
        <w:trPr>
          <w:jc w:val="center"/>
        </w:trPr>
        <w:tc>
          <w:tcPr>
            <w:tcW w:w="4876" w:type="dxa"/>
          </w:tcPr>
          <w:p w14:paraId="69056335" w14:textId="77777777" w:rsidR="00804A7C" w:rsidRPr="00FA40C1" w:rsidRDefault="00804A7C" w:rsidP="00BF4F5C">
            <w:pPr>
              <w:pStyle w:val="Normal6a"/>
              <w:rPr>
                <w:color w:val="000000" w:themeColor="text1"/>
              </w:rPr>
            </w:pPr>
            <w:r w:rsidRPr="00FA40C1">
              <w:rPr>
                <w:color w:val="000000" w:themeColor="text1"/>
              </w:rPr>
              <w:t>d)</w:t>
            </w:r>
            <w:r w:rsidRPr="00FA40C1">
              <w:rPr>
                <w:color w:val="000000" w:themeColor="text1"/>
              </w:rPr>
              <w:tab/>
              <w:t xml:space="preserve">un risque </w:t>
            </w:r>
            <w:r w:rsidRPr="00FA40C1">
              <w:rPr>
                <w:b/>
                <w:i/>
                <w:color w:val="000000" w:themeColor="text1"/>
              </w:rPr>
              <w:t>important</w:t>
            </w:r>
            <w:r w:rsidRPr="00FA40C1">
              <w:rPr>
                <w:color w:val="000000" w:themeColor="text1"/>
              </w:rPr>
              <w:t xml:space="preserve"> ou une menace imminente pour l’ordre public ou la sécurité intérieure des États membres lié à un pays tiers figurant sur la liste de l’annexe II et découlant de l’un des éléments suivants:</w:t>
            </w:r>
          </w:p>
        </w:tc>
        <w:tc>
          <w:tcPr>
            <w:tcW w:w="4876" w:type="dxa"/>
          </w:tcPr>
          <w:p w14:paraId="0EBBC94A" w14:textId="77777777" w:rsidR="00804A7C" w:rsidRPr="00FA40C1" w:rsidRDefault="00804A7C" w:rsidP="00BF4F5C">
            <w:pPr>
              <w:pStyle w:val="Normal6a"/>
              <w:rPr>
                <w:color w:val="000000" w:themeColor="text1"/>
              </w:rPr>
            </w:pPr>
            <w:r w:rsidRPr="00FA40C1">
              <w:rPr>
                <w:color w:val="000000" w:themeColor="text1"/>
              </w:rPr>
              <w:t>d)</w:t>
            </w:r>
            <w:r w:rsidRPr="00FA40C1">
              <w:rPr>
                <w:color w:val="000000" w:themeColor="text1"/>
              </w:rPr>
              <w:tab/>
              <w:t>un risque ou une menace imminente pour l’ordre public ou la sécurité intérieure des États membres lié à un pays tiers figurant sur la liste de l’annexe II et découlant de l’un des éléments suivants:</w:t>
            </w:r>
          </w:p>
        </w:tc>
      </w:tr>
    </w:tbl>
    <w:p w14:paraId="27DB5F3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5E0D989" w14:textId="77777777" w:rsidR="00804A7C" w:rsidRPr="00FA40C1" w:rsidRDefault="00804A7C" w:rsidP="00804A7C">
      <w:pPr>
        <w:rPr>
          <w:color w:val="000000" w:themeColor="text1"/>
        </w:rPr>
      </w:pPr>
      <w:r w:rsidRPr="00FA40C1">
        <w:rPr>
          <w:rStyle w:val="HideTWBExt"/>
        </w:rPr>
        <w:t>&lt;/Amend&gt;</w:t>
      </w:r>
    </w:p>
    <w:p w14:paraId="47AF3E6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58</w:t>
      </w:r>
      <w:r w:rsidRPr="00FA40C1">
        <w:rPr>
          <w:rStyle w:val="HideTWBExt"/>
          <w:b w:val="0"/>
        </w:rPr>
        <w:t>&lt;/NumAm&gt;</w:t>
      </w:r>
    </w:p>
    <w:p w14:paraId="28FA768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BA0C7FF" w14:textId="77777777" w:rsidR="00804A7C" w:rsidRPr="00FA40C1" w:rsidRDefault="00804A7C" w:rsidP="00804A7C">
      <w:pPr>
        <w:pStyle w:val="NormalBold"/>
        <w:rPr>
          <w:color w:val="000000" w:themeColor="text1"/>
        </w:rPr>
      </w:pPr>
      <w:r w:rsidRPr="00FA40C1">
        <w:rPr>
          <w:rStyle w:val="HideTWBExt"/>
          <w:b w:val="0"/>
        </w:rPr>
        <w:t>&lt;/RepeatBlock-By&gt;</w:t>
      </w:r>
    </w:p>
    <w:p w14:paraId="52253DA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9BB1C7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A3FD12E"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D48A45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F55A213" w14:textId="77777777" w:rsidTr="00BF4F5C">
        <w:trPr>
          <w:trHeight w:hRule="exact" w:val="240"/>
          <w:jc w:val="center"/>
        </w:trPr>
        <w:tc>
          <w:tcPr>
            <w:tcW w:w="9752" w:type="dxa"/>
            <w:gridSpan w:val="2"/>
          </w:tcPr>
          <w:p w14:paraId="06D61E50" w14:textId="77777777" w:rsidR="00804A7C" w:rsidRPr="00FA40C1" w:rsidRDefault="00804A7C" w:rsidP="00BF4F5C">
            <w:pPr>
              <w:rPr>
                <w:color w:val="000000" w:themeColor="text1"/>
              </w:rPr>
            </w:pPr>
          </w:p>
        </w:tc>
      </w:tr>
      <w:tr w:rsidR="00804A7C" w:rsidRPr="00FA40C1" w14:paraId="181B3B99" w14:textId="77777777" w:rsidTr="00BF4F5C">
        <w:trPr>
          <w:trHeight w:val="240"/>
          <w:jc w:val="center"/>
        </w:trPr>
        <w:tc>
          <w:tcPr>
            <w:tcW w:w="4876" w:type="dxa"/>
          </w:tcPr>
          <w:p w14:paraId="7337A9E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97D546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0F8C3B6" w14:textId="77777777" w:rsidTr="00BF4F5C">
        <w:trPr>
          <w:jc w:val="center"/>
        </w:trPr>
        <w:tc>
          <w:tcPr>
            <w:tcW w:w="4876" w:type="dxa"/>
          </w:tcPr>
          <w:p w14:paraId="67CA2A0E" w14:textId="77777777" w:rsidR="00804A7C" w:rsidRPr="00FA40C1" w:rsidRDefault="00804A7C" w:rsidP="00BF4F5C">
            <w:pPr>
              <w:pStyle w:val="Normal6a"/>
              <w:rPr>
                <w:color w:val="000000" w:themeColor="text1"/>
              </w:rPr>
            </w:pPr>
            <w:r w:rsidRPr="00FA40C1">
              <w:rPr>
                <w:b/>
                <w:i/>
                <w:color w:val="000000" w:themeColor="text1"/>
              </w:rPr>
              <w:t>i)</w:t>
            </w:r>
            <w:r w:rsidRPr="00FA40C1">
              <w:rPr>
                <w:color w:val="000000" w:themeColor="text1"/>
              </w:rPr>
              <w:tab/>
            </w:r>
            <w:r w:rsidRPr="00FA40C1">
              <w:rPr>
                <w:b/>
                <w:i/>
                <w:color w:val="000000" w:themeColor="text1"/>
              </w:rPr>
              <w:t>un accroissement substantiel des infractions pénales graves, lié aux ressortissants de ce pays tiers, étayé par des informations et des données objectives, concrètes et pertinentes, fournies par les autorités compétentes;</w:t>
            </w:r>
          </w:p>
        </w:tc>
        <w:tc>
          <w:tcPr>
            <w:tcW w:w="4876" w:type="dxa"/>
          </w:tcPr>
          <w:p w14:paraId="51BC543F"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2278FA41"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62560FD" w14:textId="77777777" w:rsidR="00804A7C" w:rsidRPr="00FA40C1" w:rsidRDefault="00804A7C" w:rsidP="00804A7C">
      <w:pPr>
        <w:rPr>
          <w:color w:val="000000" w:themeColor="text1"/>
        </w:rPr>
      </w:pPr>
      <w:r w:rsidRPr="00FA40C1">
        <w:rPr>
          <w:rStyle w:val="HideTWBExt"/>
        </w:rPr>
        <w:t>&lt;/Amend&gt;</w:t>
      </w:r>
    </w:p>
    <w:p w14:paraId="14986EA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59</w:t>
      </w:r>
      <w:r w:rsidRPr="00FA40C1">
        <w:rPr>
          <w:rStyle w:val="HideTWBExt"/>
          <w:b w:val="0"/>
        </w:rPr>
        <w:t>&lt;/NumAm&gt;</w:t>
      </w:r>
    </w:p>
    <w:p w14:paraId="36DAAF2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7E7D3504" w14:textId="77777777" w:rsidR="00804A7C" w:rsidRPr="00FA40C1" w:rsidRDefault="00804A7C" w:rsidP="00804A7C">
      <w:pPr>
        <w:pStyle w:val="NormalBold"/>
        <w:rPr>
          <w:color w:val="000000" w:themeColor="text1"/>
        </w:rPr>
      </w:pPr>
      <w:r w:rsidRPr="00FA40C1">
        <w:rPr>
          <w:rStyle w:val="HideTWBExt"/>
          <w:b w:val="0"/>
        </w:rPr>
        <w:t>&lt;/RepeatBlock-By&gt;</w:t>
      </w:r>
    </w:p>
    <w:p w14:paraId="2467C4D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BF7B65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91AE499"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7C095E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006B4C3" w14:textId="77777777" w:rsidTr="00BF4F5C">
        <w:trPr>
          <w:trHeight w:hRule="exact" w:val="240"/>
          <w:jc w:val="center"/>
        </w:trPr>
        <w:tc>
          <w:tcPr>
            <w:tcW w:w="9752" w:type="dxa"/>
            <w:gridSpan w:val="2"/>
          </w:tcPr>
          <w:p w14:paraId="0242997B" w14:textId="77777777" w:rsidR="00804A7C" w:rsidRPr="00FA40C1" w:rsidRDefault="00804A7C" w:rsidP="00BF4F5C">
            <w:pPr>
              <w:rPr>
                <w:color w:val="000000" w:themeColor="text1"/>
              </w:rPr>
            </w:pPr>
          </w:p>
        </w:tc>
      </w:tr>
      <w:tr w:rsidR="00804A7C" w:rsidRPr="00FA40C1" w14:paraId="221A4936" w14:textId="77777777" w:rsidTr="00BF4F5C">
        <w:trPr>
          <w:trHeight w:val="240"/>
          <w:jc w:val="center"/>
        </w:trPr>
        <w:tc>
          <w:tcPr>
            <w:tcW w:w="4876" w:type="dxa"/>
          </w:tcPr>
          <w:p w14:paraId="2C5175B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C1D7B9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5E37C96" w14:textId="77777777" w:rsidTr="00BF4F5C">
        <w:trPr>
          <w:jc w:val="center"/>
        </w:trPr>
        <w:tc>
          <w:tcPr>
            <w:tcW w:w="4876" w:type="dxa"/>
          </w:tcPr>
          <w:p w14:paraId="657766CB" w14:textId="77777777" w:rsidR="00804A7C" w:rsidRPr="00FA40C1" w:rsidRDefault="00804A7C" w:rsidP="00BF4F5C">
            <w:pPr>
              <w:pStyle w:val="Normal6a"/>
              <w:rPr>
                <w:color w:val="000000" w:themeColor="text1"/>
              </w:rPr>
            </w:pPr>
            <w:r w:rsidRPr="00FA40C1">
              <w:rPr>
                <w:color w:val="000000" w:themeColor="text1"/>
              </w:rPr>
              <w:t>i)</w:t>
            </w:r>
            <w:r w:rsidRPr="00FA40C1">
              <w:rPr>
                <w:color w:val="000000" w:themeColor="text1"/>
              </w:rPr>
              <w:tab/>
              <w:t xml:space="preserve">un accroissement </w:t>
            </w:r>
            <w:r w:rsidRPr="00FA40C1">
              <w:rPr>
                <w:b/>
                <w:i/>
                <w:color w:val="000000" w:themeColor="text1"/>
              </w:rPr>
              <w:t>substantiel</w:t>
            </w:r>
            <w:r w:rsidRPr="00FA40C1">
              <w:rPr>
                <w:color w:val="000000" w:themeColor="text1"/>
              </w:rPr>
              <w:t xml:space="preserve"> des infractions pénales graves, lié aux ressortissants de ce pays tiers, étayé par des informations et des données objectives, concrètes et pertinentes, fournies par les autorités compétentes;</w:t>
            </w:r>
          </w:p>
        </w:tc>
        <w:tc>
          <w:tcPr>
            <w:tcW w:w="4876" w:type="dxa"/>
          </w:tcPr>
          <w:p w14:paraId="30AF7335" w14:textId="77777777" w:rsidR="00804A7C" w:rsidRPr="00FA40C1" w:rsidRDefault="00804A7C" w:rsidP="00BF4F5C">
            <w:pPr>
              <w:pStyle w:val="Normal6a"/>
              <w:rPr>
                <w:color w:val="000000" w:themeColor="text1"/>
              </w:rPr>
            </w:pPr>
            <w:r w:rsidRPr="00FA40C1">
              <w:rPr>
                <w:color w:val="000000" w:themeColor="text1"/>
              </w:rPr>
              <w:t>i)</w:t>
            </w:r>
            <w:r w:rsidRPr="00FA40C1">
              <w:rPr>
                <w:color w:val="000000" w:themeColor="text1"/>
              </w:rPr>
              <w:tab/>
              <w:t xml:space="preserve">un accroissement des infractions pénales graves, lié aux ressortissants de ce pays tiers, étayé par des informations et des données objectives, concrètes et pertinentes, fournies par les autorités </w:t>
            </w:r>
            <w:r w:rsidRPr="00FA40C1">
              <w:rPr>
                <w:b/>
                <w:i/>
                <w:color w:val="000000" w:themeColor="text1"/>
              </w:rPr>
              <w:t>nationales</w:t>
            </w:r>
            <w:r w:rsidRPr="00FA40C1">
              <w:rPr>
                <w:color w:val="000000" w:themeColor="text1"/>
              </w:rPr>
              <w:t xml:space="preserve"> compétentes;</w:t>
            </w:r>
          </w:p>
        </w:tc>
      </w:tr>
    </w:tbl>
    <w:p w14:paraId="132F798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F554319" w14:textId="77777777" w:rsidR="00804A7C" w:rsidRPr="00FA40C1" w:rsidRDefault="00804A7C" w:rsidP="00804A7C">
      <w:pPr>
        <w:rPr>
          <w:color w:val="000000" w:themeColor="text1"/>
        </w:rPr>
      </w:pPr>
      <w:r w:rsidRPr="00FA40C1">
        <w:rPr>
          <w:rStyle w:val="HideTWBExt"/>
        </w:rPr>
        <w:t>&lt;/Amend&gt;</w:t>
      </w:r>
    </w:p>
    <w:p w14:paraId="375992A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60</w:t>
      </w:r>
      <w:r w:rsidRPr="00FA40C1">
        <w:rPr>
          <w:rStyle w:val="HideTWBExt"/>
          <w:b w:val="0"/>
        </w:rPr>
        <w:t>&lt;/NumAm&gt;</w:t>
      </w:r>
    </w:p>
    <w:p w14:paraId="025C658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2DB03A8C" w14:textId="77777777" w:rsidR="00804A7C" w:rsidRPr="00FA40C1" w:rsidRDefault="00804A7C" w:rsidP="00804A7C">
      <w:pPr>
        <w:pStyle w:val="NormalBold"/>
        <w:rPr>
          <w:color w:val="000000" w:themeColor="text1"/>
        </w:rPr>
      </w:pPr>
      <w:r w:rsidRPr="00FA40C1">
        <w:rPr>
          <w:rStyle w:val="HideTWBExt"/>
          <w:b w:val="0"/>
        </w:rPr>
        <w:t>&lt;/RepeatBlock-By&gt;</w:t>
      </w:r>
    </w:p>
    <w:p w14:paraId="5CC2D76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9CEE41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110ED0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161A82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ii</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145F216" w14:textId="77777777" w:rsidTr="00BF4F5C">
        <w:trPr>
          <w:trHeight w:hRule="exact" w:val="240"/>
          <w:jc w:val="center"/>
        </w:trPr>
        <w:tc>
          <w:tcPr>
            <w:tcW w:w="9752" w:type="dxa"/>
            <w:gridSpan w:val="2"/>
          </w:tcPr>
          <w:p w14:paraId="6A7D3ACE" w14:textId="77777777" w:rsidR="00804A7C" w:rsidRPr="00FA40C1" w:rsidRDefault="00804A7C" w:rsidP="00BF4F5C">
            <w:pPr>
              <w:rPr>
                <w:color w:val="000000" w:themeColor="text1"/>
              </w:rPr>
            </w:pPr>
          </w:p>
        </w:tc>
      </w:tr>
      <w:tr w:rsidR="00804A7C" w:rsidRPr="00FA40C1" w14:paraId="324523A3" w14:textId="77777777" w:rsidTr="00BF4F5C">
        <w:trPr>
          <w:trHeight w:val="240"/>
          <w:jc w:val="center"/>
        </w:trPr>
        <w:tc>
          <w:tcPr>
            <w:tcW w:w="4876" w:type="dxa"/>
          </w:tcPr>
          <w:p w14:paraId="53651C7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902FA3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CD43462" w14:textId="77777777" w:rsidTr="00BF4F5C">
        <w:trPr>
          <w:jc w:val="center"/>
        </w:trPr>
        <w:tc>
          <w:tcPr>
            <w:tcW w:w="4876" w:type="dxa"/>
          </w:tcPr>
          <w:p w14:paraId="2174E508" w14:textId="77777777" w:rsidR="00804A7C" w:rsidRPr="00FA40C1" w:rsidRDefault="00804A7C" w:rsidP="00BF4F5C">
            <w:pPr>
              <w:pStyle w:val="Normal6a"/>
              <w:rPr>
                <w:color w:val="000000" w:themeColor="text1"/>
              </w:rPr>
            </w:pPr>
            <w:r w:rsidRPr="00FA40C1">
              <w:rPr>
                <w:b/>
                <w:i/>
                <w:color w:val="000000" w:themeColor="text1"/>
              </w:rPr>
              <w:t>ii)</w:t>
            </w:r>
            <w:r w:rsidRPr="00FA40C1">
              <w:rPr>
                <w:color w:val="000000" w:themeColor="text1"/>
              </w:rPr>
              <w:tab/>
            </w:r>
            <w:r w:rsidRPr="00FA40C1">
              <w:rPr>
                <w:b/>
                <w:i/>
                <w:color w:val="000000" w:themeColor="text1"/>
              </w:rPr>
              <w:t>des menaces hybrides;</w:t>
            </w:r>
          </w:p>
        </w:tc>
        <w:tc>
          <w:tcPr>
            <w:tcW w:w="4876" w:type="dxa"/>
          </w:tcPr>
          <w:p w14:paraId="1C831BF5"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23EA7E27"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5F65D08"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075BE4F6" w14:textId="77777777" w:rsidR="00804A7C" w:rsidRPr="00FA40C1" w:rsidRDefault="00804A7C" w:rsidP="00804A7C">
      <w:pPr>
        <w:pStyle w:val="AmJustText"/>
        <w:rPr>
          <w:color w:val="000000" w:themeColor="text1"/>
        </w:rPr>
      </w:pPr>
      <w:r w:rsidRPr="00FA40C1">
        <w:rPr>
          <w:color w:val="000000" w:themeColor="text1"/>
        </w:rPr>
        <w:t>Hors de propos dans cette partie.</w:t>
      </w:r>
    </w:p>
    <w:p w14:paraId="6B6B57F4" w14:textId="77777777" w:rsidR="00804A7C" w:rsidRPr="00FA40C1" w:rsidRDefault="00804A7C" w:rsidP="00804A7C">
      <w:pPr>
        <w:rPr>
          <w:color w:val="000000" w:themeColor="text1"/>
        </w:rPr>
      </w:pPr>
      <w:r w:rsidRPr="00FA40C1">
        <w:rPr>
          <w:rStyle w:val="HideTWBExt"/>
        </w:rPr>
        <w:t>&lt;/Amend&gt;</w:t>
      </w:r>
    </w:p>
    <w:p w14:paraId="6D5ACFE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61</w:t>
      </w:r>
      <w:r w:rsidRPr="00FA40C1">
        <w:rPr>
          <w:rStyle w:val="HideTWBExt"/>
          <w:b w:val="0"/>
        </w:rPr>
        <w:t>&lt;/NumAm&gt;</w:t>
      </w:r>
    </w:p>
    <w:p w14:paraId="4FE6AF6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5FE3F522" w14:textId="77777777" w:rsidR="00804A7C" w:rsidRPr="00FA40C1" w:rsidRDefault="00804A7C" w:rsidP="00804A7C">
      <w:pPr>
        <w:pStyle w:val="NormalBold"/>
        <w:rPr>
          <w:color w:val="000000" w:themeColor="text1"/>
        </w:rPr>
      </w:pPr>
      <w:r w:rsidRPr="00FA40C1">
        <w:rPr>
          <w:rStyle w:val="HideTWBExt"/>
          <w:b w:val="0"/>
        </w:rPr>
        <w:t>&lt;/RepeatBlock-By&gt;</w:t>
      </w:r>
    </w:p>
    <w:p w14:paraId="473FF6B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BE88A6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3121C3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8D0FD17"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ii</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13C5DF8" w14:textId="77777777" w:rsidTr="00BF4F5C">
        <w:trPr>
          <w:trHeight w:hRule="exact" w:val="240"/>
          <w:jc w:val="center"/>
        </w:trPr>
        <w:tc>
          <w:tcPr>
            <w:tcW w:w="9752" w:type="dxa"/>
            <w:gridSpan w:val="2"/>
          </w:tcPr>
          <w:p w14:paraId="548A1B0B" w14:textId="77777777" w:rsidR="00804A7C" w:rsidRPr="00FA40C1" w:rsidRDefault="00804A7C" w:rsidP="00BF4F5C">
            <w:pPr>
              <w:rPr>
                <w:color w:val="000000" w:themeColor="text1"/>
              </w:rPr>
            </w:pPr>
          </w:p>
        </w:tc>
      </w:tr>
      <w:tr w:rsidR="00804A7C" w:rsidRPr="00FA40C1" w14:paraId="268B3EBE" w14:textId="77777777" w:rsidTr="00BF4F5C">
        <w:trPr>
          <w:trHeight w:val="240"/>
          <w:jc w:val="center"/>
        </w:trPr>
        <w:tc>
          <w:tcPr>
            <w:tcW w:w="4876" w:type="dxa"/>
          </w:tcPr>
          <w:p w14:paraId="13EDDF4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79BFED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6523A58" w14:textId="77777777" w:rsidTr="00BF4F5C">
        <w:trPr>
          <w:jc w:val="center"/>
        </w:trPr>
        <w:tc>
          <w:tcPr>
            <w:tcW w:w="4876" w:type="dxa"/>
          </w:tcPr>
          <w:p w14:paraId="46F2B5F2" w14:textId="77777777" w:rsidR="00804A7C" w:rsidRPr="00FA40C1" w:rsidRDefault="00804A7C" w:rsidP="00BF4F5C">
            <w:pPr>
              <w:pStyle w:val="Normal6a"/>
              <w:rPr>
                <w:color w:val="000000" w:themeColor="text1"/>
              </w:rPr>
            </w:pPr>
            <w:r w:rsidRPr="00FA40C1">
              <w:rPr>
                <w:b/>
                <w:i/>
                <w:color w:val="000000" w:themeColor="text1"/>
              </w:rPr>
              <w:t>ii)</w:t>
            </w:r>
            <w:r w:rsidRPr="00FA40C1">
              <w:rPr>
                <w:color w:val="000000" w:themeColor="text1"/>
              </w:rPr>
              <w:tab/>
            </w:r>
            <w:r w:rsidRPr="00FA40C1">
              <w:rPr>
                <w:b/>
                <w:i/>
                <w:color w:val="000000" w:themeColor="text1"/>
              </w:rPr>
              <w:t>des menaces hybrides;</w:t>
            </w:r>
          </w:p>
        </w:tc>
        <w:tc>
          <w:tcPr>
            <w:tcW w:w="4876" w:type="dxa"/>
          </w:tcPr>
          <w:p w14:paraId="683AE439"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0B95216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3303C2B" w14:textId="77777777" w:rsidR="00804A7C" w:rsidRPr="00FA40C1" w:rsidRDefault="00804A7C" w:rsidP="00804A7C">
      <w:pPr>
        <w:rPr>
          <w:color w:val="000000" w:themeColor="text1"/>
        </w:rPr>
      </w:pPr>
      <w:r w:rsidRPr="00FA40C1">
        <w:rPr>
          <w:rStyle w:val="HideTWBExt"/>
        </w:rPr>
        <w:t>&lt;/Amend&gt;</w:t>
      </w:r>
    </w:p>
    <w:p w14:paraId="76571B6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62</w:t>
      </w:r>
      <w:r w:rsidRPr="00FA40C1">
        <w:rPr>
          <w:rStyle w:val="HideTWBExt"/>
          <w:b w:val="0"/>
        </w:rPr>
        <w:t>&lt;/NumAm&gt;</w:t>
      </w:r>
    </w:p>
    <w:p w14:paraId="06C3E67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246D09D2" w14:textId="77777777" w:rsidR="00804A7C" w:rsidRPr="00FA40C1" w:rsidRDefault="00804A7C" w:rsidP="00804A7C">
      <w:pPr>
        <w:pStyle w:val="NormalBold"/>
        <w:rPr>
          <w:color w:val="000000" w:themeColor="text1"/>
        </w:rPr>
      </w:pPr>
      <w:r w:rsidRPr="00FA40C1">
        <w:rPr>
          <w:rStyle w:val="HideTWBExt"/>
          <w:b w:val="0"/>
        </w:rPr>
        <w:t>&lt;/RepeatBlock-By&gt;</w:t>
      </w:r>
    </w:p>
    <w:p w14:paraId="061E85A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BFADCC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1F53242"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695F7F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ii</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3053581" w14:textId="77777777" w:rsidTr="00BF4F5C">
        <w:trPr>
          <w:trHeight w:hRule="exact" w:val="240"/>
          <w:jc w:val="center"/>
        </w:trPr>
        <w:tc>
          <w:tcPr>
            <w:tcW w:w="9752" w:type="dxa"/>
            <w:gridSpan w:val="2"/>
          </w:tcPr>
          <w:p w14:paraId="7257F2A9" w14:textId="77777777" w:rsidR="00804A7C" w:rsidRPr="00FA40C1" w:rsidRDefault="00804A7C" w:rsidP="00BF4F5C">
            <w:pPr>
              <w:rPr>
                <w:color w:val="000000" w:themeColor="text1"/>
              </w:rPr>
            </w:pPr>
          </w:p>
        </w:tc>
      </w:tr>
      <w:tr w:rsidR="00804A7C" w:rsidRPr="00FA40C1" w14:paraId="68968B94" w14:textId="77777777" w:rsidTr="00BF4F5C">
        <w:trPr>
          <w:trHeight w:val="240"/>
          <w:jc w:val="center"/>
        </w:trPr>
        <w:tc>
          <w:tcPr>
            <w:tcW w:w="4876" w:type="dxa"/>
          </w:tcPr>
          <w:p w14:paraId="69E2764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FE112A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1848E7D" w14:textId="77777777" w:rsidTr="00BF4F5C">
        <w:trPr>
          <w:jc w:val="center"/>
        </w:trPr>
        <w:tc>
          <w:tcPr>
            <w:tcW w:w="4876" w:type="dxa"/>
          </w:tcPr>
          <w:p w14:paraId="72759BF5" w14:textId="77777777" w:rsidR="00804A7C" w:rsidRPr="00FA40C1" w:rsidRDefault="00804A7C" w:rsidP="00BF4F5C">
            <w:pPr>
              <w:pStyle w:val="Normal6a"/>
              <w:rPr>
                <w:color w:val="000000" w:themeColor="text1"/>
              </w:rPr>
            </w:pPr>
            <w:r w:rsidRPr="00FA40C1">
              <w:rPr>
                <w:color w:val="000000" w:themeColor="text1"/>
              </w:rPr>
              <w:t>ii)</w:t>
            </w:r>
            <w:r w:rsidRPr="00FA40C1">
              <w:rPr>
                <w:color w:val="000000" w:themeColor="text1"/>
              </w:rPr>
              <w:tab/>
              <w:t>des menaces hybrides;</w:t>
            </w:r>
          </w:p>
        </w:tc>
        <w:tc>
          <w:tcPr>
            <w:tcW w:w="4876" w:type="dxa"/>
          </w:tcPr>
          <w:p w14:paraId="24ECF520" w14:textId="77777777" w:rsidR="00804A7C" w:rsidRPr="00FA40C1" w:rsidRDefault="00804A7C" w:rsidP="00BF4F5C">
            <w:pPr>
              <w:pStyle w:val="Normal6a"/>
              <w:rPr>
                <w:color w:val="000000" w:themeColor="text1"/>
              </w:rPr>
            </w:pPr>
            <w:r w:rsidRPr="00FA40C1">
              <w:rPr>
                <w:color w:val="000000" w:themeColor="text1"/>
              </w:rPr>
              <w:t>ii)</w:t>
            </w:r>
            <w:r w:rsidRPr="00FA40C1">
              <w:rPr>
                <w:color w:val="000000" w:themeColor="text1"/>
              </w:rPr>
              <w:tab/>
              <w:t xml:space="preserve">des menaces hybrides </w:t>
            </w:r>
            <w:r w:rsidRPr="00FA40C1">
              <w:rPr>
                <w:b/>
                <w:i/>
                <w:color w:val="000000" w:themeColor="text1"/>
              </w:rPr>
              <w:t>et une instrumentalisation des migrants</w:t>
            </w:r>
            <w:r w:rsidRPr="00FA40C1">
              <w:rPr>
                <w:color w:val="000000" w:themeColor="text1"/>
              </w:rPr>
              <w:t>;</w:t>
            </w:r>
          </w:p>
        </w:tc>
      </w:tr>
    </w:tbl>
    <w:p w14:paraId="455B1E4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3A5BE4B" w14:textId="77777777" w:rsidR="00804A7C" w:rsidRPr="00FA40C1" w:rsidRDefault="00804A7C" w:rsidP="00804A7C">
      <w:pPr>
        <w:rPr>
          <w:color w:val="000000" w:themeColor="text1"/>
        </w:rPr>
      </w:pPr>
      <w:r w:rsidRPr="00FA40C1">
        <w:rPr>
          <w:rStyle w:val="HideTWBExt"/>
        </w:rPr>
        <w:t>&lt;/Amend&gt;</w:t>
      </w:r>
    </w:p>
    <w:p w14:paraId="2F57BB0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63</w:t>
      </w:r>
      <w:r w:rsidRPr="00FA40C1">
        <w:rPr>
          <w:rStyle w:val="HideTWBExt"/>
          <w:b w:val="0"/>
        </w:rPr>
        <w:t>&lt;/NumAm&gt;</w:t>
      </w:r>
    </w:p>
    <w:p w14:paraId="53AF4FF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079B8EB3" w14:textId="77777777" w:rsidR="00804A7C" w:rsidRPr="00FA40C1" w:rsidRDefault="00804A7C" w:rsidP="00804A7C">
      <w:pPr>
        <w:pStyle w:val="NormalBold"/>
        <w:rPr>
          <w:color w:val="000000" w:themeColor="text1"/>
        </w:rPr>
      </w:pPr>
      <w:r w:rsidRPr="00FA40C1">
        <w:rPr>
          <w:rStyle w:val="HideTWBExt"/>
          <w:b w:val="0"/>
        </w:rPr>
        <w:t>&lt;/RepeatBlock-By&gt;</w:t>
      </w:r>
    </w:p>
    <w:p w14:paraId="75BE25F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AC2823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30B4962"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30B0BA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 point ii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E4E02A4" w14:textId="77777777" w:rsidTr="00BF4F5C">
        <w:trPr>
          <w:trHeight w:hRule="exact" w:val="240"/>
          <w:jc w:val="center"/>
        </w:trPr>
        <w:tc>
          <w:tcPr>
            <w:tcW w:w="9752" w:type="dxa"/>
            <w:gridSpan w:val="2"/>
          </w:tcPr>
          <w:p w14:paraId="69CB7B81" w14:textId="77777777" w:rsidR="00804A7C" w:rsidRPr="00FA40C1" w:rsidRDefault="00804A7C" w:rsidP="00BF4F5C">
            <w:pPr>
              <w:rPr>
                <w:color w:val="000000" w:themeColor="text1"/>
              </w:rPr>
            </w:pPr>
          </w:p>
        </w:tc>
      </w:tr>
      <w:tr w:rsidR="00804A7C" w:rsidRPr="00FA40C1" w14:paraId="6839A414" w14:textId="77777777" w:rsidTr="00BF4F5C">
        <w:trPr>
          <w:trHeight w:val="240"/>
          <w:jc w:val="center"/>
        </w:trPr>
        <w:tc>
          <w:tcPr>
            <w:tcW w:w="4876" w:type="dxa"/>
          </w:tcPr>
          <w:p w14:paraId="51C8344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88B6F4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B09FAF9" w14:textId="77777777" w:rsidTr="00BF4F5C">
        <w:trPr>
          <w:jc w:val="center"/>
        </w:trPr>
        <w:tc>
          <w:tcPr>
            <w:tcW w:w="4876" w:type="dxa"/>
          </w:tcPr>
          <w:p w14:paraId="06587B92" w14:textId="77777777" w:rsidR="00804A7C" w:rsidRPr="00FA40C1" w:rsidRDefault="00804A7C" w:rsidP="00BF4F5C">
            <w:pPr>
              <w:pStyle w:val="Normal6a"/>
              <w:rPr>
                <w:color w:val="000000" w:themeColor="text1"/>
              </w:rPr>
            </w:pPr>
          </w:p>
        </w:tc>
        <w:tc>
          <w:tcPr>
            <w:tcW w:w="4876" w:type="dxa"/>
          </w:tcPr>
          <w:p w14:paraId="0B893D86" w14:textId="77777777" w:rsidR="00804A7C" w:rsidRPr="00FA40C1" w:rsidRDefault="00804A7C" w:rsidP="00BF4F5C">
            <w:pPr>
              <w:pStyle w:val="Normal6a"/>
              <w:rPr>
                <w:color w:val="000000" w:themeColor="text1"/>
              </w:rPr>
            </w:pPr>
            <w:r w:rsidRPr="00FA40C1">
              <w:rPr>
                <w:b/>
                <w:i/>
                <w:color w:val="000000" w:themeColor="text1"/>
              </w:rPr>
              <w:t>ii bis)</w:t>
            </w:r>
            <w:r w:rsidRPr="00FA40C1">
              <w:rPr>
                <w:color w:val="000000" w:themeColor="text1"/>
              </w:rPr>
              <w:tab/>
            </w:r>
            <w:r w:rsidRPr="00FA40C1">
              <w:rPr>
                <w:b/>
                <w:i/>
                <w:color w:val="000000" w:themeColor="text1"/>
              </w:rPr>
              <w:t>des normes juridiques inadéquates en ce qui concerne la sécurité des documents de voyage et d’identité;</w:t>
            </w:r>
          </w:p>
        </w:tc>
      </w:tr>
    </w:tbl>
    <w:p w14:paraId="38EDEC4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A8D9CF6" w14:textId="77777777" w:rsidR="00804A7C" w:rsidRPr="00FA40C1" w:rsidRDefault="00804A7C" w:rsidP="00804A7C">
      <w:pPr>
        <w:rPr>
          <w:color w:val="000000" w:themeColor="text1"/>
        </w:rPr>
      </w:pPr>
      <w:r w:rsidRPr="00FA40C1">
        <w:rPr>
          <w:rStyle w:val="HideTWBExt"/>
        </w:rPr>
        <w:t>&lt;/Amend&gt;</w:t>
      </w:r>
    </w:p>
    <w:p w14:paraId="60C311D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64</w:t>
      </w:r>
      <w:r w:rsidRPr="00FA40C1">
        <w:rPr>
          <w:rStyle w:val="HideTWBExt"/>
          <w:b w:val="0"/>
        </w:rPr>
        <w:t>&lt;/NumAm&gt;</w:t>
      </w:r>
    </w:p>
    <w:p w14:paraId="369123DA"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7919307E" w14:textId="77777777" w:rsidR="00804A7C" w:rsidRPr="00FA40C1" w:rsidRDefault="00804A7C" w:rsidP="00804A7C">
      <w:pPr>
        <w:pStyle w:val="NormalBold"/>
        <w:rPr>
          <w:color w:val="000000" w:themeColor="text1"/>
        </w:rPr>
      </w:pPr>
      <w:r w:rsidRPr="00FA40C1">
        <w:rPr>
          <w:rStyle w:val="HideTWBExt"/>
          <w:b w:val="0"/>
        </w:rPr>
        <w:t>&lt;/RepeatBlock-By&gt;</w:t>
      </w:r>
    </w:p>
    <w:p w14:paraId="56664AD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D52A1C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615308D"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5F46239"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2429D56" w14:textId="77777777" w:rsidTr="00BF4F5C">
        <w:trPr>
          <w:trHeight w:hRule="exact" w:val="240"/>
          <w:jc w:val="center"/>
        </w:trPr>
        <w:tc>
          <w:tcPr>
            <w:tcW w:w="9752" w:type="dxa"/>
            <w:gridSpan w:val="2"/>
          </w:tcPr>
          <w:p w14:paraId="0B68E5C0" w14:textId="77777777" w:rsidR="00804A7C" w:rsidRPr="00FA40C1" w:rsidRDefault="00804A7C" w:rsidP="00BF4F5C">
            <w:pPr>
              <w:rPr>
                <w:color w:val="000000" w:themeColor="text1"/>
              </w:rPr>
            </w:pPr>
          </w:p>
        </w:tc>
      </w:tr>
      <w:tr w:rsidR="00804A7C" w:rsidRPr="00FA40C1" w14:paraId="54FFFBDB" w14:textId="77777777" w:rsidTr="00BF4F5C">
        <w:trPr>
          <w:trHeight w:val="240"/>
          <w:jc w:val="center"/>
        </w:trPr>
        <w:tc>
          <w:tcPr>
            <w:tcW w:w="4876" w:type="dxa"/>
          </w:tcPr>
          <w:p w14:paraId="609ADAF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FCFE13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4D5AD7E" w14:textId="77777777" w:rsidTr="00BF4F5C">
        <w:trPr>
          <w:jc w:val="center"/>
        </w:trPr>
        <w:tc>
          <w:tcPr>
            <w:tcW w:w="4876" w:type="dxa"/>
          </w:tcPr>
          <w:p w14:paraId="7B6DEA94" w14:textId="77777777" w:rsidR="00804A7C" w:rsidRPr="00FA40C1" w:rsidRDefault="00804A7C" w:rsidP="00BF4F5C">
            <w:pPr>
              <w:pStyle w:val="Normal6a"/>
              <w:rPr>
                <w:color w:val="000000" w:themeColor="text1"/>
              </w:rPr>
            </w:pPr>
          </w:p>
        </w:tc>
        <w:tc>
          <w:tcPr>
            <w:tcW w:w="4876" w:type="dxa"/>
          </w:tcPr>
          <w:p w14:paraId="42CD30CB" w14:textId="77777777" w:rsidR="00804A7C" w:rsidRPr="00FA40C1" w:rsidRDefault="00804A7C" w:rsidP="00BF4F5C">
            <w:pPr>
              <w:pStyle w:val="Normal6a"/>
              <w:rPr>
                <w:color w:val="000000" w:themeColor="text1"/>
              </w:rPr>
            </w:pPr>
            <w:r w:rsidRPr="00FA40C1">
              <w:rPr>
                <w:b/>
                <w:i/>
                <w:color w:val="000000" w:themeColor="text1"/>
              </w:rPr>
              <w:t>d bis)</w:t>
            </w:r>
            <w:r w:rsidRPr="00FA40C1">
              <w:rPr>
                <w:color w:val="000000" w:themeColor="text1"/>
              </w:rPr>
              <w:tab/>
            </w:r>
            <w:r w:rsidRPr="00FA40C1">
              <w:rPr>
                <w:b/>
                <w:i/>
                <w:color w:val="000000" w:themeColor="text1"/>
              </w:rPr>
              <w:t>des menaces terroristes;</w:t>
            </w:r>
          </w:p>
        </w:tc>
      </w:tr>
    </w:tbl>
    <w:p w14:paraId="246D9B2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BE53175" w14:textId="77777777" w:rsidR="00804A7C" w:rsidRPr="00FA40C1" w:rsidRDefault="00804A7C" w:rsidP="00804A7C">
      <w:pPr>
        <w:rPr>
          <w:color w:val="000000" w:themeColor="text1"/>
        </w:rPr>
      </w:pPr>
      <w:r w:rsidRPr="00FA40C1">
        <w:rPr>
          <w:rStyle w:val="HideTWBExt"/>
        </w:rPr>
        <w:t>&lt;/Amend&gt;</w:t>
      </w:r>
    </w:p>
    <w:p w14:paraId="214805C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65</w:t>
      </w:r>
      <w:r w:rsidRPr="00FA40C1">
        <w:rPr>
          <w:rStyle w:val="HideTWBExt"/>
          <w:b w:val="0"/>
        </w:rPr>
        <w:t>&lt;/NumAm&gt;</w:t>
      </w:r>
    </w:p>
    <w:p w14:paraId="631156B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2B396F25" w14:textId="77777777" w:rsidR="00804A7C" w:rsidRPr="00FA40C1" w:rsidRDefault="00804A7C" w:rsidP="00804A7C">
      <w:pPr>
        <w:pStyle w:val="NormalBold"/>
        <w:rPr>
          <w:color w:val="000000" w:themeColor="text1"/>
        </w:rPr>
      </w:pPr>
      <w:r w:rsidRPr="00FA40C1">
        <w:rPr>
          <w:rStyle w:val="HideTWBExt"/>
          <w:b w:val="0"/>
        </w:rPr>
        <w:t>&lt;/RepeatBlock-By&gt;</w:t>
      </w:r>
    </w:p>
    <w:p w14:paraId="5569BA2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417509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D7BBCAD"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F01EA1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d ter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E7CF853" w14:textId="77777777" w:rsidTr="00BF4F5C">
        <w:trPr>
          <w:trHeight w:hRule="exact" w:val="240"/>
          <w:jc w:val="center"/>
        </w:trPr>
        <w:tc>
          <w:tcPr>
            <w:tcW w:w="9752" w:type="dxa"/>
            <w:gridSpan w:val="2"/>
          </w:tcPr>
          <w:p w14:paraId="777DC1B3" w14:textId="77777777" w:rsidR="00804A7C" w:rsidRPr="00FA40C1" w:rsidRDefault="00804A7C" w:rsidP="00BF4F5C">
            <w:pPr>
              <w:rPr>
                <w:color w:val="000000" w:themeColor="text1"/>
              </w:rPr>
            </w:pPr>
          </w:p>
        </w:tc>
      </w:tr>
      <w:tr w:rsidR="00804A7C" w:rsidRPr="00FA40C1" w14:paraId="7165448A" w14:textId="77777777" w:rsidTr="00BF4F5C">
        <w:trPr>
          <w:trHeight w:val="240"/>
          <w:jc w:val="center"/>
        </w:trPr>
        <w:tc>
          <w:tcPr>
            <w:tcW w:w="4876" w:type="dxa"/>
          </w:tcPr>
          <w:p w14:paraId="0B4F4B3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C054642"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F4E0B5C" w14:textId="77777777" w:rsidTr="00BF4F5C">
        <w:trPr>
          <w:jc w:val="center"/>
        </w:trPr>
        <w:tc>
          <w:tcPr>
            <w:tcW w:w="4876" w:type="dxa"/>
          </w:tcPr>
          <w:p w14:paraId="550357FE" w14:textId="77777777" w:rsidR="00804A7C" w:rsidRPr="00FA40C1" w:rsidRDefault="00804A7C" w:rsidP="00BF4F5C">
            <w:pPr>
              <w:pStyle w:val="Normal6a"/>
              <w:rPr>
                <w:color w:val="000000" w:themeColor="text1"/>
              </w:rPr>
            </w:pPr>
          </w:p>
        </w:tc>
        <w:tc>
          <w:tcPr>
            <w:tcW w:w="4876" w:type="dxa"/>
          </w:tcPr>
          <w:p w14:paraId="7C53A0D5" w14:textId="77777777" w:rsidR="00804A7C" w:rsidRPr="00FA40C1" w:rsidRDefault="00804A7C" w:rsidP="00BF4F5C">
            <w:pPr>
              <w:pStyle w:val="Normal6a"/>
              <w:rPr>
                <w:color w:val="000000" w:themeColor="text1"/>
              </w:rPr>
            </w:pPr>
            <w:r w:rsidRPr="00FA40C1">
              <w:rPr>
                <w:b/>
                <w:i/>
                <w:color w:val="000000" w:themeColor="text1"/>
              </w:rPr>
              <w:t>d ter)</w:t>
            </w:r>
            <w:r w:rsidRPr="00FA40C1">
              <w:rPr>
                <w:color w:val="000000" w:themeColor="text1"/>
              </w:rPr>
              <w:tab/>
            </w:r>
            <w:r w:rsidRPr="00FA40C1">
              <w:rPr>
                <w:b/>
                <w:i/>
                <w:color w:val="000000" w:themeColor="text1"/>
              </w:rPr>
              <w:t>des défaillances dans la législation ou les procédures relatives à la sécurité des documents;</w:t>
            </w:r>
          </w:p>
        </w:tc>
      </w:tr>
    </w:tbl>
    <w:p w14:paraId="6016853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B006830" w14:textId="77777777" w:rsidR="00804A7C" w:rsidRPr="00FA40C1" w:rsidRDefault="00804A7C" w:rsidP="00804A7C">
      <w:pPr>
        <w:rPr>
          <w:color w:val="000000" w:themeColor="text1"/>
        </w:rPr>
      </w:pPr>
      <w:r w:rsidRPr="00FA40C1">
        <w:rPr>
          <w:rStyle w:val="HideTWBExt"/>
        </w:rPr>
        <w:t>&lt;/Amend&gt;</w:t>
      </w:r>
    </w:p>
    <w:p w14:paraId="3835D619"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66</w:t>
      </w:r>
      <w:r w:rsidRPr="00FA40C1">
        <w:rPr>
          <w:rStyle w:val="HideTWBExt"/>
          <w:b w:val="0"/>
        </w:rPr>
        <w:t>&lt;/NumAm&gt;</w:t>
      </w:r>
    </w:p>
    <w:p w14:paraId="046347A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FC007C9" w14:textId="77777777" w:rsidR="00804A7C" w:rsidRPr="00FA40C1" w:rsidRDefault="00804A7C" w:rsidP="00804A7C">
      <w:pPr>
        <w:pStyle w:val="NormalBold"/>
        <w:rPr>
          <w:color w:val="000000" w:themeColor="text1"/>
        </w:rPr>
      </w:pPr>
      <w:r w:rsidRPr="00FA40C1">
        <w:rPr>
          <w:rStyle w:val="HideTWBExt"/>
          <w:b w:val="0"/>
        </w:rPr>
        <w:t>&lt;/RepeatBlock-By&gt;</w:t>
      </w:r>
    </w:p>
    <w:p w14:paraId="34F7A67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BBA64E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8BE79F7"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E59D67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f</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60C2DD2" w14:textId="77777777" w:rsidTr="00BF4F5C">
        <w:trPr>
          <w:trHeight w:hRule="exact" w:val="240"/>
          <w:jc w:val="center"/>
        </w:trPr>
        <w:tc>
          <w:tcPr>
            <w:tcW w:w="9752" w:type="dxa"/>
            <w:gridSpan w:val="2"/>
          </w:tcPr>
          <w:p w14:paraId="778575FC" w14:textId="77777777" w:rsidR="00804A7C" w:rsidRPr="00FA40C1" w:rsidRDefault="00804A7C" w:rsidP="00BF4F5C">
            <w:pPr>
              <w:rPr>
                <w:color w:val="000000" w:themeColor="text1"/>
              </w:rPr>
            </w:pPr>
          </w:p>
        </w:tc>
      </w:tr>
      <w:tr w:rsidR="00804A7C" w:rsidRPr="00FA40C1" w14:paraId="416F1F32" w14:textId="77777777" w:rsidTr="00BF4F5C">
        <w:trPr>
          <w:trHeight w:val="240"/>
          <w:jc w:val="center"/>
        </w:trPr>
        <w:tc>
          <w:tcPr>
            <w:tcW w:w="4876" w:type="dxa"/>
          </w:tcPr>
          <w:p w14:paraId="2C46B312"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F5094F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C3A52A3" w14:textId="77777777" w:rsidTr="00BF4F5C">
        <w:trPr>
          <w:jc w:val="center"/>
        </w:trPr>
        <w:tc>
          <w:tcPr>
            <w:tcW w:w="4876" w:type="dxa"/>
          </w:tcPr>
          <w:p w14:paraId="5F0C90BD" w14:textId="77777777" w:rsidR="00804A7C" w:rsidRPr="00FA40C1" w:rsidRDefault="00804A7C" w:rsidP="00BF4F5C">
            <w:pPr>
              <w:pStyle w:val="Normal6a"/>
              <w:rPr>
                <w:color w:val="000000" w:themeColor="text1"/>
              </w:rPr>
            </w:pPr>
            <w:r w:rsidRPr="00FA40C1">
              <w:rPr>
                <w:b/>
                <w:i/>
                <w:color w:val="000000" w:themeColor="text1"/>
              </w:rPr>
              <w:t>f)</w:t>
            </w:r>
            <w:r w:rsidRPr="00FA40C1">
              <w:rPr>
                <w:color w:val="000000" w:themeColor="text1"/>
              </w:rPr>
              <w:tab/>
            </w:r>
            <w:r w:rsidRPr="00FA40C1">
              <w:rPr>
                <w:b/>
                <w:i/>
                <w:color w:val="000000" w:themeColor="text1"/>
              </w:rPr>
              <w:t>le non-alignement de la politique en matière de visas d’un pays tiers figurant sur la liste de l’annexe II, lorsque, notamment en raison de sa proximité géographique avec l’Union, il existe un risque d’accroissement substantiel du nombre de ressortissants de pays tiers, autres que les ressortissants de ce pays tiers, qui entrent irrégulièrement sur le territoire des États membres après avoir séjourné sur le territoire de ce pays tiers ou transité par celui-ci;</w:t>
            </w:r>
          </w:p>
        </w:tc>
        <w:tc>
          <w:tcPr>
            <w:tcW w:w="4876" w:type="dxa"/>
          </w:tcPr>
          <w:p w14:paraId="001978C2"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14811ED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8890DAD" w14:textId="77777777" w:rsidR="00804A7C" w:rsidRPr="00FA40C1" w:rsidRDefault="00804A7C" w:rsidP="00804A7C">
      <w:pPr>
        <w:rPr>
          <w:color w:val="000000" w:themeColor="text1"/>
        </w:rPr>
      </w:pPr>
      <w:r w:rsidRPr="00FA40C1">
        <w:rPr>
          <w:rStyle w:val="HideTWBExt"/>
        </w:rPr>
        <w:t>&lt;/Amend&gt;</w:t>
      </w:r>
    </w:p>
    <w:p w14:paraId="2F3D957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67</w:t>
      </w:r>
      <w:r w:rsidRPr="00FA40C1">
        <w:rPr>
          <w:rStyle w:val="HideTWBExt"/>
          <w:b w:val="0"/>
        </w:rPr>
        <w:t>&lt;/NumAm&gt;</w:t>
      </w:r>
    </w:p>
    <w:p w14:paraId="689B9FB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354C07A1" w14:textId="77777777" w:rsidR="00804A7C" w:rsidRPr="00FA40C1" w:rsidRDefault="00804A7C" w:rsidP="00804A7C">
      <w:pPr>
        <w:pStyle w:val="NormalBold"/>
        <w:rPr>
          <w:color w:val="000000" w:themeColor="text1"/>
        </w:rPr>
      </w:pPr>
      <w:r w:rsidRPr="00FA40C1">
        <w:rPr>
          <w:rStyle w:val="HideTWBExt"/>
          <w:b w:val="0"/>
        </w:rPr>
        <w:t>&lt;/RepeatBlock-By&gt;</w:t>
      </w:r>
    </w:p>
    <w:p w14:paraId="40CD698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356492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041CA64"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6FE3B0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f</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06F1D7B" w14:textId="77777777" w:rsidTr="00BF4F5C">
        <w:trPr>
          <w:trHeight w:hRule="exact" w:val="240"/>
          <w:jc w:val="center"/>
        </w:trPr>
        <w:tc>
          <w:tcPr>
            <w:tcW w:w="9752" w:type="dxa"/>
            <w:gridSpan w:val="2"/>
          </w:tcPr>
          <w:p w14:paraId="522AD661" w14:textId="77777777" w:rsidR="00804A7C" w:rsidRPr="00FA40C1" w:rsidRDefault="00804A7C" w:rsidP="00BF4F5C">
            <w:pPr>
              <w:rPr>
                <w:color w:val="000000" w:themeColor="text1"/>
              </w:rPr>
            </w:pPr>
          </w:p>
        </w:tc>
      </w:tr>
      <w:tr w:rsidR="00804A7C" w:rsidRPr="00FA40C1" w14:paraId="4F5D7742" w14:textId="77777777" w:rsidTr="00BF4F5C">
        <w:trPr>
          <w:trHeight w:val="240"/>
          <w:jc w:val="center"/>
        </w:trPr>
        <w:tc>
          <w:tcPr>
            <w:tcW w:w="4876" w:type="dxa"/>
          </w:tcPr>
          <w:p w14:paraId="51CAD42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D396ED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D0D7BC9" w14:textId="77777777" w:rsidTr="00BF4F5C">
        <w:trPr>
          <w:jc w:val="center"/>
        </w:trPr>
        <w:tc>
          <w:tcPr>
            <w:tcW w:w="4876" w:type="dxa"/>
          </w:tcPr>
          <w:p w14:paraId="4FB4FA50" w14:textId="77777777" w:rsidR="00804A7C" w:rsidRPr="00FA40C1" w:rsidRDefault="00804A7C" w:rsidP="00BF4F5C">
            <w:pPr>
              <w:pStyle w:val="Normal6a"/>
              <w:rPr>
                <w:color w:val="000000" w:themeColor="text1"/>
              </w:rPr>
            </w:pPr>
            <w:r w:rsidRPr="00FA40C1">
              <w:rPr>
                <w:b/>
                <w:i/>
                <w:color w:val="000000" w:themeColor="text1"/>
              </w:rPr>
              <w:t>f)</w:t>
            </w:r>
            <w:r w:rsidRPr="00FA40C1">
              <w:rPr>
                <w:color w:val="000000" w:themeColor="text1"/>
              </w:rPr>
              <w:tab/>
            </w:r>
            <w:r w:rsidRPr="00FA40C1">
              <w:rPr>
                <w:b/>
                <w:i/>
                <w:color w:val="000000" w:themeColor="text1"/>
              </w:rPr>
              <w:t>le non-alignement de la politique en matière de visas d’un pays tiers figurant sur la liste de l’annexe II, lorsque, notamment en raison de sa proximité géographique avec l’Union, il existe un risque d’accroissement substantiel du nombre de ressortissants de pays tiers, autres que les ressortissants de ce pays tiers, qui entrent irrégulièrement sur le territoire des États membres après avoir séjourné sur le territoire de ce pays tiers ou transité par celui-ci;</w:t>
            </w:r>
          </w:p>
        </w:tc>
        <w:tc>
          <w:tcPr>
            <w:tcW w:w="4876" w:type="dxa"/>
          </w:tcPr>
          <w:p w14:paraId="6CF3B902"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6952A3C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2633B94" w14:textId="77777777" w:rsidR="00804A7C" w:rsidRPr="00FA40C1" w:rsidRDefault="00804A7C" w:rsidP="00804A7C">
      <w:pPr>
        <w:rPr>
          <w:color w:val="000000" w:themeColor="text1"/>
        </w:rPr>
      </w:pPr>
      <w:r w:rsidRPr="00FA40C1">
        <w:rPr>
          <w:rStyle w:val="HideTWBExt"/>
        </w:rPr>
        <w:t>&lt;/Amend&gt;</w:t>
      </w:r>
    </w:p>
    <w:p w14:paraId="5672144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68</w:t>
      </w:r>
      <w:r w:rsidRPr="00FA40C1">
        <w:rPr>
          <w:rStyle w:val="HideTWBExt"/>
          <w:b w:val="0"/>
        </w:rPr>
        <w:t>&lt;/NumAm&gt;</w:t>
      </w:r>
    </w:p>
    <w:p w14:paraId="718009F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580BD280" w14:textId="77777777" w:rsidR="00804A7C" w:rsidRPr="00FA40C1" w:rsidRDefault="00804A7C" w:rsidP="00804A7C">
      <w:pPr>
        <w:pStyle w:val="NormalBold"/>
        <w:rPr>
          <w:color w:val="000000" w:themeColor="text1"/>
        </w:rPr>
      </w:pPr>
      <w:r w:rsidRPr="00FA40C1">
        <w:rPr>
          <w:rStyle w:val="HideTWBExt"/>
          <w:b w:val="0"/>
        </w:rPr>
        <w:t>&lt;/RepeatBlock-By&gt;</w:t>
      </w:r>
    </w:p>
    <w:p w14:paraId="58975D2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1DC92A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5F2FE7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617EC80"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f</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992B613" w14:textId="77777777" w:rsidTr="00BF4F5C">
        <w:trPr>
          <w:trHeight w:hRule="exact" w:val="240"/>
          <w:jc w:val="center"/>
        </w:trPr>
        <w:tc>
          <w:tcPr>
            <w:tcW w:w="9752" w:type="dxa"/>
            <w:gridSpan w:val="2"/>
          </w:tcPr>
          <w:p w14:paraId="2ED8ADDD" w14:textId="77777777" w:rsidR="00804A7C" w:rsidRPr="00FA40C1" w:rsidRDefault="00804A7C" w:rsidP="00BF4F5C">
            <w:pPr>
              <w:rPr>
                <w:color w:val="000000" w:themeColor="text1"/>
              </w:rPr>
            </w:pPr>
          </w:p>
        </w:tc>
      </w:tr>
      <w:tr w:rsidR="00804A7C" w:rsidRPr="00FA40C1" w14:paraId="302F3807" w14:textId="77777777" w:rsidTr="00BF4F5C">
        <w:trPr>
          <w:trHeight w:val="240"/>
          <w:jc w:val="center"/>
        </w:trPr>
        <w:tc>
          <w:tcPr>
            <w:tcW w:w="4876" w:type="dxa"/>
          </w:tcPr>
          <w:p w14:paraId="1C5FD8F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4140C7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A707C9D" w14:textId="77777777" w:rsidTr="00BF4F5C">
        <w:trPr>
          <w:jc w:val="center"/>
        </w:trPr>
        <w:tc>
          <w:tcPr>
            <w:tcW w:w="4876" w:type="dxa"/>
          </w:tcPr>
          <w:p w14:paraId="1E85359E" w14:textId="77777777" w:rsidR="00804A7C" w:rsidRPr="00FA40C1" w:rsidRDefault="00804A7C" w:rsidP="00BF4F5C">
            <w:pPr>
              <w:pStyle w:val="Normal6a"/>
              <w:rPr>
                <w:color w:val="000000" w:themeColor="text1"/>
              </w:rPr>
            </w:pPr>
            <w:r w:rsidRPr="00FA40C1">
              <w:rPr>
                <w:color w:val="000000" w:themeColor="text1"/>
              </w:rPr>
              <w:t>f)</w:t>
            </w:r>
            <w:r w:rsidRPr="00FA40C1">
              <w:rPr>
                <w:color w:val="000000" w:themeColor="text1"/>
              </w:rPr>
              <w:tab/>
              <w:t xml:space="preserve">le non-alignement de la politique en matière de visas d’un pays tiers figurant sur la liste de l’annexe II, lorsque, notamment en raison de sa proximité géographique avec l’Union, il existe un </w:t>
            </w:r>
            <w:r w:rsidRPr="00FA40C1">
              <w:rPr>
                <w:b/>
                <w:i/>
                <w:color w:val="000000" w:themeColor="text1"/>
              </w:rPr>
              <w:t>risque d’accroissement</w:t>
            </w:r>
            <w:r w:rsidRPr="00FA40C1">
              <w:rPr>
                <w:color w:val="000000" w:themeColor="text1"/>
              </w:rPr>
              <w:t xml:space="preserve"> substantiel du nombre de ressortissants de pays tiers, autres que les ressortissants de ce pays tiers, qui entrent irrégulièrement sur le territoire des États membres après avoir séjourné sur le territoire de ce pays tiers ou transité par celui-ci;</w:t>
            </w:r>
          </w:p>
        </w:tc>
        <w:tc>
          <w:tcPr>
            <w:tcW w:w="4876" w:type="dxa"/>
          </w:tcPr>
          <w:p w14:paraId="7766B667" w14:textId="77777777" w:rsidR="00804A7C" w:rsidRPr="00FA40C1" w:rsidRDefault="00804A7C" w:rsidP="00BF4F5C">
            <w:pPr>
              <w:pStyle w:val="Normal6a"/>
              <w:rPr>
                <w:color w:val="000000" w:themeColor="text1"/>
              </w:rPr>
            </w:pPr>
            <w:r w:rsidRPr="00FA40C1">
              <w:rPr>
                <w:color w:val="000000" w:themeColor="text1"/>
              </w:rPr>
              <w:t>f)</w:t>
            </w:r>
            <w:r w:rsidRPr="00FA40C1">
              <w:rPr>
                <w:color w:val="000000" w:themeColor="text1"/>
              </w:rPr>
              <w:tab/>
              <w:t xml:space="preserve">le non-alignement de la politique en matière de visas d’un pays tiers figurant sur la liste de l’annexe II, lorsque, notamment en raison de sa proximité géographique avec l’Union, il existe un </w:t>
            </w:r>
            <w:r w:rsidRPr="00FA40C1">
              <w:rPr>
                <w:b/>
                <w:i/>
                <w:color w:val="000000" w:themeColor="text1"/>
              </w:rPr>
              <w:t>accroissement</w:t>
            </w:r>
            <w:r w:rsidRPr="00FA40C1">
              <w:rPr>
                <w:color w:val="000000" w:themeColor="text1"/>
              </w:rPr>
              <w:t xml:space="preserve"> substantiel du nombre de ressortissants de pays tiers, autres que les ressortissants de ce pays tiers, qui entrent irrégulièrement sur le territoire des États membres après avoir séjourné sur le territoire de ce pays tiers ou transité par celui-ci;</w:t>
            </w:r>
          </w:p>
        </w:tc>
      </w:tr>
    </w:tbl>
    <w:p w14:paraId="08695BC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CF33C88" w14:textId="77777777" w:rsidR="00804A7C" w:rsidRPr="00FA40C1" w:rsidRDefault="00804A7C" w:rsidP="00804A7C">
      <w:pPr>
        <w:rPr>
          <w:color w:val="000000" w:themeColor="text1"/>
        </w:rPr>
      </w:pPr>
      <w:r w:rsidRPr="00FA40C1">
        <w:rPr>
          <w:rStyle w:val="HideTWBExt"/>
        </w:rPr>
        <w:t>&lt;/Amend&gt;</w:t>
      </w:r>
    </w:p>
    <w:p w14:paraId="2332331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69</w:t>
      </w:r>
      <w:r w:rsidRPr="00FA40C1">
        <w:rPr>
          <w:rStyle w:val="HideTWBExt"/>
          <w:b w:val="0"/>
        </w:rPr>
        <w:t>&lt;/NumAm&gt;</w:t>
      </w:r>
    </w:p>
    <w:p w14:paraId="57DF42B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B0E3667" w14:textId="77777777" w:rsidR="00804A7C" w:rsidRPr="00FA40C1" w:rsidRDefault="00804A7C" w:rsidP="00804A7C">
      <w:pPr>
        <w:pStyle w:val="NormalBold"/>
        <w:rPr>
          <w:color w:val="000000" w:themeColor="text1"/>
        </w:rPr>
      </w:pPr>
      <w:r w:rsidRPr="00FA40C1">
        <w:rPr>
          <w:rStyle w:val="HideTWBExt"/>
          <w:b w:val="0"/>
        </w:rPr>
        <w:t>&lt;/RepeatBlock-By&gt;</w:t>
      </w:r>
    </w:p>
    <w:p w14:paraId="5B49C67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84E994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A5BAD9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A1F1713"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f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8810C16" w14:textId="77777777" w:rsidTr="00BF4F5C">
        <w:trPr>
          <w:trHeight w:hRule="exact" w:val="240"/>
          <w:jc w:val="center"/>
        </w:trPr>
        <w:tc>
          <w:tcPr>
            <w:tcW w:w="9752" w:type="dxa"/>
            <w:gridSpan w:val="2"/>
          </w:tcPr>
          <w:p w14:paraId="45C52DF6" w14:textId="77777777" w:rsidR="00804A7C" w:rsidRPr="00FA40C1" w:rsidRDefault="00804A7C" w:rsidP="00BF4F5C">
            <w:pPr>
              <w:rPr>
                <w:color w:val="000000" w:themeColor="text1"/>
              </w:rPr>
            </w:pPr>
          </w:p>
        </w:tc>
      </w:tr>
      <w:tr w:rsidR="00804A7C" w:rsidRPr="00FA40C1" w14:paraId="67A5B97B" w14:textId="77777777" w:rsidTr="00BF4F5C">
        <w:trPr>
          <w:trHeight w:val="240"/>
          <w:jc w:val="center"/>
        </w:trPr>
        <w:tc>
          <w:tcPr>
            <w:tcW w:w="4876" w:type="dxa"/>
          </w:tcPr>
          <w:p w14:paraId="49B97A0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B8BA78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1F2CED1" w14:textId="77777777" w:rsidTr="00BF4F5C">
        <w:trPr>
          <w:jc w:val="center"/>
        </w:trPr>
        <w:tc>
          <w:tcPr>
            <w:tcW w:w="4876" w:type="dxa"/>
          </w:tcPr>
          <w:p w14:paraId="5BC997BF" w14:textId="77777777" w:rsidR="00804A7C" w:rsidRPr="00FA40C1" w:rsidRDefault="00804A7C" w:rsidP="00BF4F5C">
            <w:pPr>
              <w:pStyle w:val="Normal6a"/>
              <w:rPr>
                <w:color w:val="000000" w:themeColor="text1"/>
              </w:rPr>
            </w:pPr>
          </w:p>
        </w:tc>
        <w:tc>
          <w:tcPr>
            <w:tcW w:w="4876" w:type="dxa"/>
          </w:tcPr>
          <w:p w14:paraId="5FCF6216" w14:textId="77777777" w:rsidR="00804A7C" w:rsidRPr="00FA40C1" w:rsidRDefault="00804A7C" w:rsidP="00BF4F5C">
            <w:pPr>
              <w:pStyle w:val="Normal6a"/>
              <w:rPr>
                <w:color w:val="000000" w:themeColor="text1"/>
              </w:rPr>
            </w:pPr>
            <w:r w:rsidRPr="00FA40C1">
              <w:rPr>
                <w:b/>
                <w:i/>
                <w:color w:val="000000" w:themeColor="text1"/>
              </w:rPr>
              <w:t>f bis)</w:t>
            </w:r>
            <w:r w:rsidRPr="00FA40C1">
              <w:rPr>
                <w:color w:val="000000" w:themeColor="text1"/>
              </w:rPr>
              <w:tab/>
            </w:r>
            <w:r w:rsidRPr="00FA40C1">
              <w:rPr>
                <w:b/>
                <w:i/>
                <w:color w:val="000000" w:themeColor="text1"/>
              </w:rPr>
              <w:t>des violations graves des principes énoncés dans la charte des Nations unies ou des violations graves des obligations découlant du droit international relatif aux droits de l’homme ou du droit international humanitaire;</w:t>
            </w:r>
          </w:p>
        </w:tc>
      </w:tr>
    </w:tbl>
    <w:p w14:paraId="4AF5062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4FB263F" w14:textId="77777777" w:rsidR="00804A7C" w:rsidRPr="00FA40C1" w:rsidRDefault="00804A7C" w:rsidP="00804A7C">
      <w:pPr>
        <w:rPr>
          <w:color w:val="000000" w:themeColor="text1"/>
        </w:rPr>
      </w:pPr>
      <w:r w:rsidRPr="00FA40C1">
        <w:rPr>
          <w:rStyle w:val="HideTWBExt"/>
        </w:rPr>
        <w:t>&lt;/Amend&gt;</w:t>
      </w:r>
    </w:p>
    <w:p w14:paraId="697B522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70</w:t>
      </w:r>
      <w:r w:rsidRPr="00FA40C1">
        <w:rPr>
          <w:rStyle w:val="HideTWBExt"/>
          <w:b w:val="0"/>
        </w:rPr>
        <w:t>&lt;/NumAm&gt;</w:t>
      </w:r>
    </w:p>
    <w:p w14:paraId="3B0C271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5C43A325" w14:textId="77777777" w:rsidR="00804A7C" w:rsidRPr="00FA40C1" w:rsidRDefault="00804A7C" w:rsidP="00804A7C">
      <w:pPr>
        <w:pStyle w:val="NormalBold"/>
        <w:rPr>
          <w:color w:val="000000" w:themeColor="text1"/>
        </w:rPr>
      </w:pPr>
      <w:r w:rsidRPr="00FA40C1">
        <w:rPr>
          <w:rStyle w:val="HideTWBExt"/>
          <w:b w:val="0"/>
        </w:rPr>
        <w:t>&lt;/RepeatBlock-By&gt;</w:t>
      </w:r>
    </w:p>
    <w:p w14:paraId="29D6B8D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D7D768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13A01BF"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961E642"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f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4F11703" w14:textId="77777777" w:rsidTr="00BF4F5C">
        <w:trPr>
          <w:trHeight w:hRule="exact" w:val="240"/>
          <w:jc w:val="center"/>
        </w:trPr>
        <w:tc>
          <w:tcPr>
            <w:tcW w:w="9752" w:type="dxa"/>
            <w:gridSpan w:val="2"/>
          </w:tcPr>
          <w:p w14:paraId="6BCB6510" w14:textId="77777777" w:rsidR="00804A7C" w:rsidRPr="00FA40C1" w:rsidRDefault="00804A7C" w:rsidP="00BF4F5C">
            <w:pPr>
              <w:rPr>
                <w:color w:val="000000" w:themeColor="text1"/>
              </w:rPr>
            </w:pPr>
          </w:p>
        </w:tc>
      </w:tr>
      <w:tr w:rsidR="00804A7C" w:rsidRPr="00FA40C1" w14:paraId="0F731871" w14:textId="77777777" w:rsidTr="00BF4F5C">
        <w:trPr>
          <w:trHeight w:val="240"/>
          <w:jc w:val="center"/>
        </w:trPr>
        <w:tc>
          <w:tcPr>
            <w:tcW w:w="4876" w:type="dxa"/>
          </w:tcPr>
          <w:p w14:paraId="600CC63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51C72F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E2CA1E9" w14:textId="77777777" w:rsidTr="00BF4F5C">
        <w:trPr>
          <w:jc w:val="center"/>
        </w:trPr>
        <w:tc>
          <w:tcPr>
            <w:tcW w:w="4876" w:type="dxa"/>
          </w:tcPr>
          <w:p w14:paraId="4D7D6F0E" w14:textId="77777777" w:rsidR="00804A7C" w:rsidRPr="00FA40C1" w:rsidRDefault="00804A7C" w:rsidP="00BF4F5C">
            <w:pPr>
              <w:pStyle w:val="Normal6a"/>
              <w:rPr>
                <w:color w:val="000000" w:themeColor="text1"/>
              </w:rPr>
            </w:pPr>
          </w:p>
        </w:tc>
        <w:tc>
          <w:tcPr>
            <w:tcW w:w="4876" w:type="dxa"/>
          </w:tcPr>
          <w:p w14:paraId="601A5B47" w14:textId="77777777" w:rsidR="00804A7C" w:rsidRPr="00FA40C1" w:rsidRDefault="00804A7C" w:rsidP="00BF4F5C">
            <w:pPr>
              <w:pStyle w:val="Normal6a"/>
              <w:rPr>
                <w:color w:val="000000" w:themeColor="text1"/>
              </w:rPr>
            </w:pPr>
            <w:r w:rsidRPr="00FA40C1">
              <w:rPr>
                <w:b/>
                <w:i/>
                <w:color w:val="000000" w:themeColor="text1"/>
              </w:rPr>
              <w:t>f bis)</w:t>
            </w:r>
            <w:r w:rsidRPr="00FA40C1">
              <w:rPr>
                <w:color w:val="000000" w:themeColor="text1"/>
              </w:rPr>
              <w:tab/>
            </w:r>
            <w:r w:rsidRPr="00FA40C1">
              <w:rPr>
                <w:b/>
                <w:i/>
                <w:color w:val="000000" w:themeColor="text1"/>
              </w:rPr>
              <w:t>une détérioration importante des relations extérieures de l’Union avec un pays tiers figurant sur la liste de l’annexe II, par exemple en raison du non-alignement des critères énumérés à l’article 1</w:t>
            </w:r>
            <w:r w:rsidRPr="00FA40C1">
              <w:rPr>
                <w:b/>
                <w:i/>
                <w:color w:val="000000" w:themeColor="text1"/>
                <w:vertAlign w:val="superscript"/>
              </w:rPr>
              <w:t>er</w:t>
            </w:r>
            <w:r w:rsidRPr="00FA40C1">
              <w:rPr>
                <w:b/>
                <w:i/>
                <w:color w:val="000000" w:themeColor="text1"/>
              </w:rPr>
              <w:t xml:space="preserve"> du présent règlement;</w:t>
            </w:r>
          </w:p>
        </w:tc>
      </w:tr>
    </w:tbl>
    <w:p w14:paraId="414C4FC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79E0B2B" w14:textId="77777777" w:rsidR="00804A7C" w:rsidRPr="00FA40C1" w:rsidRDefault="00804A7C" w:rsidP="00804A7C">
      <w:pPr>
        <w:rPr>
          <w:color w:val="000000" w:themeColor="text1"/>
        </w:rPr>
      </w:pPr>
      <w:r w:rsidRPr="00FA40C1">
        <w:rPr>
          <w:rStyle w:val="HideTWBExt"/>
        </w:rPr>
        <w:t>&lt;/Amend&gt;</w:t>
      </w:r>
    </w:p>
    <w:p w14:paraId="51E050D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71</w:t>
      </w:r>
      <w:r w:rsidRPr="00FA40C1">
        <w:rPr>
          <w:rStyle w:val="HideTWBExt"/>
          <w:b w:val="0"/>
        </w:rPr>
        <w:t>&lt;/NumAm&gt;</w:t>
      </w:r>
    </w:p>
    <w:p w14:paraId="258B54A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Nuno Melo</w:t>
      </w:r>
      <w:r w:rsidRPr="00FA40C1">
        <w:rPr>
          <w:rStyle w:val="HideTWBExt"/>
          <w:b w:val="0"/>
        </w:rPr>
        <w:t>&lt;/Members&gt;</w:t>
      </w:r>
    </w:p>
    <w:p w14:paraId="6D3A6141" w14:textId="77777777" w:rsidR="00804A7C" w:rsidRPr="00FA40C1" w:rsidRDefault="00804A7C" w:rsidP="00804A7C">
      <w:pPr>
        <w:pStyle w:val="NormalBold"/>
        <w:rPr>
          <w:color w:val="000000" w:themeColor="text1"/>
        </w:rPr>
      </w:pPr>
      <w:r w:rsidRPr="00FA40C1">
        <w:rPr>
          <w:rStyle w:val="HideTWBExt"/>
          <w:b w:val="0"/>
        </w:rPr>
        <w:t>&lt;/RepeatBlock-By&gt;</w:t>
      </w:r>
    </w:p>
    <w:p w14:paraId="73B1E05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9F9436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A9B8462"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nº 2018/1806</w:t>
      </w:r>
      <w:r w:rsidRPr="00FA40C1">
        <w:rPr>
          <w:rStyle w:val="HideTWBExt"/>
        </w:rPr>
        <w:t>&lt;/DocAmend2&gt;</w:t>
      </w:r>
    </w:p>
    <w:p w14:paraId="7B3285C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g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3EC6188" w14:textId="77777777" w:rsidTr="00BF4F5C">
        <w:trPr>
          <w:trHeight w:hRule="exact" w:val="240"/>
          <w:jc w:val="center"/>
        </w:trPr>
        <w:tc>
          <w:tcPr>
            <w:tcW w:w="9752" w:type="dxa"/>
            <w:gridSpan w:val="2"/>
          </w:tcPr>
          <w:p w14:paraId="5C423B5E" w14:textId="77777777" w:rsidR="00804A7C" w:rsidRPr="00FA40C1" w:rsidRDefault="00804A7C" w:rsidP="00BF4F5C">
            <w:pPr>
              <w:rPr>
                <w:color w:val="000000" w:themeColor="text1"/>
              </w:rPr>
            </w:pPr>
          </w:p>
        </w:tc>
      </w:tr>
      <w:tr w:rsidR="00804A7C" w:rsidRPr="00FA40C1" w14:paraId="5AAA656F" w14:textId="77777777" w:rsidTr="00BF4F5C">
        <w:trPr>
          <w:trHeight w:val="240"/>
          <w:jc w:val="center"/>
        </w:trPr>
        <w:tc>
          <w:tcPr>
            <w:tcW w:w="4876" w:type="dxa"/>
          </w:tcPr>
          <w:p w14:paraId="4E669D2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1A8FAC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9486434" w14:textId="77777777" w:rsidTr="00BF4F5C">
        <w:trPr>
          <w:jc w:val="center"/>
        </w:trPr>
        <w:tc>
          <w:tcPr>
            <w:tcW w:w="4876" w:type="dxa"/>
          </w:tcPr>
          <w:p w14:paraId="560240CB" w14:textId="77777777" w:rsidR="00804A7C" w:rsidRPr="00FA40C1" w:rsidRDefault="00804A7C" w:rsidP="00BF4F5C">
            <w:pPr>
              <w:pStyle w:val="Normal6a"/>
              <w:rPr>
                <w:color w:val="000000" w:themeColor="text1"/>
              </w:rPr>
            </w:pPr>
          </w:p>
        </w:tc>
        <w:tc>
          <w:tcPr>
            <w:tcW w:w="4876" w:type="dxa"/>
          </w:tcPr>
          <w:p w14:paraId="2F7C940C" w14:textId="77777777" w:rsidR="00804A7C" w:rsidRPr="00FA40C1" w:rsidRDefault="00804A7C" w:rsidP="00BF4F5C">
            <w:pPr>
              <w:pStyle w:val="Normal6a"/>
              <w:rPr>
                <w:color w:val="000000" w:themeColor="text1"/>
              </w:rPr>
            </w:pPr>
            <w:r w:rsidRPr="00FA40C1">
              <w:rPr>
                <w:b/>
                <w:i/>
                <w:color w:val="000000" w:themeColor="text1"/>
              </w:rPr>
              <w:t>g bis)</w:t>
            </w:r>
            <w:r w:rsidRPr="00FA40C1">
              <w:rPr>
                <w:color w:val="000000" w:themeColor="text1"/>
              </w:rPr>
              <w:tab/>
            </w:r>
            <w:r w:rsidRPr="00FA40C1">
              <w:rPr>
                <w:b/>
                <w:i/>
                <w:color w:val="000000" w:themeColor="text1"/>
              </w:rPr>
              <w:t>la détérioration sensible et soudaine des relations extérieures de l’Union avec l’un des pays tiers énumérés à l’annexe II, notamment en ce qui concerne les droits de l’homme et les libertés fondamentales, en raison de l’une des situations suivantes i) de graves violations et atteintes en matière de droits de l’homme; ii) de graves atteintes au droit international et aux normes internationales, notamment à la législation en matière de droits de l’homme, et le non-respect de décisions ou arrêts de juridictions internationales;</w:t>
            </w:r>
          </w:p>
        </w:tc>
      </w:tr>
    </w:tbl>
    <w:p w14:paraId="4939028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{PT}</w:t>
      </w:r>
      <w:r w:rsidRPr="00FA40C1">
        <w:rPr>
          <w:color w:val="000000" w:themeColor="text1"/>
        </w:rPr>
        <w:t>pt</w:t>
      </w:r>
      <w:r w:rsidRPr="00FA40C1">
        <w:rPr>
          <w:rStyle w:val="HideTWBExt"/>
        </w:rPr>
        <w:t>&lt;/Original&gt;</w:t>
      </w:r>
    </w:p>
    <w:p w14:paraId="1431CADF" w14:textId="29E3C6AD" w:rsidR="00804A7C" w:rsidRPr="00FA40C1" w:rsidRDefault="00804A7C" w:rsidP="00804A7C">
      <w:pPr>
        <w:rPr>
          <w:color w:val="000000" w:themeColor="text1"/>
        </w:rPr>
      </w:pPr>
      <w:r w:rsidRPr="00FA40C1">
        <w:rPr>
          <w:rStyle w:val="HideTWBExt"/>
        </w:rPr>
        <w:t>&lt;/Amend&gt;</w:t>
      </w:r>
    </w:p>
    <w:p w14:paraId="1BAF274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72</w:t>
      </w:r>
      <w:r w:rsidRPr="00FA40C1">
        <w:rPr>
          <w:rStyle w:val="HideTWBExt"/>
          <w:b w:val="0"/>
        </w:rPr>
        <w:t>&lt;/NumAm&gt;</w:t>
      </w:r>
    </w:p>
    <w:p w14:paraId="2982C00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180CF82D" w14:textId="77777777" w:rsidR="00804A7C" w:rsidRPr="00FA40C1" w:rsidRDefault="00804A7C" w:rsidP="00804A7C">
      <w:pPr>
        <w:pStyle w:val="NormalBold"/>
        <w:rPr>
          <w:color w:val="000000" w:themeColor="text1"/>
        </w:rPr>
      </w:pPr>
      <w:r w:rsidRPr="00FA40C1">
        <w:rPr>
          <w:rStyle w:val="HideTWBExt"/>
          <w:b w:val="0"/>
        </w:rPr>
        <w:t>&lt;/RepeatBlock-By&gt;</w:t>
      </w:r>
    </w:p>
    <w:p w14:paraId="44999BF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400D60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F1FA41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BE695C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1 – point g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1CCC0B4" w14:textId="77777777" w:rsidTr="00BF4F5C">
        <w:trPr>
          <w:trHeight w:hRule="exact" w:val="240"/>
          <w:jc w:val="center"/>
        </w:trPr>
        <w:tc>
          <w:tcPr>
            <w:tcW w:w="9752" w:type="dxa"/>
            <w:gridSpan w:val="2"/>
          </w:tcPr>
          <w:p w14:paraId="180D5042" w14:textId="77777777" w:rsidR="00804A7C" w:rsidRPr="00FA40C1" w:rsidRDefault="00804A7C" w:rsidP="00BF4F5C">
            <w:pPr>
              <w:rPr>
                <w:color w:val="000000" w:themeColor="text1"/>
              </w:rPr>
            </w:pPr>
          </w:p>
        </w:tc>
      </w:tr>
      <w:tr w:rsidR="00804A7C" w:rsidRPr="00FA40C1" w14:paraId="1E10B533" w14:textId="77777777" w:rsidTr="00BF4F5C">
        <w:trPr>
          <w:trHeight w:val="240"/>
          <w:jc w:val="center"/>
        </w:trPr>
        <w:tc>
          <w:tcPr>
            <w:tcW w:w="4876" w:type="dxa"/>
          </w:tcPr>
          <w:p w14:paraId="3709933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562101C"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67296A0" w14:textId="77777777" w:rsidTr="00BF4F5C">
        <w:trPr>
          <w:jc w:val="center"/>
        </w:trPr>
        <w:tc>
          <w:tcPr>
            <w:tcW w:w="4876" w:type="dxa"/>
          </w:tcPr>
          <w:p w14:paraId="020433C2" w14:textId="77777777" w:rsidR="00804A7C" w:rsidRPr="00FA40C1" w:rsidRDefault="00804A7C" w:rsidP="00BF4F5C">
            <w:pPr>
              <w:pStyle w:val="Normal6a"/>
              <w:rPr>
                <w:color w:val="000000" w:themeColor="text1"/>
              </w:rPr>
            </w:pPr>
          </w:p>
        </w:tc>
        <w:tc>
          <w:tcPr>
            <w:tcW w:w="4876" w:type="dxa"/>
          </w:tcPr>
          <w:p w14:paraId="76423EDD" w14:textId="77777777" w:rsidR="00804A7C" w:rsidRPr="00FA40C1" w:rsidRDefault="00804A7C" w:rsidP="00BF4F5C">
            <w:pPr>
              <w:pStyle w:val="Normal6a"/>
              <w:rPr>
                <w:color w:val="000000" w:themeColor="text1"/>
              </w:rPr>
            </w:pPr>
            <w:r w:rsidRPr="00FA40C1">
              <w:rPr>
                <w:b/>
                <w:i/>
                <w:color w:val="000000" w:themeColor="text1"/>
              </w:rPr>
              <w:t>g bis)</w:t>
            </w:r>
            <w:r w:rsidRPr="00FA40C1">
              <w:rPr>
                <w:color w:val="000000" w:themeColor="text1"/>
              </w:rPr>
              <w:tab/>
            </w:r>
            <w:r w:rsidRPr="00FA40C1">
              <w:rPr>
                <w:b/>
                <w:i/>
                <w:color w:val="000000" w:themeColor="text1"/>
              </w:rPr>
              <w:t>tout autre motif de suspension prévu par un accord d’exemption de visa de court séjour entre l’Union et un pays tiers figurant sur la liste de l’annexe II, limité au champ d’application de cet accord.</w:t>
            </w:r>
          </w:p>
        </w:tc>
      </w:tr>
    </w:tbl>
    <w:p w14:paraId="55097016"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61DCE69" w14:textId="77777777" w:rsidR="00804A7C" w:rsidRPr="00FA40C1" w:rsidRDefault="00804A7C" w:rsidP="00804A7C">
      <w:pPr>
        <w:rPr>
          <w:color w:val="000000" w:themeColor="text1"/>
        </w:rPr>
      </w:pPr>
      <w:r w:rsidRPr="00FA40C1">
        <w:rPr>
          <w:rStyle w:val="HideTWBExt"/>
        </w:rPr>
        <w:t>&lt;/Amend&gt;</w:t>
      </w:r>
    </w:p>
    <w:p w14:paraId="30FE201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73</w:t>
      </w:r>
      <w:r w:rsidRPr="00FA40C1">
        <w:rPr>
          <w:rStyle w:val="HideTWBExt"/>
          <w:b w:val="0"/>
        </w:rPr>
        <w:t>&lt;/NumAm&gt;</w:t>
      </w:r>
    </w:p>
    <w:p w14:paraId="2021C13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9FD1612" w14:textId="77777777" w:rsidR="00804A7C" w:rsidRPr="00FA40C1" w:rsidRDefault="00804A7C" w:rsidP="00804A7C">
      <w:pPr>
        <w:pStyle w:val="NormalBold"/>
        <w:rPr>
          <w:color w:val="000000" w:themeColor="text1"/>
        </w:rPr>
      </w:pPr>
      <w:r w:rsidRPr="00FA40C1">
        <w:rPr>
          <w:rStyle w:val="HideTWBExt"/>
          <w:b w:val="0"/>
        </w:rPr>
        <w:t>&lt;/RepeatBlock-By&gt;</w:t>
      </w:r>
    </w:p>
    <w:p w14:paraId="0D447CE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778143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4AB5BB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CEA52F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27641B9" w14:textId="77777777" w:rsidTr="00BF4F5C">
        <w:trPr>
          <w:trHeight w:hRule="exact" w:val="240"/>
          <w:jc w:val="center"/>
        </w:trPr>
        <w:tc>
          <w:tcPr>
            <w:tcW w:w="9752" w:type="dxa"/>
            <w:gridSpan w:val="2"/>
          </w:tcPr>
          <w:p w14:paraId="747EE078" w14:textId="77777777" w:rsidR="00804A7C" w:rsidRPr="00FA40C1" w:rsidRDefault="00804A7C" w:rsidP="00BF4F5C">
            <w:pPr>
              <w:rPr>
                <w:color w:val="000000" w:themeColor="text1"/>
              </w:rPr>
            </w:pPr>
          </w:p>
        </w:tc>
      </w:tr>
      <w:tr w:rsidR="00804A7C" w:rsidRPr="00FA40C1" w14:paraId="45E1C9EA" w14:textId="77777777" w:rsidTr="00BF4F5C">
        <w:trPr>
          <w:trHeight w:val="240"/>
          <w:jc w:val="center"/>
        </w:trPr>
        <w:tc>
          <w:tcPr>
            <w:tcW w:w="4876" w:type="dxa"/>
          </w:tcPr>
          <w:p w14:paraId="4DC41FD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80729F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B6B3636" w14:textId="77777777" w:rsidTr="00BF4F5C">
        <w:trPr>
          <w:jc w:val="center"/>
        </w:trPr>
        <w:tc>
          <w:tcPr>
            <w:tcW w:w="4876" w:type="dxa"/>
          </w:tcPr>
          <w:p w14:paraId="020BE01E"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Aux fins du paragraphe 1, points a), b) et d) </w:t>
            </w:r>
            <w:r w:rsidRPr="00FA40C1">
              <w:rPr>
                <w:b/>
                <w:i/>
                <w:color w:val="000000" w:themeColor="text1"/>
              </w:rPr>
              <w:t>i)</w:t>
            </w:r>
            <w:r w:rsidRPr="00FA40C1">
              <w:rPr>
                <w:color w:val="000000" w:themeColor="text1"/>
              </w:rPr>
              <w:t>, du présent article, on entend par «accroissement substantiel», une augmentation dépassant le seuil de 50 %</w:t>
            </w:r>
            <w:r w:rsidRPr="00FA40C1">
              <w:rPr>
                <w:b/>
                <w:i/>
                <w:color w:val="000000" w:themeColor="text1"/>
              </w:rPr>
              <w:t>, à moins que la Commission, conformément à l’article 8 ter, paragraphe 4, ou à l’article 8 quater, paragraphe 2, ne conclue qu’une augmentation inférieure ou supérieure est applicable dans le cas particulier</w:t>
            </w:r>
            <w:r w:rsidRPr="00FA40C1">
              <w:rPr>
                <w:color w:val="000000" w:themeColor="text1"/>
              </w:rPr>
              <w:t>.</w:t>
            </w:r>
          </w:p>
        </w:tc>
        <w:tc>
          <w:tcPr>
            <w:tcW w:w="4876" w:type="dxa"/>
          </w:tcPr>
          <w:p w14:paraId="1CA184AA"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Aux fins du paragraphe 1, points a), b) et d), du présent article, on entend par «accroissement substantiel», une augmentation dépassant le seuil de 50 %.</w:t>
            </w:r>
          </w:p>
        </w:tc>
      </w:tr>
    </w:tbl>
    <w:p w14:paraId="5B0BBF4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CB53ABD" w14:textId="77777777" w:rsidR="00804A7C" w:rsidRPr="00FA40C1" w:rsidRDefault="00804A7C" w:rsidP="00804A7C">
      <w:pPr>
        <w:rPr>
          <w:color w:val="000000" w:themeColor="text1"/>
        </w:rPr>
      </w:pPr>
      <w:r w:rsidRPr="00FA40C1">
        <w:rPr>
          <w:rStyle w:val="HideTWBExt"/>
        </w:rPr>
        <w:t>&lt;/Amend&gt;</w:t>
      </w:r>
    </w:p>
    <w:p w14:paraId="4E4FFCC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74</w:t>
      </w:r>
      <w:r w:rsidRPr="00FA40C1">
        <w:rPr>
          <w:rStyle w:val="HideTWBExt"/>
          <w:b w:val="0"/>
        </w:rPr>
        <w:t>&lt;/NumAm&gt;</w:t>
      </w:r>
    </w:p>
    <w:p w14:paraId="6DA26F1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0B8C6953" w14:textId="77777777" w:rsidR="00804A7C" w:rsidRPr="00FA40C1" w:rsidRDefault="00804A7C" w:rsidP="00804A7C">
      <w:pPr>
        <w:pStyle w:val="NormalBold"/>
        <w:rPr>
          <w:color w:val="000000" w:themeColor="text1"/>
        </w:rPr>
      </w:pPr>
      <w:r w:rsidRPr="00FA40C1">
        <w:rPr>
          <w:rStyle w:val="HideTWBExt"/>
          <w:b w:val="0"/>
        </w:rPr>
        <w:t>&lt;/RepeatBlock-By&gt;</w:t>
      </w:r>
    </w:p>
    <w:p w14:paraId="24B14FD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1500DB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72C25C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3B28236"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B998512" w14:textId="77777777" w:rsidTr="00BF4F5C">
        <w:trPr>
          <w:trHeight w:hRule="exact" w:val="240"/>
          <w:jc w:val="center"/>
        </w:trPr>
        <w:tc>
          <w:tcPr>
            <w:tcW w:w="9752" w:type="dxa"/>
            <w:gridSpan w:val="2"/>
          </w:tcPr>
          <w:p w14:paraId="623A2490" w14:textId="77777777" w:rsidR="00804A7C" w:rsidRPr="00FA40C1" w:rsidRDefault="00804A7C" w:rsidP="00BF4F5C">
            <w:pPr>
              <w:rPr>
                <w:color w:val="000000" w:themeColor="text1"/>
              </w:rPr>
            </w:pPr>
          </w:p>
        </w:tc>
      </w:tr>
      <w:tr w:rsidR="00804A7C" w:rsidRPr="00FA40C1" w14:paraId="78A35636" w14:textId="77777777" w:rsidTr="00BF4F5C">
        <w:trPr>
          <w:trHeight w:val="240"/>
          <w:jc w:val="center"/>
        </w:trPr>
        <w:tc>
          <w:tcPr>
            <w:tcW w:w="4876" w:type="dxa"/>
          </w:tcPr>
          <w:p w14:paraId="7B92FEC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145AA4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3E9DBA6" w14:textId="77777777" w:rsidTr="00BF4F5C">
        <w:trPr>
          <w:jc w:val="center"/>
        </w:trPr>
        <w:tc>
          <w:tcPr>
            <w:tcW w:w="4876" w:type="dxa"/>
          </w:tcPr>
          <w:p w14:paraId="2D2F5AB1"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Aux fins du paragraphe 1, points a), b) et d) i), du présent article, on entend par «accroissement substantiel», une augmentation dépassant le seuil de 50 %, à moins que la Commission, conformément à l’article 8 ter, paragraphe 4, ou à l’article 8 quater, paragraphe 2, ne conclue qu’une augmentation inférieure ou supérieure est applicable dans le cas particulier.</w:t>
            </w:r>
          </w:p>
        </w:tc>
        <w:tc>
          <w:tcPr>
            <w:tcW w:w="4876" w:type="dxa"/>
          </w:tcPr>
          <w:p w14:paraId="0CB7028F"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Aux fins du paragraphe 1, points a), b) et d) i), du présent article, on entend par «accroissement substantiel», une augmentation dépassant le seuil de 50 %, à moins que la Commission, conformément à l’article 8 ter, paragraphe 4, ou à l’article 8 quater, paragraphe 2, ne conclue qu’une augmentation inférieure ou supérieure est applicable dans le cas particulier</w:t>
            </w:r>
            <w:r w:rsidRPr="00FA40C1">
              <w:rPr>
                <w:b/>
                <w:i/>
                <w:color w:val="000000" w:themeColor="text1"/>
              </w:rPr>
              <w:t>, en fournissant des motifs dûment justifiés pour cette décision</w:t>
            </w:r>
            <w:r w:rsidRPr="00FA40C1">
              <w:rPr>
                <w:color w:val="000000" w:themeColor="text1"/>
              </w:rPr>
              <w:t>.</w:t>
            </w:r>
          </w:p>
        </w:tc>
      </w:tr>
    </w:tbl>
    <w:p w14:paraId="1D9C55E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1978C22" w14:textId="77777777" w:rsidR="00804A7C" w:rsidRPr="00FA40C1" w:rsidRDefault="00804A7C" w:rsidP="00804A7C">
      <w:pPr>
        <w:rPr>
          <w:color w:val="000000" w:themeColor="text1"/>
        </w:rPr>
      </w:pPr>
      <w:r w:rsidRPr="00FA40C1">
        <w:rPr>
          <w:rStyle w:val="HideTWBExt"/>
        </w:rPr>
        <w:t>&lt;/Amend&gt;</w:t>
      </w:r>
    </w:p>
    <w:p w14:paraId="4BA0EF1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75</w:t>
      </w:r>
      <w:r w:rsidRPr="00FA40C1">
        <w:rPr>
          <w:rStyle w:val="HideTWBExt"/>
          <w:b w:val="0"/>
        </w:rPr>
        <w:t>&lt;/NumAm&gt;</w:t>
      </w:r>
    </w:p>
    <w:p w14:paraId="78011D6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5DD195F0" w14:textId="77777777" w:rsidR="00804A7C" w:rsidRPr="00FA40C1" w:rsidRDefault="00804A7C" w:rsidP="00804A7C">
      <w:pPr>
        <w:pStyle w:val="NormalBold"/>
        <w:rPr>
          <w:color w:val="000000" w:themeColor="text1"/>
        </w:rPr>
      </w:pPr>
      <w:r w:rsidRPr="00FA40C1">
        <w:rPr>
          <w:rStyle w:val="HideTWBExt"/>
          <w:b w:val="0"/>
        </w:rPr>
        <w:t>&lt;/RepeatBlock-By&gt;</w:t>
      </w:r>
    </w:p>
    <w:p w14:paraId="4C7207E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DA6227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9848771"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C4CE8F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CFC7A3E" w14:textId="77777777" w:rsidTr="00BF4F5C">
        <w:trPr>
          <w:trHeight w:hRule="exact" w:val="240"/>
          <w:jc w:val="center"/>
        </w:trPr>
        <w:tc>
          <w:tcPr>
            <w:tcW w:w="9752" w:type="dxa"/>
            <w:gridSpan w:val="2"/>
          </w:tcPr>
          <w:p w14:paraId="5D915F28" w14:textId="77777777" w:rsidR="00804A7C" w:rsidRPr="00FA40C1" w:rsidRDefault="00804A7C" w:rsidP="00BF4F5C">
            <w:pPr>
              <w:rPr>
                <w:color w:val="000000" w:themeColor="text1"/>
              </w:rPr>
            </w:pPr>
          </w:p>
        </w:tc>
      </w:tr>
      <w:tr w:rsidR="00804A7C" w:rsidRPr="00FA40C1" w14:paraId="709B5011" w14:textId="77777777" w:rsidTr="00BF4F5C">
        <w:trPr>
          <w:trHeight w:val="240"/>
          <w:jc w:val="center"/>
        </w:trPr>
        <w:tc>
          <w:tcPr>
            <w:tcW w:w="4876" w:type="dxa"/>
          </w:tcPr>
          <w:p w14:paraId="6CEA67E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7A0D86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E0AFE1F" w14:textId="77777777" w:rsidTr="00BF4F5C">
        <w:trPr>
          <w:jc w:val="center"/>
        </w:trPr>
        <w:tc>
          <w:tcPr>
            <w:tcW w:w="4876" w:type="dxa"/>
          </w:tcPr>
          <w:p w14:paraId="115B9C3B"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Aux fins du paragraphe 1, points a), b) et d) i), du présent article, on entend par «accroissement substantiel», une augmentation dépassant le seuil de 50 %, à moins que la Commission, conformément à l’article 8 ter, paragraphe 4, ou à l’article 8 quater, paragraphe 2, ne conclue qu’une augmentation inférieure ou supérieure est applicable dans le cas particulier.</w:t>
            </w:r>
          </w:p>
        </w:tc>
        <w:tc>
          <w:tcPr>
            <w:tcW w:w="4876" w:type="dxa"/>
          </w:tcPr>
          <w:p w14:paraId="0285473F"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w:t>
            </w:r>
            <w:r w:rsidRPr="00FA40C1">
              <w:rPr>
                <w:b/>
                <w:i/>
                <w:color w:val="000000" w:themeColor="text1"/>
              </w:rPr>
              <w:t>et du paragraphe 4</w:t>
            </w:r>
            <w:r w:rsidRPr="00FA40C1">
              <w:rPr>
                <w:color w:val="000000" w:themeColor="text1"/>
              </w:rPr>
              <w:t xml:space="preserve"> du présent article, on entend par «accroissement substantiel», une augmentation dépassant le seuil de 50 %, à moins que la Commission, conformément à l’article 8 ter, paragraphe 4, ou à l’article 8 quater, paragraphe 2, ne conclue qu’une augmentation inférieure ou supérieure est applicable dans le cas particulier.</w:t>
            </w:r>
          </w:p>
        </w:tc>
      </w:tr>
    </w:tbl>
    <w:p w14:paraId="16C3DAF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2B4B95B" w14:textId="77777777" w:rsidR="00804A7C" w:rsidRPr="00FA40C1" w:rsidRDefault="00804A7C" w:rsidP="00804A7C">
      <w:pPr>
        <w:rPr>
          <w:color w:val="000000" w:themeColor="text1"/>
        </w:rPr>
      </w:pPr>
      <w:r w:rsidRPr="00FA40C1">
        <w:rPr>
          <w:rStyle w:val="HideTWBExt"/>
        </w:rPr>
        <w:t>&lt;/Amend&gt;</w:t>
      </w:r>
    </w:p>
    <w:p w14:paraId="7C2A859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76</w:t>
      </w:r>
      <w:r w:rsidRPr="00FA40C1">
        <w:rPr>
          <w:rStyle w:val="HideTWBExt"/>
          <w:b w:val="0"/>
        </w:rPr>
        <w:t>&lt;/NumAm&gt;</w:t>
      </w:r>
    </w:p>
    <w:p w14:paraId="0654766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Charlie Weimers, Patryk Jaki, Vincenzo Sofo, Jorge Buxadé Villalba, Pirkko Ruohonen-Lerner</w:t>
      </w:r>
      <w:r w:rsidRPr="00FA40C1">
        <w:rPr>
          <w:rStyle w:val="HideTWBExt"/>
          <w:b w:val="0"/>
        </w:rPr>
        <w:t>&lt;/Members&gt;</w:t>
      </w:r>
    </w:p>
    <w:p w14:paraId="714E56CE" w14:textId="77777777" w:rsidR="00804A7C" w:rsidRPr="00FA40C1" w:rsidRDefault="00804A7C" w:rsidP="00804A7C">
      <w:pPr>
        <w:rPr>
          <w:color w:val="000000" w:themeColor="text1"/>
        </w:rPr>
      </w:pPr>
      <w:r w:rsidRPr="00FA40C1">
        <w:rPr>
          <w:rStyle w:val="HideTWBExt"/>
        </w:rPr>
        <w:t>&lt;AuNomDe&gt;</w:t>
      </w:r>
      <w:r w:rsidRPr="00FA40C1">
        <w:rPr>
          <w:rStyle w:val="HideTWBInt"/>
        </w:rPr>
        <w:t>{ECR}</w:t>
      </w:r>
      <w:r w:rsidRPr="00FA40C1">
        <w:rPr>
          <w:color w:val="000000" w:themeColor="text1"/>
        </w:rPr>
        <w:t>au nom du groupe ECR</w:t>
      </w:r>
      <w:r w:rsidRPr="00FA40C1">
        <w:rPr>
          <w:rStyle w:val="HideTWBExt"/>
        </w:rPr>
        <w:t>&lt;/AuNomDe&gt;</w:t>
      </w:r>
    </w:p>
    <w:p w14:paraId="6565086E" w14:textId="77777777" w:rsidR="00804A7C" w:rsidRPr="00FA40C1" w:rsidRDefault="00804A7C" w:rsidP="00804A7C">
      <w:pPr>
        <w:pStyle w:val="NormalBold"/>
        <w:rPr>
          <w:color w:val="000000" w:themeColor="text1"/>
        </w:rPr>
      </w:pPr>
      <w:r w:rsidRPr="00FA40C1">
        <w:rPr>
          <w:rStyle w:val="HideTWBExt"/>
          <w:b w:val="0"/>
        </w:rPr>
        <w:t>&lt;/RepeatBlock-By&gt;</w:t>
      </w:r>
    </w:p>
    <w:p w14:paraId="70015DD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F7AFBC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C1A753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E0E6F3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6119E0C" w14:textId="77777777" w:rsidTr="00BF4F5C">
        <w:trPr>
          <w:trHeight w:hRule="exact" w:val="240"/>
          <w:jc w:val="center"/>
        </w:trPr>
        <w:tc>
          <w:tcPr>
            <w:tcW w:w="9752" w:type="dxa"/>
            <w:gridSpan w:val="2"/>
          </w:tcPr>
          <w:p w14:paraId="5ACD03A4" w14:textId="77777777" w:rsidR="00804A7C" w:rsidRPr="00FA40C1" w:rsidRDefault="00804A7C" w:rsidP="00BF4F5C">
            <w:pPr>
              <w:rPr>
                <w:color w:val="000000" w:themeColor="text1"/>
              </w:rPr>
            </w:pPr>
          </w:p>
        </w:tc>
      </w:tr>
      <w:tr w:rsidR="00804A7C" w:rsidRPr="00FA40C1" w14:paraId="341C8F1D" w14:textId="77777777" w:rsidTr="00BF4F5C">
        <w:trPr>
          <w:trHeight w:val="240"/>
          <w:jc w:val="center"/>
        </w:trPr>
        <w:tc>
          <w:tcPr>
            <w:tcW w:w="4876" w:type="dxa"/>
          </w:tcPr>
          <w:p w14:paraId="6CE8E25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3EFA7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FBBEBB8" w14:textId="77777777" w:rsidTr="00BF4F5C">
        <w:trPr>
          <w:jc w:val="center"/>
        </w:trPr>
        <w:tc>
          <w:tcPr>
            <w:tcW w:w="4876" w:type="dxa"/>
          </w:tcPr>
          <w:p w14:paraId="46AB0F1F"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50 %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c>
          <w:tcPr>
            <w:tcW w:w="4876" w:type="dxa"/>
          </w:tcPr>
          <w:p w14:paraId="2B6FEBF5"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15 %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r>
    </w:tbl>
    <w:p w14:paraId="674EEA4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97D958E"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41DF4F8A" w14:textId="77777777" w:rsidR="00804A7C" w:rsidRPr="00FA40C1" w:rsidRDefault="00804A7C" w:rsidP="00804A7C">
      <w:pPr>
        <w:pStyle w:val="AmJustText"/>
        <w:rPr>
          <w:color w:val="000000" w:themeColor="text1"/>
        </w:rPr>
      </w:pPr>
      <w:r w:rsidRPr="00FA40C1">
        <w:rPr>
          <w:color w:val="000000" w:themeColor="text1"/>
        </w:rPr>
        <w:t>Selon la Commission, l’expérience passée met «en évidence la difficulté de déclencher le mécanisme, en raison de la lourdeur de sa procédure, et a démontré une nouvelle fois la difficulté d’atteindre les seuils requis par les règles actuelles, au détriment de l’objectif de réagir rapidement pour prévenir les risques de migration irrégulière et les risques pour la sécurité résultant du régime d’exemption de visa». Dès lors, il s’ensuit que le seuil doit être considérablement abaissé.</w:t>
      </w:r>
    </w:p>
    <w:p w14:paraId="2EFB2AA4" w14:textId="77777777" w:rsidR="00804A7C" w:rsidRPr="00FA40C1" w:rsidRDefault="00804A7C" w:rsidP="00804A7C">
      <w:pPr>
        <w:rPr>
          <w:color w:val="000000" w:themeColor="text1"/>
        </w:rPr>
      </w:pPr>
      <w:r w:rsidRPr="00FA40C1">
        <w:rPr>
          <w:rStyle w:val="HideTWBExt"/>
        </w:rPr>
        <w:t>&lt;/Amend&gt;</w:t>
      </w:r>
    </w:p>
    <w:p w14:paraId="1D53D3D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77</w:t>
      </w:r>
      <w:r w:rsidRPr="00FA40C1">
        <w:rPr>
          <w:rStyle w:val="HideTWBExt"/>
          <w:b w:val="0"/>
        </w:rPr>
        <w:t>&lt;/NumAm&gt;</w:t>
      </w:r>
    </w:p>
    <w:p w14:paraId="33F2A03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7DF95843" w14:textId="77777777" w:rsidR="00804A7C" w:rsidRPr="00FA40C1" w:rsidRDefault="00804A7C" w:rsidP="00804A7C">
      <w:pPr>
        <w:pStyle w:val="NormalBold"/>
        <w:rPr>
          <w:color w:val="000000" w:themeColor="text1"/>
        </w:rPr>
      </w:pPr>
      <w:r w:rsidRPr="00FA40C1">
        <w:rPr>
          <w:rStyle w:val="HideTWBExt"/>
          <w:b w:val="0"/>
        </w:rPr>
        <w:t>&lt;/RepeatBlock-By&gt;</w:t>
      </w:r>
    </w:p>
    <w:p w14:paraId="61BBECF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17E857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DD3EA5E"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5D30FC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5158209" w14:textId="77777777" w:rsidTr="00BF4F5C">
        <w:trPr>
          <w:trHeight w:hRule="exact" w:val="240"/>
          <w:jc w:val="center"/>
        </w:trPr>
        <w:tc>
          <w:tcPr>
            <w:tcW w:w="9752" w:type="dxa"/>
            <w:gridSpan w:val="2"/>
          </w:tcPr>
          <w:p w14:paraId="3D1260BA" w14:textId="77777777" w:rsidR="00804A7C" w:rsidRPr="00FA40C1" w:rsidRDefault="00804A7C" w:rsidP="00BF4F5C">
            <w:pPr>
              <w:rPr>
                <w:color w:val="000000" w:themeColor="text1"/>
              </w:rPr>
            </w:pPr>
          </w:p>
        </w:tc>
      </w:tr>
      <w:tr w:rsidR="00804A7C" w:rsidRPr="00FA40C1" w14:paraId="27FC8364" w14:textId="77777777" w:rsidTr="00BF4F5C">
        <w:trPr>
          <w:trHeight w:val="240"/>
          <w:jc w:val="center"/>
        </w:trPr>
        <w:tc>
          <w:tcPr>
            <w:tcW w:w="4876" w:type="dxa"/>
          </w:tcPr>
          <w:p w14:paraId="252A4B2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292776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5D72350" w14:textId="77777777" w:rsidTr="00BF4F5C">
        <w:trPr>
          <w:jc w:val="center"/>
        </w:trPr>
        <w:tc>
          <w:tcPr>
            <w:tcW w:w="4876" w:type="dxa"/>
          </w:tcPr>
          <w:p w14:paraId="1D49514C"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50 %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c>
          <w:tcPr>
            <w:tcW w:w="4876" w:type="dxa"/>
          </w:tcPr>
          <w:p w14:paraId="20C08C68"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10 %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r>
    </w:tbl>
    <w:p w14:paraId="79726A0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559C68A" w14:textId="77777777" w:rsidR="00804A7C" w:rsidRPr="00FA40C1" w:rsidRDefault="00804A7C" w:rsidP="00804A7C">
      <w:pPr>
        <w:rPr>
          <w:color w:val="000000" w:themeColor="text1"/>
        </w:rPr>
      </w:pPr>
      <w:r w:rsidRPr="00FA40C1">
        <w:rPr>
          <w:rStyle w:val="HideTWBExt"/>
        </w:rPr>
        <w:t>&lt;/Amend&gt;</w:t>
      </w:r>
    </w:p>
    <w:p w14:paraId="2D57BBF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78</w:t>
      </w:r>
      <w:r w:rsidRPr="00FA40C1">
        <w:rPr>
          <w:rStyle w:val="HideTWBExt"/>
          <w:b w:val="0"/>
        </w:rPr>
        <w:t>&lt;/NumAm&gt;</w:t>
      </w:r>
    </w:p>
    <w:p w14:paraId="19D2F1E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4C964E4E" w14:textId="77777777" w:rsidR="00804A7C" w:rsidRPr="00FA40C1" w:rsidRDefault="00804A7C" w:rsidP="00804A7C">
      <w:pPr>
        <w:pStyle w:val="NormalBold"/>
        <w:rPr>
          <w:color w:val="000000" w:themeColor="text1"/>
        </w:rPr>
      </w:pPr>
      <w:r w:rsidRPr="00FA40C1">
        <w:rPr>
          <w:rStyle w:val="HideTWBExt"/>
          <w:b w:val="0"/>
        </w:rPr>
        <w:t>&lt;/RepeatBlock-By&gt;</w:t>
      </w:r>
    </w:p>
    <w:p w14:paraId="3D46F30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5E74F6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5DF05A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7E8B79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4DA6717" w14:textId="77777777" w:rsidTr="00BF4F5C">
        <w:trPr>
          <w:trHeight w:hRule="exact" w:val="240"/>
          <w:jc w:val="center"/>
        </w:trPr>
        <w:tc>
          <w:tcPr>
            <w:tcW w:w="9752" w:type="dxa"/>
            <w:gridSpan w:val="2"/>
          </w:tcPr>
          <w:p w14:paraId="05D76F6D" w14:textId="77777777" w:rsidR="00804A7C" w:rsidRPr="00FA40C1" w:rsidRDefault="00804A7C" w:rsidP="00BF4F5C">
            <w:pPr>
              <w:rPr>
                <w:color w:val="000000" w:themeColor="text1"/>
              </w:rPr>
            </w:pPr>
          </w:p>
        </w:tc>
      </w:tr>
      <w:tr w:rsidR="00804A7C" w:rsidRPr="00FA40C1" w14:paraId="22DAEDC8" w14:textId="77777777" w:rsidTr="00BF4F5C">
        <w:trPr>
          <w:trHeight w:val="240"/>
          <w:jc w:val="center"/>
        </w:trPr>
        <w:tc>
          <w:tcPr>
            <w:tcW w:w="4876" w:type="dxa"/>
          </w:tcPr>
          <w:p w14:paraId="39B1A39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EDCACB7"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50536B2" w14:textId="77777777" w:rsidTr="00BF4F5C">
        <w:trPr>
          <w:jc w:val="center"/>
        </w:trPr>
        <w:tc>
          <w:tcPr>
            <w:tcW w:w="4876" w:type="dxa"/>
          </w:tcPr>
          <w:p w14:paraId="43E0CA87"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50 %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c>
          <w:tcPr>
            <w:tcW w:w="4876" w:type="dxa"/>
          </w:tcPr>
          <w:p w14:paraId="21C671B7"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Aux fins du paragraphe 1, points a), b) et d) i), du présent article, on entend par «accroissement substantiel», une augmentation dépassant le seuil de </w:t>
            </w:r>
            <w:r w:rsidRPr="00FA40C1">
              <w:rPr>
                <w:b/>
                <w:i/>
                <w:color w:val="000000" w:themeColor="text1"/>
              </w:rPr>
              <w:t>30 %</w:t>
            </w:r>
            <w:r w:rsidRPr="00FA40C1">
              <w:rPr>
                <w:color w:val="000000" w:themeColor="text1"/>
              </w:rPr>
              <w:t>, à moins que la Commission, conformément à l’article 8 ter, paragraphe 4, ou à l’article 8 quater, paragraphe 2, ne conclue qu’une augmentation inférieure ou supérieure est applicable dans le cas particulier.</w:t>
            </w:r>
          </w:p>
        </w:tc>
      </w:tr>
    </w:tbl>
    <w:p w14:paraId="441033DD" w14:textId="77777777" w:rsidR="00804A7C" w:rsidRPr="004863DB" w:rsidRDefault="00804A7C" w:rsidP="00804A7C">
      <w:pPr>
        <w:pStyle w:val="AmOrLang"/>
        <w:rPr>
          <w:color w:val="000000" w:themeColor="text1"/>
          <w:lang w:val="es-ES"/>
        </w:rPr>
      </w:pPr>
      <w:r w:rsidRPr="004863DB">
        <w:rPr>
          <w:color w:val="000000" w:themeColor="text1"/>
          <w:lang w:val="es-ES"/>
        </w:rPr>
        <w:t xml:space="preserve">Or. </w:t>
      </w:r>
      <w:r w:rsidRPr="004863DB">
        <w:rPr>
          <w:rStyle w:val="HideTWBExt"/>
          <w:lang w:val="es-ES"/>
        </w:rPr>
        <w:t>&lt;Original&gt;</w:t>
      </w:r>
      <w:r w:rsidRPr="004863DB">
        <w:rPr>
          <w:rStyle w:val="HideTWBInt"/>
          <w:lang w:val="es-ES"/>
        </w:rPr>
        <w:t>{EN}</w:t>
      </w:r>
      <w:r w:rsidRPr="004863DB">
        <w:rPr>
          <w:color w:val="000000" w:themeColor="text1"/>
          <w:lang w:val="es-ES"/>
        </w:rPr>
        <w:t>en</w:t>
      </w:r>
      <w:r w:rsidRPr="004863DB">
        <w:rPr>
          <w:rStyle w:val="HideTWBExt"/>
          <w:lang w:val="es-ES"/>
        </w:rPr>
        <w:t>&lt;/Original&gt;</w:t>
      </w:r>
    </w:p>
    <w:p w14:paraId="3CA28006" w14:textId="77777777" w:rsidR="00804A7C" w:rsidRPr="004863DB" w:rsidRDefault="00804A7C" w:rsidP="00804A7C">
      <w:pPr>
        <w:rPr>
          <w:color w:val="000000" w:themeColor="text1"/>
          <w:lang w:val="es-ES"/>
        </w:rPr>
      </w:pPr>
      <w:r w:rsidRPr="004863DB">
        <w:rPr>
          <w:rStyle w:val="HideTWBExt"/>
          <w:lang w:val="es-ES"/>
        </w:rPr>
        <w:t>&lt;/Amend&gt;</w:t>
      </w:r>
    </w:p>
    <w:p w14:paraId="31495D93" w14:textId="77777777" w:rsidR="00804A7C" w:rsidRPr="004863DB" w:rsidRDefault="00804A7C" w:rsidP="00804A7C">
      <w:pPr>
        <w:pStyle w:val="AmNumberTabs"/>
        <w:rPr>
          <w:color w:val="000000" w:themeColor="text1"/>
          <w:lang w:val="es-ES"/>
        </w:rPr>
      </w:pPr>
      <w:r w:rsidRPr="004863DB">
        <w:rPr>
          <w:rStyle w:val="HideTWBExt"/>
          <w:b w:val="0"/>
          <w:lang w:val="es-ES"/>
        </w:rPr>
        <w:t>&lt;Amend&gt;</w:t>
      </w:r>
      <w:r w:rsidRPr="004863DB">
        <w:rPr>
          <w:color w:val="000000" w:themeColor="text1"/>
          <w:lang w:val="es-ES"/>
        </w:rPr>
        <w:t>Amendement</w:t>
      </w:r>
      <w:r w:rsidRPr="004863DB">
        <w:rPr>
          <w:color w:val="000000" w:themeColor="text1"/>
          <w:lang w:val="es-ES"/>
        </w:rPr>
        <w:tab/>
      </w:r>
      <w:r w:rsidRPr="004863DB">
        <w:rPr>
          <w:color w:val="000000" w:themeColor="text1"/>
          <w:lang w:val="es-ES"/>
        </w:rPr>
        <w:tab/>
      </w:r>
      <w:r w:rsidRPr="004863DB">
        <w:rPr>
          <w:rStyle w:val="HideTWBExt"/>
          <w:b w:val="0"/>
          <w:lang w:val="es-ES"/>
        </w:rPr>
        <w:t>&lt;NumAm&gt;</w:t>
      </w:r>
      <w:r w:rsidRPr="004863DB">
        <w:rPr>
          <w:color w:val="000000" w:themeColor="text1"/>
          <w:lang w:val="es-ES"/>
        </w:rPr>
        <w:t>79</w:t>
      </w:r>
      <w:r w:rsidRPr="004863DB">
        <w:rPr>
          <w:rStyle w:val="HideTWBExt"/>
          <w:b w:val="0"/>
          <w:lang w:val="es-ES"/>
        </w:rPr>
        <w:t>&lt;/NumAm&gt;</w:t>
      </w:r>
    </w:p>
    <w:p w14:paraId="66978BE5" w14:textId="77777777" w:rsidR="00804A7C" w:rsidRPr="004863DB" w:rsidRDefault="00804A7C" w:rsidP="00804A7C">
      <w:pPr>
        <w:pStyle w:val="NormalBold"/>
        <w:rPr>
          <w:color w:val="000000" w:themeColor="text1"/>
          <w:lang w:val="es-ES"/>
        </w:rPr>
      </w:pPr>
      <w:r w:rsidRPr="004863DB">
        <w:rPr>
          <w:rStyle w:val="HideTWBExt"/>
          <w:b w:val="0"/>
          <w:lang w:val="es-ES"/>
        </w:rPr>
        <w:t>&lt;RepeatBlock-By&gt;&lt;Members&gt;</w:t>
      </w:r>
      <w:r w:rsidRPr="004863DB">
        <w:rPr>
          <w:color w:val="000000" w:themeColor="text1"/>
          <w:lang w:val="es-ES"/>
        </w:rPr>
        <w:t>Leopoldo López Gil, Javier Zarzalejos</w:t>
      </w:r>
      <w:r w:rsidRPr="004863DB">
        <w:rPr>
          <w:rStyle w:val="HideTWBExt"/>
          <w:b w:val="0"/>
          <w:lang w:val="es-ES"/>
        </w:rPr>
        <w:t>&lt;/Members&gt;</w:t>
      </w:r>
    </w:p>
    <w:p w14:paraId="5EDEB292" w14:textId="77777777" w:rsidR="00804A7C" w:rsidRPr="004863DB" w:rsidRDefault="00804A7C" w:rsidP="00804A7C">
      <w:pPr>
        <w:pStyle w:val="NormalBold"/>
        <w:rPr>
          <w:color w:val="000000" w:themeColor="text1"/>
          <w:lang w:val="es-ES"/>
        </w:rPr>
      </w:pPr>
      <w:r w:rsidRPr="004863DB">
        <w:rPr>
          <w:rStyle w:val="HideTWBExt"/>
          <w:b w:val="0"/>
          <w:lang w:val="es-ES"/>
        </w:rPr>
        <w:t>&lt;/RepeatBlock-By&gt;</w:t>
      </w:r>
    </w:p>
    <w:p w14:paraId="207577D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5831CB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1F084E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3263F4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F1DB4A2" w14:textId="77777777" w:rsidTr="00BF4F5C">
        <w:trPr>
          <w:trHeight w:hRule="exact" w:val="240"/>
          <w:jc w:val="center"/>
        </w:trPr>
        <w:tc>
          <w:tcPr>
            <w:tcW w:w="9752" w:type="dxa"/>
            <w:gridSpan w:val="2"/>
          </w:tcPr>
          <w:p w14:paraId="0D5709C0" w14:textId="77777777" w:rsidR="00804A7C" w:rsidRPr="00FA40C1" w:rsidRDefault="00804A7C" w:rsidP="00BF4F5C">
            <w:pPr>
              <w:rPr>
                <w:color w:val="000000" w:themeColor="text1"/>
              </w:rPr>
            </w:pPr>
          </w:p>
        </w:tc>
      </w:tr>
      <w:tr w:rsidR="00804A7C" w:rsidRPr="00FA40C1" w14:paraId="4A0528C7" w14:textId="77777777" w:rsidTr="00BF4F5C">
        <w:trPr>
          <w:trHeight w:val="240"/>
          <w:jc w:val="center"/>
        </w:trPr>
        <w:tc>
          <w:tcPr>
            <w:tcW w:w="4876" w:type="dxa"/>
          </w:tcPr>
          <w:p w14:paraId="11A7994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5B0C86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20BA824" w14:textId="77777777" w:rsidTr="00BF4F5C">
        <w:trPr>
          <w:jc w:val="center"/>
        </w:trPr>
        <w:tc>
          <w:tcPr>
            <w:tcW w:w="4876" w:type="dxa"/>
          </w:tcPr>
          <w:p w14:paraId="42FA42D1" w14:textId="77777777" w:rsidR="00804A7C" w:rsidRPr="00FA40C1" w:rsidRDefault="00804A7C" w:rsidP="00BF4F5C">
            <w:pPr>
              <w:pStyle w:val="Normal6a"/>
              <w:rPr>
                <w:color w:val="000000" w:themeColor="text1"/>
              </w:rPr>
            </w:pPr>
            <w:r w:rsidRPr="00FA40C1">
              <w:rPr>
                <w:b/>
                <w:i/>
                <w:color w:val="000000" w:themeColor="text1"/>
              </w:rPr>
              <w:t>3.</w:t>
            </w:r>
            <w:r w:rsidRPr="00FA40C1">
              <w:rPr>
                <w:color w:val="000000" w:themeColor="text1"/>
              </w:rPr>
              <w:tab/>
            </w:r>
            <w:r w:rsidRPr="00FA40C1">
              <w:rPr>
                <w:b/>
                <w:i/>
                <w:color w:val="000000" w:themeColor="text1"/>
              </w:rPr>
              <w:t>Aux fins du paragraphe 1, point b), du présent article, on entend par «faible taux de reconnaissance», un taux de reconnaissance des demandes d’asile inférieur à 4 %, à moins que la Commission ne conclue, conformément à l’article 8 ter, paragraphe 4, ou à l’article 8 quater, paragraphe 2, qu’un taux de reconnaissance plus élevé est applicable dans le cas particulier.</w:t>
            </w:r>
          </w:p>
        </w:tc>
        <w:tc>
          <w:tcPr>
            <w:tcW w:w="4876" w:type="dxa"/>
          </w:tcPr>
          <w:p w14:paraId="15E234AE"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343E380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{ES}</w:t>
      </w:r>
      <w:r w:rsidRPr="00FA40C1">
        <w:rPr>
          <w:color w:val="000000" w:themeColor="text1"/>
        </w:rPr>
        <w:t>es</w:t>
      </w:r>
      <w:r w:rsidRPr="00FA40C1">
        <w:rPr>
          <w:rStyle w:val="HideTWBExt"/>
        </w:rPr>
        <w:t>&lt;/Original&gt;</w:t>
      </w:r>
    </w:p>
    <w:p w14:paraId="0E542E2F" w14:textId="1A3F17FD" w:rsidR="00804A7C" w:rsidRPr="00FA40C1" w:rsidRDefault="00804A7C" w:rsidP="00804A7C">
      <w:pPr>
        <w:rPr>
          <w:color w:val="000000" w:themeColor="text1"/>
        </w:rPr>
      </w:pPr>
      <w:r w:rsidRPr="00FA40C1">
        <w:rPr>
          <w:rStyle w:val="HideTWBExt"/>
        </w:rPr>
        <w:t>&lt;/Amend&gt;</w:t>
      </w:r>
    </w:p>
    <w:p w14:paraId="2FE8F90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80</w:t>
      </w:r>
      <w:r w:rsidRPr="00FA40C1">
        <w:rPr>
          <w:rStyle w:val="HideTWBExt"/>
          <w:b w:val="0"/>
        </w:rPr>
        <w:t>&lt;/NumAm&gt;</w:t>
      </w:r>
    </w:p>
    <w:p w14:paraId="17A5E58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5262FBB4" w14:textId="77777777" w:rsidR="00804A7C" w:rsidRPr="00FA40C1" w:rsidRDefault="00804A7C" w:rsidP="00804A7C">
      <w:pPr>
        <w:pStyle w:val="NormalBold"/>
        <w:rPr>
          <w:color w:val="000000" w:themeColor="text1"/>
        </w:rPr>
      </w:pPr>
      <w:r w:rsidRPr="00FA40C1">
        <w:rPr>
          <w:rStyle w:val="HideTWBExt"/>
          <w:b w:val="0"/>
        </w:rPr>
        <w:t>&lt;/RepeatBlock-By&gt;</w:t>
      </w:r>
    </w:p>
    <w:p w14:paraId="3A5F00C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9AEC58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0DE004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FBD6AE7"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C7A4246" w14:textId="77777777" w:rsidTr="00BF4F5C">
        <w:trPr>
          <w:trHeight w:hRule="exact" w:val="240"/>
          <w:jc w:val="center"/>
        </w:trPr>
        <w:tc>
          <w:tcPr>
            <w:tcW w:w="9752" w:type="dxa"/>
            <w:gridSpan w:val="2"/>
          </w:tcPr>
          <w:p w14:paraId="70BAE1ED" w14:textId="77777777" w:rsidR="00804A7C" w:rsidRPr="00FA40C1" w:rsidRDefault="00804A7C" w:rsidP="00BF4F5C">
            <w:pPr>
              <w:rPr>
                <w:color w:val="000000" w:themeColor="text1"/>
              </w:rPr>
            </w:pPr>
          </w:p>
        </w:tc>
      </w:tr>
      <w:tr w:rsidR="00804A7C" w:rsidRPr="00FA40C1" w14:paraId="70EBBCBD" w14:textId="77777777" w:rsidTr="00BF4F5C">
        <w:trPr>
          <w:trHeight w:val="240"/>
          <w:jc w:val="center"/>
        </w:trPr>
        <w:tc>
          <w:tcPr>
            <w:tcW w:w="4876" w:type="dxa"/>
          </w:tcPr>
          <w:p w14:paraId="094D56F8"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70E0BE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02A0488" w14:textId="77777777" w:rsidTr="00BF4F5C">
        <w:trPr>
          <w:jc w:val="center"/>
        </w:trPr>
        <w:tc>
          <w:tcPr>
            <w:tcW w:w="4876" w:type="dxa"/>
          </w:tcPr>
          <w:p w14:paraId="1EB4896F"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4 %, à moins que la Commission ne conclue, conformément à l’article 8 ter, paragraphe 4, ou à l’article 8 quater, paragraphe 2, qu’un taux de reconnaissance plus élevé est applicable dans le cas particulier</w:t>
            </w:r>
            <w:r w:rsidRPr="00FA40C1">
              <w:rPr>
                <w:color w:val="000000" w:themeColor="text1"/>
              </w:rPr>
              <w:t>.</w:t>
            </w:r>
          </w:p>
        </w:tc>
        <w:tc>
          <w:tcPr>
            <w:tcW w:w="4876" w:type="dxa"/>
          </w:tcPr>
          <w:p w14:paraId="0F093B06"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2 %</w:t>
            </w:r>
            <w:r w:rsidRPr="00FA40C1">
              <w:rPr>
                <w:color w:val="000000" w:themeColor="text1"/>
              </w:rPr>
              <w:t>.</w:t>
            </w:r>
          </w:p>
        </w:tc>
      </w:tr>
    </w:tbl>
    <w:p w14:paraId="16FCCDD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B70A0DD" w14:textId="77777777" w:rsidR="00804A7C" w:rsidRPr="00FA40C1" w:rsidRDefault="00804A7C" w:rsidP="00804A7C">
      <w:pPr>
        <w:rPr>
          <w:color w:val="000000" w:themeColor="text1"/>
        </w:rPr>
      </w:pPr>
      <w:r w:rsidRPr="00FA40C1">
        <w:rPr>
          <w:rStyle w:val="HideTWBExt"/>
        </w:rPr>
        <w:t>&lt;/Amend&gt;</w:t>
      </w:r>
    </w:p>
    <w:p w14:paraId="2F1072A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81</w:t>
      </w:r>
      <w:r w:rsidRPr="00FA40C1">
        <w:rPr>
          <w:rStyle w:val="HideTWBExt"/>
          <w:b w:val="0"/>
        </w:rPr>
        <w:t>&lt;/NumAm&gt;</w:t>
      </w:r>
    </w:p>
    <w:p w14:paraId="250A3F6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152E9BF3" w14:textId="77777777" w:rsidR="00804A7C" w:rsidRPr="00FA40C1" w:rsidRDefault="00804A7C" w:rsidP="00804A7C">
      <w:pPr>
        <w:pStyle w:val="NormalBold"/>
        <w:rPr>
          <w:color w:val="000000" w:themeColor="text1"/>
        </w:rPr>
      </w:pPr>
      <w:r w:rsidRPr="00FA40C1">
        <w:rPr>
          <w:rStyle w:val="HideTWBExt"/>
          <w:b w:val="0"/>
        </w:rPr>
        <w:t>&lt;/RepeatBlock-By&gt;</w:t>
      </w:r>
    </w:p>
    <w:p w14:paraId="38216AB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5085D4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CEF425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1D1AE0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61D24FE" w14:textId="77777777" w:rsidTr="00BF4F5C">
        <w:trPr>
          <w:trHeight w:hRule="exact" w:val="240"/>
          <w:jc w:val="center"/>
        </w:trPr>
        <w:tc>
          <w:tcPr>
            <w:tcW w:w="9752" w:type="dxa"/>
            <w:gridSpan w:val="2"/>
          </w:tcPr>
          <w:p w14:paraId="440EC80B" w14:textId="77777777" w:rsidR="00804A7C" w:rsidRPr="00FA40C1" w:rsidRDefault="00804A7C" w:rsidP="00BF4F5C">
            <w:pPr>
              <w:rPr>
                <w:color w:val="000000" w:themeColor="text1"/>
              </w:rPr>
            </w:pPr>
          </w:p>
        </w:tc>
      </w:tr>
      <w:tr w:rsidR="00804A7C" w:rsidRPr="00FA40C1" w14:paraId="1BEC4B14" w14:textId="77777777" w:rsidTr="00BF4F5C">
        <w:trPr>
          <w:trHeight w:val="240"/>
          <w:jc w:val="center"/>
        </w:trPr>
        <w:tc>
          <w:tcPr>
            <w:tcW w:w="4876" w:type="dxa"/>
          </w:tcPr>
          <w:p w14:paraId="2720D35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1581A0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A234646" w14:textId="77777777" w:rsidTr="00BF4F5C">
        <w:trPr>
          <w:jc w:val="center"/>
        </w:trPr>
        <w:tc>
          <w:tcPr>
            <w:tcW w:w="4876" w:type="dxa"/>
          </w:tcPr>
          <w:p w14:paraId="5308F663"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Aux fins du paragraphe 1, point b), du présent article, on entend par «faible taux de reconnaissance», un taux de reconnaissance des demandes d’asile inférieur à 4 %, à moins que la Commission ne conclue, conformément à l’article 8 ter, paragraphe 4, ou à l’article 8 quater, paragraphe 2, qu’un taux de reconnaissance plus élevé est applicable dans le cas particulier.</w:t>
            </w:r>
          </w:p>
        </w:tc>
        <w:tc>
          <w:tcPr>
            <w:tcW w:w="4876" w:type="dxa"/>
          </w:tcPr>
          <w:p w14:paraId="19E10FAE"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Aux fins du paragraphe 1, point b), du présent article, on entend par «faible taux de reconnaissance», un taux de reconnaissance des demandes d’asile inférieur à 4 %, à moins que la Commission ne conclue, conformément à l’article 8 ter, paragraphe 4, ou à l’article 8 quater, paragraphe 2, qu’un taux de reconnaissance plus élevé est applicable dans le cas particulier</w:t>
            </w:r>
            <w:r w:rsidRPr="00FA40C1">
              <w:rPr>
                <w:b/>
                <w:i/>
                <w:color w:val="000000" w:themeColor="text1"/>
              </w:rPr>
              <w:t>, en fournissant des motifs dûment justifiés pour cette décision</w:t>
            </w:r>
            <w:r w:rsidRPr="00FA40C1">
              <w:rPr>
                <w:color w:val="000000" w:themeColor="text1"/>
              </w:rPr>
              <w:t>.</w:t>
            </w:r>
          </w:p>
        </w:tc>
      </w:tr>
    </w:tbl>
    <w:p w14:paraId="664BD0E1"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59945B2" w14:textId="77777777" w:rsidR="00804A7C" w:rsidRPr="00FA40C1" w:rsidRDefault="00804A7C" w:rsidP="00804A7C">
      <w:pPr>
        <w:rPr>
          <w:color w:val="000000" w:themeColor="text1"/>
        </w:rPr>
      </w:pPr>
      <w:r w:rsidRPr="00FA40C1">
        <w:rPr>
          <w:rStyle w:val="HideTWBExt"/>
        </w:rPr>
        <w:t>&lt;/Amend&gt;</w:t>
      </w:r>
    </w:p>
    <w:p w14:paraId="620D44B5"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82</w:t>
      </w:r>
      <w:r w:rsidRPr="00FA40C1">
        <w:rPr>
          <w:rStyle w:val="HideTWBExt"/>
          <w:b w:val="0"/>
        </w:rPr>
        <w:t>&lt;/NumAm&gt;</w:t>
      </w:r>
    </w:p>
    <w:p w14:paraId="3211CCC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Jaak Madison</w:t>
      </w:r>
      <w:r w:rsidRPr="00FA40C1">
        <w:rPr>
          <w:rStyle w:val="HideTWBExt"/>
          <w:b w:val="0"/>
        </w:rPr>
        <w:t>&lt;/Members&gt;</w:t>
      </w:r>
    </w:p>
    <w:p w14:paraId="6FE93C17" w14:textId="77777777" w:rsidR="00804A7C" w:rsidRPr="00FA40C1" w:rsidRDefault="00804A7C" w:rsidP="00804A7C">
      <w:pPr>
        <w:pStyle w:val="NormalBold"/>
        <w:rPr>
          <w:color w:val="000000" w:themeColor="text1"/>
        </w:rPr>
      </w:pPr>
      <w:r w:rsidRPr="00FA40C1">
        <w:rPr>
          <w:rStyle w:val="HideTWBExt"/>
          <w:b w:val="0"/>
        </w:rPr>
        <w:t>&lt;/RepeatBlock-By&gt;</w:t>
      </w:r>
    </w:p>
    <w:p w14:paraId="61B323B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06EB3F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1FC092B"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CF86DB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E0F2A42" w14:textId="77777777" w:rsidTr="00BF4F5C">
        <w:trPr>
          <w:trHeight w:hRule="exact" w:val="240"/>
          <w:jc w:val="center"/>
        </w:trPr>
        <w:tc>
          <w:tcPr>
            <w:tcW w:w="9752" w:type="dxa"/>
            <w:gridSpan w:val="2"/>
          </w:tcPr>
          <w:p w14:paraId="41950C8C" w14:textId="77777777" w:rsidR="00804A7C" w:rsidRPr="00FA40C1" w:rsidRDefault="00804A7C" w:rsidP="00BF4F5C">
            <w:pPr>
              <w:rPr>
                <w:color w:val="000000" w:themeColor="text1"/>
              </w:rPr>
            </w:pPr>
          </w:p>
        </w:tc>
      </w:tr>
      <w:tr w:rsidR="00804A7C" w:rsidRPr="00FA40C1" w14:paraId="666B15BB" w14:textId="77777777" w:rsidTr="00BF4F5C">
        <w:trPr>
          <w:trHeight w:val="240"/>
          <w:jc w:val="center"/>
        </w:trPr>
        <w:tc>
          <w:tcPr>
            <w:tcW w:w="4876" w:type="dxa"/>
          </w:tcPr>
          <w:p w14:paraId="76D4DFD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F9B5DD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E32FCA4" w14:textId="77777777" w:rsidTr="00BF4F5C">
        <w:trPr>
          <w:jc w:val="center"/>
        </w:trPr>
        <w:tc>
          <w:tcPr>
            <w:tcW w:w="4876" w:type="dxa"/>
          </w:tcPr>
          <w:p w14:paraId="352D9BF9"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4</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c>
          <w:tcPr>
            <w:tcW w:w="4876" w:type="dxa"/>
          </w:tcPr>
          <w:p w14:paraId="31C56EA8"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35</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r>
    </w:tbl>
    <w:p w14:paraId="0513291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B1B7D5E" w14:textId="77777777" w:rsidR="00804A7C" w:rsidRPr="00FA40C1" w:rsidRDefault="00804A7C" w:rsidP="00804A7C">
      <w:pPr>
        <w:rPr>
          <w:color w:val="000000" w:themeColor="text1"/>
        </w:rPr>
      </w:pPr>
      <w:r w:rsidRPr="00FA40C1">
        <w:rPr>
          <w:rStyle w:val="HideTWBExt"/>
        </w:rPr>
        <w:t>&lt;/Amend&gt;</w:t>
      </w:r>
    </w:p>
    <w:p w14:paraId="06FCE4E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83</w:t>
      </w:r>
      <w:r w:rsidRPr="00FA40C1">
        <w:rPr>
          <w:rStyle w:val="HideTWBExt"/>
          <w:b w:val="0"/>
        </w:rPr>
        <w:t>&lt;/NumAm&gt;</w:t>
      </w:r>
    </w:p>
    <w:p w14:paraId="2EE71B7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73153CA8" w14:textId="77777777" w:rsidR="00804A7C" w:rsidRPr="00FA40C1" w:rsidRDefault="00804A7C" w:rsidP="00804A7C">
      <w:pPr>
        <w:pStyle w:val="NormalBold"/>
        <w:rPr>
          <w:color w:val="000000" w:themeColor="text1"/>
        </w:rPr>
      </w:pPr>
      <w:r w:rsidRPr="00FA40C1">
        <w:rPr>
          <w:rStyle w:val="HideTWBExt"/>
          <w:b w:val="0"/>
        </w:rPr>
        <w:t>&lt;/RepeatBlock-By&gt;</w:t>
      </w:r>
    </w:p>
    <w:p w14:paraId="10C4DB1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B16B88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1B220CE"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9A17227"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3928889" w14:textId="77777777" w:rsidTr="00BF4F5C">
        <w:trPr>
          <w:trHeight w:hRule="exact" w:val="240"/>
          <w:jc w:val="center"/>
        </w:trPr>
        <w:tc>
          <w:tcPr>
            <w:tcW w:w="9752" w:type="dxa"/>
            <w:gridSpan w:val="2"/>
          </w:tcPr>
          <w:p w14:paraId="11A50A8D" w14:textId="77777777" w:rsidR="00804A7C" w:rsidRPr="00FA40C1" w:rsidRDefault="00804A7C" w:rsidP="00BF4F5C">
            <w:pPr>
              <w:rPr>
                <w:color w:val="000000" w:themeColor="text1"/>
              </w:rPr>
            </w:pPr>
          </w:p>
        </w:tc>
      </w:tr>
      <w:tr w:rsidR="00804A7C" w:rsidRPr="00FA40C1" w14:paraId="1F40F55B" w14:textId="77777777" w:rsidTr="00BF4F5C">
        <w:trPr>
          <w:trHeight w:val="240"/>
          <w:jc w:val="center"/>
        </w:trPr>
        <w:tc>
          <w:tcPr>
            <w:tcW w:w="4876" w:type="dxa"/>
          </w:tcPr>
          <w:p w14:paraId="278CA3E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979586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1DBB47D" w14:textId="77777777" w:rsidTr="00BF4F5C">
        <w:trPr>
          <w:jc w:val="center"/>
        </w:trPr>
        <w:tc>
          <w:tcPr>
            <w:tcW w:w="4876" w:type="dxa"/>
          </w:tcPr>
          <w:p w14:paraId="1A1175A8"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4</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c>
          <w:tcPr>
            <w:tcW w:w="4876" w:type="dxa"/>
          </w:tcPr>
          <w:p w14:paraId="2ADB8074"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20</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r>
    </w:tbl>
    <w:p w14:paraId="24A7EAC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8E716E1" w14:textId="77777777" w:rsidR="00804A7C" w:rsidRPr="00FA40C1" w:rsidRDefault="00804A7C" w:rsidP="00804A7C">
      <w:pPr>
        <w:rPr>
          <w:color w:val="000000" w:themeColor="text1"/>
        </w:rPr>
      </w:pPr>
      <w:r w:rsidRPr="00FA40C1">
        <w:rPr>
          <w:rStyle w:val="HideTWBExt"/>
        </w:rPr>
        <w:t>&lt;/Amend&gt;</w:t>
      </w:r>
    </w:p>
    <w:p w14:paraId="7A9888B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84</w:t>
      </w:r>
      <w:r w:rsidRPr="00FA40C1">
        <w:rPr>
          <w:rStyle w:val="HideTWBExt"/>
          <w:b w:val="0"/>
        </w:rPr>
        <w:t>&lt;/NumAm&gt;</w:t>
      </w:r>
    </w:p>
    <w:p w14:paraId="48C14A1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Charlie Weimers, Patryk Jaki, Vincenzo Sofo, Jorge Buxadé Villalba, Pirkko Ruohonen-Lerner</w:t>
      </w:r>
      <w:r w:rsidRPr="00FA40C1">
        <w:rPr>
          <w:rStyle w:val="HideTWBExt"/>
          <w:b w:val="0"/>
        </w:rPr>
        <w:t>&lt;/Members&gt;</w:t>
      </w:r>
    </w:p>
    <w:p w14:paraId="3A433E93" w14:textId="77777777" w:rsidR="00804A7C" w:rsidRPr="00FA40C1" w:rsidRDefault="00804A7C" w:rsidP="00804A7C">
      <w:pPr>
        <w:rPr>
          <w:color w:val="000000" w:themeColor="text1"/>
        </w:rPr>
      </w:pPr>
      <w:r w:rsidRPr="00FA40C1">
        <w:rPr>
          <w:rStyle w:val="HideTWBExt"/>
        </w:rPr>
        <w:t>&lt;AuNomDe&gt;</w:t>
      </w:r>
      <w:r w:rsidRPr="00FA40C1">
        <w:rPr>
          <w:rStyle w:val="HideTWBInt"/>
        </w:rPr>
        <w:t>{ECR}</w:t>
      </w:r>
      <w:r w:rsidRPr="00FA40C1">
        <w:rPr>
          <w:color w:val="000000" w:themeColor="text1"/>
        </w:rPr>
        <w:t>au nom du groupe ECR</w:t>
      </w:r>
      <w:r w:rsidRPr="00FA40C1">
        <w:rPr>
          <w:rStyle w:val="HideTWBExt"/>
        </w:rPr>
        <w:t>&lt;/AuNomDe&gt;</w:t>
      </w:r>
    </w:p>
    <w:p w14:paraId="40C4636C" w14:textId="77777777" w:rsidR="00804A7C" w:rsidRPr="00FA40C1" w:rsidRDefault="00804A7C" w:rsidP="00804A7C">
      <w:pPr>
        <w:pStyle w:val="NormalBold"/>
        <w:rPr>
          <w:color w:val="000000" w:themeColor="text1"/>
        </w:rPr>
      </w:pPr>
      <w:r w:rsidRPr="00FA40C1">
        <w:rPr>
          <w:rStyle w:val="HideTWBExt"/>
          <w:b w:val="0"/>
        </w:rPr>
        <w:t>&lt;/RepeatBlock-By&gt;</w:t>
      </w:r>
    </w:p>
    <w:p w14:paraId="4926EDC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57D4A20"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291B578"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AEBA293"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73D9F51" w14:textId="77777777" w:rsidTr="00BF4F5C">
        <w:trPr>
          <w:trHeight w:hRule="exact" w:val="240"/>
          <w:jc w:val="center"/>
        </w:trPr>
        <w:tc>
          <w:tcPr>
            <w:tcW w:w="9752" w:type="dxa"/>
            <w:gridSpan w:val="2"/>
          </w:tcPr>
          <w:p w14:paraId="0CC89D0C" w14:textId="77777777" w:rsidR="00804A7C" w:rsidRPr="00FA40C1" w:rsidRDefault="00804A7C" w:rsidP="00BF4F5C">
            <w:pPr>
              <w:rPr>
                <w:color w:val="000000" w:themeColor="text1"/>
              </w:rPr>
            </w:pPr>
          </w:p>
        </w:tc>
      </w:tr>
      <w:tr w:rsidR="00804A7C" w:rsidRPr="00FA40C1" w14:paraId="3B18149C" w14:textId="77777777" w:rsidTr="00BF4F5C">
        <w:trPr>
          <w:trHeight w:val="240"/>
          <w:jc w:val="center"/>
        </w:trPr>
        <w:tc>
          <w:tcPr>
            <w:tcW w:w="4876" w:type="dxa"/>
          </w:tcPr>
          <w:p w14:paraId="6215A49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359121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B82737B" w14:textId="77777777" w:rsidTr="00BF4F5C">
        <w:trPr>
          <w:jc w:val="center"/>
        </w:trPr>
        <w:tc>
          <w:tcPr>
            <w:tcW w:w="4876" w:type="dxa"/>
          </w:tcPr>
          <w:p w14:paraId="25DB821C"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4</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c>
          <w:tcPr>
            <w:tcW w:w="4876" w:type="dxa"/>
          </w:tcPr>
          <w:p w14:paraId="711B330D"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35</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r>
    </w:tbl>
    <w:p w14:paraId="169515F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0788E3A"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5BF53DAE" w14:textId="77777777" w:rsidR="00804A7C" w:rsidRPr="00FA40C1" w:rsidRDefault="00804A7C" w:rsidP="00804A7C">
      <w:pPr>
        <w:pStyle w:val="AmJustText"/>
        <w:rPr>
          <w:color w:val="000000" w:themeColor="text1"/>
        </w:rPr>
      </w:pPr>
      <w:r w:rsidRPr="00FA40C1">
        <w:rPr>
          <w:color w:val="000000" w:themeColor="text1"/>
        </w:rPr>
        <w:t>En 2022, 15 % des demandes d’asile ont été déposées par des ressortissants de pays exemptés de l’obligation de visa. En 2023, ce chiffre est passé à environ 20 %, selon l’Agence de l’Union européenne pour l’asile. Un grand nombre de ces demandes ont été déposées par des ressortissants de pays tiers originaires de pays figurant à l’annexe II et dont le taux de reconnaissance est supérieur à 4 %. Un taux de reconnaissance de 4 % est un taux bien trop faible qui entrave le fonctionnement du mécanisme de suspension.</w:t>
      </w:r>
    </w:p>
    <w:p w14:paraId="6A4C2ABA" w14:textId="77777777" w:rsidR="00804A7C" w:rsidRPr="00FA40C1" w:rsidRDefault="00804A7C" w:rsidP="00804A7C">
      <w:pPr>
        <w:rPr>
          <w:color w:val="000000" w:themeColor="text1"/>
        </w:rPr>
      </w:pPr>
      <w:r w:rsidRPr="00FA40C1">
        <w:rPr>
          <w:rStyle w:val="HideTWBExt"/>
        </w:rPr>
        <w:t>&lt;/Amend&gt;</w:t>
      </w:r>
    </w:p>
    <w:p w14:paraId="7255649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85</w:t>
      </w:r>
      <w:r w:rsidRPr="00FA40C1">
        <w:rPr>
          <w:rStyle w:val="HideTWBExt"/>
          <w:b w:val="0"/>
        </w:rPr>
        <w:t>&lt;/NumAm&gt;</w:t>
      </w:r>
    </w:p>
    <w:p w14:paraId="50FFF0D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05C6F36C" w14:textId="77777777" w:rsidR="00804A7C" w:rsidRPr="00FA40C1" w:rsidRDefault="00804A7C" w:rsidP="00804A7C">
      <w:pPr>
        <w:pStyle w:val="NormalBold"/>
        <w:rPr>
          <w:color w:val="000000" w:themeColor="text1"/>
        </w:rPr>
      </w:pPr>
      <w:r w:rsidRPr="00FA40C1">
        <w:rPr>
          <w:rStyle w:val="HideTWBExt"/>
          <w:b w:val="0"/>
        </w:rPr>
        <w:t>&lt;/RepeatBlock-By&gt;</w:t>
      </w:r>
    </w:p>
    <w:p w14:paraId="3C753A1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843807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0A440D4"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857D88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FA47701" w14:textId="77777777" w:rsidTr="00BF4F5C">
        <w:trPr>
          <w:trHeight w:hRule="exact" w:val="240"/>
          <w:jc w:val="center"/>
        </w:trPr>
        <w:tc>
          <w:tcPr>
            <w:tcW w:w="9752" w:type="dxa"/>
            <w:gridSpan w:val="2"/>
          </w:tcPr>
          <w:p w14:paraId="6D1BD417" w14:textId="77777777" w:rsidR="00804A7C" w:rsidRPr="00FA40C1" w:rsidRDefault="00804A7C" w:rsidP="00BF4F5C">
            <w:pPr>
              <w:rPr>
                <w:color w:val="000000" w:themeColor="text1"/>
              </w:rPr>
            </w:pPr>
          </w:p>
        </w:tc>
      </w:tr>
      <w:tr w:rsidR="00804A7C" w:rsidRPr="00FA40C1" w14:paraId="1EF08F81" w14:textId="77777777" w:rsidTr="00BF4F5C">
        <w:trPr>
          <w:trHeight w:val="240"/>
          <w:jc w:val="center"/>
        </w:trPr>
        <w:tc>
          <w:tcPr>
            <w:tcW w:w="4876" w:type="dxa"/>
          </w:tcPr>
          <w:p w14:paraId="43765CE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ED7915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A64900B" w14:textId="77777777" w:rsidTr="00BF4F5C">
        <w:trPr>
          <w:jc w:val="center"/>
        </w:trPr>
        <w:tc>
          <w:tcPr>
            <w:tcW w:w="4876" w:type="dxa"/>
          </w:tcPr>
          <w:p w14:paraId="0DBDFEDD"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4</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c>
          <w:tcPr>
            <w:tcW w:w="4876" w:type="dxa"/>
          </w:tcPr>
          <w:p w14:paraId="4CE72433"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Aux fins du paragraphe 1, point b), du présent article, on entend par «faible taux de reconnaissance», un taux de reconnaissance des demandes d’asile inférieur à </w:t>
            </w:r>
            <w:r w:rsidRPr="00FA40C1">
              <w:rPr>
                <w:b/>
                <w:i/>
                <w:color w:val="000000" w:themeColor="text1"/>
              </w:rPr>
              <w:t>3</w:t>
            </w:r>
            <w:r w:rsidRPr="00FA40C1">
              <w:rPr>
                <w:color w:val="000000" w:themeColor="text1"/>
              </w:rPr>
              <w:t> %, à moins que la Commission ne conclue, conformément à l’article 8 ter, paragraphe 4, ou à l’article 8 quater, paragraphe 2, qu’un taux de reconnaissance plus élevé est applicable dans le cas particulier.</w:t>
            </w:r>
          </w:p>
        </w:tc>
      </w:tr>
    </w:tbl>
    <w:p w14:paraId="5EF6D5D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E760C12" w14:textId="77777777" w:rsidR="00804A7C" w:rsidRPr="00FA40C1" w:rsidRDefault="00804A7C" w:rsidP="00804A7C">
      <w:pPr>
        <w:rPr>
          <w:color w:val="000000" w:themeColor="text1"/>
        </w:rPr>
      </w:pPr>
      <w:r w:rsidRPr="00FA40C1">
        <w:rPr>
          <w:rStyle w:val="HideTWBExt"/>
        </w:rPr>
        <w:t>&lt;/Amend&gt;</w:t>
      </w:r>
    </w:p>
    <w:p w14:paraId="322E838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86</w:t>
      </w:r>
      <w:r w:rsidRPr="00FA40C1">
        <w:rPr>
          <w:rStyle w:val="HideTWBExt"/>
          <w:b w:val="0"/>
        </w:rPr>
        <w:t>&lt;/NumAm&gt;</w:t>
      </w:r>
    </w:p>
    <w:p w14:paraId="3D79AA4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7F85B7B5" w14:textId="77777777" w:rsidR="00804A7C" w:rsidRPr="00FA40C1" w:rsidRDefault="00804A7C" w:rsidP="00804A7C">
      <w:pPr>
        <w:pStyle w:val="NormalBold"/>
        <w:rPr>
          <w:color w:val="000000" w:themeColor="text1"/>
        </w:rPr>
      </w:pPr>
      <w:r w:rsidRPr="00FA40C1">
        <w:rPr>
          <w:rStyle w:val="HideTWBExt"/>
          <w:b w:val="0"/>
        </w:rPr>
        <w:t>&lt;/RepeatBlock-By&gt;</w:t>
      </w:r>
    </w:p>
    <w:p w14:paraId="47E5A61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022C76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148B9F2"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E125899"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4</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5C346E2" w14:textId="77777777" w:rsidTr="00BF4F5C">
        <w:trPr>
          <w:trHeight w:hRule="exact" w:val="240"/>
          <w:jc w:val="center"/>
        </w:trPr>
        <w:tc>
          <w:tcPr>
            <w:tcW w:w="9752" w:type="dxa"/>
            <w:gridSpan w:val="2"/>
          </w:tcPr>
          <w:p w14:paraId="60DDBDB2" w14:textId="77777777" w:rsidR="00804A7C" w:rsidRPr="00FA40C1" w:rsidRDefault="00804A7C" w:rsidP="00BF4F5C">
            <w:pPr>
              <w:rPr>
                <w:color w:val="000000" w:themeColor="text1"/>
              </w:rPr>
            </w:pPr>
          </w:p>
        </w:tc>
      </w:tr>
      <w:tr w:rsidR="00804A7C" w:rsidRPr="00FA40C1" w14:paraId="186EB063" w14:textId="77777777" w:rsidTr="00BF4F5C">
        <w:trPr>
          <w:trHeight w:val="240"/>
          <w:jc w:val="center"/>
        </w:trPr>
        <w:tc>
          <w:tcPr>
            <w:tcW w:w="4876" w:type="dxa"/>
          </w:tcPr>
          <w:p w14:paraId="1F83113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237240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13D2456" w14:textId="77777777" w:rsidTr="00BF4F5C">
        <w:trPr>
          <w:jc w:val="center"/>
        </w:trPr>
        <w:tc>
          <w:tcPr>
            <w:tcW w:w="4876" w:type="dxa"/>
          </w:tcPr>
          <w:p w14:paraId="69717924"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Aux fins du paragraphe 1, point c), du présent article, on entend par «diminution de la coopération en matière de réadmission avec un pays tiers figurant sur la liste de l’annexe II», un accroissement substantiel, étayé par des données adéquates, du taux de refus des demandes de réadmission qu’un État membre a adressées à ce pays tiers pour ses propres ressortissants </w:t>
            </w:r>
            <w:r w:rsidRPr="00FA40C1">
              <w:rPr>
                <w:b/>
                <w:i/>
                <w:color w:val="000000" w:themeColor="text1"/>
              </w:rPr>
              <w:t>ou</w:t>
            </w:r>
            <w:r w:rsidRPr="00FA40C1">
              <w:rPr>
                <w:color w:val="000000" w:themeColor="text1"/>
              </w:rPr>
              <w:t xml:space="preserve">, </w:t>
            </w:r>
            <w:r w:rsidRPr="00FA40C1">
              <w:rPr>
                <w:b/>
                <w:i/>
                <w:color w:val="000000" w:themeColor="text1"/>
              </w:rPr>
              <w:t>lorsqu’un accord de réadmission conclu entre l’Union ou cet État membre et ce</w:t>
            </w:r>
            <w:r w:rsidRPr="00FA40C1">
              <w:rPr>
                <w:color w:val="000000" w:themeColor="text1"/>
              </w:rPr>
              <w:t xml:space="preserve"> pays tiers </w:t>
            </w:r>
            <w:r w:rsidRPr="00FA40C1">
              <w:rPr>
                <w:b/>
                <w:i/>
                <w:color w:val="000000" w:themeColor="text1"/>
              </w:rPr>
              <w:t>le prévoit, pour les ressortissants de pays tiers ayant transité par ce pays tiers</w:t>
            </w:r>
            <w:r w:rsidRPr="00FA40C1">
              <w:rPr>
                <w:color w:val="000000" w:themeColor="text1"/>
              </w:rPr>
              <w:t>.</w:t>
            </w:r>
          </w:p>
        </w:tc>
        <w:tc>
          <w:tcPr>
            <w:tcW w:w="4876" w:type="dxa"/>
          </w:tcPr>
          <w:p w14:paraId="41414D3E"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Aux fins du paragraphe 1, point c), du présent article, on entend par «diminution de la coopération en matière de réadmission avec un pays tiers figurant sur la liste de l’annexe II», un accroissement substantiel, étayé par des données adéquates, du taux de refus des demandes de réadmission qu’un État membre a adressées à ce pays tiers pour ses propres ressortissants, </w:t>
            </w:r>
            <w:r w:rsidRPr="00FA40C1">
              <w:rPr>
                <w:b/>
                <w:i/>
                <w:color w:val="000000" w:themeColor="text1"/>
              </w:rPr>
              <w:t>lorsqu’il peut être clairement prouvé que la diminution de la coopération résulte des actions ou de l’inaction du</w:t>
            </w:r>
            <w:r w:rsidRPr="00FA40C1">
              <w:rPr>
                <w:color w:val="000000" w:themeColor="text1"/>
              </w:rPr>
              <w:t xml:space="preserve"> pays tiers </w:t>
            </w:r>
            <w:r w:rsidRPr="00FA40C1">
              <w:rPr>
                <w:b/>
                <w:i/>
                <w:color w:val="000000" w:themeColor="text1"/>
              </w:rPr>
              <w:t>concerné et qu’elle n’est pas imputable à l’État membre requérant</w:t>
            </w:r>
            <w:r w:rsidRPr="00FA40C1">
              <w:rPr>
                <w:color w:val="000000" w:themeColor="text1"/>
              </w:rPr>
              <w:t>.</w:t>
            </w:r>
          </w:p>
        </w:tc>
      </w:tr>
    </w:tbl>
    <w:p w14:paraId="21A79E6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675BBBA" w14:textId="77777777" w:rsidR="00804A7C" w:rsidRPr="00FA40C1" w:rsidRDefault="00804A7C" w:rsidP="00804A7C">
      <w:pPr>
        <w:rPr>
          <w:color w:val="000000" w:themeColor="text1"/>
        </w:rPr>
      </w:pPr>
      <w:r w:rsidRPr="00FA40C1">
        <w:rPr>
          <w:rStyle w:val="HideTWBExt"/>
        </w:rPr>
        <w:t>&lt;/Amend&gt;</w:t>
      </w:r>
    </w:p>
    <w:p w14:paraId="2A27A3E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87</w:t>
      </w:r>
      <w:r w:rsidRPr="00FA40C1">
        <w:rPr>
          <w:rStyle w:val="HideTWBExt"/>
          <w:b w:val="0"/>
        </w:rPr>
        <w:t>&lt;/NumAm&gt;</w:t>
      </w:r>
    </w:p>
    <w:p w14:paraId="4DC8A31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2525D46B" w14:textId="77777777" w:rsidR="00804A7C" w:rsidRPr="00FA40C1" w:rsidRDefault="00804A7C" w:rsidP="00804A7C">
      <w:pPr>
        <w:pStyle w:val="NormalBold"/>
        <w:rPr>
          <w:color w:val="000000" w:themeColor="text1"/>
        </w:rPr>
      </w:pPr>
      <w:r w:rsidRPr="00FA40C1">
        <w:rPr>
          <w:rStyle w:val="HideTWBExt"/>
          <w:b w:val="0"/>
        </w:rPr>
        <w:t>&lt;/RepeatBlock-By&gt;</w:t>
      </w:r>
    </w:p>
    <w:p w14:paraId="3752DAA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09ADA9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FC1776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C0D7C83"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4</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5A4EBC5" w14:textId="77777777" w:rsidTr="00BF4F5C">
        <w:trPr>
          <w:trHeight w:hRule="exact" w:val="240"/>
          <w:jc w:val="center"/>
        </w:trPr>
        <w:tc>
          <w:tcPr>
            <w:tcW w:w="9752" w:type="dxa"/>
            <w:gridSpan w:val="2"/>
          </w:tcPr>
          <w:p w14:paraId="3C6E7C57" w14:textId="77777777" w:rsidR="00804A7C" w:rsidRPr="00FA40C1" w:rsidRDefault="00804A7C" w:rsidP="00BF4F5C">
            <w:pPr>
              <w:rPr>
                <w:color w:val="000000" w:themeColor="text1"/>
              </w:rPr>
            </w:pPr>
          </w:p>
        </w:tc>
      </w:tr>
      <w:tr w:rsidR="00804A7C" w:rsidRPr="00FA40C1" w14:paraId="0ED47EC4" w14:textId="77777777" w:rsidTr="00BF4F5C">
        <w:trPr>
          <w:trHeight w:val="240"/>
          <w:jc w:val="center"/>
        </w:trPr>
        <w:tc>
          <w:tcPr>
            <w:tcW w:w="4876" w:type="dxa"/>
          </w:tcPr>
          <w:p w14:paraId="52F5E06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AF72D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15D1A2D" w14:textId="77777777" w:rsidTr="00BF4F5C">
        <w:trPr>
          <w:jc w:val="center"/>
        </w:trPr>
        <w:tc>
          <w:tcPr>
            <w:tcW w:w="4876" w:type="dxa"/>
          </w:tcPr>
          <w:p w14:paraId="090FD995"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Aux fins du paragraphe 1, point c), du présent article, on entend par «diminution de la coopération en matière de réadmission avec un pays tiers figurant sur la liste de l’annexe II», un </w:t>
            </w:r>
            <w:r w:rsidRPr="00FA40C1">
              <w:rPr>
                <w:b/>
                <w:i/>
                <w:color w:val="000000" w:themeColor="text1"/>
              </w:rPr>
              <w:t>accroissement substantiel</w:t>
            </w:r>
            <w:r w:rsidRPr="00FA40C1">
              <w:rPr>
                <w:color w:val="000000" w:themeColor="text1"/>
              </w:rPr>
              <w:t xml:space="preserve">, étayé par des données adéquates, </w:t>
            </w:r>
            <w:r w:rsidRPr="00FA40C1">
              <w:rPr>
                <w:b/>
                <w:i/>
                <w:color w:val="000000" w:themeColor="text1"/>
              </w:rPr>
              <w:t>du taux</w:t>
            </w:r>
            <w:r w:rsidRPr="00FA40C1">
              <w:rPr>
                <w:color w:val="000000" w:themeColor="text1"/>
              </w:rPr>
              <w:t xml:space="preserve"> de refus des demandes de réadmission qu’un État membre a adressées à ce pays tiers pour ses propres ressortissants ou, lorsqu’un accord de réadmission conclu entre l’Union ou cet État membre et ce pays tiers le prévoit, pour les ressortissants de pays tiers ayant transité par ce pays tiers.</w:t>
            </w:r>
          </w:p>
        </w:tc>
        <w:tc>
          <w:tcPr>
            <w:tcW w:w="4876" w:type="dxa"/>
          </w:tcPr>
          <w:p w14:paraId="401ADB55"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Aux fins du paragraphe 1, point c), du présent article, on entend par «diminution de la coopération en matière de réadmission avec un pays tiers figurant sur la liste de l’annexe II», un </w:t>
            </w:r>
            <w:r w:rsidRPr="00FA40C1">
              <w:rPr>
                <w:b/>
                <w:i/>
                <w:color w:val="000000" w:themeColor="text1"/>
              </w:rPr>
              <w:t>taux croissant</w:t>
            </w:r>
            <w:r w:rsidRPr="00FA40C1">
              <w:rPr>
                <w:color w:val="000000" w:themeColor="text1"/>
              </w:rPr>
              <w:t>, étayé par des données adéquates, de refus des demandes de réadmission qu’un État membre a adressées à ce pays tiers pour ses propres ressortissants ou, lorsqu’un accord de réadmission conclu entre l’Union ou cet État membre et ce pays tiers le prévoit, pour les ressortissants de pays tiers ayant transité par ce pays tiers.</w:t>
            </w:r>
          </w:p>
        </w:tc>
      </w:tr>
    </w:tbl>
    <w:p w14:paraId="4BC2296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2BC4F2D" w14:textId="77777777" w:rsidR="00804A7C" w:rsidRPr="00FA40C1" w:rsidRDefault="00804A7C" w:rsidP="00804A7C">
      <w:pPr>
        <w:rPr>
          <w:color w:val="000000" w:themeColor="text1"/>
        </w:rPr>
      </w:pPr>
      <w:r w:rsidRPr="00FA40C1">
        <w:rPr>
          <w:rStyle w:val="HideTWBExt"/>
        </w:rPr>
        <w:t>&lt;/Amend&gt;</w:t>
      </w:r>
    </w:p>
    <w:p w14:paraId="6FA61F5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88</w:t>
      </w:r>
      <w:r w:rsidRPr="00FA40C1">
        <w:rPr>
          <w:rStyle w:val="HideTWBExt"/>
          <w:b w:val="0"/>
        </w:rPr>
        <w:t>&lt;/NumAm&gt;</w:t>
      </w:r>
    </w:p>
    <w:p w14:paraId="530DDB7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55A97CB5" w14:textId="77777777" w:rsidR="00804A7C" w:rsidRPr="00FA40C1" w:rsidRDefault="00804A7C" w:rsidP="00804A7C">
      <w:pPr>
        <w:pStyle w:val="NormalBold"/>
        <w:rPr>
          <w:color w:val="000000" w:themeColor="text1"/>
        </w:rPr>
      </w:pPr>
      <w:r w:rsidRPr="00FA40C1">
        <w:rPr>
          <w:rStyle w:val="HideTWBExt"/>
          <w:b w:val="0"/>
        </w:rPr>
        <w:t>&lt;/RepeatBlock-By&gt;</w:t>
      </w:r>
    </w:p>
    <w:p w14:paraId="62221E1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1E95F9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01056B78"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7F889E0"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2E64499" w14:textId="77777777" w:rsidTr="00BF4F5C">
        <w:trPr>
          <w:trHeight w:hRule="exact" w:val="240"/>
          <w:jc w:val="center"/>
        </w:trPr>
        <w:tc>
          <w:tcPr>
            <w:tcW w:w="9752" w:type="dxa"/>
            <w:gridSpan w:val="2"/>
          </w:tcPr>
          <w:p w14:paraId="24CE2175" w14:textId="77777777" w:rsidR="00804A7C" w:rsidRPr="00FA40C1" w:rsidRDefault="00804A7C" w:rsidP="00BF4F5C">
            <w:pPr>
              <w:rPr>
                <w:color w:val="000000" w:themeColor="text1"/>
              </w:rPr>
            </w:pPr>
          </w:p>
        </w:tc>
      </w:tr>
      <w:tr w:rsidR="00804A7C" w:rsidRPr="00FA40C1" w14:paraId="4B45FFEE" w14:textId="77777777" w:rsidTr="00BF4F5C">
        <w:trPr>
          <w:trHeight w:val="240"/>
          <w:jc w:val="center"/>
        </w:trPr>
        <w:tc>
          <w:tcPr>
            <w:tcW w:w="4876" w:type="dxa"/>
          </w:tcPr>
          <w:p w14:paraId="26E252D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38FB60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691E0B3" w14:textId="77777777" w:rsidTr="00BF4F5C">
        <w:trPr>
          <w:jc w:val="center"/>
        </w:trPr>
        <w:tc>
          <w:tcPr>
            <w:tcW w:w="4876" w:type="dxa"/>
          </w:tcPr>
          <w:p w14:paraId="577836CF"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 refus ou l’absence de traitement en temps utile de demandes de réadmission;</w:t>
            </w:r>
          </w:p>
        </w:tc>
        <w:tc>
          <w:tcPr>
            <w:tcW w:w="4876" w:type="dxa"/>
          </w:tcPr>
          <w:p w14:paraId="39DB8BE0"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 xml:space="preserve">le refus ou l’absence de traitement en temps utile de demandes de réadmission </w:t>
            </w:r>
            <w:r w:rsidRPr="00FA40C1">
              <w:rPr>
                <w:b/>
                <w:i/>
                <w:color w:val="000000" w:themeColor="text1"/>
              </w:rPr>
              <w:t>et le défaut de contribution, en temps utile, à l’identification des ressortissants de pays tiers qui séjournent sur le territoire d’un État membre sans en avoir le droit</w:t>
            </w:r>
            <w:r w:rsidRPr="00FA40C1">
              <w:rPr>
                <w:color w:val="000000" w:themeColor="text1"/>
              </w:rPr>
              <w:t>;</w:t>
            </w:r>
          </w:p>
        </w:tc>
      </w:tr>
    </w:tbl>
    <w:p w14:paraId="1566021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56A84F2" w14:textId="77777777" w:rsidR="00804A7C" w:rsidRPr="00FA40C1" w:rsidRDefault="00804A7C" w:rsidP="00804A7C">
      <w:pPr>
        <w:rPr>
          <w:color w:val="000000" w:themeColor="text1"/>
        </w:rPr>
      </w:pPr>
      <w:r w:rsidRPr="00FA40C1">
        <w:rPr>
          <w:rStyle w:val="HideTWBExt"/>
        </w:rPr>
        <w:t>&lt;/Amend&gt;</w:t>
      </w:r>
    </w:p>
    <w:p w14:paraId="5792E9B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89</w:t>
      </w:r>
      <w:r w:rsidRPr="00FA40C1">
        <w:rPr>
          <w:rStyle w:val="HideTWBExt"/>
          <w:b w:val="0"/>
        </w:rPr>
        <w:t>&lt;/NumAm&gt;</w:t>
      </w:r>
    </w:p>
    <w:p w14:paraId="3A1C854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Charlie Weimers, Patryk Jaki, Vincenzo Sofo, Jorge Buxadé Villalba, Pirkko Ruohonen-Lerner</w:t>
      </w:r>
      <w:r w:rsidRPr="00FA40C1">
        <w:rPr>
          <w:rStyle w:val="HideTWBExt"/>
          <w:b w:val="0"/>
        </w:rPr>
        <w:t>&lt;/Members&gt;</w:t>
      </w:r>
    </w:p>
    <w:p w14:paraId="73316A9A" w14:textId="77777777" w:rsidR="00804A7C" w:rsidRPr="00FA40C1" w:rsidRDefault="00804A7C" w:rsidP="00804A7C">
      <w:pPr>
        <w:rPr>
          <w:color w:val="000000" w:themeColor="text1"/>
        </w:rPr>
      </w:pPr>
      <w:r w:rsidRPr="00FA40C1">
        <w:rPr>
          <w:rStyle w:val="HideTWBExt"/>
        </w:rPr>
        <w:t>&lt;AuNomDe&gt;</w:t>
      </w:r>
      <w:r w:rsidRPr="00FA40C1">
        <w:rPr>
          <w:rStyle w:val="HideTWBInt"/>
        </w:rPr>
        <w:t>{ECR}</w:t>
      </w:r>
      <w:r w:rsidRPr="00FA40C1">
        <w:rPr>
          <w:color w:val="000000" w:themeColor="text1"/>
        </w:rPr>
        <w:t>au nom du groupe ECR</w:t>
      </w:r>
      <w:r w:rsidRPr="00FA40C1">
        <w:rPr>
          <w:rStyle w:val="HideTWBExt"/>
        </w:rPr>
        <w:t>&lt;/AuNomDe&gt;</w:t>
      </w:r>
    </w:p>
    <w:p w14:paraId="49D37B2C" w14:textId="77777777" w:rsidR="00804A7C" w:rsidRPr="00FA40C1" w:rsidRDefault="00804A7C" w:rsidP="00804A7C">
      <w:pPr>
        <w:pStyle w:val="NormalBold"/>
        <w:rPr>
          <w:color w:val="000000" w:themeColor="text1"/>
        </w:rPr>
      </w:pPr>
      <w:r w:rsidRPr="00FA40C1">
        <w:rPr>
          <w:rStyle w:val="HideTWBExt"/>
          <w:b w:val="0"/>
        </w:rPr>
        <w:t>&lt;/RepeatBlock-By&gt;</w:t>
      </w:r>
    </w:p>
    <w:p w14:paraId="5129301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42775F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8E47B3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058A116"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8719D42" w14:textId="77777777" w:rsidTr="00BF4F5C">
        <w:trPr>
          <w:trHeight w:hRule="exact" w:val="240"/>
          <w:jc w:val="center"/>
        </w:trPr>
        <w:tc>
          <w:tcPr>
            <w:tcW w:w="9752" w:type="dxa"/>
            <w:gridSpan w:val="2"/>
          </w:tcPr>
          <w:p w14:paraId="03289F3D" w14:textId="77777777" w:rsidR="00804A7C" w:rsidRPr="00FA40C1" w:rsidRDefault="00804A7C" w:rsidP="00BF4F5C">
            <w:pPr>
              <w:rPr>
                <w:color w:val="000000" w:themeColor="text1"/>
              </w:rPr>
            </w:pPr>
          </w:p>
        </w:tc>
      </w:tr>
      <w:tr w:rsidR="00804A7C" w:rsidRPr="00FA40C1" w14:paraId="106F082E" w14:textId="77777777" w:rsidTr="00BF4F5C">
        <w:trPr>
          <w:trHeight w:val="240"/>
          <w:jc w:val="center"/>
        </w:trPr>
        <w:tc>
          <w:tcPr>
            <w:tcW w:w="4876" w:type="dxa"/>
          </w:tcPr>
          <w:p w14:paraId="49AACC5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86EDF0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DF71DDB" w14:textId="77777777" w:rsidTr="00BF4F5C">
        <w:trPr>
          <w:jc w:val="center"/>
        </w:trPr>
        <w:tc>
          <w:tcPr>
            <w:tcW w:w="4876" w:type="dxa"/>
          </w:tcPr>
          <w:p w14:paraId="0E999120"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 xml:space="preserve">le refus ou l’absence de traitement </w:t>
            </w:r>
            <w:r w:rsidRPr="00FA40C1">
              <w:rPr>
                <w:b/>
                <w:i/>
                <w:color w:val="000000" w:themeColor="text1"/>
              </w:rPr>
              <w:t>en temps utile</w:t>
            </w:r>
            <w:r w:rsidRPr="00FA40C1">
              <w:rPr>
                <w:color w:val="000000" w:themeColor="text1"/>
              </w:rPr>
              <w:t xml:space="preserve"> de demandes de réadmission;</w:t>
            </w:r>
          </w:p>
        </w:tc>
        <w:tc>
          <w:tcPr>
            <w:tcW w:w="4876" w:type="dxa"/>
          </w:tcPr>
          <w:p w14:paraId="346125E2"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 refus ou l’absence de traitement</w:t>
            </w:r>
            <w:r w:rsidRPr="00FA40C1">
              <w:rPr>
                <w:b/>
                <w:i/>
                <w:color w:val="000000" w:themeColor="text1"/>
              </w:rPr>
              <w:t>, dans un délai de quatre semaines suivant la décision de retour,</w:t>
            </w:r>
            <w:r w:rsidRPr="00FA40C1">
              <w:rPr>
                <w:color w:val="000000" w:themeColor="text1"/>
              </w:rPr>
              <w:t xml:space="preserve"> de demandes de réadmission;</w:t>
            </w:r>
          </w:p>
        </w:tc>
      </w:tr>
    </w:tbl>
    <w:p w14:paraId="5C410A5D"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6376747" w14:textId="77777777" w:rsidR="00804A7C" w:rsidRPr="00FA40C1" w:rsidRDefault="00804A7C" w:rsidP="00804A7C">
      <w:pPr>
        <w:pStyle w:val="AmJustTitle"/>
        <w:rPr>
          <w:color w:val="000000" w:themeColor="text1"/>
        </w:rPr>
      </w:pPr>
      <w:r w:rsidRPr="00FA40C1">
        <w:rPr>
          <w:rStyle w:val="HideTWBExt"/>
          <w:i w:val="0"/>
        </w:rPr>
        <w:t>&lt;TitreJust&gt;</w:t>
      </w:r>
      <w:r w:rsidRPr="00FA40C1">
        <w:rPr>
          <w:color w:val="000000" w:themeColor="text1"/>
        </w:rPr>
        <w:t>Justification</w:t>
      </w:r>
      <w:r w:rsidRPr="00FA40C1">
        <w:rPr>
          <w:rStyle w:val="HideTWBExt"/>
          <w:i w:val="0"/>
        </w:rPr>
        <w:t>&lt;/TitreJust&gt;</w:t>
      </w:r>
    </w:p>
    <w:p w14:paraId="5681F24C" w14:textId="77777777" w:rsidR="00804A7C" w:rsidRPr="00FA40C1" w:rsidRDefault="00804A7C" w:rsidP="00804A7C">
      <w:pPr>
        <w:pStyle w:val="AmJustText"/>
        <w:rPr>
          <w:color w:val="000000" w:themeColor="text1"/>
        </w:rPr>
      </w:pPr>
      <w:r w:rsidRPr="00FA40C1">
        <w:rPr>
          <w:color w:val="000000" w:themeColor="text1"/>
        </w:rPr>
        <w:t>Les termes «en temps utile» sont trop vagues. D’autres pays fixent des critères stricts en matière de réadmission pour pouvoir bénéficier, en premier lieu, d’un accès sans visa. Par exemple, les États-Unis exigent que les pays ayant mis en place un accès sans visa acceptent leurs ressortissants dans un délai de trois semaines suivant la décision définitive d’éloignement. L’Union européenne fait face à un problème concernant les retours et les pays figurant à l’annexe II devraient être tenus de respecter un délai strict en ce qui concerne les décisions de retour.</w:t>
      </w:r>
    </w:p>
    <w:p w14:paraId="52392FD7" w14:textId="77777777" w:rsidR="00804A7C" w:rsidRPr="00FA40C1" w:rsidRDefault="00804A7C" w:rsidP="00804A7C">
      <w:pPr>
        <w:rPr>
          <w:color w:val="000000" w:themeColor="text1"/>
        </w:rPr>
      </w:pPr>
      <w:r w:rsidRPr="00FA40C1">
        <w:rPr>
          <w:rStyle w:val="HideTWBExt"/>
        </w:rPr>
        <w:t>&lt;/Amend&gt;</w:t>
      </w:r>
    </w:p>
    <w:p w14:paraId="3476B32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90</w:t>
      </w:r>
      <w:r w:rsidRPr="00FA40C1">
        <w:rPr>
          <w:rStyle w:val="HideTWBExt"/>
          <w:b w:val="0"/>
        </w:rPr>
        <w:t>&lt;/NumAm&gt;</w:t>
      </w:r>
    </w:p>
    <w:p w14:paraId="48C4C93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0685D8F" w14:textId="77777777" w:rsidR="00804A7C" w:rsidRPr="00FA40C1" w:rsidRDefault="00804A7C" w:rsidP="00804A7C">
      <w:pPr>
        <w:pStyle w:val="NormalBold"/>
        <w:rPr>
          <w:color w:val="000000" w:themeColor="text1"/>
        </w:rPr>
      </w:pPr>
      <w:r w:rsidRPr="00FA40C1">
        <w:rPr>
          <w:rStyle w:val="HideTWBExt"/>
          <w:b w:val="0"/>
        </w:rPr>
        <w:t>&lt;/RepeatBlock-By&gt;</w:t>
      </w:r>
    </w:p>
    <w:p w14:paraId="7EDA063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D2D994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95E8AF8"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B0612D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7D74E68" w14:textId="77777777" w:rsidTr="00BF4F5C">
        <w:trPr>
          <w:trHeight w:hRule="exact" w:val="240"/>
          <w:jc w:val="center"/>
        </w:trPr>
        <w:tc>
          <w:tcPr>
            <w:tcW w:w="9752" w:type="dxa"/>
            <w:gridSpan w:val="2"/>
          </w:tcPr>
          <w:p w14:paraId="230D147A" w14:textId="77777777" w:rsidR="00804A7C" w:rsidRPr="00FA40C1" w:rsidRDefault="00804A7C" w:rsidP="00BF4F5C">
            <w:pPr>
              <w:rPr>
                <w:color w:val="000000" w:themeColor="text1"/>
              </w:rPr>
            </w:pPr>
          </w:p>
        </w:tc>
      </w:tr>
      <w:tr w:rsidR="00804A7C" w:rsidRPr="00FA40C1" w14:paraId="0F7DF221" w14:textId="77777777" w:rsidTr="00BF4F5C">
        <w:trPr>
          <w:trHeight w:val="240"/>
          <w:jc w:val="center"/>
        </w:trPr>
        <w:tc>
          <w:tcPr>
            <w:tcW w:w="4876" w:type="dxa"/>
          </w:tcPr>
          <w:p w14:paraId="29E7CD9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CC5E8B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978615D" w14:textId="77777777" w:rsidTr="00BF4F5C">
        <w:trPr>
          <w:jc w:val="center"/>
        </w:trPr>
        <w:tc>
          <w:tcPr>
            <w:tcW w:w="4876" w:type="dxa"/>
          </w:tcPr>
          <w:p w14:paraId="6DBE8532"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 xml:space="preserve">le refus ou l’absence de traitement </w:t>
            </w:r>
            <w:r w:rsidRPr="00FA40C1">
              <w:rPr>
                <w:b/>
                <w:i/>
                <w:color w:val="000000" w:themeColor="text1"/>
              </w:rPr>
              <w:t>en temps utile</w:t>
            </w:r>
            <w:r w:rsidRPr="00FA40C1">
              <w:rPr>
                <w:color w:val="000000" w:themeColor="text1"/>
              </w:rPr>
              <w:t xml:space="preserve"> de demandes de réadmission;</w:t>
            </w:r>
          </w:p>
        </w:tc>
        <w:tc>
          <w:tcPr>
            <w:tcW w:w="4876" w:type="dxa"/>
          </w:tcPr>
          <w:p w14:paraId="4108CB9F"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 refus ou l’absence de traitement de demandes de réadmission;</w:t>
            </w:r>
          </w:p>
        </w:tc>
      </w:tr>
    </w:tbl>
    <w:p w14:paraId="6A3BF504"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9337831" w14:textId="77777777" w:rsidR="00804A7C" w:rsidRPr="00FA40C1" w:rsidRDefault="00804A7C" w:rsidP="00804A7C">
      <w:pPr>
        <w:rPr>
          <w:color w:val="000000" w:themeColor="text1"/>
        </w:rPr>
      </w:pPr>
      <w:r w:rsidRPr="00FA40C1">
        <w:rPr>
          <w:rStyle w:val="HideTWBExt"/>
        </w:rPr>
        <w:t>&lt;/Amend&gt;</w:t>
      </w:r>
    </w:p>
    <w:p w14:paraId="71285C5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91</w:t>
      </w:r>
      <w:r w:rsidRPr="00FA40C1">
        <w:rPr>
          <w:rStyle w:val="HideTWBExt"/>
          <w:b w:val="0"/>
        </w:rPr>
        <w:t>&lt;/NumAm&gt;</w:t>
      </w:r>
    </w:p>
    <w:p w14:paraId="346BE826"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2AB5D299" w14:textId="77777777" w:rsidR="00804A7C" w:rsidRPr="00FA40C1" w:rsidRDefault="00804A7C" w:rsidP="00804A7C">
      <w:pPr>
        <w:pStyle w:val="NormalBold"/>
        <w:rPr>
          <w:color w:val="000000" w:themeColor="text1"/>
        </w:rPr>
      </w:pPr>
      <w:r w:rsidRPr="00FA40C1">
        <w:rPr>
          <w:rStyle w:val="HideTWBExt"/>
          <w:b w:val="0"/>
        </w:rPr>
        <w:t>&lt;/RepeatBlock-By&gt;</w:t>
      </w:r>
    </w:p>
    <w:p w14:paraId="1C5CF46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519BFF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7E5E2F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941B43E"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b</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9214132" w14:textId="77777777" w:rsidTr="00BF4F5C">
        <w:trPr>
          <w:trHeight w:hRule="exact" w:val="240"/>
          <w:jc w:val="center"/>
        </w:trPr>
        <w:tc>
          <w:tcPr>
            <w:tcW w:w="9752" w:type="dxa"/>
            <w:gridSpan w:val="2"/>
          </w:tcPr>
          <w:p w14:paraId="38AC6812" w14:textId="77777777" w:rsidR="00804A7C" w:rsidRPr="00FA40C1" w:rsidRDefault="00804A7C" w:rsidP="00BF4F5C">
            <w:pPr>
              <w:rPr>
                <w:color w:val="000000" w:themeColor="text1"/>
              </w:rPr>
            </w:pPr>
          </w:p>
        </w:tc>
      </w:tr>
      <w:tr w:rsidR="00804A7C" w:rsidRPr="00FA40C1" w14:paraId="19627597" w14:textId="77777777" w:rsidTr="00BF4F5C">
        <w:trPr>
          <w:trHeight w:val="240"/>
          <w:jc w:val="center"/>
        </w:trPr>
        <w:tc>
          <w:tcPr>
            <w:tcW w:w="4876" w:type="dxa"/>
          </w:tcPr>
          <w:p w14:paraId="1BCF000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F40860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247EE53" w14:textId="77777777" w:rsidTr="00BF4F5C">
        <w:trPr>
          <w:jc w:val="center"/>
        </w:trPr>
        <w:tc>
          <w:tcPr>
            <w:tcW w:w="4876" w:type="dxa"/>
          </w:tcPr>
          <w:p w14:paraId="7145DA6C"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l’absence de délivrance en temps utile de documents de voyage aux fins d’un retour dans les délais mentionnés dans l’accord de réadmission ou le refus de documents de voyage européens délivrés à la suite de l’expiration des délais mentionnés dans l’accord de réadmission;</w:t>
            </w:r>
          </w:p>
        </w:tc>
        <w:tc>
          <w:tcPr>
            <w:tcW w:w="4876" w:type="dxa"/>
          </w:tcPr>
          <w:p w14:paraId="1FD966C2"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l’absence de délivrance en temps utile de documents de voyage aux fins d’un retour dans les délais mentionnés dans l’accord de réadmission ou le refus de documents de voyage européens délivrés à la suite de l’expiration des délais mentionnés dans l’accord de réadmission</w:t>
            </w:r>
            <w:r w:rsidRPr="00FA40C1">
              <w:rPr>
                <w:b/>
                <w:i/>
                <w:color w:val="000000" w:themeColor="text1"/>
              </w:rPr>
              <w:t>, ou la création d’obstacles pratiques persistants à l’exécution des décisions de réadmission</w:t>
            </w:r>
            <w:r w:rsidRPr="00FA40C1">
              <w:rPr>
                <w:color w:val="000000" w:themeColor="text1"/>
              </w:rPr>
              <w:t>;</w:t>
            </w:r>
          </w:p>
        </w:tc>
      </w:tr>
    </w:tbl>
    <w:p w14:paraId="4C8EDBC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F92B51E" w14:textId="77777777" w:rsidR="00804A7C" w:rsidRPr="00FA40C1" w:rsidRDefault="00804A7C" w:rsidP="00804A7C">
      <w:pPr>
        <w:rPr>
          <w:color w:val="000000" w:themeColor="text1"/>
        </w:rPr>
      </w:pPr>
      <w:r w:rsidRPr="00FA40C1">
        <w:rPr>
          <w:rStyle w:val="HideTWBExt"/>
        </w:rPr>
        <w:t>&lt;/Amend&gt;</w:t>
      </w:r>
    </w:p>
    <w:p w14:paraId="1703E85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92</w:t>
      </w:r>
      <w:r w:rsidRPr="00FA40C1">
        <w:rPr>
          <w:rStyle w:val="HideTWBExt"/>
          <w:b w:val="0"/>
        </w:rPr>
        <w:t>&lt;/NumAm&gt;</w:t>
      </w:r>
    </w:p>
    <w:p w14:paraId="0BF6482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023B9AA7" w14:textId="77777777" w:rsidR="00804A7C" w:rsidRPr="00FA40C1" w:rsidRDefault="00804A7C" w:rsidP="00804A7C">
      <w:pPr>
        <w:pStyle w:val="NormalBold"/>
        <w:rPr>
          <w:color w:val="000000" w:themeColor="text1"/>
        </w:rPr>
      </w:pPr>
      <w:r w:rsidRPr="00FA40C1">
        <w:rPr>
          <w:rStyle w:val="HideTWBExt"/>
          <w:b w:val="0"/>
        </w:rPr>
        <w:t>&lt;/RepeatBlock-By&gt;</w:t>
      </w:r>
    </w:p>
    <w:p w14:paraId="43A8A3E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7A4A75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2B49DF4"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61C825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b</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DA7EDCD" w14:textId="77777777" w:rsidTr="00BF4F5C">
        <w:trPr>
          <w:trHeight w:hRule="exact" w:val="240"/>
          <w:jc w:val="center"/>
        </w:trPr>
        <w:tc>
          <w:tcPr>
            <w:tcW w:w="9752" w:type="dxa"/>
            <w:gridSpan w:val="2"/>
          </w:tcPr>
          <w:p w14:paraId="2EC02DC0" w14:textId="77777777" w:rsidR="00804A7C" w:rsidRPr="00FA40C1" w:rsidRDefault="00804A7C" w:rsidP="00BF4F5C">
            <w:pPr>
              <w:rPr>
                <w:color w:val="000000" w:themeColor="text1"/>
              </w:rPr>
            </w:pPr>
          </w:p>
        </w:tc>
      </w:tr>
      <w:tr w:rsidR="00804A7C" w:rsidRPr="00FA40C1" w14:paraId="4232F15A" w14:textId="77777777" w:rsidTr="00BF4F5C">
        <w:trPr>
          <w:trHeight w:val="240"/>
          <w:jc w:val="center"/>
        </w:trPr>
        <w:tc>
          <w:tcPr>
            <w:tcW w:w="4876" w:type="dxa"/>
          </w:tcPr>
          <w:p w14:paraId="4E5A9D2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54BA62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9FBE8C0" w14:textId="77777777" w:rsidTr="00BF4F5C">
        <w:trPr>
          <w:jc w:val="center"/>
        </w:trPr>
        <w:tc>
          <w:tcPr>
            <w:tcW w:w="4876" w:type="dxa"/>
          </w:tcPr>
          <w:p w14:paraId="3761DDD7"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l’absence de délivrance en temps utile de documents de voyage aux fins d’un retour dans les délais mentionnés dans l’accord de réadmission ou le refus de documents de voyage européens délivrés à la suite de l’expiration des délais mentionnés dans l’accord de réadmission;</w:t>
            </w:r>
          </w:p>
        </w:tc>
        <w:tc>
          <w:tcPr>
            <w:tcW w:w="4876" w:type="dxa"/>
          </w:tcPr>
          <w:p w14:paraId="40885A45"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 xml:space="preserve">l’absence de délivrance en temps utile de documents de voyage </w:t>
            </w:r>
            <w:r w:rsidRPr="00FA40C1">
              <w:rPr>
                <w:b/>
                <w:i/>
                <w:color w:val="000000" w:themeColor="text1"/>
              </w:rPr>
              <w:t>aux personnes auxquelles il est reconnu un droit de séjour sur son territoire,</w:t>
            </w:r>
            <w:r w:rsidRPr="00FA40C1">
              <w:rPr>
                <w:color w:val="000000" w:themeColor="text1"/>
              </w:rPr>
              <w:t xml:space="preserve"> aux fins d’un retour dans les délais mentionnés dans l’accord de réadmission ou le refus de documents de voyage européens délivrés à la suite de l’expiration des délais mentionnés dans l’accord de réadmission;</w:t>
            </w:r>
          </w:p>
        </w:tc>
      </w:tr>
    </w:tbl>
    <w:p w14:paraId="601CE5DD"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FAB4080" w14:textId="77777777" w:rsidR="00804A7C" w:rsidRPr="00FA40C1" w:rsidRDefault="00804A7C" w:rsidP="00804A7C">
      <w:pPr>
        <w:rPr>
          <w:color w:val="000000" w:themeColor="text1"/>
        </w:rPr>
      </w:pPr>
      <w:r w:rsidRPr="00FA40C1">
        <w:rPr>
          <w:rStyle w:val="HideTWBExt"/>
        </w:rPr>
        <w:t>&lt;/Amend&gt;</w:t>
      </w:r>
    </w:p>
    <w:p w14:paraId="5A57994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93</w:t>
      </w:r>
      <w:r w:rsidRPr="00FA40C1">
        <w:rPr>
          <w:rStyle w:val="HideTWBExt"/>
          <w:b w:val="0"/>
        </w:rPr>
        <w:t>&lt;/NumAm&gt;</w:t>
      </w:r>
    </w:p>
    <w:p w14:paraId="6D9FEDC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B716227" w14:textId="77777777" w:rsidR="00804A7C" w:rsidRPr="00FA40C1" w:rsidRDefault="00804A7C" w:rsidP="00804A7C">
      <w:pPr>
        <w:pStyle w:val="NormalBold"/>
        <w:rPr>
          <w:color w:val="000000" w:themeColor="text1"/>
        </w:rPr>
      </w:pPr>
      <w:r w:rsidRPr="00FA40C1">
        <w:rPr>
          <w:rStyle w:val="HideTWBExt"/>
          <w:b w:val="0"/>
        </w:rPr>
        <w:t>&lt;/RepeatBlock-By&gt;</w:t>
      </w:r>
    </w:p>
    <w:p w14:paraId="37CF460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5BDC4B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C319D3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668376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b</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F7DE257" w14:textId="77777777" w:rsidTr="00BF4F5C">
        <w:trPr>
          <w:trHeight w:hRule="exact" w:val="240"/>
          <w:jc w:val="center"/>
        </w:trPr>
        <w:tc>
          <w:tcPr>
            <w:tcW w:w="9752" w:type="dxa"/>
            <w:gridSpan w:val="2"/>
          </w:tcPr>
          <w:p w14:paraId="3722DCD0" w14:textId="77777777" w:rsidR="00804A7C" w:rsidRPr="00FA40C1" w:rsidRDefault="00804A7C" w:rsidP="00BF4F5C">
            <w:pPr>
              <w:rPr>
                <w:color w:val="000000" w:themeColor="text1"/>
              </w:rPr>
            </w:pPr>
          </w:p>
        </w:tc>
      </w:tr>
      <w:tr w:rsidR="00804A7C" w:rsidRPr="00FA40C1" w14:paraId="7D3571DA" w14:textId="77777777" w:rsidTr="00BF4F5C">
        <w:trPr>
          <w:trHeight w:val="240"/>
          <w:jc w:val="center"/>
        </w:trPr>
        <w:tc>
          <w:tcPr>
            <w:tcW w:w="4876" w:type="dxa"/>
          </w:tcPr>
          <w:p w14:paraId="2B610816"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47FFDB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E812C01" w14:textId="77777777" w:rsidTr="00BF4F5C">
        <w:trPr>
          <w:jc w:val="center"/>
        </w:trPr>
        <w:tc>
          <w:tcPr>
            <w:tcW w:w="4876" w:type="dxa"/>
          </w:tcPr>
          <w:p w14:paraId="065DBBA0"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 xml:space="preserve">l’absence de délivrance </w:t>
            </w:r>
            <w:r w:rsidRPr="00FA40C1">
              <w:rPr>
                <w:b/>
                <w:i/>
                <w:color w:val="000000" w:themeColor="text1"/>
              </w:rPr>
              <w:t>en temps utile</w:t>
            </w:r>
            <w:r w:rsidRPr="00FA40C1">
              <w:rPr>
                <w:color w:val="000000" w:themeColor="text1"/>
              </w:rPr>
              <w:t xml:space="preserve"> de documents de voyage aux fins d’un retour dans les délais mentionnés dans l’accord de réadmission ou le refus de documents de voyage européens délivrés à la suite de l’expiration des délais mentionnés dans l’accord de réadmission;</w:t>
            </w:r>
          </w:p>
        </w:tc>
        <w:tc>
          <w:tcPr>
            <w:tcW w:w="4876" w:type="dxa"/>
          </w:tcPr>
          <w:p w14:paraId="54F38D50" w14:textId="77777777" w:rsidR="00804A7C" w:rsidRPr="00FA40C1" w:rsidRDefault="00804A7C" w:rsidP="00BF4F5C">
            <w:pPr>
              <w:pStyle w:val="Normal6a"/>
              <w:rPr>
                <w:color w:val="000000" w:themeColor="text1"/>
              </w:rPr>
            </w:pPr>
            <w:r w:rsidRPr="00FA40C1">
              <w:rPr>
                <w:color w:val="000000" w:themeColor="text1"/>
              </w:rPr>
              <w:t>b)</w:t>
            </w:r>
            <w:r w:rsidRPr="00FA40C1">
              <w:rPr>
                <w:color w:val="000000" w:themeColor="text1"/>
              </w:rPr>
              <w:tab/>
              <w:t xml:space="preserve">l’absence de délivrance de documents de voyage </w:t>
            </w:r>
            <w:r w:rsidRPr="00FA40C1">
              <w:rPr>
                <w:b/>
                <w:i/>
                <w:color w:val="000000" w:themeColor="text1"/>
              </w:rPr>
              <w:t>à ses propres ressortissants ou aux personnes auxquelles il est reconnu un droit de séjour sur son territoire</w:t>
            </w:r>
            <w:r w:rsidRPr="00FA40C1">
              <w:rPr>
                <w:color w:val="000000" w:themeColor="text1"/>
              </w:rPr>
              <w:t xml:space="preserve"> aux fins d’un retour dans les délais mentionnés dans l’accord de réadmission ou le refus de documents de voyage européens délivrés à la suite de l’expiration des délais mentionnés dans l’accord de réadmission;</w:t>
            </w:r>
          </w:p>
        </w:tc>
      </w:tr>
    </w:tbl>
    <w:p w14:paraId="5C81D217"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B65B13E" w14:textId="77777777" w:rsidR="00804A7C" w:rsidRPr="00FA40C1" w:rsidRDefault="00804A7C" w:rsidP="00804A7C">
      <w:pPr>
        <w:rPr>
          <w:color w:val="000000" w:themeColor="text1"/>
        </w:rPr>
      </w:pPr>
      <w:r w:rsidRPr="00FA40C1">
        <w:rPr>
          <w:rStyle w:val="HideTWBExt"/>
        </w:rPr>
        <w:t>&lt;/Amend&gt;</w:t>
      </w:r>
    </w:p>
    <w:p w14:paraId="25F78C6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94</w:t>
      </w:r>
      <w:r w:rsidRPr="00FA40C1">
        <w:rPr>
          <w:rStyle w:val="HideTWBExt"/>
          <w:b w:val="0"/>
        </w:rPr>
        <w:t>&lt;/NumAm&gt;</w:t>
      </w:r>
    </w:p>
    <w:p w14:paraId="24D235F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2F6D29CF" w14:textId="77777777" w:rsidR="00804A7C" w:rsidRPr="00FA40C1" w:rsidRDefault="00804A7C" w:rsidP="00804A7C">
      <w:pPr>
        <w:pStyle w:val="NormalBold"/>
        <w:rPr>
          <w:color w:val="000000" w:themeColor="text1"/>
        </w:rPr>
      </w:pPr>
      <w:r w:rsidRPr="00FA40C1">
        <w:rPr>
          <w:rStyle w:val="HideTWBExt"/>
          <w:b w:val="0"/>
        </w:rPr>
        <w:t>&lt;/RepeatBlock-By&gt;</w:t>
      </w:r>
    </w:p>
    <w:p w14:paraId="09E9C55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843631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C3DE2DD"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D35333D"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bis – paragraphe 5 – point c</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E571B9E" w14:textId="77777777" w:rsidTr="00BF4F5C">
        <w:trPr>
          <w:trHeight w:hRule="exact" w:val="240"/>
          <w:jc w:val="center"/>
        </w:trPr>
        <w:tc>
          <w:tcPr>
            <w:tcW w:w="9752" w:type="dxa"/>
            <w:gridSpan w:val="2"/>
          </w:tcPr>
          <w:p w14:paraId="2CFBAE36" w14:textId="77777777" w:rsidR="00804A7C" w:rsidRPr="00FA40C1" w:rsidRDefault="00804A7C" w:rsidP="00BF4F5C">
            <w:pPr>
              <w:rPr>
                <w:color w:val="000000" w:themeColor="text1"/>
              </w:rPr>
            </w:pPr>
          </w:p>
        </w:tc>
      </w:tr>
      <w:tr w:rsidR="00804A7C" w:rsidRPr="00FA40C1" w14:paraId="6D09E8EC" w14:textId="77777777" w:rsidTr="00BF4F5C">
        <w:trPr>
          <w:trHeight w:val="240"/>
          <w:jc w:val="center"/>
        </w:trPr>
        <w:tc>
          <w:tcPr>
            <w:tcW w:w="4876" w:type="dxa"/>
          </w:tcPr>
          <w:p w14:paraId="7ECB599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A398E0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AB16A35" w14:textId="77777777" w:rsidTr="00BF4F5C">
        <w:trPr>
          <w:jc w:val="center"/>
        </w:trPr>
        <w:tc>
          <w:tcPr>
            <w:tcW w:w="4876" w:type="dxa"/>
          </w:tcPr>
          <w:p w14:paraId="30398BCA" w14:textId="77777777" w:rsidR="00804A7C" w:rsidRPr="00FA40C1" w:rsidRDefault="00804A7C" w:rsidP="00BF4F5C">
            <w:pPr>
              <w:pStyle w:val="Normal6a"/>
              <w:rPr>
                <w:color w:val="000000" w:themeColor="text1"/>
              </w:rPr>
            </w:pPr>
            <w:r w:rsidRPr="00FA40C1">
              <w:rPr>
                <w:color w:val="000000" w:themeColor="text1"/>
              </w:rPr>
              <w:t>c)</w:t>
            </w:r>
            <w:r w:rsidRPr="00FA40C1">
              <w:rPr>
                <w:color w:val="000000" w:themeColor="text1"/>
              </w:rPr>
              <w:tab/>
              <w:t xml:space="preserve">la dénonciation </w:t>
            </w:r>
            <w:r w:rsidRPr="00FA40C1">
              <w:rPr>
                <w:b/>
                <w:i/>
                <w:color w:val="000000" w:themeColor="text1"/>
              </w:rPr>
              <w:t>ou</w:t>
            </w:r>
            <w:r w:rsidRPr="00FA40C1">
              <w:rPr>
                <w:color w:val="000000" w:themeColor="text1"/>
              </w:rPr>
              <w:t xml:space="preserve"> la suspension de l’accord de réadmission conclu entre un pays tiers figurant sur la liste de l’annexe II et l’Union.</w:t>
            </w:r>
          </w:p>
        </w:tc>
        <w:tc>
          <w:tcPr>
            <w:tcW w:w="4876" w:type="dxa"/>
          </w:tcPr>
          <w:p w14:paraId="2AB48725" w14:textId="77777777" w:rsidR="00804A7C" w:rsidRPr="00FA40C1" w:rsidRDefault="00804A7C" w:rsidP="00BF4F5C">
            <w:pPr>
              <w:pStyle w:val="Normal6a"/>
              <w:rPr>
                <w:color w:val="000000" w:themeColor="text1"/>
              </w:rPr>
            </w:pPr>
            <w:r w:rsidRPr="00FA40C1">
              <w:rPr>
                <w:color w:val="000000" w:themeColor="text1"/>
              </w:rPr>
              <w:t>c)</w:t>
            </w:r>
            <w:r w:rsidRPr="00FA40C1">
              <w:rPr>
                <w:color w:val="000000" w:themeColor="text1"/>
              </w:rPr>
              <w:tab/>
              <w:t>la dénonciation</w:t>
            </w:r>
            <w:r w:rsidRPr="00FA40C1">
              <w:rPr>
                <w:b/>
                <w:i/>
                <w:color w:val="000000" w:themeColor="text1"/>
              </w:rPr>
              <w:t>,</w:t>
            </w:r>
            <w:r w:rsidRPr="00FA40C1">
              <w:rPr>
                <w:color w:val="000000" w:themeColor="text1"/>
              </w:rPr>
              <w:t xml:space="preserve"> la suspension </w:t>
            </w:r>
            <w:r w:rsidRPr="00FA40C1">
              <w:rPr>
                <w:b/>
                <w:i/>
                <w:color w:val="000000" w:themeColor="text1"/>
              </w:rPr>
              <w:t>ou la remise en cause</w:t>
            </w:r>
            <w:r w:rsidRPr="00FA40C1">
              <w:rPr>
                <w:color w:val="000000" w:themeColor="text1"/>
              </w:rPr>
              <w:t xml:space="preserve"> de l’accord de réadmission conclu entre un pays tiers figurant sur la liste de l’annexe II et l’Union.</w:t>
            </w:r>
          </w:p>
        </w:tc>
      </w:tr>
    </w:tbl>
    <w:p w14:paraId="3344764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47B5C42" w14:textId="77777777" w:rsidR="00804A7C" w:rsidRPr="00FA40C1" w:rsidRDefault="00804A7C" w:rsidP="00804A7C">
      <w:pPr>
        <w:rPr>
          <w:color w:val="000000" w:themeColor="text1"/>
        </w:rPr>
      </w:pPr>
      <w:r w:rsidRPr="00FA40C1">
        <w:rPr>
          <w:rStyle w:val="HideTWBExt"/>
        </w:rPr>
        <w:t>&lt;/Amend&gt;</w:t>
      </w:r>
    </w:p>
    <w:p w14:paraId="1821280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95</w:t>
      </w:r>
      <w:r w:rsidRPr="00FA40C1">
        <w:rPr>
          <w:rStyle w:val="HideTWBExt"/>
          <w:b w:val="0"/>
        </w:rPr>
        <w:t>&lt;/NumAm&gt;</w:t>
      </w:r>
    </w:p>
    <w:p w14:paraId="4B0A4AD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64E6AABB" w14:textId="77777777" w:rsidR="00804A7C" w:rsidRPr="00FA40C1" w:rsidRDefault="00804A7C" w:rsidP="00804A7C">
      <w:pPr>
        <w:pStyle w:val="NormalBold"/>
        <w:rPr>
          <w:color w:val="000000" w:themeColor="text1"/>
        </w:rPr>
      </w:pPr>
      <w:r w:rsidRPr="00FA40C1">
        <w:rPr>
          <w:rStyle w:val="HideTWBExt"/>
          <w:b w:val="0"/>
        </w:rPr>
        <w:t>&lt;/RepeatBlock-By&gt;</w:t>
      </w:r>
    </w:p>
    <w:p w14:paraId="0030B12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708401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28F8AE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7D15C6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titre</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A762023" w14:textId="77777777" w:rsidTr="00BF4F5C">
        <w:trPr>
          <w:trHeight w:hRule="exact" w:val="240"/>
          <w:jc w:val="center"/>
        </w:trPr>
        <w:tc>
          <w:tcPr>
            <w:tcW w:w="9752" w:type="dxa"/>
            <w:gridSpan w:val="2"/>
          </w:tcPr>
          <w:p w14:paraId="55D36929" w14:textId="77777777" w:rsidR="00804A7C" w:rsidRPr="00FA40C1" w:rsidRDefault="00804A7C" w:rsidP="00BF4F5C">
            <w:pPr>
              <w:rPr>
                <w:color w:val="000000" w:themeColor="text1"/>
              </w:rPr>
            </w:pPr>
          </w:p>
        </w:tc>
      </w:tr>
      <w:tr w:rsidR="00804A7C" w:rsidRPr="00FA40C1" w14:paraId="1C0BC48B" w14:textId="77777777" w:rsidTr="00BF4F5C">
        <w:trPr>
          <w:trHeight w:val="240"/>
          <w:jc w:val="center"/>
        </w:trPr>
        <w:tc>
          <w:tcPr>
            <w:tcW w:w="4876" w:type="dxa"/>
          </w:tcPr>
          <w:p w14:paraId="10BBBB2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D088CBC"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B2D3E32" w14:textId="77777777" w:rsidTr="00BF4F5C">
        <w:trPr>
          <w:jc w:val="center"/>
        </w:trPr>
        <w:tc>
          <w:tcPr>
            <w:tcW w:w="4876" w:type="dxa"/>
          </w:tcPr>
          <w:p w14:paraId="0A7FBD79" w14:textId="77777777" w:rsidR="00804A7C" w:rsidRPr="00FA40C1" w:rsidRDefault="00804A7C" w:rsidP="00BF4F5C">
            <w:pPr>
              <w:pStyle w:val="Normal6a"/>
              <w:rPr>
                <w:color w:val="000000" w:themeColor="text1"/>
              </w:rPr>
            </w:pPr>
            <w:r w:rsidRPr="00FA40C1">
              <w:rPr>
                <w:color w:val="000000" w:themeColor="text1"/>
              </w:rPr>
              <w:t xml:space="preserve">Notification </w:t>
            </w:r>
            <w:r w:rsidRPr="00FA40C1">
              <w:rPr>
                <w:b/>
                <w:i/>
                <w:color w:val="000000" w:themeColor="text1"/>
              </w:rPr>
              <w:t>par les États membres</w:t>
            </w:r>
            <w:r w:rsidRPr="00FA40C1">
              <w:rPr>
                <w:color w:val="000000" w:themeColor="text1"/>
              </w:rPr>
              <w:t xml:space="preserve"> et examen de la notification</w:t>
            </w:r>
          </w:p>
        </w:tc>
        <w:tc>
          <w:tcPr>
            <w:tcW w:w="4876" w:type="dxa"/>
          </w:tcPr>
          <w:p w14:paraId="61948E8A" w14:textId="77777777" w:rsidR="00804A7C" w:rsidRPr="00FA40C1" w:rsidRDefault="00804A7C" w:rsidP="00BF4F5C">
            <w:pPr>
              <w:pStyle w:val="Normal6a"/>
              <w:rPr>
                <w:color w:val="000000" w:themeColor="text1"/>
              </w:rPr>
            </w:pPr>
            <w:r w:rsidRPr="00FA40C1">
              <w:rPr>
                <w:color w:val="000000" w:themeColor="text1"/>
              </w:rPr>
              <w:t>Notification et examen de la notification</w:t>
            </w:r>
          </w:p>
        </w:tc>
      </w:tr>
    </w:tbl>
    <w:p w14:paraId="31B7B38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F6EC75C" w14:textId="77777777" w:rsidR="00804A7C" w:rsidRPr="00FA40C1" w:rsidRDefault="00804A7C" w:rsidP="00804A7C">
      <w:pPr>
        <w:rPr>
          <w:color w:val="000000" w:themeColor="text1"/>
        </w:rPr>
      </w:pPr>
      <w:r w:rsidRPr="00FA40C1">
        <w:rPr>
          <w:rStyle w:val="HideTWBExt"/>
        </w:rPr>
        <w:t>&lt;/Amend&gt;</w:t>
      </w:r>
    </w:p>
    <w:p w14:paraId="5EDECD4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96</w:t>
      </w:r>
      <w:r w:rsidRPr="00FA40C1">
        <w:rPr>
          <w:rStyle w:val="HideTWBExt"/>
          <w:b w:val="0"/>
        </w:rPr>
        <w:t>&lt;/NumAm&gt;</w:t>
      </w:r>
    </w:p>
    <w:p w14:paraId="2476A0D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760650B1" w14:textId="77777777" w:rsidR="00804A7C" w:rsidRPr="00FA40C1" w:rsidRDefault="00804A7C" w:rsidP="00804A7C">
      <w:pPr>
        <w:pStyle w:val="NormalBold"/>
        <w:rPr>
          <w:color w:val="000000" w:themeColor="text1"/>
        </w:rPr>
      </w:pPr>
      <w:r w:rsidRPr="00FA40C1">
        <w:rPr>
          <w:rStyle w:val="HideTWBExt"/>
          <w:b w:val="0"/>
        </w:rPr>
        <w:t>&lt;/RepeatBlock-By&gt;</w:t>
      </w:r>
    </w:p>
    <w:p w14:paraId="6B5293A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9F7698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03981D43"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DA7562C"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6C53FA2" w14:textId="77777777" w:rsidTr="00BF4F5C">
        <w:trPr>
          <w:trHeight w:hRule="exact" w:val="240"/>
          <w:jc w:val="center"/>
        </w:trPr>
        <w:tc>
          <w:tcPr>
            <w:tcW w:w="9752" w:type="dxa"/>
            <w:gridSpan w:val="2"/>
          </w:tcPr>
          <w:p w14:paraId="17A1D717" w14:textId="77777777" w:rsidR="00804A7C" w:rsidRPr="00FA40C1" w:rsidRDefault="00804A7C" w:rsidP="00BF4F5C">
            <w:pPr>
              <w:rPr>
                <w:color w:val="000000" w:themeColor="text1"/>
              </w:rPr>
            </w:pPr>
          </w:p>
        </w:tc>
      </w:tr>
      <w:tr w:rsidR="00804A7C" w:rsidRPr="00FA40C1" w14:paraId="3977E484" w14:textId="77777777" w:rsidTr="00BF4F5C">
        <w:trPr>
          <w:trHeight w:val="240"/>
          <w:jc w:val="center"/>
        </w:trPr>
        <w:tc>
          <w:tcPr>
            <w:tcW w:w="4876" w:type="dxa"/>
          </w:tcPr>
          <w:p w14:paraId="4826FF1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B1616D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3206A94" w14:textId="77777777" w:rsidTr="00BF4F5C">
        <w:trPr>
          <w:jc w:val="center"/>
        </w:trPr>
        <w:tc>
          <w:tcPr>
            <w:tcW w:w="4876" w:type="dxa"/>
          </w:tcPr>
          <w:p w14:paraId="478679B0"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Un État membre peut notifier à la Commission qu’il est confronté, sur une période d’au moins deux mois,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 points a), b)</w:t>
            </w:r>
            <w:r w:rsidRPr="00FA40C1">
              <w:rPr>
                <w:b/>
                <w:i/>
                <w:color w:val="000000" w:themeColor="text1"/>
              </w:rPr>
              <w:t>, c)</w:t>
            </w:r>
            <w:r w:rsidRPr="00FA40C1">
              <w:rPr>
                <w:color w:val="000000" w:themeColor="text1"/>
              </w:rPr>
              <w:t xml:space="preserve"> et d) i).</w:t>
            </w:r>
          </w:p>
        </w:tc>
        <w:tc>
          <w:tcPr>
            <w:tcW w:w="4876" w:type="dxa"/>
          </w:tcPr>
          <w:p w14:paraId="0CF737B2"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Un État membre peut notifier à la Commission qu’il est confronté, sur une période d’au moins deux mois</w:t>
            </w:r>
            <w:r w:rsidRPr="00FA40C1">
              <w:rPr>
                <w:b/>
                <w:i/>
                <w:color w:val="000000" w:themeColor="text1"/>
              </w:rPr>
              <w:t>, mais inférieure à douze mois</w:t>
            </w:r>
            <w:r w:rsidRPr="00FA40C1">
              <w:rPr>
                <w:color w:val="000000" w:themeColor="text1"/>
              </w:rPr>
              <w:t>,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 points a), b) et d) i).</w:t>
            </w:r>
          </w:p>
        </w:tc>
      </w:tr>
    </w:tbl>
    <w:p w14:paraId="0DA56B1D"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E0AE59F" w14:textId="77777777" w:rsidR="00804A7C" w:rsidRPr="00FA40C1" w:rsidRDefault="00804A7C" w:rsidP="00804A7C">
      <w:pPr>
        <w:rPr>
          <w:color w:val="000000" w:themeColor="text1"/>
        </w:rPr>
      </w:pPr>
      <w:r w:rsidRPr="00FA40C1">
        <w:rPr>
          <w:rStyle w:val="HideTWBExt"/>
        </w:rPr>
        <w:t>&lt;/Amend&gt;</w:t>
      </w:r>
    </w:p>
    <w:p w14:paraId="2D3CC96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97</w:t>
      </w:r>
      <w:r w:rsidRPr="00FA40C1">
        <w:rPr>
          <w:rStyle w:val="HideTWBExt"/>
          <w:b w:val="0"/>
        </w:rPr>
        <w:t>&lt;/NumAm&gt;</w:t>
      </w:r>
    </w:p>
    <w:p w14:paraId="10069DA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68DADC78" w14:textId="77777777" w:rsidR="00804A7C" w:rsidRPr="00FA40C1" w:rsidRDefault="00804A7C" w:rsidP="00804A7C">
      <w:pPr>
        <w:pStyle w:val="NormalBold"/>
        <w:rPr>
          <w:color w:val="000000" w:themeColor="text1"/>
        </w:rPr>
      </w:pPr>
      <w:r w:rsidRPr="00FA40C1">
        <w:rPr>
          <w:rStyle w:val="HideTWBExt"/>
          <w:b w:val="0"/>
        </w:rPr>
        <w:t>&lt;/RepeatBlock-By&gt;</w:t>
      </w:r>
    </w:p>
    <w:p w14:paraId="2F48C86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63CE4F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928D7D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EEDDD9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75CDB12" w14:textId="77777777" w:rsidTr="00BF4F5C">
        <w:trPr>
          <w:trHeight w:hRule="exact" w:val="240"/>
          <w:jc w:val="center"/>
        </w:trPr>
        <w:tc>
          <w:tcPr>
            <w:tcW w:w="9752" w:type="dxa"/>
            <w:gridSpan w:val="2"/>
          </w:tcPr>
          <w:p w14:paraId="365C20A3" w14:textId="77777777" w:rsidR="00804A7C" w:rsidRPr="00FA40C1" w:rsidRDefault="00804A7C" w:rsidP="00BF4F5C">
            <w:pPr>
              <w:rPr>
                <w:color w:val="000000" w:themeColor="text1"/>
              </w:rPr>
            </w:pPr>
          </w:p>
        </w:tc>
      </w:tr>
      <w:tr w:rsidR="00804A7C" w:rsidRPr="00FA40C1" w14:paraId="18588E6F" w14:textId="77777777" w:rsidTr="00BF4F5C">
        <w:trPr>
          <w:trHeight w:val="240"/>
          <w:jc w:val="center"/>
        </w:trPr>
        <w:tc>
          <w:tcPr>
            <w:tcW w:w="4876" w:type="dxa"/>
          </w:tcPr>
          <w:p w14:paraId="104CEA7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1CB1E5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4EEDFE7" w14:textId="77777777" w:rsidTr="00BF4F5C">
        <w:trPr>
          <w:jc w:val="center"/>
        </w:trPr>
        <w:tc>
          <w:tcPr>
            <w:tcW w:w="4876" w:type="dxa"/>
          </w:tcPr>
          <w:p w14:paraId="185CF817"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Un État membre peut notifier à la Commission qu’il est confronté, sur une période d’au moins deux mois,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w:t>
            </w:r>
            <w:r w:rsidRPr="00FA40C1">
              <w:rPr>
                <w:b/>
                <w:i/>
                <w:color w:val="000000" w:themeColor="text1"/>
              </w:rPr>
              <w:t>, points a), b), c) et d) i)</w:t>
            </w:r>
            <w:r w:rsidRPr="00FA40C1">
              <w:rPr>
                <w:color w:val="000000" w:themeColor="text1"/>
              </w:rPr>
              <w:t>.</w:t>
            </w:r>
          </w:p>
        </w:tc>
        <w:tc>
          <w:tcPr>
            <w:tcW w:w="4876" w:type="dxa"/>
          </w:tcPr>
          <w:p w14:paraId="41A653EF"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Un État membre peut notifier à la Commission qu’il est confronté, sur une période d’au moins deux mois,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w:t>
            </w:r>
          </w:p>
        </w:tc>
      </w:tr>
    </w:tbl>
    <w:p w14:paraId="7B105FD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E3A4494" w14:textId="77777777" w:rsidR="00804A7C" w:rsidRPr="00FA40C1" w:rsidRDefault="00804A7C" w:rsidP="00804A7C">
      <w:pPr>
        <w:rPr>
          <w:color w:val="000000" w:themeColor="text1"/>
        </w:rPr>
      </w:pPr>
      <w:r w:rsidRPr="00FA40C1">
        <w:rPr>
          <w:rStyle w:val="HideTWBExt"/>
        </w:rPr>
        <w:t>&lt;/Amend&gt;</w:t>
      </w:r>
    </w:p>
    <w:p w14:paraId="0C29134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98</w:t>
      </w:r>
      <w:r w:rsidRPr="00FA40C1">
        <w:rPr>
          <w:rStyle w:val="HideTWBExt"/>
          <w:b w:val="0"/>
        </w:rPr>
        <w:t>&lt;/NumAm&gt;</w:t>
      </w:r>
    </w:p>
    <w:p w14:paraId="1ED533A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742A811A" w14:textId="77777777" w:rsidR="00804A7C" w:rsidRPr="00FA40C1" w:rsidRDefault="00804A7C" w:rsidP="00804A7C">
      <w:pPr>
        <w:pStyle w:val="NormalBold"/>
        <w:rPr>
          <w:color w:val="000000" w:themeColor="text1"/>
        </w:rPr>
      </w:pPr>
      <w:r w:rsidRPr="00FA40C1">
        <w:rPr>
          <w:rStyle w:val="HideTWBExt"/>
          <w:b w:val="0"/>
        </w:rPr>
        <w:t>&lt;/RepeatBlock-By&gt;</w:t>
      </w:r>
    </w:p>
    <w:p w14:paraId="1DA7A59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387DE3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E655181"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FF49410"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314805B" w14:textId="77777777" w:rsidTr="00BF4F5C">
        <w:trPr>
          <w:trHeight w:hRule="exact" w:val="240"/>
          <w:jc w:val="center"/>
        </w:trPr>
        <w:tc>
          <w:tcPr>
            <w:tcW w:w="9752" w:type="dxa"/>
            <w:gridSpan w:val="2"/>
          </w:tcPr>
          <w:p w14:paraId="04E0E742" w14:textId="77777777" w:rsidR="00804A7C" w:rsidRPr="00FA40C1" w:rsidRDefault="00804A7C" w:rsidP="00BF4F5C">
            <w:pPr>
              <w:rPr>
                <w:color w:val="000000" w:themeColor="text1"/>
              </w:rPr>
            </w:pPr>
          </w:p>
        </w:tc>
      </w:tr>
      <w:tr w:rsidR="00804A7C" w:rsidRPr="00FA40C1" w14:paraId="44C1A230" w14:textId="77777777" w:rsidTr="00BF4F5C">
        <w:trPr>
          <w:trHeight w:val="240"/>
          <w:jc w:val="center"/>
        </w:trPr>
        <w:tc>
          <w:tcPr>
            <w:tcW w:w="4876" w:type="dxa"/>
          </w:tcPr>
          <w:p w14:paraId="048CF17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E17090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2D10140" w14:textId="77777777" w:rsidTr="00BF4F5C">
        <w:trPr>
          <w:jc w:val="center"/>
        </w:trPr>
        <w:tc>
          <w:tcPr>
            <w:tcW w:w="4876" w:type="dxa"/>
          </w:tcPr>
          <w:p w14:paraId="5377ED11"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Un État membre peut notifier à la Commission qu’il est confronté, sur une période </w:t>
            </w:r>
            <w:r w:rsidRPr="00FA40C1">
              <w:rPr>
                <w:b/>
                <w:i/>
                <w:color w:val="000000" w:themeColor="text1"/>
              </w:rPr>
              <w:t>d’au moins</w:t>
            </w:r>
            <w:r w:rsidRPr="00FA40C1">
              <w:rPr>
                <w:color w:val="000000" w:themeColor="text1"/>
              </w:rPr>
              <w:t xml:space="preserve"> deux mois,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 points a), b), c) et d) </w:t>
            </w:r>
            <w:r w:rsidRPr="00FA40C1">
              <w:rPr>
                <w:b/>
                <w:i/>
                <w:color w:val="000000" w:themeColor="text1"/>
              </w:rPr>
              <w:t>i)</w:t>
            </w:r>
            <w:r w:rsidRPr="00FA40C1">
              <w:rPr>
                <w:color w:val="000000" w:themeColor="text1"/>
              </w:rPr>
              <w:t>.</w:t>
            </w:r>
          </w:p>
        </w:tc>
        <w:tc>
          <w:tcPr>
            <w:tcW w:w="4876" w:type="dxa"/>
          </w:tcPr>
          <w:p w14:paraId="3ACE9904"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Un État membre peut notifier à la Commission qu’il est confronté, sur une période </w:t>
            </w:r>
            <w:r w:rsidRPr="00FA40C1">
              <w:rPr>
                <w:b/>
                <w:i/>
                <w:color w:val="000000" w:themeColor="text1"/>
              </w:rPr>
              <w:t>de</w:t>
            </w:r>
            <w:r w:rsidRPr="00FA40C1">
              <w:rPr>
                <w:color w:val="000000" w:themeColor="text1"/>
              </w:rPr>
              <w:t xml:space="preserve"> deux mois, par rapport soit à la même période de l’année précédente, soit aux deux derniers mois ayant précédé l’application de l’exemption de l’obligation de visa à l’égard des ressortissants d’un pays tiers figurant sur la liste de l’annexe II, à l’une ou plusieurs des circonstances constituant les motifs de suspension mentionnés à l’article 8 bis, paragraphe 1, points a), b), c) et d).</w:t>
            </w:r>
          </w:p>
        </w:tc>
      </w:tr>
    </w:tbl>
    <w:p w14:paraId="4729C31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82D8D0A" w14:textId="77777777" w:rsidR="00804A7C" w:rsidRPr="00FA40C1" w:rsidRDefault="00804A7C" w:rsidP="00804A7C">
      <w:pPr>
        <w:rPr>
          <w:color w:val="000000" w:themeColor="text1"/>
        </w:rPr>
      </w:pPr>
      <w:r w:rsidRPr="00FA40C1">
        <w:rPr>
          <w:rStyle w:val="HideTWBExt"/>
        </w:rPr>
        <w:t>&lt;/Amend&gt;</w:t>
      </w:r>
    </w:p>
    <w:p w14:paraId="681E61E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99</w:t>
      </w:r>
      <w:r w:rsidRPr="00FA40C1">
        <w:rPr>
          <w:rStyle w:val="HideTWBExt"/>
          <w:b w:val="0"/>
        </w:rPr>
        <w:t>&lt;/NumAm&gt;</w:t>
      </w:r>
    </w:p>
    <w:p w14:paraId="709F296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2504EA41" w14:textId="77777777" w:rsidR="00804A7C" w:rsidRPr="00FA40C1" w:rsidRDefault="00804A7C" w:rsidP="00804A7C">
      <w:pPr>
        <w:pStyle w:val="NormalBold"/>
        <w:rPr>
          <w:color w:val="000000" w:themeColor="text1"/>
        </w:rPr>
      </w:pPr>
      <w:r w:rsidRPr="00FA40C1">
        <w:rPr>
          <w:rStyle w:val="HideTWBExt"/>
          <w:b w:val="0"/>
        </w:rPr>
        <w:t>&lt;/RepeatBlock-By&gt;</w:t>
      </w:r>
    </w:p>
    <w:p w14:paraId="489B872B"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19D685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EB9BFA1"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6F9696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1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97A703A" w14:textId="77777777" w:rsidTr="00BF4F5C">
        <w:trPr>
          <w:trHeight w:hRule="exact" w:val="240"/>
          <w:jc w:val="center"/>
        </w:trPr>
        <w:tc>
          <w:tcPr>
            <w:tcW w:w="9752" w:type="dxa"/>
            <w:gridSpan w:val="2"/>
          </w:tcPr>
          <w:p w14:paraId="794CFC5D" w14:textId="77777777" w:rsidR="00804A7C" w:rsidRPr="00FA40C1" w:rsidRDefault="00804A7C" w:rsidP="00BF4F5C">
            <w:pPr>
              <w:rPr>
                <w:color w:val="000000" w:themeColor="text1"/>
              </w:rPr>
            </w:pPr>
          </w:p>
        </w:tc>
      </w:tr>
      <w:tr w:rsidR="00804A7C" w:rsidRPr="00FA40C1" w14:paraId="6AB5F37C" w14:textId="77777777" w:rsidTr="00BF4F5C">
        <w:trPr>
          <w:trHeight w:val="240"/>
          <w:jc w:val="center"/>
        </w:trPr>
        <w:tc>
          <w:tcPr>
            <w:tcW w:w="4876" w:type="dxa"/>
          </w:tcPr>
          <w:p w14:paraId="09301F0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6237E6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90A6184" w14:textId="77777777" w:rsidTr="00BF4F5C">
        <w:trPr>
          <w:jc w:val="center"/>
        </w:trPr>
        <w:tc>
          <w:tcPr>
            <w:tcW w:w="4876" w:type="dxa"/>
          </w:tcPr>
          <w:p w14:paraId="614ADEB8" w14:textId="77777777" w:rsidR="00804A7C" w:rsidRPr="00FA40C1" w:rsidRDefault="00804A7C" w:rsidP="00BF4F5C">
            <w:pPr>
              <w:pStyle w:val="Normal6a"/>
              <w:rPr>
                <w:color w:val="000000" w:themeColor="text1"/>
              </w:rPr>
            </w:pPr>
          </w:p>
        </w:tc>
        <w:tc>
          <w:tcPr>
            <w:tcW w:w="4876" w:type="dxa"/>
          </w:tcPr>
          <w:p w14:paraId="104F30A8" w14:textId="77777777" w:rsidR="00804A7C" w:rsidRPr="00FA40C1" w:rsidRDefault="00804A7C" w:rsidP="00BF4F5C">
            <w:pPr>
              <w:pStyle w:val="Normal6a"/>
              <w:rPr>
                <w:color w:val="000000" w:themeColor="text1"/>
              </w:rPr>
            </w:pPr>
            <w:r w:rsidRPr="00FA40C1">
              <w:rPr>
                <w:b/>
                <w:i/>
                <w:color w:val="000000" w:themeColor="text1"/>
              </w:rPr>
              <w:t>1 bis.</w:t>
            </w:r>
            <w:r w:rsidRPr="00FA40C1">
              <w:rPr>
                <w:color w:val="000000" w:themeColor="text1"/>
              </w:rPr>
              <w:tab/>
            </w:r>
            <w:r w:rsidRPr="00FA40C1">
              <w:rPr>
                <w:b/>
                <w:i/>
                <w:color w:val="000000" w:themeColor="text1"/>
              </w:rPr>
              <w:t>Un État membre peut également notifier à la Commission l’existence de circonstances constituant les motifs de suspension mentionnés à l’article 8 bis, paragraphe 1, points e), f), g) et g bis).</w:t>
            </w:r>
          </w:p>
        </w:tc>
      </w:tr>
    </w:tbl>
    <w:p w14:paraId="2E4BDF8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FCBA220" w14:textId="77777777" w:rsidR="00804A7C" w:rsidRPr="00FA40C1" w:rsidRDefault="00804A7C" w:rsidP="00804A7C">
      <w:pPr>
        <w:rPr>
          <w:color w:val="000000" w:themeColor="text1"/>
        </w:rPr>
      </w:pPr>
      <w:r w:rsidRPr="00FA40C1">
        <w:rPr>
          <w:rStyle w:val="HideTWBExt"/>
        </w:rPr>
        <w:t>&lt;/Amend&gt;</w:t>
      </w:r>
    </w:p>
    <w:p w14:paraId="40F7462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100</w:t>
      </w:r>
      <w:r w:rsidRPr="00FA40C1">
        <w:rPr>
          <w:rStyle w:val="HideTWBExt"/>
          <w:b w:val="0"/>
        </w:rPr>
        <w:t>&lt;/NumAm&gt;</w:t>
      </w:r>
    </w:p>
    <w:p w14:paraId="694AB6B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72511419" w14:textId="77777777" w:rsidR="00804A7C" w:rsidRPr="00FA40C1" w:rsidRDefault="00804A7C" w:rsidP="00804A7C">
      <w:pPr>
        <w:pStyle w:val="NormalBold"/>
        <w:rPr>
          <w:color w:val="000000" w:themeColor="text1"/>
        </w:rPr>
      </w:pPr>
      <w:r w:rsidRPr="00FA40C1">
        <w:rPr>
          <w:rStyle w:val="HideTWBExt"/>
          <w:b w:val="0"/>
        </w:rPr>
        <w:t>&lt;/RepeatBlock-By&gt;</w:t>
      </w:r>
    </w:p>
    <w:p w14:paraId="2B7D001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5783EC0"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10C3CE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D88DB7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1 ter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67F328A" w14:textId="77777777" w:rsidTr="00BF4F5C">
        <w:trPr>
          <w:trHeight w:hRule="exact" w:val="240"/>
          <w:jc w:val="center"/>
        </w:trPr>
        <w:tc>
          <w:tcPr>
            <w:tcW w:w="9752" w:type="dxa"/>
            <w:gridSpan w:val="2"/>
          </w:tcPr>
          <w:p w14:paraId="3657EF2C" w14:textId="77777777" w:rsidR="00804A7C" w:rsidRPr="00FA40C1" w:rsidRDefault="00804A7C" w:rsidP="00BF4F5C">
            <w:pPr>
              <w:rPr>
                <w:color w:val="000000" w:themeColor="text1"/>
              </w:rPr>
            </w:pPr>
          </w:p>
        </w:tc>
      </w:tr>
      <w:tr w:rsidR="00804A7C" w:rsidRPr="00FA40C1" w14:paraId="3D9AFA3F" w14:textId="77777777" w:rsidTr="00BF4F5C">
        <w:trPr>
          <w:trHeight w:val="240"/>
          <w:jc w:val="center"/>
        </w:trPr>
        <w:tc>
          <w:tcPr>
            <w:tcW w:w="4876" w:type="dxa"/>
          </w:tcPr>
          <w:p w14:paraId="38C2C3E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2E17039"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C040B51" w14:textId="77777777" w:rsidTr="00BF4F5C">
        <w:trPr>
          <w:jc w:val="center"/>
        </w:trPr>
        <w:tc>
          <w:tcPr>
            <w:tcW w:w="4876" w:type="dxa"/>
          </w:tcPr>
          <w:p w14:paraId="7D7F1DEC" w14:textId="77777777" w:rsidR="00804A7C" w:rsidRPr="00FA40C1" w:rsidRDefault="00804A7C" w:rsidP="00BF4F5C">
            <w:pPr>
              <w:pStyle w:val="Normal6a"/>
              <w:rPr>
                <w:color w:val="000000" w:themeColor="text1"/>
              </w:rPr>
            </w:pPr>
          </w:p>
        </w:tc>
        <w:tc>
          <w:tcPr>
            <w:tcW w:w="4876" w:type="dxa"/>
          </w:tcPr>
          <w:p w14:paraId="10ABDB2D" w14:textId="77777777" w:rsidR="00804A7C" w:rsidRPr="00FA40C1" w:rsidRDefault="00804A7C" w:rsidP="00BF4F5C">
            <w:pPr>
              <w:pStyle w:val="Normal6a"/>
              <w:rPr>
                <w:color w:val="000000" w:themeColor="text1"/>
              </w:rPr>
            </w:pPr>
            <w:r w:rsidRPr="00FA40C1">
              <w:rPr>
                <w:b/>
                <w:i/>
                <w:color w:val="000000" w:themeColor="text1"/>
              </w:rPr>
              <w:t>1 ter.</w:t>
            </w:r>
            <w:r w:rsidRPr="00FA40C1">
              <w:rPr>
                <w:color w:val="000000" w:themeColor="text1"/>
              </w:rPr>
              <w:tab/>
            </w:r>
            <w:r w:rsidRPr="00FA40C1">
              <w:rPr>
                <w:b/>
                <w:i/>
                <w:color w:val="000000" w:themeColor="text1"/>
              </w:rPr>
              <w:t>Le Parlement européen peut également notifier à la Commission l’existence de circonstances constituant les motifs de suspension mentionnés à l’article 8 bis, paragraphe 1, points e), f), g bis) et g ter).</w:t>
            </w:r>
          </w:p>
        </w:tc>
      </w:tr>
    </w:tbl>
    <w:p w14:paraId="3232DE3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483E23C" w14:textId="77777777" w:rsidR="00804A7C" w:rsidRPr="00FA40C1" w:rsidRDefault="00804A7C" w:rsidP="00804A7C">
      <w:pPr>
        <w:rPr>
          <w:color w:val="000000" w:themeColor="text1"/>
        </w:rPr>
      </w:pPr>
      <w:r w:rsidRPr="00FA40C1">
        <w:rPr>
          <w:rStyle w:val="HideTWBExt"/>
        </w:rPr>
        <w:t>&lt;/Amend&gt;</w:t>
      </w:r>
    </w:p>
    <w:p w14:paraId="7FD904C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101</w:t>
      </w:r>
      <w:r w:rsidRPr="00FA40C1">
        <w:rPr>
          <w:rStyle w:val="HideTWBExt"/>
          <w:b w:val="0"/>
        </w:rPr>
        <w:t>&lt;/NumAm&gt;</w:t>
      </w:r>
    </w:p>
    <w:p w14:paraId="439A3DA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0F3D3D51" w14:textId="77777777" w:rsidR="00804A7C" w:rsidRPr="00FA40C1" w:rsidRDefault="00804A7C" w:rsidP="00804A7C">
      <w:pPr>
        <w:pStyle w:val="NormalBold"/>
        <w:rPr>
          <w:color w:val="000000" w:themeColor="text1"/>
        </w:rPr>
      </w:pPr>
      <w:r w:rsidRPr="00FA40C1">
        <w:rPr>
          <w:rStyle w:val="HideTWBExt"/>
          <w:b w:val="0"/>
        </w:rPr>
        <w:t>&lt;/RepeatBlock-By&gt;</w:t>
      </w:r>
    </w:p>
    <w:p w14:paraId="3B65FEA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2E634C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483FC1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66B5FAA"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9EF1074" w14:textId="77777777" w:rsidTr="00BF4F5C">
        <w:trPr>
          <w:trHeight w:hRule="exact" w:val="240"/>
          <w:jc w:val="center"/>
        </w:trPr>
        <w:tc>
          <w:tcPr>
            <w:tcW w:w="9752" w:type="dxa"/>
            <w:gridSpan w:val="2"/>
          </w:tcPr>
          <w:p w14:paraId="5041DE04" w14:textId="77777777" w:rsidR="00804A7C" w:rsidRPr="00FA40C1" w:rsidRDefault="00804A7C" w:rsidP="00BF4F5C">
            <w:pPr>
              <w:rPr>
                <w:color w:val="000000" w:themeColor="text1"/>
              </w:rPr>
            </w:pPr>
          </w:p>
        </w:tc>
      </w:tr>
      <w:tr w:rsidR="00804A7C" w:rsidRPr="00FA40C1" w14:paraId="2B3F5A24" w14:textId="77777777" w:rsidTr="00BF4F5C">
        <w:trPr>
          <w:trHeight w:val="240"/>
          <w:jc w:val="center"/>
        </w:trPr>
        <w:tc>
          <w:tcPr>
            <w:tcW w:w="4876" w:type="dxa"/>
          </w:tcPr>
          <w:p w14:paraId="3356F32E"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9BBF8A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51FDE59" w14:textId="77777777" w:rsidTr="00BF4F5C">
        <w:trPr>
          <w:jc w:val="center"/>
        </w:trPr>
        <w:tc>
          <w:tcPr>
            <w:tcW w:w="4876" w:type="dxa"/>
          </w:tcPr>
          <w:p w14:paraId="3871DC63"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La notification visée au paragraphe 1 du présent article énonce les motifs sur lesquels elle est fondée et comporte des données et statistiques pertinentes, ainsi qu’un exposé circonstancié des premières mesures que l’État membre concerné a prises en vue de remédier à la situation. Dans sa notification, l’État membre concerné peut préciser les catégories de ressortissants du pays tiers concerné qui doivent être couvertes par un acte d’exécution adopté en vertu de l’article 8 sexies, paragraphe 1, en en indiquant les motifs précis.</w:t>
            </w:r>
          </w:p>
        </w:tc>
        <w:tc>
          <w:tcPr>
            <w:tcW w:w="4876" w:type="dxa"/>
          </w:tcPr>
          <w:p w14:paraId="03209C7B"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notification visée au paragraphe 1 du présent article énonce les motifs sur lesquels elle est fondée et comporte des données et statistiques pertinentes, ainsi qu’un exposé circonstancié des premières mesures que l’État membre concerné a prises en vue de remédier à la situation. Dans sa notification, l’État membre concerné peut préciser les catégories de ressortissants du pays tiers concerné qui doivent être couvertes par un acte d’exécution adopté en vertu de l’article 8 sexies, paragraphe 1, en en indiquant les motifs précis. </w:t>
            </w:r>
            <w:r w:rsidRPr="00FA40C1">
              <w:rPr>
                <w:b/>
                <w:i/>
                <w:color w:val="000000" w:themeColor="text1"/>
              </w:rPr>
              <w:t>Dans des circonstances exceptionnelles nécessitant d’agir immédiatement, les États membres peuvent notifier à la Commission les circonstances visées à l’article 8 bis, paragraphe 1, couvrant une période inférieure à deux mois, à condition qu’une justification détaillée de la réponse urgente nécessaire soit fournie par les États membres concernés.</w:t>
            </w:r>
          </w:p>
        </w:tc>
      </w:tr>
    </w:tbl>
    <w:p w14:paraId="02A1B0A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0021F74" w14:textId="77777777" w:rsidR="00804A7C" w:rsidRPr="00FA40C1" w:rsidRDefault="00804A7C" w:rsidP="00804A7C">
      <w:pPr>
        <w:rPr>
          <w:color w:val="000000" w:themeColor="text1"/>
        </w:rPr>
      </w:pPr>
      <w:r w:rsidRPr="00FA40C1">
        <w:rPr>
          <w:rStyle w:val="HideTWBExt"/>
        </w:rPr>
        <w:t>&lt;/Amend&gt;</w:t>
      </w:r>
    </w:p>
    <w:p w14:paraId="2A39C51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102</w:t>
      </w:r>
      <w:r w:rsidRPr="00FA40C1">
        <w:rPr>
          <w:rStyle w:val="HideTWBExt"/>
          <w:b w:val="0"/>
        </w:rPr>
        <w:t>&lt;/NumAm&gt;</w:t>
      </w:r>
    </w:p>
    <w:p w14:paraId="0549C2A5"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79BCE085" w14:textId="77777777" w:rsidR="00804A7C" w:rsidRPr="00FA40C1" w:rsidRDefault="00804A7C" w:rsidP="00804A7C">
      <w:pPr>
        <w:pStyle w:val="NormalBold"/>
        <w:rPr>
          <w:color w:val="000000" w:themeColor="text1"/>
        </w:rPr>
      </w:pPr>
      <w:r w:rsidRPr="00FA40C1">
        <w:rPr>
          <w:rStyle w:val="HideTWBExt"/>
          <w:b w:val="0"/>
        </w:rPr>
        <w:t>&lt;/RepeatBlock-By&gt;</w:t>
      </w:r>
    </w:p>
    <w:p w14:paraId="5DFE517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087311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D7345C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A48B7E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D67FE6F" w14:textId="77777777" w:rsidTr="00BF4F5C">
        <w:trPr>
          <w:trHeight w:hRule="exact" w:val="240"/>
          <w:jc w:val="center"/>
        </w:trPr>
        <w:tc>
          <w:tcPr>
            <w:tcW w:w="9752" w:type="dxa"/>
            <w:gridSpan w:val="2"/>
          </w:tcPr>
          <w:p w14:paraId="42C3678A" w14:textId="77777777" w:rsidR="00804A7C" w:rsidRPr="00FA40C1" w:rsidRDefault="00804A7C" w:rsidP="00BF4F5C">
            <w:pPr>
              <w:rPr>
                <w:color w:val="000000" w:themeColor="text1"/>
              </w:rPr>
            </w:pPr>
          </w:p>
        </w:tc>
      </w:tr>
      <w:tr w:rsidR="00804A7C" w:rsidRPr="00FA40C1" w14:paraId="46DE71A3" w14:textId="77777777" w:rsidTr="00BF4F5C">
        <w:trPr>
          <w:trHeight w:val="240"/>
          <w:jc w:val="center"/>
        </w:trPr>
        <w:tc>
          <w:tcPr>
            <w:tcW w:w="4876" w:type="dxa"/>
          </w:tcPr>
          <w:p w14:paraId="7998D85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7B070A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C06F47D" w14:textId="77777777" w:rsidTr="00BF4F5C">
        <w:trPr>
          <w:jc w:val="center"/>
        </w:trPr>
        <w:tc>
          <w:tcPr>
            <w:tcW w:w="4876" w:type="dxa"/>
          </w:tcPr>
          <w:p w14:paraId="5EBA5241"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notification visée </w:t>
            </w:r>
            <w:r w:rsidRPr="00FA40C1">
              <w:rPr>
                <w:b/>
                <w:i/>
                <w:color w:val="000000" w:themeColor="text1"/>
              </w:rPr>
              <w:t>au paragraphe</w:t>
            </w:r>
            <w:r w:rsidRPr="00FA40C1">
              <w:rPr>
                <w:color w:val="000000" w:themeColor="text1"/>
              </w:rPr>
              <w:t xml:space="preserve"> 1 du présent article énonce les motifs sur lesquels elle est fondée </w:t>
            </w:r>
            <w:r w:rsidRPr="00FA40C1">
              <w:rPr>
                <w:b/>
                <w:i/>
                <w:color w:val="000000" w:themeColor="text1"/>
              </w:rPr>
              <w:t>et</w:t>
            </w:r>
            <w:r w:rsidRPr="00FA40C1">
              <w:rPr>
                <w:color w:val="000000" w:themeColor="text1"/>
              </w:rPr>
              <w:t xml:space="preserve"> comporte des données et statistiques pertinentes, ainsi qu’un exposé circonstancié des premières mesures que l’État membre concerné a prises en vue de remédier à la situation. Dans sa notification, l’État membre concerné peut préciser les catégories de ressortissants du pays tiers concerné qui doivent être couvertes par un acte d’exécution adopté en vertu de l’article 8 sexies, paragraphe 1, en en indiquant les motifs précis.</w:t>
            </w:r>
          </w:p>
        </w:tc>
        <w:tc>
          <w:tcPr>
            <w:tcW w:w="4876" w:type="dxa"/>
          </w:tcPr>
          <w:p w14:paraId="2CF271DD"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notification visée </w:t>
            </w:r>
            <w:r w:rsidRPr="00FA40C1">
              <w:rPr>
                <w:b/>
                <w:i/>
                <w:color w:val="000000" w:themeColor="text1"/>
              </w:rPr>
              <w:t>aux paragraphes</w:t>
            </w:r>
            <w:r w:rsidRPr="00FA40C1">
              <w:rPr>
                <w:color w:val="000000" w:themeColor="text1"/>
              </w:rPr>
              <w:t> 1</w:t>
            </w:r>
            <w:r w:rsidRPr="00FA40C1">
              <w:rPr>
                <w:b/>
                <w:i/>
                <w:color w:val="000000" w:themeColor="text1"/>
              </w:rPr>
              <w:t>, 1 bis et 1 ter</w:t>
            </w:r>
            <w:r w:rsidRPr="00FA40C1">
              <w:rPr>
                <w:color w:val="000000" w:themeColor="text1"/>
              </w:rPr>
              <w:t xml:space="preserve"> du présent article énonce les motifs sur lesquels elle est fondée</w:t>
            </w:r>
            <w:r w:rsidRPr="00FA40C1">
              <w:rPr>
                <w:b/>
                <w:i/>
                <w:color w:val="000000" w:themeColor="text1"/>
              </w:rPr>
              <w:t>. Le cas échéant, la notification visée aux paragraphes 1 et 1 bis</w:t>
            </w:r>
            <w:r w:rsidRPr="00FA40C1">
              <w:rPr>
                <w:color w:val="000000" w:themeColor="text1"/>
              </w:rPr>
              <w:t xml:space="preserve"> comporte des données et statistiques pertinentes, ainsi qu’un exposé circonstancié des premières mesures que l’État membre concerné a prises en vue de remédier à la situation.</w:t>
            </w:r>
          </w:p>
        </w:tc>
      </w:tr>
      <w:tr w:rsidR="00804A7C" w:rsidRPr="00FA40C1" w14:paraId="4B83C836" w14:textId="77777777" w:rsidTr="00BF4F5C">
        <w:trPr>
          <w:jc w:val="center"/>
        </w:trPr>
        <w:tc>
          <w:tcPr>
            <w:tcW w:w="4876" w:type="dxa"/>
          </w:tcPr>
          <w:p w14:paraId="61DE4B01" w14:textId="77777777" w:rsidR="00804A7C" w:rsidRPr="00FA40C1" w:rsidRDefault="00804A7C" w:rsidP="00BF4F5C">
            <w:pPr>
              <w:pStyle w:val="Normal6a"/>
              <w:rPr>
                <w:color w:val="000000" w:themeColor="text1"/>
              </w:rPr>
            </w:pPr>
          </w:p>
        </w:tc>
        <w:tc>
          <w:tcPr>
            <w:tcW w:w="4876" w:type="dxa"/>
          </w:tcPr>
          <w:p w14:paraId="27F05F46" w14:textId="77777777" w:rsidR="00804A7C" w:rsidRPr="00FA40C1" w:rsidRDefault="00804A7C" w:rsidP="00BF4F5C">
            <w:pPr>
              <w:pStyle w:val="Normal6a"/>
              <w:rPr>
                <w:color w:val="000000" w:themeColor="text1"/>
              </w:rPr>
            </w:pPr>
            <w:r w:rsidRPr="00FA40C1">
              <w:rPr>
                <w:color w:val="000000" w:themeColor="text1"/>
              </w:rPr>
              <w:t>Dans sa notification, l’État membre concerné</w:t>
            </w:r>
            <w:r w:rsidRPr="00FA40C1">
              <w:rPr>
                <w:b/>
                <w:i/>
                <w:color w:val="000000" w:themeColor="text1"/>
              </w:rPr>
              <w:t>, ou le Parlement européen,</w:t>
            </w:r>
            <w:r w:rsidRPr="00FA40C1">
              <w:rPr>
                <w:color w:val="000000" w:themeColor="text1"/>
              </w:rPr>
              <w:t xml:space="preserve"> peut préciser les catégories de ressortissants du pays tiers concerné qui doivent être couvertes par un acte d’exécution adopté en vertu de l’article 8 sexies, paragraphe 1, en en indiquant les motifs précis.</w:t>
            </w:r>
          </w:p>
        </w:tc>
      </w:tr>
    </w:tbl>
    <w:p w14:paraId="19A499E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AB12E66" w14:textId="77777777" w:rsidR="00804A7C" w:rsidRPr="00FA40C1" w:rsidRDefault="00804A7C" w:rsidP="00804A7C">
      <w:pPr>
        <w:rPr>
          <w:color w:val="000000" w:themeColor="text1"/>
        </w:rPr>
      </w:pPr>
      <w:r w:rsidRPr="00FA40C1">
        <w:rPr>
          <w:rStyle w:val="HideTWBExt"/>
        </w:rPr>
        <w:t>&lt;/Amend&gt;</w:t>
      </w:r>
    </w:p>
    <w:p w14:paraId="2649565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103</w:t>
      </w:r>
      <w:r w:rsidRPr="00FA40C1">
        <w:rPr>
          <w:rStyle w:val="HideTWBExt"/>
          <w:b w:val="0"/>
        </w:rPr>
        <w:t>&lt;/NumAm&gt;</w:t>
      </w:r>
    </w:p>
    <w:p w14:paraId="668210B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6C8E0ED" w14:textId="77777777" w:rsidR="00804A7C" w:rsidRPr="00FA40C1" w:rsidRDefault="00804A7C" w:rsidP="00804A7C">
      <w:pPr>
        <w:pStyle w:val="NormalBold"/>
        <w:rPr>
          <w:color w:val="000000" w:themeColor="text1"/>
        </w:rPr>
      </w:pPr>
      <w:r w:rsidRPr="00FA40C1">
        <w:rPr>
          <w:rStyle w:val="HideTWBExt"/>
          <w:b w:val="0"/>
        </w:rPr>
        <w:t>&lt;/RepeatBlock-By&gt;</w:t>
      </w:r>
    </w:p>
    <w:p w14:paraId="0369BBC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A55159D"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D2ADF7B"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0CC5B6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34A57DB" w14:textId="77777777" w:rsidTr="00BF4F5C">
        <w:trPr>
          <w:trHeight w:hRule="exact" w:val="240"/>
          <w:jc w:val="center"/>
        </w:trPr>
        <w:tc>
          <w:tcPr>
            <w:tcW w:w="9752" w:type="dxa"/>
            <w:gridSpan w:val="2"/>
          </w:tcPr>
          <w:p w14:paraId="6ADB8A02" w14:textId="77777777" w:rsidR="00804A7C" w:rsidRPr="00FA40C1" w:rsidRDefault="00804A7C" w:rsidP="00BF4F5C">
            <w:pPr>
              <w:rPr>
                <w:color w:val="000000" w:themeColor="text1"/>
              </w:rPr>
            </w:pPr>
          </w:p>
        </w:tc>
      </w:tr>
      <w:tr w:rsidR="00804A7C" w:rsidRPr="00FA40C1" w14:paraId="19EB58B1" w14:textId="77777777" w:rsidTr="00BF4F5C">
        <w:trPr>
          <w:trHeight w:val="240"/>
          <w:jc w:val="center"/>
        </w:trPr>
        <w:tc>
          <w:tcPr>
            <w:tcW w:w="4876" w:type="dxa"/>
          </w:tcPr>
          <w:p w14:paraId="56191A0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C08D54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9D27F38" w14:textId="77777777" w:rsidTr="00BF4F5C">
        <w:trPr>
          <w:jc w:val="center"/>
        </w:trPr>
        <w:tc>
          <w:tcPr>
            <w:tcW w:w="4876" w:type="dxa"/>
          </w:tcPr>
          <w:p w14:paraId="74B64BD9"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notification visée au paragraphe 1 du présent article énonce les motifs sur lesquels elle est fondée et comporte des données et statistiques pertinentes, ainsi qu’un exposé circonstancié des premières mesures que l’État membre concerné a prises en vue de remédier à la situation. Dans sa notification, l’État membre concerné peut préciser les catégories de ressortissants du pays tiers concerné qui doivent être couvertes par un acte </w:t>
            </w:r>
            <w:r w:rsidRPr="00FA40C1">
              <w:rPr>
                <w:b/>
                <w:i/>
                <w:color w:val="000000" w:themeColor="text1"/>
              </w:rPr>
              <w:t>d’exécution</w:t>
            </w:r>
            <w:r w:rsidRPr="00FA40C1">
              <w:rPr>
                <w:color w:val="000000" w:themeColor="text1"/>
              </w:rPr>
              <w:t xml:space="preserve"> adopté en vertu de l’article 8 sexies, paragraphe 1, en en indiquant les motifs précis.</w:t>
            </w:r>
          </w:p>
        </w:tc>
        <w:tc>
          <w:tcPr>
            <w:tcW w:w="4876" w:type="dxa"/>
          </w:tcPr>
          <w:p w14:paraId="1088C3F6"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notification visée au paragraphe 1 du présent article énonce les motifs sur lesquels elle est fondée et comporte des données et statistiques pertinentes, ainsi qu’un exposé circonstancié des premières mesures que l’État membre concerné a prises en vue de remédier à la situation. Dans sa notification, l’État membre concerné peut préciser les catégories de ressortissants du pays tiers concerné qui doivent être couvertes par un acte </w:t>
            </w:r>
            <w:r w:rsidRPr="00FA40C1">
              <w:rPr>
                <w:b/>
                <w:i/>
                <w:color w:val="000000" w:themeColor="text1"/>
              </w:rPr>
              <w:t>délégué</w:t>
            </w:r>
            <w:r w:rsidRPr="00FA40C1">
              <w:rPr>
                <w:color w:val="000000" w:themeColor="text1"/>
              </w:rPr>
              <w:t xml:space="preserve"> adopté en vertu de l’article 8 sexies, paragraphe 1, en en indiquant les motifs précis.</w:t>
            </w:r>
          </w:p>
        </w:tc>
      </w:tr>
    </w:tbl>
    <w:p w14:paraId="4B6772C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AAB9B5A" w14:textId="77777777" w:rsidR="00804A7C" w:rsidRPr="00FA40C1" w:rsidRDefault="00804A7C" w:rsidP="00804A7C">
      <w:pPr>
        <w:rPr>
          <w:color w:val="000000" w:themeColor="text1"/>
        </w:rPr>
      </w:pPr>
      <w:r w:rsidRPr="00FA40C1">
        <w:rPr>
          <w:rStyle w:val="HideTWBExt"/>
        </w:rPr>
        <w:t>&lt;/Amend&gt;</w:t>
      </w:r>
    </w:p>
    <w:p w14:paraId="58BD2D0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104</w:t>
      </w:r>
      <w:r w:rsidRPr="00FA40C1">
        <w:rPr>
          <w:rStyle w:val="HideTWBExt"/>
          <w:b w:val="0"/>
        </w:rPr>
        <w:t>&lt;/NumAm&gt;</w:t>
      </w:r>
    </w:p>
    <w:p w14:paraId="6C76539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1270C795" w14:textId="77777777" w:rsidR="00804A7C" w:rsidRPr="00FA40C1" w:rsidRDefault="00804A7C" w:rsidP="00804A7C">
      <w:pPr>
        <w:pStyle w:val="NormalBold"/>
        <w:rPr>
          <w:color w:val="000000" w:themeColor="text1"/>
        </w:rPr>
      </w:pPr>
      <w:r w:rsidRPr="00FA40C1">
        <w:rPr>
          <w:rStyle w:val="HideTWBExt"/>
          <w:b w:val="0"/>
        </w:rPr>
        <w:t>&lt;/RepeatBlock-By&gt;</w:t>
      </w:r>
    </w:p>
    <w:p w14:paraId="0BA553C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08CD3E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5AA75D4"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776F3D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4D17102" w14:textId="77777777" w:rsidTr="00BF4F5C">
        <w:trPr>
          <w:trHeight w:hRule="exact" w:val="240"/>
          <w:jc w:val="center"/>
        </w:trPr>
        <w:tc>
          <w:tcPr>
            <w:tcW w:w="9752" w:type="dxa"/>
            <w:gridSpan w:val="2"/>
          </w:tcPr>
          <w:p w14:paraId="39769225" w14:textId="77777777" w:rsidR="00804A7C" w:rsidRPr="00FA40C1" w:rsidRDefault="00804A7C" w:rsidP="00BF4F5C">
            <w:pPr>
              <w:rPr>
                <w:color w:val="000000" w:themeColor="text1"/>
              </w:rPr>
            </w:pPr>
          </w:p>
        </w:tc>
      </w:tr>
      <w:tr w:rsidR="00804A7C" w:rsidRPr="00FA40C1" w14:paraId="4167DCAC" w14:textId="77777777" w:rsidTr="00BF4F5C">
        <w:trPr>
          <w:trHeight w:val="240"/>
          <w:jc w:val="center"/>
        </w:trPr>
        <w:tc>
          <w:tcPr>
            <w:tcW w:w="4876" w:type="dxa"/>
          </w:tcPr>
          <w:p w14:paraId="41E90BD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47897E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DF6A9D5" w14:textId="77777777" w:rsidTr="00BF4F5C">
        <w:trPr>
          <w:jc w:val="center"/>
        </w:trPr>
        <w:tc>
          <w:tcPr>
            <w:tcW w:w="4876" w:type="dxa"/>
          </w:tcPr>
          <w:p w14:paraId="488979F7"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La Commission examine toute notification qui lui est adressée en vertu </w:t>
            </w:r>
            <w:r w:rsidRPr="00FA40C1">
              <w:rPr>
                <w:b/>
                <w:i/>
                <w:color w:val="000000" w:themeColor="text1"/>
              </w:rPr>
              <w:t>du paragraphe</w:t>
            </w:r>
            <w:r w:rsidRPr="00FA40C1">
              <w:rPr>
                <w:color w:val="000000" w:themeColor="text1"/>
              </w:rPr>
              <w:t> 1 du présent article, en tenant compte des éléments suivants:</w:t>
            </w:r>
          </w:p>
        </w:tc>
        <w:tc>
          <w:tcPr>
            <w:tcW w:w="4876" w:type="dxa"/>
          </w:tcPr>
          <w:p w14:paraId="5D18DD82"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La Commission examine toute notification qui lui est adressée en vertu </w:t>
            </w:r>
            <w:r w:rsidRPr="00FA40C1">
              <w:rPr>
                <w:b/>
                <w:i/>
                <w:color w:val="000000" w:themeColor="text1"/>
              </w:rPr>
              <w:t>des paragraphes</w:t>
            </w:r>
            <w:r w:rsidRPr="00FA40C1">
              <w:rPr>
                <w:color w:val="000000" w:themeColor="text1"/>
              </w:rPr>
              <w:t> 1</w:t>
            </w:r>
            <w:r w:rsidRPr="00FA40C1">
              <w:rPr>
                <w:b/>
                <w:i/>
                <w:color w:val="000000" w:themeColor="text1"/>
              </w:rPr>
              <w:t>, 1 bis et 1 ter</w:t>
            </w:r>
            <w:r w:rsidRPr="00FA40C1">
              <w:rPr>
                <w:color w:val="000000" w:themeColor="text1"/>
              </w:rPr>
              <w:t xml:space="preserve"> du présent article, en tenant compte des éléments suivants:</w:t>
            </w:r>
          </w:p>
        </w:tc>
      </w:tr>
    </w:tbl>
    <w:p w14:paraId="1ADE0F8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407260E" w14:textId="77777777" w:rsidR="00804A7C" w:rsidRPr="00FA40C1" w:rsidRDefault="00804A7C" w:rsidP="00804A7C">
      <w:pPr>
        <w:rPr>
          <w:color w:val="000000" w:themeColor="text1"/>
        </w:rPr>
      </w:pPr>
      <w:r w:rsidRPr="00FA40C1">
        <w:rPr>
          <w:rStyle w:val="HideTWBExt"/>
        </w:rPr>
        <w:t>&lt;/Amend&gt;</w:t>
      </w:r>
    </w:p>
    <w:p w14:paraId="531B4EE8"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105</w:t>
      </w:r>
      <w:r w:rsidRPr="00FA40C1">
        <w:rPr>
          <w:rStyle w:val="HideTWBExt"/>
          <w:b w:val="0"/>
        </w:rPr>
        <w:t>&lt;/NumAm&gt;</w:t>
      </w:r>
    </w:p>
    <w:p w14:paraId="59AF0760"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w:t>
      </w:r>
      <w:r w:rsidRPr="00FA40C1">
        <w:rPr>
          <w:rStyle w:val="HideTWBExt"/>
          <w:b w:val="0"/>
        </w:rPr>
        <w:t>&lt;/Members&gt;</w:t>
      </w:r>
    </w:p>
    <w:p w14:paraId="2ABAD9B3" w14:textId="77777777" w:rsidR="00804A7C" w:rsidRPr="00FA40C1" w:rsidRDefault="00804A7C" w:rsidP="00804A7C">
      <w:pPr>
        <w:pStyle w:val="NormalBold"/>
        <w:rPr>
          <w:color w:val="000000" w:themeColor="text1"/>
        </w:rPr>
      </w:pPr>
      <w:r w:rsidRPr="00FA40C1">
        <w:rPr>
          <w:rStyle w:val="HideTWBExt"/>
          <w:b w:val="0"/>
        </w:rPr>
        <w:t>&lt;/RepeatBlock-By&gt;</w:t>
      </w:r>
    </w:p>
    <w:p w14:paraId="5D3E6A1D"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E79BC51"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F3A4AD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A55E4A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3DC5E30" w14:textId="77777777" w:rsidTr="00BF4F5C">
        <w:trPr>
          <w:trHeight w:hRule="exact" w:val="240"/>
          <w:jc w:val="center"/>
        </w:trPr>
        <w:tc>
          <w:tcPr>
            <w:tcW w:w="9752" w:type="dxa"/>
            <w:gridSpan w:val="2"/>
          </w:tcPr>
          <w:p w14:paraId="2C31F6F8" w14:textId="77777777" w:rsidR="00804A7C" w:rsidRPr="00FA40C1" w:rsidRDefault="00804A7C" w:rsidP="00BF4F5C">
            <w:pPr>
              <w:rPr>
                <w:color w:val="000000" w:themeColor="text1"/>
              </w:rPr>
            </w:pPr>
          </w:p>
        </w:tc>
      </w:tr>
      <w:tr w:rsidR="00804A7C" w:rsidRPr="00FA40C1" w14:paraId="2D133322" w14:textId="77777777" w:rsidTr="00BF4F5C">
        <w:trPr>
          <w:trHeight w:val="240"/>
          <w:jc w:val="center"/>
        </w:trPr>
        <w:tc>
          <w:tcPr>
            <w:tcW w:w="4876" w:type="dxa"/>
          </w:tcPr>
          <w:p w14:paraId="081625F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4BB35F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70840DC" w14:textId="77777777" w:rsidTr="00BF4F5C">
        <w:trPr>
          <w:jc w:val="center"/>
        </w:trPr>
        <w:tc>
          <w:tcPr>
            <w:tcW w:w="4876" w:type="dxa"/>
          </w:tcPr>
          <w:p w14:paraId="549D5B5E"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w:t>
            </w:r>
            <w:r w:rsidRPr="00FA40C1">
              <w:rPr>
                <w:b/>
                <w:i/>
                <w:color w:val="000000" w:themeColor="text1"/>
              </w:rPr>
              <w:t>, points a), b), c) ou d) i)</w:t>
            </w:r>
            <w:r w:rsidRPr="00FA40C1">
              <w:rPr>
                <w:color w:val="000000" w:themeColor="text1"/>
              </w:rPr>
              <w:t>;</w:t>
            </w:r>
          </w:p>
        </w:tc>
        <w:tc>
          <w:tcPr>
            <w:tcW w:w="4876" w:type="dxa"/>
          </w:tcPr>
          <w:p w14:paraId="33C711F2"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w:t>
            </w:r>
          </w:p>
        </w:tc>
      </w:tr>
    </w:tbl>
    <w:p w14:paraId="12AD30D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93821FE" w14:textId="77777777" w:rsidR="00804A7C" w:rsidRPr="00FA40C1" w:rsidRDefault="00804A7C" w:rsidP="00804A7C">
      <w:pPr>
        <w:rPr>
          <w:color w:val="000000" w:themeColor="text1"/>
        </w:rPr>
      </w:pPr>
      <w:r w:rsidRPr="00FA40C1">
        <w:rPr>
          <w:rStyle w:val="HideTWBExt"/>
        </w:rPr>
        <w:t>&lt;/Amend&gt;</w:t>
      </w:r>
    </w:p>
    <w:p w14:paraId="59E4ED3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106</w:t>
      </w:r>
      <w:r w:rsidRPr="00FA40C1">
        <w:rPr>
          <w:rStyle w:val="HideTWBExt"/>
          <w:b w:val="0"/>
        </w:rPr>
        <w:t>&lt;/NumAm&gt;</w:t>
      </w:r>
    </w:p>
    <w:p w14:paraId="3E6C7559"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Matjaž Nemec</w:t>
      </w:r>
      <w:r w:rsidRPr="00FA40C1">
        <w:rPr>
          <w:rStyle w:val="HideTWBExt"/>
          <w:b w:val="0"/>
        </w:rPr>
        <w:t>&lt;/Members&gt;</w:t>
      </w:r>
    </w:p>
    <w:p w14:paraId="61DEBD88" w14:textId="77777777" w:rsidR="00804A7C" w:rsidRPr="00FA40C1" w:rsidRDefault="00804A7C" w:rsidP="00804A7C">
      <w:pPr>
        <w:pStyle w:val="NormalBold"/>
        <w:rPr>
          <w:color w:val="000000" w:themeColor="text1"/>
        </w:rPr>
      </w:pPr>
      <w:r w:rsidRPr="00FA40C1">
        <w:rPr>
          <w:rStyle w:val="HideTWBExt"/>
          <w:b w:val="0"/>
        </w:rPr>
        <w:t>&lt;/RepeatBlock-By&gt;</w:t>
      </w:r>
    </w:p>
    <w:p w14:paraId="391A015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5B1646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164C2E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196778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AC1EF08" w14:textId="77777777" w:rsidTr="00BF4F5C">
        <w:trPr>
          <w:trHeight w:hRule="exact" w:val="240"/>
          <w:jc w:val="center"/>
        </w:trPr>
        <w:tc>
          <w:tcPr>
            <w:tcW w:w="9752" w:type="dxa"/>
            <w:gridSpan w:val="2"/>
          </w:tcPr>
          <w:p w14:paraId="44736A4D" w14:textId="77777777" w:rsidR="00804A7C" w:rsidRPr="00FA40C1" w:rsidRDefault="00804A7C" w:rsidP="00BF4F5C">
            <w:pPr>
              <w:rPr>
                <w:color w:val="000000" w:themeColor="text1"/>
              </w:rPr>
            </w:pPr>
          </w:p>
        </w:tc>
      </w:tr>
      <w:tr w:rsidR="00804A7C" w:rsidRPr="00FA40C1" w14:paraId="179BC19B" w14:textId="77777777" w:rsidTr="00BF4F5C">
        <w:trPr>
          <w:trHeight w:val="240"/>
          <w:jc w:val="center"/>
        </w:trPr>
        <w:tc>
          <w:tcPr>
            <w:tcW w:w="4876" w:type="dxa"/>
          </w:tcPr>
          <w:p w14:paraId="1CFBBE5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0C16DB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D3D08BF" w14:textId="77777777" w:rsidTr="00BF4F5C">
        <w:trPr>
          <w:jc w:val="center"/>
        </w:trPr>
        <w:tc>
          <w:tcPr>
            <w:tcW w:w="4876" w:type="dxa"/>
          </w:tcPr>
          <w:p w14:paraId="4D5F17E6"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w:t>
            </w:r>
            <w:r w:rsidRPr="00FA40C1">
              <w:rPr>
                <w:b/>
                <w:i/>
                <w:color w:val="000000" w:themeColor="text1"/>
              </w:rPr>
              <w:t>, points a), b), c) ou d) i)</w:t>
            </w:r>
            <w:r w:rsidRPr="00FA40C1">
              <w:rPr>
                <w:color w:val="000000" w:themeColor="text1"/>
              </w:rPr>
              <w:t>;</w:t>
            </w:r>
          </w:p>
        </w:tc>
        <w:tc>
          <w:tcPr>
            <w:tcW w:w="4876" w:type="dxa"/>
          </w:tcPr>
          <w:p w14:paraId="5424A78F"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w:t>
            </w:r>
          </w:p>
        </w:tc>
      </w:tr>
    </w:tbl>
    <w:p w14:paraId="49853B2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73B8171" w14:textId="77777777" w:rsidR="00804A7C" w:rsidRPr="00FA40C1" w:rsidRDefault="00804A7C" w:rsidP="00804A7C">
      <w:pPr>
        <w:rPr>
          <w:color w:val="000000" w:themeColor="text1"/>
        </w:rPr>
      </w:pPr>
      <w:r w:rsidRPr="00FA40C1">
        <w:rPr>
          <w:rStyle w:val="HideTWBExt"/>
        </w:rPr>
        <w:t>&lt;/Amend&gt;</w:t>
      </w:r>
    </w:p>
    <w:p w14:paraId="05A1A3F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107</w:t>
      </w:r>
      <w:r w:rsidRPr="00FA40C1">
        <w:rPr>
          <w:rStyle w:val="HideTWBExt"/>
          <w:b w:val="0"/>
        </w:rPr>
        <w:t>&lt;/NumAm&gt;</w:t>
      </w:r>
    </w:p>
    <w:p w14:paraId="251B18B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1B90C961" w14:textId="77777777" w:rsidR="00804A7C" w:rsidRPr="00FA40C1" w:rsidRDefault="00804A7C" w:rsidP="00804A7C">
      <w:pPr>
        <w:pStyle w:val="NormalBold"/>
        <w:rPr>
          <w:color w:val="000000" w:themeColor="text1"/>
        </w:rPr>
      </w:pPr>
      <w:r w:rsidRPr="00FA40C1">
        <w:rPr>
          <w:rStyle w:val="HideTWBExt"/>
          <w:b w:val="0"/>
        </w:rPr>
        <w:t>&lt;/RepeatBlock-By&gt;</w:t>
      </w:r>
    </w:p>
    <w:p w14:paraId="1C8A42F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F38B8F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E1C48B3"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E1DCFC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E56749E" w14:textId="77777777" w:rsidTr="00BF4F5C">
        <w:trPr>
          <w:trHeight w:hRule="exact" w:val="240"/>
          <w:jc w:val="center"/>
        </w:trPr>
        <w:tc>
          <w:tcPr>
            <w:tcW w:w="9752" w:type="dxa"/>
            <w:gridSpan w:val="2"/>
          </w:tcPr>
          <w:p w14:paraId="38B8A31D" w14:textId="77777777" w:rsidR="00804A7C" w:rsidRPr="00FA40C1" w:rsidRDefault="00804A7C" w:rsidP="00BF4F5C">
            <w:pPr>
              <w:rPr>
                <w:color w:val="000000" w:themeColor="text1"/>
              </w:rPr>
            </w:pPr>
          </w:p>
        </w:tc>
      </w:tr>
      <w:tr w:rsidR="00804A7C" w:rsidRPr="00FA40C1" w14:paraId="390748F7" w14:textId="77777777" w:rsidTr="00BF4F5C">
        <w:trPr>
          <w:trHeight w:val="240"/>
          <w:jc w:val="center"/>
        </w:trPr>
        <w:tc>
          <w:tcPr>
            <w:tcW w:w="4876" w:type="dxa"/>
          </w:tcPr>
          <w:p w14:paraId="75C4862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F5B34D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83639FE" w14:textId="77777777" w:rsidTr="00BF4F5C">
        <w:trPr>
          <w:jc w:val="center"/>
        </w:trPr>
        <w:tc>
          <w:tcPr>
            <w:tcW w:w="4876" w:type="dxa"/>
          </w:tcPr>
          <w:p w14:paraId="6787074A"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 points a), b), c) ou d) </w:t>
            </w:r>
            <w:r w:rsidRPr="00FA40C1">
              <w:rPr>
                <w:b/>
                <w:i/>
                <w:color w:val="000000" w:themeColor="text1"/>
              </w:rPr>
              <w:t>i)</w:t>
            </w:r>
            <w:r w:rsidRPr="00FA40C1">
              <w:rPr>
                <w:color w:val="000000" w:themeColor="text1"/>
              </w:rPr>
              <w:t>;</w:t>
            </w:r>
          </w:p>
        </w:tc>
        <w:tc>
          <w:tcPr>
            <w:tcW w:w="4876" w:type="dxa"/>
          </w:tcPr>
          <w:p w14:paraId="422FA0BD"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 points a), b), c) ou d);</w:t>
            </w:r>
          </w:p>
        </w:tc>
      </w:tr>
    </w:tbl>
    <w:p w14:paraId="135B9C1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C80F261" w14:textId="77777777" w:rsidR="00804A7C" w:rsidRPr="00FA40C1" w:rsidRDefault="00804A7C" w:rsidP="00804A7C">
      <w:pPr>
        <w:rPr>
          <w:color w:val="000000" w:themeColor="text1"/>
        </w:rPr>
      </w:pPr>
      <w:r w:rsidRPr="00FA40C1">
        <w:rPr>
          <w:rStyle w:val="HideTWBExt"/>
        </w:rPr>
        <w:t>&lt;/Amend&gt;</w:t>
      </w:r>
    </w:p>
    <w:p w14:paraId="53981AD7"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108</w:t>
      </w:r>
      <w:r w:rsidRPr="00FA40C1">
        <w:rPr>
          <w:rStyle w:val="HideTWBExt"/>
          <w:b w:val="0"/>
        </w:rPr>
        <w:t>&lt;/NumAm&gt;</w:t>
      </w:r>
    </w:p>
    <w:p w14:paraId="0D4A97B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01AB8A73" w14:textId="77777777" w:rsidR="00804A7C" w:rsidRPr="00FA40C1" w:rsidRDefault="00804A7C" w:rsidP="00804A7C">
      <w:pPr>
        <w:pStyle w:val="NormalBold"/>
        <w:rPr>
          <w:color w:val="000000" w:themeColor="text1"/>
        </w:rPr>
      </w:pPr>
      <w:r w:rsidRPr="00FA40C1">
        <w:rPr>
          <w:rStyle w:val="HideTWBExt"/>
          <w:b w:val="0"/>
        </w:rPr>
        <w:t>&lt;/RepeatBlock-By&gt;</w:t>
      </w:r>
    </w:p>
    <w:p w14:paraId="2CEB0305"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EDF94D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25E95AF"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1A14BA4"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a</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7761015" w14:textId="77777777" w:rsidTr="00BF4F5C">
        <w:trPr>
          <w:trHeight w:hRule="exact" w:val="240"/>
          <w:jc w:val="center"/>
        </w:trPr>
        <w:tc>
          <w:tcPr>
            <w:tcW w:w="9752" w:type="dxa"/>
            <w:gridSpan w:val="2"/>
          </w:tcPr>
          <w:p w14:paraId="13DFB02B" w14:textId="77777777" w:rsidR="00804A7C" w:rsidRPr="00FA40C1" w:rsidRDefault="00804A7C" w:rsidP="00BF4F5C">
            <w:pPr>
              <w:rPr>
                <w:color w:val="000000" w:themeColor="text1"/>
              </w:rPr>
            </w:pPr>
          </w:p>
        </w:tc>
      </w:tr>
      <w:tr w:rsidR="00804A7C" w:rsidRPr="00FA40C1" w14:paraId="6E992F80" w14:textId="77777777" w:rsidTr="00BF4F5C">
        <w:trPr>
          <w:trHeight w:val="240"/>
          <w:jc w:val="center"/>
        </w:trPr>
        <w:tc>
          <w:tcPr>
            <w:tcW w:w="4876" w:type="dxa"/>
          </w:tcPr>
          <w:p w14:paraId="57539A6B"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57DBD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30E1D58" w14:textId="77777777" w:rsidTr="00BF4F5C">
        <w:trPr>
          <w:jc w:val="center"/>
        </w:trPr>
        <w:tc>
          <w:tcPr>
            <w:tcW w:w="4876" w:type="dxa"/>
          </w:tcPr>
          <w:p w14:paraId="05C03964"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 points a), b)</w:t>
            </w:r>
            <w:r w:rsidRPr="00FA40C1">
              <w:rPr>
                <w:b/>
                <w:i/>
                <w:color w:val="000000" w:themeColor="text1"/>
              </w:rPr>
              <w:t>, c)</w:t>
            </w:r>
            <w:r w:rsidRPr="00FA40C1">
              <w:rPr>
                <w:color w:val="000000" w:themeColor="text1"/>
              </w:rPr>
              <w:t xml:space="preserve"> ou d) i);</w:t>
            </w:r>
          </w:p>
        </w:tc>
        <w:tc>
          <w:tcPr>
            <w:tcW w:w="4876" w:type="dxa"/>
          </w:tcPr>
          <w:p w14:paraId="3A66566B" w14:textId="77777777" w:rsidR="00804A7C" w:rsidRPr="00FA40C1" w:rsidRDefault="00804A7C" w:rsidP="00BF4F5C">
            <w:pPr>
              <w:pStyle w:val="Normal6a"/>
              <w:rPr>
                <w:color w:val="000000" w:themeColor="text1"/>
              </w:rPr>
            </w:pPr>
            <w:r w:rsidRPr="00FA40C1">
              <w:rPr>
                <w:color w:val="000000" w:themeColor="text1"/>
              </w:rPr>
              <w:t>a)</w:t>
            </w:r>
            <w:r w:rsidRPr="00FA40C1">
              <w:rPr>
                <w:color w:val="000000" w:themeColor="text1"/>
              </w:rPr>
              <w:tab/>
              <w:t>l’existence ou non de l’une des circonstances constituant les motifs mentionnés à l’article 8 bis, paragraphe 1, points a), b) ou d) i);</w:t>
            </w:r>
          </w:p>
        </w:tc>
      </w:tr>
    </w:tbl>
    <w:p w14:paraId="4F885D9C"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D7BFCB2" w14:textId="77777777" w:rsidR="00804A7C" w:rsidRPr="00FA40C1" w:rsidRDefault="00804A7C" w:rsidP="00804A7C">
      <w:pPr>
        <w:rPr>
          <w:color w:val="000000" w:themeColor="text1"/>
        </w:rPr>
      </w:pPr>
      <w:r w:rsidRPr="00FA40C1">
        <w:rPr>
          <w:rStyle w:val="HideTWBExt"/>
        </w:rPr>
        <w:t>&lt;/Amend&gt;</w:t>
      </w:r>
    </w:p>
    <w:p w14:paraId="00C3B05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109</w:t>
      </w:r>
      <w:r w:rsidRPr="00FA40C1">
        <w:rPr>
          <w:rStyle w:val="HideTWBExt"/>
          <w:b w:val="0"/>
        </w:rPr>
        <w:t>&lt;/NumAm&gt;</w:t>
      </w:r>
    </w:p>
    <w:p w14:paraId="6E4FFFD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0E16FB4F" w14:textId="77777777" w:rsidR="00804A7C" w:rsidRPr="00FA40C1" w:rsidRDefault="00804A7C" w:rsidP="00804A7C">
      <w:pPr>
        <w:pStyle w:val="NormalBold"/>
        <w:rPr>
          <w:color w:val="000000" w:themeColor="text1"/>
        </w:rPr>
      </w:pPr>
      <w:r w:rsidRPr="00FA40C1">
        <w:rPr>
          <w:rStyle w:val="HideTWBExt"/>
          <w:b w:val="0"/>
        </w:rPr>
        <w:t>&lt;/RepeatBlock-By&gt;</w:t>
      </w:r>
    </w:p>
    <w:p w14:paraId="22B3ABB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1CE5C4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4B7B5E3"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6C99CF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f</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B6A6481" w14:textId="77777777" w:rsidTr="00BF4F5C">
        <w:trPr>
          <w:trHeight w:hRule="exact" w:val="240"/>
          <w:jc w:val="center"/>
        </w:trPr>
        <w:tc>
          <w:tcPr>
            <w:tcW w:w="9752" w:type="dxa"/>
            <w:gridSpan w:val="2"/>
          </w:tcPr>
          <w:p w14:paraId="0F982905" w14:textId="77777777" w:rsidR="00804A7C" w:rsidRPr="00FA40C1" w:rsidRDefault="00804A7C" w:rsidP="00BF4F5C">
            <w:pPr>
              <w:rPr>
                <w:color w:val="000000" w:themeColor="text1"/>
              </w:rPr>
            </w:pPr>
          </w:p>
        </w:tc>
      </w:tr>
      <w:tr w:rsidR="00804A7C" w:rsidRPr="00FA40C1" w14:paraId="17A39E1E" w14:textId="77777777" w:rsidTr="00BF4F5C">
        <w:trPr>
          <w:trHeight w:val="240"/>
          <w:jc w:val="center"/>
        </w:trPr>
        <w:tc>
          <w:tcPr>
            <w:tcW w:w="4876" w:type="dxa"/>
          </w:tcPr>
          <w:p w14:paraId="1B9E91D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D4DAAF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21FF0D3" w14:textId="77777777" w:rsidTr="00BF4F5C">
        <w:trPr>
          <w:jc w:val="center"/>
        </w:trPr>
        <w:tc>
          <w:tcPr>
            <w:tcW w:w="4876" w:type="dxa"/>
          </w:tcPr>
          <w:p w14:paraId="7AF5B212" w14:textId="77777777" w:rsidR="00804A7C" w:rsidRPr="00FA40C1" w:rsidRDefault="00804A7C" w:rsidP="00BF4F5C">
            <w:pPr>
              <w:pStyle w:val="Normal6a"/>
              <w:rPr>
                <w:color w:val="000000" w:themeColor="text1"/>
              </w:rPr>
            </w:pPr>
            <w:r w:rsidRPr="00FA40C1">
              <w:rPr>
                <w:color w:val="000000" w:themeColor="text1"/>
              </w:rPr>
              <w:t>f)</w:t>
            </w:r>
            <w:r w:rsidRPr="00FA40C1">
              <w:rPr>
                <w:color w:val="000000" w:themeColor="text1"/>
              </w:rPr>
              <w:tab/>
              <w:t xml:space="preserve">la question générale de l’ordre public </w:t>
            </w:r>
            <w:r w:rsidRPr="00FA40C1">
              <w:rPr>
                <w:b/>
                <w:i/>
                <w:color w:val="000000" w:themeColor="text1"/>
              </w:rPr>
              <w:t>et de la sécurité intérieure,</w:t>
            </w:r>
            <w:r w:rsidRPr="00FA40C1">
              <w:rPr>
                <w:color w:val="000000" w:themeColor="text1"/>
              </w:rPr>
              <w:t xml:space="preserve"> en concertation avec l’État membre concerné.</w:t>
            </w:r>
          </w:p>
        </w:tc>
        <w:tc>
          <w:tcPr>
            <w:tcW w:w="4876" w:type="dxa"/>
          </w:tcPr>
          <w:p w14:paraId="3EBD6030" w14:textId="77777777" w:rsidR="00804A7C" w:rsidRPr="00FA40C1" w:rsidRDefault="00804A7C" w:rsidP="00BF4F5C">
            <w:pPr>
              <w:pStyle w:val="Normal6a"/>
              <w:rPr>
                <w:color w:val="000000" w:themeColor="text1"/>
              </w:rPr>
            </w:pPr>
            <w:r w:rsidRPr="00FA40C1">
              <w:rPr>
                <w:color w:val="000000" w:themeColor="text1"/>
              </w:rPr>
              <w:t>f)</w:t>
            </w:r>
            <w:r w:rsidRPr="00FA40C1">
              <w:rPr>
                <w:color w:val="000000" w:themeColor="text1"/>
              </w:rPr>
              <w:tab/>
              <w:t>la question générale de l’ordre public en concertation avec l’État membre concerné.</w:t>
            </w:r>
          </w:p>
        </w:tc>
      </w:tr>
    </w:tbl>
    <w:p w14:paraId="1E668AE6"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EEB4E88" w14:textId="77777777" w:rsidR="00804A7C" w:rsidRPr="00FA40C1" w:rsidRDefault="00804A7C" w:rsidP="00804A7C">
      <w:pPr>
        <w:rPr>
          <w:color w:val="000000" w:themeColor="text1"/>
        </w:rPr>
      </w:pPr>
      <w:r w:rsidRPr="00FA40C1">
        <w:rPr>
          <w:rStyle w:val="HideTWBExt"/>
        </w:rPr>
        <w:t>&lt;/Amend&gt;</w:t>
      </w:r>
    </w:p>
    <w:p w14:paraId="7113F1F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110</w:t>
      </w:r>
      <w:r w:rsidRPr="00FA40C1">
        <w:rPr>
          <w:rStyle w:val="HideTWBExt"/>
          <w:b w:val="0"/>
        </w:rPr>
        <w:t>&lt;/NumAm&gt;</w:t>
      </w:r>
    </w:p>
    <w:p w14:paraId="2537662E"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5957C282" w14:textId="77777777" w:rsidR="00804A7C" w:rsidRPr="00FA40C1" w:rsidRDefault="00804A7C" w:rsidP="00804A7C">
      <w:pPr>
        <w:pStyle w:val="NormalBold"/>
        <w:rPr>
          <w:color w:val="000000" w:themeColor="text1"/>
        </w:rPr>
      </w:pPr>
      <w:r w:rsidRPr="00FA40C1">
        <w:rPr>
          <w:rStyle w:val="HideTWBExt"/>
          <w:b w:val="0"/>
        </w:rPr>
        <w:t>&lt;/RepeatBlock-By&gt;</w:t>
      </w:r>
    </w:p>
    <w:p w14:paraId="16CDE03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31FD33B"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26F7672F"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C3E4D83"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 point f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C89D140" w14:textId="77777777" w:rsidTr="00BF4F5C">
        <w:trPr>
          <w:trHeight w:hRule="exact" w:val="240"/>
          <w:jc w:val="center"/>
        </w:trPr>
        <w:tc>
          <w:tcPr>
            <w:tcW w:w="9752" w:type="dxa"/>
            <w:gridSpan w:val="2"/>
          </w:tcPr>
          <w:p w14:paraId="7D3099D1" w14:textId="77777777" w:rsidR="00804A7C" w:rsidRPr="00FA40C1" w:rsidRDefault="00804A7C" w:rsidP="00BF4F5C">
            <w:pPr>
              <w:rPr>
                <w:color w:val="000000" w:themeColor="text1"/>
              </w:rPr>
            </w:pPr>
          </w:p>
        </w:tc>
      </w:tr>
      <w:tr w:rsidR="00804A7C" w:rsidRPr="00FA40C1" w14:paraId="48DE75ED" w14:textId="77777777" w:rsidTr="00BF4F5C">
        <w:trPr>
          <w:trHeight w:val="240"/>
          <w:jc w:val="center"/>
        </w:trPr>
        <w:tc>
          <w:tcPr>
            <w:tcW w:w="4876" w:type="dxa"/>
          </w:tcPr>
          <w:p w14:paraId="5E2D547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C0F7A9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5F58045" w14:textId="77777777" w:rsidTr="00BF4F5C">
        <w:trPr>
          <w:jc w:val="center"/>
        </w:trPr>
        <w:tc>
          <w:tcPr>
            <w:tcW w:w="4876" w:type="dxa"/>
          </w:tcPr>
          <w:p w14:paraId="195EF019" w14:textId="77777777" w:rsidR="00804A7C" w:rsidRPr="00FA40C1" w:rsidRDefault="00804A7C" w:rsidP="00BF4F5C">
            <w:pPr>
              <w:pStyle w:val="Normal6a"/>
              <w:rPr>
                <w:color w:val="000000" w:themeColor="text1"/>
              </w:rPr>
            </w:pPr>
          </w:p>
        </w:tc>
        <w:tc>
          <w:tcPr>
            <w:tcW w:w="4876" w:type="dxa"/>
          </w:tcPr>
          <w:p w14:paraId="6A2DB13E" w14:textId="77777777" w:rsidR="00804A7C" w:rsidRPr="00FA40C1" w:rsidRDefault="00804A7C" w:rsidP="00BF4F5C">
            <w:pPr>
              <w:pStyle w:val="Normal6a"/>
              <w:rPr>
                <w:color w:val="000000" w:themeColor="text1"/>
              </w:rPr>
            </w:pPr>
            <w:r w:rsidRPr="00FA40C1">
              <w:rPr>
                <w:b/>
                <w:i/>
                <w:color w:val="000000" w:themeColor="text1"/>
              </w:rPr>
              <w:t>f bis)</w:t>
            </w:r>
            <w:r w:rsidRPr="00FA40C1">
              <w:rPr>
                <w:color w:val="000000" w:themeColor="text1"/>
              </w:rPr>
              <w:tab/>
            </w:r>
            <w:r w:rsidRPr="00FA40C1">
              <w:rPr>
                <w:b/>
                <w:i/>
                <w:color w:val="000000" w:themeColor="text1"/>
              </w:rPr>
              <w:t>l’incidence sur la réciprocité en matière de visa.</w:t>
            </w:r>
          </w:p>
        </w:tc>
      </w:tr>
    </w:tbl>
    <w:p w14:paraId="6646D4B8"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65B8836" w14:textId="77777777" w:rsidR="00804A7C" w:rsidRPr="00FA40C1" w:rsidRDefault="00804A7C" w:rsidP="00804A7C">
      <w:pPr>
        <w:rPr>
          <w:color w:val="000000" w:themeColor="text1"/>
        </w:rPr>
      </w:pPr>
      <w:r w:rsidRPr="00FA40C1">
        <w:rPr>
          <w:rStyle w:val="HideTWBExt"/>
        </w:rPr>
        <w:t>&lt;/Amend&gt;</w:t>
      </w:r>
    </w:p>
    <w:p w14:paraId="16C6ABF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111</w:t>
      </w:r>
      <w:r w:rsidRPr="00FA40C1">
        <w:rPr>
          <w:rStyle w:val="HideTWBExt"/>
          <w:b w:val="0"/>
        </w:rPr>
        <w:t>&lt;/NumAm&gt;</w:t>
      </w:r>
    </w:p>
    <w:p w14:paraId="5EBF679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FF6BFCF" w14:textId="77777777" w:rsidR="00804A7C" w:rsidRPr="00FA40C1" w:rsidRDefault="00804A7C" w:rsidP="00804A7C">
      <w:pPr>
        <w:pStyle w:val="NormalBold"/>
        <w:rPr>
          <w:color w:val="000000" w:themeColor="text1"/>
        </w:rPr>
      </w:pPr>
      <w:r w:rsidRPr="00FA40C1">
        <w:rPr>
          <w:rStyle w:val="HideTWBExt"/>
          <w:b w:val="0"/>
        </w:rPr>
        <w:t>&lt;/RepeatBlock-By&gt;</w:t>
      </w:r>
    </w:p>
    <w:p w14:paraId="682956D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4F6676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BEAA633"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3F6D80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4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A86EFA0" w14:textId="77777777" w:rsidTr="00BF4F5C">
        <w:trPr>
          <w:trHeight w:hRule="exact" w:val="240"/>
          <w:jc w:val="center"/>
        </w:trPr>
        <w:tc>
          <w:tcPr>
            <w:tcW w:w="9752" w:type="dxa"/>
            <w:gridSpan w:val="2"/>
          </w:tcPr>
          <w:p w14:paraId="2FCB6FA6" w14:textId="77777777" w:rsidR="00804A7C" w:rsidRPr="00FA40C1" w:rsidRDefault="00804A7C" w:rsidP="00BF4F5C">
            <w:pPr>
              <w:rPr>
                <w:color w:val="000000" w:themeColor="text1"/>
              </w:rPr>
            </w:pPr>
          </w:p>
        </w:tc>
      </w:tr>
      <w:tr w:rsidR="00804A7C" w:rsidRPr="00FA40C1" w14:paraId="2B20F56F" w14:textId="77777777" w:rsidTr="00BF4F5C">
        <w:trPr>
          <w:trHeight w:val="240"/>
          <w:jc w:val="center"/>
        </w:trPr>
        <w:tc>
          <w:tcPr>
            <w:tcW w:w="4876" w:type="dxa"/>
          </w:tcPr>
          <w:p w14:paraId="15A38912"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CE370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FFAA400" w14:textId="77777777" w:rsidTr="00BF4F5C">
        <w:trPr>
          <w:jc w:val="center"/>
        </w:trPr>
        <w:tc>
          <w:tcPr>
            <w:tcW w:w="4876" w:type="dxa"/>
          </w:tcPr>
          <w:p w14:paraId="2A747586" w14:textId="77777777" w:rsidR="00804A7C" w:rsidRPr="00FA40C1" w:rsidRDefault="00804A7C" w:rsidP="00BF4F5C">
            <w:pPr>
              <w:pStyle w:val="Normal6a"/>
              <w:rPr>
                <w:color w:val="000000" w:themeColor="text1"/>
              </w:rPr>
            </w:pPr>
          </w:p>
        </w:tc>
        <w:tc>
          <w:tcPr>
            <w:tcW w:w="4876" w:type="dxa"/>
          </w:tcPr>
          <w:p w14:paraId="50CD531F" w14:textId="77777777" w:rsidR="00804A7C" w:rsidRPr="00FA40C1" w:rsidRDefault="00804A7C" w:rsidP="00BF4F5C">
            <w:pPr>
              <w:pStyle w:val="Normal6a"/>
              <w:rPr>
                <w:color w:val="000000" w:themeColor="text1"/>
              </w:rPr>
            </w:pPr>
            <w:r w:rsidRPr="00FA40C1">
              <w:rPr>
                <w:b/>
                <w:i/>
                <w:color w:val="000000" w:themeColor="text1"/>
              </w:rPr>
              <w:t>4 bis.</w:t>
            </w:r>
            <w:r w:rsidRPr="00FA40C1">
              <w:rPr>
                <w:color w:val="000000" w:themeColor="text1"/>
              </w:rPr>
              <w:tab/>
            </w:r>
            <w:r w:rsidRPr="00FA40C1">
              <w:rPr>
                <w:b/>
                <w:i/>
                <w:color w:val="000000" w:themeColor="text1"/>
              </w:rPr>
              <w:t>La Commission évalue également la nécessité, la proportionnalité et les conséquences d’une suspension de l’exemption de l’obligation de visa, en tenant notamment compte des éléments suivants:</w:t>
            </w:r>
          </w:p>
        </w:tc>
      </w:tr>
      <w:tr w:rsidR="00804A7C" w:rsidRPr="00FA40C1" w14:paraId="1AF1C440" w14:textId="77777777" w:rsidTr="00BF4F5C">
        <w:trPr>
          <w:jc w:val="center"/>
        </w:trPr>
        <w:tc>
          <w:tcPr>
            <w:tcW w:w="4876" w:type="dxa"/>
          </w:tcPr>
          <w:p w14:paraId="7D7288BC" w14:textId="77777777" w:rsidR="00804A7C" w:rsidRPr="00FA40C1" w:rsidRDefault="00804A7C" w:rsidP="00BF4F5C">
            <w:pPr>
              <w:pStyle w:val="Normal6a"/>
              <w:rPr>
                <w:color w:val="000000" w:themeColor="text1"/>
              </w:rPr>
            </w:pPr>
          </w:p>
        </w:tc>
        <w:tc>
          <w:tcPr>
            <w:tcW w:w="4876" w:type="dxa"/>
          </w:tcPr>
          <w:p w14:paraId="2DF49480" w14:textId="77777777" w:rsidR="00804A7C" w:rsidRPr="00FA40C1" w:rsidRDefault="00804A7C" w:rsidP="00BF4F5C">
            <w:pPr>
              <w:pStyle w:val="Normal6a"/>
              <w:rPr>
                <w:color w:val="000000" w:themeColor="text1"/>
              </w:rPr>
            </w:pPr>
            <w:r w:rsidRPr="00FA40C1">
              <w:rPr>
                <w:b/>
                <w:i/>
                <w:color w:val="000000" w:themeColor="text1"/>
              </w:rPr>
              <w:t>a) les relations extérieures globales de l’Union et de ses États membres avec le pays tiers concerné;</w:t>
            </w:r>
          </w:p>
        </w:tc>
      </w:tr>
      <w:tr w:rsidR="00804A7C" w:rsidRPr="00FA40C1" w14:paraId="600D5B66" w14:textId="77777777" w:rsidTr="00BF4F5C">
        <w:trPr>
          <w:jc w:val="center"/>
        </w:trPr>
        <w:tc>
          <w:tcPr>
            <w:tcW w:w="4876" w:type="dxa"/>
          </w:tcPr>
          <w:p w14:paraId="4802853F" w14:textId="77777777" w:rsidR="00804A7C" w:rsidRPr="00FA40C1" w:rsidRDefault="00804A7C" w:rsidP="00BF4F5C">
            <w:pPr>
              <w:pStyle w:val="Normal6a"/>
              <w:rPr>
                <w:color w:val="000000" w:themeColor="text1"/>
              </w:rPr>
            </w:pPr>
          </w:p>
        </w:tc>
        <w:tc>
          <w:tcPr>
            <w:tcW w:w="4876" w:type="dxa"/>
          </w:tcPr>
          <w:p w14:paraId="23BE8BFE" w14:textId="77777777" w:rsidR="00804A7C" w:rsidRPr="00FA40C1" w:rsidRDefault="00804A7C" w:rsidP="00BF4F5C">
            <w:pPr>
              <w:pStyle w:val="Normal6a"/>
              <w:rPr>
                <w:color w:val="000000" w:themeColor="text1"/>
              </w:rPr>
            </w:pPr>
            <w:r w:rsidRPr="00FA40C1">
              <w:rPr>
                <w:b/>
                <w:i/>
                <w:color w:val="000000" w:themeColor="text1"/>
              </w:rPr>
              <w:t>b) l’opportunité d’une suspension de l’exemption de l’obligation de visa afin de remédier à la situation;</w:t>
            </w:r>
          </w:p>
        </w:tc>
      </w:tr>
      <w:tr w:rsidR="00804A7C" w:rsidRPr="00FA40C1" w14:paraId="53E89C36" w14:textId="77777777" w:rsidTr="00BF4F5C">
        <w:trPr>
          <w:jc w:val="center"/>
        </w:trPr>
        <w:tc>
          <w:tcPr>
            <w:tcW w:w="4876" w:type="dxa"/>
          </w:tcPr>
          <w:p w14:paraId="7B7846DF" w14:textId="77777777" w:rsidR="00804A7C" w:rsidRPr="00FA40C1" w:rsidRDefault="00804A7C" w:rsidP="00BF4F5C">
            <w:pPr>
              <w:pStyle w:val="Normal6a"/>
              <w:rPr>
                <w:color w:val="000000" w:themeColor="text1"/>
              </w:rPr>
            </w:pPr>
          </w:p>
        </w:tc>
        <w:tc>
          <w:tcPr>
            <w:tcW w:w="4876" w:type="dxa"/>
          </w:tcPr>
          <w:p w14:paraId="5043CBA7" w14:textId="77777777" w:rsidR="00804A7C" w:rsidRPr="00FA40C1" w:rsidRDefault="00804A7C" w:rsidP="00BF4F5C">
            <w:pPr>
              <w:pStyle w:val="Normal6a"/>
              <w:rPr>
                <w:color w:val="000000" w:themeColor="text1"/>
              </w:rPr>
            </w:pPr>
            <w:r w:rsidRPr="00FA40C1">
              <w:rPr>
                <w:b/>
                <w:i/>
                <w:color w:val="000000" w:themeColor="text1"/>
              </w:rPr>
              <w:t>c) l’incidence d’une suspension sur les droits des ressortissants du pays tiers concerné;</w:t>
            </w:r>
          </w:p>
        </w:tc>
      </w:tr>
      <w:tr w:rsidR="00804A7C" w:rsidRPr="00FA40C1" w14:paraId="355E2038" w14:textId="77777777" w:rsidTr="00BF4F5C">
        <w:trPr>
          <w:jc w:val="center"/>
        </w:trPr>
        <w:tc>
          <w:tcPr>
            <w:tcW w:w="4876" w:type="dxa"/>
          </w:tcPr>
          <w:p w14:paraId="1DBD9597" w14:textId="77777777" w:rsidR="00804A7C" w:rsidRPr="00FA40C1" w:rsidRDefault="00804A7C" w:rsidP="00BF4F5C">
            <w:pPr>
              <w:pStyle w:val="Normal6a"/>
              <w:rPr>
                <w:color w:val="000000" w:themeColor="text1"/>
              </w:rPr>
            </w:pPr>
          </w:p>
        </w:tc>
        <w:tc>
          <w:tcPr>
            <w:tcW w:w="4876" w:type="dxa"/>
          </w:tcPr>
          <w:p w14:paraId="0D2090C2" w14:textId="77777777" w:rsidR="00804A7C" w:rsidRPr="00FA40C1" w:rsidRDefault="00804A7C" w:rsidP="00BF4F5C">
            <w:pPr>
              <w:pStyle w:val="Normal6a"/>
              <w:rPr>
                <w:color w:val="000000" w:themeColor="text1"/>
              </w:rPr>
            </w:pPr>
            <w:r w:rsidRPr="00FA40C1">
              <w:rPr>
                <w:b/>
                <w:i/>
                <w:color w:val="000000" w:themeColor="text1"/>
              </w:rPr>
              <w:t>d) le principe de réciprocité en matière de visa et le principe de non-discrimination;</w:t>
            </w:r>
          </w:p>
        </w:tc>
      </w:tr>
      <w:tr w:rsidR="00804A7C" w:rsidRPr="00FA40C1" w14:paraId="2E1D354C" w14:textId="77777777" w:rsidTr="00BF4F5C">
        <w:trPr>
          <w:jc w:val="center"/>
        </w:trPr>
        <w:tc>
          <w:tcPr>
            <w:tcW w:w="4876" w:type="dxa"/>
          </w:tcPr>
          <w:p w14:paraId="7706D197" w14:textId="77777777" w:rsidR="00804A7C" w:rsidRPr="00FA40C1" w:rsidRDefault="00804A7C" w:rsidP="00BF4F5C">
            <w:pPr>
              <w:pStyle w:val="Normal6a"/>
              <w:rPr>
                <w:color w:val="000000" w:themeColor="text1"/>
              </w:rPr>
            </w:pPr>
          </w:p>
        </w:tc>
        <w:tc>
          <w:tcPr>
            <w:tcW w:w="4876" w:type="dxa"/>
          </w:tcPr>
          <w:p w14:paraId="5BA39879" w14:textId="77777777" w:rsidR="00804A7C" w:rsidRPr="00FA40C1" w:rsidRDefault="00804A7C" w:rsidP="00BF4F5C">
            <w:pPr>
              <w:pStyle w:val="Normal6a"/>
              <w:rPr>
                <w:color w:val="000000" w:themeColor="text1"/>
              </w:rPr>
            </w:pPr>
            <w:r w:rsidRPr="00FA40C1">
              <w:rPr>
                <w:b/>
                <w:i/>
                <w:color w:val="000000" w:themeColor="text1"/>
              </w:rPr>
              <w:t>e) les risques potentiels encourus par les défenseurs des droits de l’homme.</w:t>
            </w:r>
          </w:p>
        </w:tc>
      </w:tr>
    </w:tbl>
    <w:p w14:paraId="31926832"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8B419DC" w14:textId="77777777" w:rsidR="00804A7C" w:rsidRPr="00FA40C1" w:rsidRDefault="00804A7C" w:rsidP="00804A7C">
      <w:pPr>
        <w:rPr>
          <w:color w:val="000000" w:themeColor="text1"/>
        </w:rPr>
      </w:pPr>
      <w:r w:rsidRPr="00FA40C1">
        <w:rPr>
          <w:rStyle w:val="HideTWBExt"/>
        </w:rPr>
        <w:t>&lt;/Amend&gt;</w:t>
      </w:r>
    </w:p>
    <w:p w14:paraId="1291F06B"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112</w:t>
      </w:r>
      <w:r w:rsidRPr="00FA40C1">
        <w:rPr>
          <w:rStyle w:val="HideTWBExt"/>
          <w:b w:val="0"/>
        </w:rPr>
        <w:t>&lt;/NumAm&gt;</w:t>
      </w:r>
    </w:p>
    <w:p w14:paraId="03C0E59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Miguel Urbán Crespo</w:t>
      </w:r>
      <w:r w:rsidRPr="00FA40C1">
        <w:rPr>
          <w:rStyle w:val="HideTWBExt"/>
          <w:b w:val="0"/>
        </w:rPr>
        <w:t>&lt;/Members&gt;</w:t>
      </w:r>
    </w:p>
    <w:p w14:paraId="1A352FA5" w14:textId="77777777" w:rsidR="00804A7C" w:rsidRPr="00FA40C1" w:rsidRDefault="00804A7C" w:rsidP="00804A7C">
      <w:pPr>
        <w:rPr>
          <w:color w:val="000000" w:themeColor="text1"/>
        </w:rPr>
      </w:pPr>
      <w:r w:rsidRPr="00FA40C1">
        <w:rPr>
          <w:rStyle w:val="HideTWBExt"/>
        </w:rPr>
        <w:t>&lt;AuNomDe&gt;</w:t>
      </w:r>
      <w:r w:rsidRPr="00FA40C1">
        <w:rPr>
          <w:rStyle w:val="HideTWBInt"/>
        </w:rPr>
        <w:t>{The Left}</w:t>
      </w:r>
      <w:r w:rsidRPr="00FA40C1">
        <w:rPr>
          <w:color w:val="000000" w:themeColor="text1"/>
        </w:rPr>
        <w:t>au nom du groupe La gauche</w:t>
      </w:r>
      <w:r w:rsidRPr="00FA40C1">
        <w:rPr>
          <w:rStyle w:val="HideTWBExt"/>
        </w:rPr>
        <w:t>&lt;/AuNomDe&gt;</w:t>
      </w:r>
    </w:p>
    <w:p w14:paraId="05719999" w14:textId="77777777" w:rsidR="00804A7C" w:rsidRPr="00FA40C1" w:rsidRDefault="00804A7C" w:rsidP="00804A7C">
      <w:pPr>
        <w:pStyle w:val="NormalBold"/>
        <w:rPr>
          <w:color w:val="000000" w:themeColor="text1"/>
        </w:rPr>
      </w:pPr>
      <w:r w:rsidRPr="00FA40C1">
        <w:rPr>
          <w:rStyle w:val="HideTWBExt"/>
          <w:b w:val="0"/>
        </w:rPr>
        <w:t>&lt;/RepeatBlock-By&gt;</w:t>
      </w:r>
    </w:p>
    <w:p w14:paraId="721E2F1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B015B2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E1299E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AA6BEE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ter – paragraphe 5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65F06CB" w14:textId="77777777" w:rsidTr="00BF4F5C">
        <w:trPr>
          <w:trHeight w:hRule="exact" w:val="240"/>
          <w:jc w:val="center"/>
        </w:trPr>
        <w:tc>
          <w:tcPr>
            <w:tcW w:w="9752" w:type="dxa"/>
            <w:gridSpan w:val="2"/>
          </w:tcPr>
          <w:p w14:paraId="29F6A685" w14:textId="77777777" w:rsidR="00804A7C" w:rsidRPr="00FA40C1" w:rsidRDefault="00804A7C" w:rsidP="00BF4F5C">
            <w:pPr>
              <w:rPr>
                <w:color w:val="000000" w:themeColor="text1"/>
              </w:rPr>
            </w:pPr>
          </w:p>
        </w:tc>
      </w:tr>
      <w:tr w:rsidR="00804A7C" w:rsidRPr="00FA40C1" w14:paraId="6E3690AF" w14:textId="77777777" w:rsidTr="00BF4F5C">
        <w:trPr>
          <w:trHeight w:val="240"/>
          <w:jc w:val="center"/>
        </w:trPr>
        <w:tc>
          <w:tcPr>
            <w:tcW w:w="4876" w:type="dxa"/>
          </w:tcPr>
          <w:p w14:paraId="369488B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7B4DAEC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6EA89BA" w14:textId="77777777" w:rsidTr="00BF4F5C">
        <w:trPr>
          <w:jc w:val="center"/>
        </w:trPr>
        <w:tc>
          <w:tcPr>
            <w:tcW w:w="4876" w:type="dxa"/>
          </w:tcPr>
          <w:p w14:paraId="3E59709A" w14:textId="77777777" w:rsidR="00804A7C" w:rsidRPr="00FA40C1" w:rsidRDefault="00804A7C" w:rsidP="00BF4F5C">
            <w:pPr>
              <w:pStyle w:val="Normal6a"/>
              <w:rPr>
                <w:color w:val="000000" w:themeColor="text1"/>
              </w:rPr>
            </w:pPr>
          </w:p>
        </w:tc>
        <w:tc>
          <w:tcPr>
            <w:tcW w:w="4876" w:type="dxa"/>
          </w:tcPr>
          <w:p w14:paraId="0841947F" w14:textId="77777777" w:rsidR="00804A7C" w:rsidRPr="00FA40C1" w:rsidRDefault="00804A7C" w:rsidP="00BF4F5C">
            <w:pPr>
              <w:pStyle w:val="Normal6a"/>
              <w:rPr>
                <w:color w:val="000000" w:themeColor="text1"/>
              </w:rPr>
            </w:pPr>
            <w:r w:rsidRPr="00FA40C1">
              <w:rPr>
                <w:b/>
                <w:i/>
                <w:color w:val="000000" w:themeColor="text1"/>
              </w:rPr>
              <w:t>5 bis.</w:t>
            </w:r>
            <w:r w:rsidRPr="00FA40C1">
              <w:rPr>
                <w:color w:val="000000" w:themeColor="text1"/>
              </w:rPr>
              <w:tab/>
            </w:r>
            <w:r w:rsidRPr="00FA40C1">
              <w:rPr>
                <w:b/>
                <w:i/>
                <w:color w:val="000000" w:themeColor="text1"/>
              </w:rPr>
              <w:t>Avant de prendre toute décision de suspendre provisoirement une exemption de visa à l’égard des ressortissants d’un pays tiers, la Commission examine de manière approfondie la situation des droits de l’homme dans ce pays tiers et tient compte de l’ensemble des conséquences éventuelles d’une telle suspension pour cette situation et pour le pays.</w:t>
            </w:r>
          </w:p>
        </w:tc>
      </w:tr>
    </w:tbl>
    <w:p w14:paraId="7EB28A3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26E7F63" w14:textId="77777777" w:rsidR="00804A7C" w:rsidRPr="00FA40C1" w:rsidRDefault="00804A7C" w:rsidP="00804A7C">
      <w:pPr>
        <w:rPr>
          <w:color w:val="000000" w:themeColor="text1"/>
        </w:rPr>
      </w:pPr>
      <w:r w:rsidRPr="00FA40C1">
        <w:rPr>
          <w:rStyle w:val="HideTWBExt"/>
        </w:rPr>
        <w:t>&lt;/Amend&gt;</w:t>
      </w:r>
    </w:p>
    <w:p w14:paraId="595E8325"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113</w:t>
      </w:r>
      <w:r w:rsidRPr="00FA40C1">
        <w:rPr>
          <w:rStyle w:val="HideTWBExt"/>
          <w:b w:val="0"/>
        </w:rPr>
        <w:t>&lt;/NumAm&gt;</w:t>
      </w:r>
    </w:p>
    <w:p w14:paraId="19DA0F5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5D8A46FA" w14:textId="77777777" w:rsidR="00804A7C" w:rsidRPr="00FA40C1" w:rsidRDefault="00804A7C" w:rsidP="00804A7C">
      <w:pPr>
        <w:pStyle w:val="NormalBold"/>
        <w:rPr>
          <w:color w:val="000000" w:themeColor="text1"/>
        </w:rPr>
      </w:pPr>
      <w:r w:rsidRPr="00FA40C1">
        <w:rPr>
          <w:rStyle w:val="HideTWBExt"/>
          <w:b w:val="0"/>
        </w:rPr>
        <w:t>&lt;/RepeatBlock-By&gt;</w:t>
      </w:r>
    </w:p>
    <w:p w14:paraId="1CD1D9A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996FC8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061ED34"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7D5C5E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quater – paragraphe 1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339A9DA" w14:textId="77777777" w:rsidTr="00BF4F5C">
        <w:trPr>
          <w:trHeight w:hRule="exact" w:val="240"/>
          <w:jc w:val="center"/>
        </w:trPr>
        <w:tc>
          <w:tcPr>
            <w:tcW w:w="9752" w:type="dxa"/>
            <w:gridSpan w:val="2"/>
          </w:tcPr>
          <w:p w14:paraId="5F15D282" w14:textId="77777777" w:rsidR="00804A7C" w:rsidRPr="00FA40C1" w:rsidRDefault="00804A7C" w:rsidP="00BF4F5C">
            <w:pPr>
              <w:rPr>
                <w:color w:val="000000" w:themeColor="text1"/>
              </w:rPr>
            </w:pPr>
          </w:p>
        </w:tc>
      </w:tr>
      <w:tr w:rsidR="00804A7C" w:rsidRPr="00FA40C1" w14:paraId="0C82BC22" w14:textId="77777777" w:rsidTr="00BF4F5C">
        <w:trPr>
          <w:trHeight w:val="240"/>
          <w:jc w:val="center"/>
        </w:trPr>
        <w:tc>
          <w:tcPr>
            <w:tcW w:w="4876" w:type="dxa"/>
          </w:tcPr>
          <w:p w14:paraId="36360E3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52CC8E7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9327726" w14:textId="77777777" w:rsidTr="00BF4F5C">
        <w:trPr>
          <w:jc w:val="center"/>
        </w:trPr>
        <w:tc>
          <w:tcPr>
            <w:tcW w:w="4876" w:type="dxa"/>
          </w:tcPr>
          <w:p w14:paraId="0E7827B7" w14:textId="77777777" w:rsidR="00804A7C" w:rsidRPr="00FA40C1" w:rsidRDefault="00804A7C" w:rsidP="00BF4F5C">
            <w:pPr>
              <w:pStyle w:val="Normal6a"/>
              <w:rPr>
                <w:color w:val="000000" w:themeColor="text1"/>
              </w:rPr>
            </w:pPr>
          </w:p>
        </w:tc>
        <w:tc>
          <w:tcPr>
            <w:tcW w:w="4876" w:type="dxa"/>
          </w:tcPr>
          <w:p w14:paraId="32985646" w14:textId="77777777" w:rsidR="00804A7C" w:rsidRPr="00FA40C1" w:rsidRDefault="00804A7C" w:rsidP="00BF4F5C">
            <w:pPr>
              <w:pStyle w:val="Normal6a"/>
              <w:rPr>
                <w:color w:val="000000" w:themeColor="text1"/>
              </w:rPr>
            </w:pPr>
            <w:r w:rsidRPr="00FA40C1">
              <w:rPr>
                <w:b/>
                <w:i/>
                <w:color w:val="000000" w:themeColor="text1"/>
              </w:rPr>
              <w:t>1 bis.</w:t>
            </w:r>
            <w:r w:rsidRPr="00FA40C1">
              <w:rPr>
                <w:color w:val="000000" w:themeColor="text1"/>
              </w:rPr>
              <w:tab/>
            </w:r>
            <w:r w:rsidRPr="00FA40C1">
              <w:rPr>
                <w:b/>
                <w:i/>
                <w:color w:val="000000" w:themeColor="text1"/>
              </w:rPr>
              <w:t>Dans le cadre de son contrôle et de son analyse, la Commission est informée par le corps européen de garde-frontières et de garde-côtes, l’Agence de l’Union européenne pour l’asile, l’Agence de l’Union européenne pour la coopération des services répressifs (Europol), ou tout autre institution, organe ou organisme de l’Union concerné. Elle tient également compte des données conservées dans le système d’information sur les visas (VIS), le système d’information Schengen (SIS II), le système d’entrée/de sortie (EES), le système européen d’information et d’autorisation concernant les voyages (ETIAS) et le système européen d’information sur les casiers judiciaires pour les ressortissants de pays tiers (ECRIS-TCN).</w:t>
            </w:r>
          </w:p>
        </w:tc>
      </w:tr>
    </w:tbl>
    <w:p w14:paraId="4011BDB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3A86902" w14:textId="77777777" w:rsidR="00804A7C" w:rsidRPr="00FA40C1" w:rsidRDefault="00804A7C" w:rsidP="00804A7C">
      <w:pPr>
        <w:rPr>
          <w:color w:val="000000" w:themeColor="text1"/>
        </w:rPr>
      </w:pPr>
      <w:r w:rsidRPr="00FA40C1">
        <w:rPr>
          <w:rStyle w:val="HideTWBExt"/>
        </w:rPr>
        <w:t>&lt;/Amend&gt;</w:t>
      </w:r>
    </w:p>
    <w:p w14:paraId="006BA7E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114</w:t>
      </w:r>
      <w:r w:rsidRPr="00FA40C1">
        <w:rPr>
          <w:rStyle w:val="HideTWBExt"/>
          <w:b w:val="0"/>
        </w:rPr>
        <w:t>&lt;/NumAm&gt;</w:t>
      </w:r>
    </w:p>
    <w:p w14:paraId="3D15DC4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0AB07DF1" w14:textId="77777777" w:rsidR="00804A7C" w:rsidRPr="00FA40C1" w:rsidRDefault="00804A7C" w:rsidP="00804A7C">
      <w:pPr>
        <w:pStyle w:val="NormalBold"/>
        <w:rPr>
          <w:color w:val="000000" w:themeColor="text1"/>
        </w:rPr>
      </w:pPr>
      <w:r w:rsidRPr="00FA40C1">
        <w:rPr>
          <w:rStyle w:val="HideTWBExt"/>
          <w:b w:val="0"/>
        </w:rPr>
        <w:t>&lt;/RepeatBlock-By&gt;</w:t>
      </w:r>
    </w:p>
    <w:p w14:paraId="2FDC45F1"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073FBA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C8A0BFC"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6FAA5F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quater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6233F7C" w14:textId="77777777" w:rsidTr="00BF4F5C">
        <w:trPr>
          <w:trHeight w:hRule="exact" w:val="240"/>
          <w:jc w:val="center"/>
        </w:trPr>
        <w:tc>
          <w:tcPr>
            <w:tcW w:w="9752" w:type="dxa"/>
            <w:gridSpan w:val="2"/>
          </w:tcPr>
          <w:p w14:paraId="58BE4328" w14:textId="77777777" w:rsidR="00804A7C" w:rsidRPr="00FA40C1" w:rsidRDefault="00804A7C" w:rsidP="00BF4F5C">
            <w:pPr>
              <w:rPr>
                <w:color w:val="000000" w:themeColor="text1"/>
              </w:rPr>
            </w:pPr>
          </w:p>
        </w:tc>
      </w:tr>
      <w:tr w:rsidR="00804A7C" w:rsidRPr="00FA40C1" w14:paraId="0643BC0E" w14:textId="77777777" w:rsidTr="00BF4F5C">
        <w:trPr>
          <w:trHeight w:val="240"/>
          <w:jc w:val="center"/>
        </w:trPr>
        <w:tc>
          <w:tcPr>
            <w:tcW w:w="4876" w:type="dxa"/>
          </w:tcPr>
          <w:p w14:paraId="6147256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171CFF6"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C4147FD" w14:textId="77777777" w:rsidTr="00BF4F5C">
        <w:trPr>
          <w:jc w:val="center"/>
        </w:trPr>
        <w:tc>
          <w:tcPr>
            <w:tcW w:w="4876" w:type="dxa"/>
          </w:tcPr>
          <w:p w14:paraId="6F921497"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Lorsque la Commission, tenant compte de données, de rapports et de statistiques pertinents, dispose d’informations concrètes et fiables indiquant l’existence de l’un des motifs mentionnés à l’article 8 bis, paragraphe 1, elle communique son analyse au Parlement européen et au Conseil, et les articles 8 sexies et 8 septies s’appliquent.</w:t>
            </w:r>
          </w:p>
        </w:tc>
        <w:tc>
          <w:tcPr>
            <w:tcW w:w="4876" w:type="dxa"/>
          </w:tcPr>
          <w:p w14:paraId="522CD056"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Lorsque la Commission, tenant compte de données, de rapports et de statistiques pertinents</w:t>
            </w:r>
            <w:r w:rsidRPr="00FA40C1">
              <w:rPr>
                <w:b/>
                <w:i/>
                <w:color w:val="000000" w:themeColor="text1"/>
              </w:rPr>
              <w:t>, et après avoir procédé à une évaluation de la nécessité, de la proportionnalité et des conséquences d’une suspension de l’exemption de l’obligation de visa visée à l’article 8 ter, paragraphe 4 bis</w:t>
            </w:r>
            <w:r w:rsidRPr="00FA40C1">
              <w:rPr>
                <w:color w:val="000000" w:themeColor="text1"/>
              </w:rPr>
              <w:t>, dispose d’informations concrètes et fiables indiquant l’existence de l’un des motifs mentionnés à l’article 8 bis, paragraphe 1, elle communique son analyse au Parlement européen et au Conseil, et les articles 8 sexies et 8 septies s’appliquent.</w:t>
            </w:r>
          </w:p>
        </w:tc>
      </w:tr>
    </w:tbl>
    <w:p w14:paraId="0F73791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BF972CC" w14:textId="77777777" w:rsidR="00804A7C" w:rsidRPr="00FA40C1" w:rsidRDefault="00804A7C" w:rsidP="00804A7C">
      <w:pPr>
        <w:rPr>
          <w:color w:val="000000" w:themeColor="text1"/>
        </w:rPr>
      </w:pPr>
      <w:r w:rsidRPr="00FA40C1">
        <w:rPr>
          <w:rStyle w:val="HideTWBExt"/>
        </w:rPr>
        <w:t>&lt;/Amend&gt;</w:t>
      </w:r>
    </w:p>
    <w:p w14:paraId="4CCEB56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115</w:t>
      </w:r>
      <w:r w:rsidRPr="00FA40C1">
        <w:rPr>
          <w:rStyle w:val="HideTWBExt"/>
          <w:b w:val="0"/>
        </w:rPr>
        <w:t>&lt;/NumAm&gt;</w:t>
      </w:r>
    </w:p>
    <w:p w14:paraId="3111978B"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0AEF7DA6" w14:textId="77777777" w:rsidR="00804A7C" w:rsidRPr="00FA40C1" w:rsidRDefault="00804A7C" w:rsidP="00804A7C">
      <w:pPr>
        <w:pStyle w:val="NormalBold"/>
        <w:rPr>
          <w:color w:val="000000" w:themeColor="text1"/>
        </w:rPr>
      </w:pPr>
      <w:r w:rsidRPr="00FA40C1">
        <w:rPr>
          <w:rStyle w:val="HideTWBExt"/>
          <w:b w:val="0"/>
        </w:rPr>
        <w:t>&lt;/RepeatBlock-By&gt;</w:t>
      </w:r>
    </w:p>
    <w:p w14:paraId="20B40E1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368D587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7873AA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9E1CA5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quinquies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DD6398D" w14:textId="77777777" w:rsidTr="00BF4F5C">
        <w:trPr>
          <w:trHeight w:hRule="exact" w:val="240"/>
          <w:jc w:val="center"/>
        </w:trPr>
        <w:tc>
          <w:tcPr>
            <w:tcW w:w="9752" w:type="dxa"/>
            <w:gridSpan w:val="2"/>
          </w:tcPr>
          <w:p w14:paraId="761C7C37" w14:textId="77777777" w:rsidR="00804A7C" w:rsidRPr="00FA40C1" w:rsidRDefault="00804A7C" w:rsidP="00BF4F5C">
            <w:pPr>
              <w:rPr>
                <w:color w:val="000000" w:themeColor="text1"/>
              </w:rPr>
            </w:pPr>
          </w:p>
        </w:tc>
      </w:tr>
      <w:tr w:rsidR="00804A7C" w:rsidRPr="00FA40C1" w14:paraId="60274365" w14:textId="77777777" w:rsidTr="00BF4F5C">
        <w:trPr>
          <w:trHeight w:val="240"/>
          <w:jc w:val="center"/>
        </w:trPr>
        <w:tc>
          <w:tcPr>
            <w:tcW w:w="4876" w:type="dxa"/>
          </w:tcPr>
          <w:p w14:paraId="5E6A9B88"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ADD8AEC"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CD91773" w14:textId="77777777" w:rsidTr="00BF4F5C">
        <w:trPr>
          <w:jc w:val="center"/>
        </w:trPr>
        <w:tc>
          <w:tcPr>
            <w:tcW w:w="4876" w:type="dxa"/>
          </w:tcPr>
          <w:p w14:paraId="5D51545A"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La Commission fait rapport au Parlement européen et au Conseil sur le contrôle qu’elle a effectué conformément à l’article 8 quater, paragraphe 1, en ce qui concerne les pays tiers qui ont été inscrits sur la liste de l’annexe II </w:t>
            </w:r>
            <w:r w:rsidRPr="00FA40C1">
              <w:rPr>
                <w:b/>
                <w:i/>
                <w:color w:val="000000" w:themeColor="text1"/>
              </w:rPr>
              <w:t>à la suite de l’aboutissement d’un dialogue sur la libéralisation du régime des visas mené entre l’Union et le pays tiers concerné, au moins une fois par an et pendant une période de sept ans après la date d’entrée en vigueur de la libéralisation du régime des visas pour ces pays tiers, et par la suite chaque fois que la Commission l’estimera nécessaire, ou à la demande du Parlement européen ou du Conseil</w:t>
            </w:r>
            <w:r w:rsidRPr="00FA40C1">
              <w:rPr>
                <w:color w:val="000000" w:themeColor="text1"/>
              </w:rPr>
              <w:t xml:space="preserve">. </w:t>
            </w:r>
            <w:r w:rsidRPr="00FA40C1">
              <w:rPr>
                <w:b/>
                <w:i/>
                <w:color w:val="000000" w:themeColor="text1"/>
              </w:rPr>
              <w:t>Son rapport porte principalement sur les pays tiers dont la Commission estime, sur la base d’informations concrètes et fiables, qu’ils ne remplissent plus certains critères particuliers qui sont fondés sur l’article 1</w:t>
            </w:r>
            <w:r w:rsidRPr="00FA40C1">
              <w:rPr>
                <w:b/>
                <w:i/>
                <w:color w:val="000000" w:themeColor="text1"/>
                <w:vertAlign w:val="superscript"/>
              </w:rPr>
              <w:t>er</w:t>
            </w:r>
            <w:r w:rsidRPr="00FA40C1">
              <w:rPr>
                <w:b/>
                <w:i/>
                <w:color w:val="000000" w:themeColor="text1"/>
              </w:rPr>
              <w:t xml:space="preserve"> et qui ont été utilisés pour évaluer l’opportunité d’accorder une libéralisation du régime des visas.</w:t>
            </w:r>
          </w:p>
        </w:tc>
        <w:tc>
          <w:tcPr>
            <w:tcW w:w="4876" w:type="dxa"/>
          </w:tcPr>
          <w:p w14:paraId="141DF8A9"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La Commission fait rapport au Parlement européen et au Conseil sur le contrôle qu’elle a effectué conformément à l’article 8 quater, paragraphe 1, en ce qui concerne les pays tiers qui ont été inscrits sur la liste de l’annexe II.</w:t>
            </w:r>
          </w:p>
        </w:tc>
      </w:tr>
    </w:tbl>
    <w:p w14:paraId="0F658F7D"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63E79CA" w14:textId="77777777" w:rsidR="00804A7C" w:rsidRPr="00FA40C1" w:rsidRDefault="00804A7C" w:rsidP="00804A7C">
      <w:pPr>
        <w:rPr>
          <w:color w:val="000000" w:themeColor="text1"/>
        </w:rPr>
      </w:pPr>
      <w:r w:rsidRPr="00FA40C1">
        <w:rPr>
          <w:rStyle w:val="HideTWBExt"/>
        </w:rPr>
        <w:t>&lt;/Amend&gt;</w:t>
      </w:r>
    </w:p>
    <w:p w14:paraId="3D344D49"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116</w:t>
      </w:r>
      <w:r w:rsidRPr="00FA40C1">
        <w:rPr>
          <w:rStyle w:val="HideTWBExt"/>
          <w:b w:val="0"/>
        </w:rPr>
        <w:t>&lt;/NumAm&gt;</w:t>
      </w:r>
    </w:p>
    <w:p w14:paraId="1A85B36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16402DA5" w14:textId="77777777" w:rsidR="00804A7C" w:rsidRPr="00FA40C1" w:rsidRDefault="00804A7C" w:rsidP="00804A7C">
      <w:pPr>
        <w:pStyle w:val="NormalBold"/>
        <w:rPr>
          <w:color w:val="000000" w:themeColor="text1"/>
        </w:rPr>
      </w:pPr>
      <w:r w:rsidRPr="00FA40C1">
        <w:rPr>
          <w:rStyle w:val="HideTWBExt"/>
          <w:b w:val="0"/>
        </w:rPr>
        <w:t>&lt;/RepeatBlock-By&gt;</w:t>
      </w:r>
    </w:p>
    <w:p w14:paraId="3723C16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1BF3134"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ECF9F3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E1BB642"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quinquies – paragraphe 1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0B48B1E" w14:textId="77777777" w:rsidTr="00BF4F5C">
        <w:trPr>
          <w:trHeight w:hRule="exact" w:val="240"/>
          <w:jc w:val="center"/>
        </w:trPr>
        <w:tc>
          <w:tcPr>
            <w:tcW w:w="9752" w:type="dxa"/>
            <w:gridSpan w:val="2"/>
          </w:tcPr>
          <w:p w14:paraId="582BBB12" w14:textId="77777777" w:rsidR="00804A7C" w:rsidRPr="00FA40C1" w:rsidRDefault="00804A7C" w:rsidP="00BF4F5C">
            <w:pPr>
              <w:rPr>
                <w:color w:val="000000" w:themeColor="text1"/>
              </w:rPr>
            </w:pPr>
          </w:p>
        </w:tc>
      </w:tr>
      <w:tr w:rsidR="00804A7C" w:rsidRPr="00FA40C1" w14:paraId="6BA43713" w14:textId="77777777" w:rsidTr="00BF4F5C">
        <w:trPr>
          <w:trHeight w:val="240"/>
          <w:jc w:val="center"/>
        </w:trPr>
        <w:tc>
          <w:tcPr>
            <w:tcW w:w="4876" w:type="dxa"/>
          </w:tcPr>
          <w:p w14:paraId="4949AEC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AC1E61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E1F6506" w14:textId="77777777" w:rsidTr="00BF4F5C">
        <w:trPr>
          <w:jc w:val="center"/>
        </w:trPr>
        <w:tc>
          <w:tcPr>
            <w:tcW w:w="4876" w:type="dxa"/>
          </w:tcPr>
          <w:p w14:paraId="15E1BB62" w14:textId="77777777" w:rsidR="00804A7C" w:rsidRPr="00FA40C1" w:rsidRDefault="00804A7C" w:rsidP="00BF4F5C">
            <w:pPr>
              <w:pStyle w:val="Normal6a"/>
              <w:rPr>
                <w:color w:val="000000" w:themeColor="text1"/>
              </w:rPr>
            </w:pPr>
          </w:p>
        </w:tc>
        <w:tc>
          <w:tcPr>
            <w:tcW w:w="4876" w:type="dxa"/>
          </w:tcPr>
          <w:p w14:paraId="0FDE4C3C" w14:textId="77777777" w:rsidR="00804A7C" w:rsidRPr="00FA40C1" w:rsidRDefault="00804A7C" w:rsidP="00BF4F5C">
            <w:pPr>
              <w:pStyle w:val="Normal6a"/>
              <w:rPr>
                <w:color w:val="000000" w:themeColor="text1"/>
              </w:rPr>
            </w:pPr>
            <w:r w:rsidRPr="00FA40C1">
              <w:rPr>
                <w:b/>
                <w:i/>
                <w:color w:val="000000" w:themeColor="text1"/>
              </w:rPr>
              <w:t>1 bis.</w:t>
            </w:r>
            <w:r w:rsidRPr="00FA40C1">
              <w:rPr>
                <w:color w:val="000000" w:themeColor="text1"/>
              </w:rPr>
              <w:tab/>
            </w:r>
            <w:r w:rsidRPr="00FA40C1">
              <w:rPr>
                <w:b/>
                <w:i/>
                <w:color w:val="000000" w:themeColor="text1"/>
              </w:rPr>
              <w:t>La Commission transmet son rapport périodiquement, de sorte que chaque pays tiers fasse l’objet d’un rapport au moins une fois au cours d’une période de quatre ans.</w:t>
            </w:r>
          </w:p>
        </w:tc>
      </w:tr>
    </w:tbl>
    <w:p w14:paraId="75737F1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AE0062C" w14:textId="77777777" w:rsidR="00804A7C" w:rsidRPr="00FA40C1" w:rsidRDefault="00804A7C" w:rsidP="00804A7C">
      <w:pPr>
        <w:rPr>
          <w:color w:val="000000" w:themeColor="text1"/>
        </w:rPr>
      </w:pPr>
      <w:r w:rsidRPr="00FA40C1">
        <w:rPr>
          <w:rStyle w:val="HideTWBExt"/>
        </w:rPr>
        <w:t>&lt;/Amend&gt;</w:t>
      </w:r>
    </w:p>
    <w:p w14:paraId="729A9DF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117</w:t>
      </w:r>
      <w:r w:rsidRPr="00FA40C1">
        <w:rPr>
          <w:rStyle w:val="HideTWBExt"/>
          <w:b w:val="0"/>
        </w:rPr>
        <w:t>&lt;/NumAm&gt;</w:t>
      </w:r>
    </w:p>
    <w:p w14:paraId="30AB702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3BF9D358" w14:textId="77777777" w:rsidR="00804A7C" w:rsidRPr="00FA40C1" w:rsidRDefault="00804A7C" w:rsidP="00804A7C">
      <w:pPr>
        <w:pStyle w:val="NormalBold"/>
        <w:rPr>
          <w:color w:val="000000" w:themeColor="text1"/>
        </w:rPr>
      </w:pPr>
      <w:r w:rsidRPr="00FA40C1">
        <w:rPr>
          <w:rStyle w:val="HideTWBExt"/>
          <w:b w:val="0"/>
        </w:rPr>
        <w:t>&lt;/RepeatBlock-By&gt;</w:t>
      </w:r>
    </w:p>
    <w:p w14:paraId="7A2DAEA2"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5916A9F"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6B433A5"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A2E31A1"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quinquies – paragraphe 1 ter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2E964A3" w14:textId="77777777" w:rsidTr="00BF4F5C">
        <w:trPr>
          <w:trHeight w:hRule="exact" w:val="240"/>
          <w:jc w:val="center"/>
        </w:trPr>
        <w:tc>
          <w:tcPr>
            <w:tcW w:w="9752" w:type="dxa"/>
            <w:gridSpan w:val="2"/>
          </w:tcPr>
          <w:p w14:paraId="5932F4E2" w14:textId="77777777" w:rsidR="00804A7C" w:rsidRPr="00FA40C1" w:rsidRDefault="00804A7C" w:rsidP="00BF4F5C">
            <w:pPr>
              <w:rPr>
                <w:color w:val="000000" w:themeColor="text1"/>
              </w:rPr>
            </w:pPr>
          </w:p>
        </w:tc>
      </w:tr>
      <w:tr w:rsidR="00804A7C" w:rsidRPr="00FA40C1" w14:paraId="16C7A6D5" w14:textId="77777777" w:rsidTr="00BF4F5C">
        <w:trPr>
          <w:trHeight w:val="240"/>
          <w:jc w:val="center"/>
        </w:trPr>
        <w:tc>
          <w:tcPr>
            <w:tcW w:w="4876" w:type="dxa"/>
          </w:tcPr>
          <w:p w14:paraId="1EC66F3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A5A56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4ECE4B3" w14:textId="77777777" w:rsidTr="00BF4F5C">
        <w:trPr>
          <w:jc w:val="center"/>
        </w:trPr>
        <w:tc>
          <w:tcPr>
            <w:tcW w:w="4876" w:type="dxa"/>
          </w:tcPr>
          <w:p w14:paraId="0457EC42" w14:textId="77777777" w:rsidR="00804A7C" w:rsidRPr="00FA40C1" w:rsidRDefault="00804A7C" w:rsidP="00BF4F5C">
            <w:pPr>
              <w:pStyle w:val="Normal6a"/>
              <w:rPr>
                <w:color w:val="000000" w:themeColor="text1"/>
              </w:rPr>
            </w:pPr>
          </w:p>
        </w:tc>
        <w:tc>
          <w:tcPr>
            <w:tcW w:w="4876" w:type="dxa"/>
          </w:tcPr>
          <w:p w14:paraId="3C0F6044" w14:textId="77777777" w:rsidR="00804A7C" w:rsidRPr="00FA40C1" w:rsidRDefault="00804A7C" w:rsidP="00BF4F5C">
            <w:pPr>
              <w:pStyle w:val="Normal6a"/>
              <w:rPr>
                <w:color w:val="000000" w:themeColor="text1"/>
              </w:rPr>
            </w:pPr>
            <w:r w:rsidRPr="00FA40C1">
              <w:rPr>
                <w:b/>
                <w:i/>
                <w:color w:val="000000" w:themeColor="text1"/>
              </w:rPr>
              <w:t>1 ter.</w:t>
            </w:r>
            <w:r w:rsidRPr="00FA40C1">
              <w:rPr>
                <w:color w:val="000000" w:themeColor="text1"/>
              </w:rPr>
              <w:tab/>
            </w:r>
            <w:r w:rsidRPr="00FA40C1">
              <w:rPr>
                <w:b/>
                <w:i/>
                <w:color w:val="000000" w:themeColor="text1"/>
              </w:rPr>
              <w:t>En ce qui concerne les pays tiers qui ont été inscrits sur la liste de l’annexe II à la suite de l’aboutissement d’un dialogue sur la libéralisation du régime des visas mené entre l’Union et le pays tiers concerné, la Commission fait rapport annuellement pendant une période de sept ans à compter de la date d’entrée en vigueur de la libéralisation du régime des visas pour ces pays tiers.</w:t>
            </w:r>
          </w:p>
        </w:tc>
      </w:tr>
    </w:tbl>
    <w:p w14:paraId="7F0E724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8420F89" w14:textId="77777777" w:rsidR="00804A7C" w:rsidRPr="00FA40C1" w:rsidRDefault="00804A7C" w:rsidP="00804A7C">
      <w:pPr>
        <w:rPr>
          <w:color w:val="000000" w:themeColor="text1"/>
        </w:rPr>
      </w:pPr>
      <w:r w:rsidRPr="00FA40C1">
        <w:rPr>
          <w:rStyle w:val="HideTWBExt"/>
        </w:rPr>
        <w:t>&lt;/Amend&gt;</w:t>
      </w:r>
    </w:p>
    <w:p w14:paraId="6940B7D2"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118</w:t>
      </w:r>
      <w:r w:rsidRPr="00FA40C1">
        <w:rPr>
          <w:rStyle w:val="HideTWBExt"/>
          <w:b w:val="0"/>
        </w:rPr>
        <w:t>&lt;/NumAm&gt;</w:t>
      </w:r>
    </w:p>
    <w:p w14:paraId="72D8D94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0413E7B7" w14:textId="77777777" w:rsidR="00804A7C" w:rsidRPr="00FA40C1" w:rsidRDefault="00804A7C" w:rsidP="00804A7C">
      <w:pPr>
        <w:pStyle w:val="NormalBold"/>
        <w:rPr>
          <w:color w:val="000000" w:themeColor="text1"/>
        </w:rPr>
      </w:pPr>
      <w:r w:rsidRPr="00FA40C1">
        <w:rPr>
          <w:rStyle w:val="HideTWBExt"/>
          <w:b w:val="0"/>
        </w:rPr>
        <w:t>&lt;/RepeatBlock-By&gt;</w:t>
      </w:r>
    </w:p>
    <w:p w14:paraId="0AACFB1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928C61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C44576B"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4DA6F67"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quinquies – paragraphe 1 quater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6719DA9" w14:textId="77777777" w:rsidTr="00BF4F5C">
        <w:trPr>
          <w:trHeight w:hRule="exact" w:val="240"/>
          <w:jc w:val="center"/>
        </w:trPr>
        <w:tc>
          <w:tcPr>
            <w:tcW w:w="9752" w:type="dxa"/>
            <w:gridSpan w:val="2"/>
          </w:tcPr>
          <w:p w14:paraId="4AF0797D" w14:textId="77777777" w:rsidR="00804A7C" w:rsidRPr="00FA40C1" w:rsidRDefault="00804A7C" w:rsidP="00BF4F5C">
            <w:pPr>
              <w:rPr>
                <w:color w:val="000000" w:themeColor="text1"/>
              </w:rPr>
            </w:pPr>
          </w:p>
        </w:tc>
      </w:tr>
      <w:tr w:rsidR="00804A7C" w:rsidRPr="00FA40C1" w14:paraId="735C135D" w14:textId="77777777" w:rsidTr="00BF4F5C">
        <w:trPr>
          <w:trHeight w:val="240"/>
          <w:jc w:val="center"/>
        </w:trPr>
        <w:tc>
          <w:tcPr>
            <w:tcW w:w="4876" w:type="dxa"/>
          </w:tcPr>
          <w:p w14:paraId="4FBA096D"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F087AC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681B03D" w14:textId="77777777" w:rsidTr="00BF4F5C">
        <w:trPr>
          <w:jc w:val="center"/>
        </w:trPr>
        <w:tc>
          <w:tcPr>
            <w:tcW w:w="4876" w:type="dxa"/>
          </w:tcPr>
          <w:p w14:paraId="2E5FD185" w14:textId="77777777" w:rsidR="00804A7C" w:rsidRPr="00FA40C1" w:rsidRDefault="00804A7C" w:rsidP="00BF4F5C">
            <w:pPr>
              <w:pStyle w:val="Normal6a"/>
              <w:rPr>
                <w:color w:val="000000" w:themeColor="text1"/>
              </w:rPr>
            </w:pPr>
          </w:p>
        </w:tc>
        <w:tc>
          <w:tcPr>
            <w:tcW w:w="4876" w:type="dxa"/>
          </w:tcPr>
          <w:p w14:paraId="2CF5A32D" w14:textId="77777777" w:rsidR="00804A7C" w:rsidRPr="00FA40C1" w:rsidRDefault="00804A7C" w:rsidP="00BF4F5C">
            <w:pPr>
              <w:pStyle w:val="Normal6a"/>
              <w:rPr>
                <w:color w:val="000000" w:themeColor="text1"/>
              </w:rPr>
            </w:pPr>
            <w:r w:rsidRPr="00FA40C1">
              <w:rPr>
                <w:b/>
                <w:i/>
                <w:color w:val="000000" w:themeColor="text1"/>
              </w:rPr>
              <w:t>1 quater.</w:t>
            </w:r>
            <w:r w:rsidRPr="00FA40C1">
              <w:rPr>
                <w:color w:val="000000" w:themeColor="text1"/>
              </w:rPr>
              <w:tab/>
            </w:r>
            <w:r w:rsidRPr="00FA40C1">
              <w:rPr>
                <w:b/>
                <w:i/>
                <w:color w:val="000000" w:themeColor="text1"/>
              </w:rPr>
              <w:t>Chaque fois que la Commission l’estime nécessaire, elle fait rapport sur les pays tiers dont elle estime, sur la base d’informations concrètes et fiables, qu’ils ne remplissent plus certains critères particuliers qui sont fondés sur l’article 1</w:t>
            </w:r>
            <w:r w:rsidRPr="00FA40C1">
              <w:rPr>
                <w:b/>
                <w:i/>
                <w:color w:val="000000" w:themeColor="text1"/>
                <w:vertAlign w:val="superscript"/>
              </w:rPr>
              <w:t>er</w:t>
            </w:r>
            <w:r w:rsidRPr="00FA40C1">
              <w:rPr>
                <w:b/>
                <w:i/>
                <w:color w:val="000000" w:themeColor="text1"/>
              </w:rPr>
              <w:t xml:space="preserve"> et qui ont été utilisés pour évaluer l’opportunité d’accorder une libéralisation du régime des visas.</w:t>
            </w:r>
          </w:p>
        </w:tc>
      </w:tr>
    </w:tbl>
    <w:p w14:paraId="18530B86"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4EDD4B8" w14:textId="77777777" w:rsidR="00804A7C" w:rsidRPr="00FA40C1" w:rsidRDefault="00804A7C" w:rsidP="00804A7C">
      <w:pPr>
        <w:rPr>
          <w:color w:val="000000" w:themeColor="text1"/>
        </w:rPr>
      </w:pPr>
      <w:r w:rsidRPr="00FA40C1">
        <w:rPr>
          <w:rStyle w:val="HideTWBExt"/>
        </w:rPr>
        <w:t>&lt;/Amend&gt;</w:t>
      </w:r>
    </w:p>
    <w:p w14:paraId="4C6166F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119</w:t>
      </w:r>
      <w:r w:rsidRPr="00FA40C1">
        <w:rPr>
          <w:rStyle w:val="HideTWBExt"/>
          <w:b w:val="0"/>
        </w:rPr>
        <w:t>&lt;/NumAm&gt;</w:t>
      </w:r>
    </w:p>
    <w:p w14:paraId="4FB8C26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7E063EEE" w14:textId="77777777" w:rsidR="00804A7C" w:rsidRPr="00FA40C1" w:rsidRDefault="00804A7C" w:rsidP="00804A7C">
      <w:pPr>
        <w:pStyle w:val="NormalBold"/>
        <w:rPr>
          <w:color w:val="000000" w:themeColor="text1"/>
        </w:rPr>
      </w:pPr>
      <w:r w:rsidRPr="00FA40C1">
        <w:rPr>
          <w:rStyle w:val="HideTWBExt"/>
          <w:b w:val="0"/>
        </w:rPr>
        <w:t>&lt;/RepeatBlock-By&gt;</w:t>
      </w:r>
    </w:p>
    <w:p w14:paraId="50A9310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05CB1AC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BCF55CD"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C1B8FE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quinquies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714628EB" w14:textId="77777777" w:rsidTr="00BF4F5C">
        <w:trPr>
          <w:trHeight w:hRule="exact" w:val="240"/>
          <w:jc w:val="center"/>
        </w:trPr>
        <w:tc>
          <w:tcPr>
            <w:tcW w:w="9752" w:type="dxa"/>
            <w:gridSpan w:val="2"/>
          </w:tcPr>
          <w:p w14:paraId="086DA456" w14:textId="77777777" w:rsidR="00804A7C" w:rsidRPr="00FA40C1" w:rsidRDefault="00804A7C" w:rsidP="00BF4F5C">
            <w:pPr>
              <w:rPr>
                <w:color w:val="000000" w:themeColor="text1"/>
              </w:rPr>
            </w:pPr>
          </w:p>
        </w:tc>
      </w:tr>
      <w:tr w:rsidR="00804A7C" w:rsidRPr="00FA40C1" w14:paraId="64720C11" w14:textId="77777777" w:rsidTr="00BF4F5C">
        <w:trPr>
          <w:trHeight w:val="240"/>
          <w:jc w:val="center"/>
        </w:trPr>
        <w:tc>
          <w:tcPr>
            <w:tcW w:w="4876" w:type="dxa"/>
          </w:tcPr>
          <w:p w14:paraId="2B9CA99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424021E"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134A5F40" w14:textId="77777777" w:rsidTr="00BF4F5C">
        <w:trPr>
          <w:jc w:val="center"/>
        </w:trPr>
        <w:tc>
          <w:tcPr>
            <w:tcW w:w="4876" w:type="dxa"/>
          </w:tcPr>
          <w:p w14:paraId="0645D9D9"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La Commission fait également rapport, </w:t>
            </w:r>
            <w:r w:rsidRPr="00FA40C1">
              <w:rPr>
                <w:b/>
                <w:i/>
                <w:color w:val="000000" w:themeColor="text1"/>
              </w:rPr>
              <w:t>chaque fois qu’elle l’estime nécessaire, ou</w:t>
            </w:r>
            <w:r w:rsidRPr="00FA40C1">
              <w:rPr>
                <w:color w:val="000000" w:themeColor="text1"/>
              </w:rPr>
              <w:t xml:space="preserve"> à la demande du Parlement européen ou du Conseil, sur les pays tiers figurant sur la liste de l’annexe II </w:t>
            </w:r>
            <w:r w:rsidRPr="00FA40C1">
              <w:rPr>
                <w:b/>
                <w:i/>
                <w:color w:val="000000" w:themeColor="text1"/>
              </w:rPr>
              <w:t>autres que ceux visés au paragraphe 1 du présent article</w:t>
            </w:r>
            <w:r w:rsidRPr="00FA40C1">
              <w:rPr>
                <w:color w:val="000000" w:themeColor="text1"/>
              </w:rPr>
              <w:t>.</w:t>
            </w:r>
          </w:p>
        </w:tc>
        <w:tc>
          <w:tcPr>
            <w:tcW w:w="4876" w:type="dxa"/>
          </w:tcPr>
          <w:p w14:paraId="40C2FC00"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La Commission fait également rapport, à la demande du Parlement européen ou du Conseil, sur les pays tiers figurant sur la liste de l’annexe II.</w:t>
            </w:r>
          </w:p>
        </w:tc>
      </w:tr>
    </w:tbl>
    <w:p w14:paraId="2734C62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EA2D74E" w14:textId="77777777" w:rsidR="00804A7C" w:rsidRPr="00FA40C1" w:rsidRDefault="00804A7C" w:rsidP="00804A7C">
      <w:pPr>
        <w:rPr>
          <w:color w:val="000000" w:themeColor="text1"/>
        </w:rPr>
      </w:pPr>
      <w:r w:rsidRPr="00FA40C1">
        <w:rPr>
          <w:rStyle w:val="HideTWBExt"/>
        </w:rPr>
        <w:t>&lt;/Amend&gt;</w:t>
      </w:r>
    </w:p>
    <w:p w14:paraId="1676009A"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120</w:t>
      </w:r>
      <w:r w:rsidRPr="00FA40C1">
        <w:rPr>
          <w:rStyle w:val="HideTWBExt"/>
          <w:b w:val="0"/>
        </w:rPr>
        <w:t>&lt;/NumAm&gt;</w:t>
      </w:r>
    </w:p>
    <w:p w14:paraId="4801E04C"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0B06A0F9" w14:textId="77777777" w:rsidR="00804A7C" w:rsidRPr="00FA40C1" w:rsidRDefault="00804A7C" w:rsidP="00804A7C">
      <w:pPr>
        <w:pStyle w:val="NormalBold"/>
        <w:rPr>
          <w:color w:val="000000" w:themeColor="text1"/>
        </w:rPr>
      </w:pPr>
      <w:r w:rsidRPr="00FA40C1">
        <w:rPr>
          <w:rStyle w:val="HideTWBExt"/>
          <w:b w:val="0"/>
        </w:rPr>
        <w:t>&lt;/RepeatBlock-By&gt;</w:t>
      </w:r>
    </w:p>
    <w:p w14:paraId="185A3060"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56FE8407"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D1BE05F"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17BA8EE"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titre</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28F9DF7B" w14:textId="77777777" w:rsidTr="00BF4F5C">
        <w:trPr>
          <w:trHeight w:hRule="exact" w:val="240"/>
          <w:jc w:val="center"/>
        </w:trPr>
        <w:tc>
          <w:tcPr>
            <w:tcW w:w="9752" w:type="dxa"/>
            <w:gridSpan w:val="2"/>
          </w:tcPr>
          <w:p w14:paraId="700C7538" w14:textId="77777777" w:rsidR="00804A7C" w:rsidRPr="00FA40C1" w:rsidRDefault="00804A7C" w:rsidP="00BF4F5C">
            <w:pPr>
              <w:rPr>
                <w:color w:val="000000" w:themeColor="text1"/>
              </w:rPr>
            </w:pPr>
          </w:p>
        </w:tc>
      </w:tr>
      <w:tr w:rsidR="00804A7C" w:rsidRPr="00FA40C1" w14:paraId="722F8AB0" w14:textId="77777777" w:rsidTr="00BF4F5C">
        <w:trPr>
          <w:trHeight w:val="240"/>
          <w:jc w:val="center"/>
        </w:trPr>
        <w:tc>
          <w:tcPr>
            <w:tcW w:w="4876" w:type="dxa"/>
          </w:tcPr>
          <w:p w14:paraId="14FF282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BB4626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7B3EC39" w14:textId="77777777" w:rsidTr="00BF4F5C">
        <w:trPr>
          <w:jc w:val="center"/>
        </w:trPr>
        <w:tc>
          <w:tcPr>
            <w:tcW w:w="4876" w:type="dxa"/>
          </w:tcPr>
          <w:p w14:paraId="24E88583" w14:textId="77777777" w:rsidR="00804A7C" w:rsidRPr="00FA40C1" w:rsidRDefault="00804A7C" w:rsidP="00BF4F5C">
            <w:pPr>
              <w:pStyle w:val="Normal6a"/>
              <w:rPr>
                <w:color w:val="000000" w:themeColor="text1"/>
              </w:rPr>
            </w:pPr>
            <w:r w:rsidRPr="00FA40C1">
              <w:rPr>
                <w:color w:val="000000" w:themeColor="text1"/>
              </w:rPr>
              <w:t xml:space="preserve">Actes </w:t>
            </w:r>
            <w:r w:rsidRPr="00FA40C1">
              <w:rPr>
                <w:b/>
                <w:i/>
                <w:color w:val="000000" w:themeColor="text1"/>
              </w:rPr>
              <w:t>d’exécution</w:t>
            </w:r>
          </w:p>
        </w:tc>
        <w:tc>
          <w:tcPr>
            <w:tcW w:w="4876" w:type="dxa"/>
          </w:tcPr>
          <w:p w14:paraId="0756CAEF" w14:textId="77777777" w:rsidR="00804A7C" w:rsidRPr="00FA40C1" w:rsidRDefault="00804A7C" w:rsidP="00BF4F5C">
            <w:pPr>
              <w:pStyle w:val="Normal6a"/>
              <w:rPr>
                <w:color w:val="000000" w:themeColor="text1"/>
              </w:rPr>
            </w:pPr>
            <w:r w:rsidRPr="00FA40C1">
              <w:rPr>
                <w:color w:val="000000" w:themeColor="text1"/>
              </w:rPr>
              <w:t xml:space="preserve">Actes </w:t>
            </w:r>
            <w:r w:rsidRPr="00FA40C1">
              <w:rPr>
                <w:b/>
                <w:i/>
                <w:color w:val="000000" w:themeColor="text1"/>
              </w:rPr>
              <w:t>délégués</w:t>
            </w:r>
          </w:p>
        </w:tc>
      </w:tr>
    </w:tbl>
    <w:p w14:paraId="3C79FF6E"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F48E5B2" w14:textId="77777777" w:rsidR="00804A7C" w:rsidRPr="00FA40C1" w:rsidRDefault="00804A7C" w:rsidP="00804A7C">
      <w:pPr>
        <w:rPr>
          <w:color w:val="000000" w:themeColor="text1"/>
        </w:rPr>
      </w:pPr>
      <w:r w:rsidRPr="00FA40C1">
        <w:rPr>
          <w:rStyle w:val="HideTWBExt"/>
        </w:rPr>
        <w:t>&lt;/Amend&gt;</w:t>
      </w:r>
    </w:p>
    <w:p w14:paraId="767F088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121</w:t>
      </w:r>
      <w:r w:rsidRPr="00FA40C1">
        <w:rPr>
          <w:rStyle w:val="HideTWBExt"/>
          <w:b w:val="0"/>
        </w:rPr>
        <w:t>&lt;/NumAm&gt;</w:t>
      </w:r>
    </w:p>
    <w:p w14:paraId="0276438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0E08BBCE" w14:textId="77777777" w:rsidR="00804A7C" w:rsidRPr="00FA40C1" w:rsidRDefault="00804A7C" w:rsidP="00804A7C">
      <w:pPr>
        <w:pStyle w:val="NormalBold"/>
        <w:rPr>
          <w:color w:val="000000" w:themeColor="text1"/>
        </w:rPr>
      </w:pPr>
      <w:r w:rsidRPr="00FA40C1">
        <w:rPr>
          <w:rStyle w:val="HideTWBExt"/>
          <w:b w:val="0"/>
        </w:rPr>
        <w:t>&lt;/RepeatBlock-By&gt;</w:t>
      </w:r>
    </w:p>
    <w:p w14:paraId="00197EB2"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D1E274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8D522D0"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3A55536"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1 – alinéa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58C3E9D" w14:textId="77777777" w:rsidTr="00BF4F5C">
        <w:trPr>
          <w:trHeight w:hRule="exact" w:val="240"/>
          <w:jc w:val="center"/>
        </w:trPr>
        <w:tc>
          <w:tcPr>
            <w:tcW w:w="9752" w:type="dxa"/>
            <w:gridSpan w:val="2"/>
          </w:tcPr>
          <w:p w14:paraId="58C2D5AD" w14:textId="77777777" w:rsidR="00804A7C" w:rsidRPr="00FA40C1" w:rsidRDefault="00804A7C" w:rsidP="00BF4F5C">
            <w:pPr>
              <w:rPr>
                <w:color w:val="000000" w:themeColor="text1"/>
              </w:rPr>
            </w:pPr>
          </w:p>
        </w:tc>
      </w:tr>
      <w:tr w:rsidR="00804A7C" w:rsidRPr="00FA40C1" w14:paraId="18336016" w14:textId="77777777" w:rsidTr="00BF4F5C">
        <w:trPr>
          <w:trHeight w:val="240"/>
          <w:jc w:val="center"/>
        </w:trPr>
        <w:tc>
          <w:tcPr>
            <w:tcW w:w="4876" w:type="dxa"/>
          </w:tcPr>
          <w:p w14:paraId="304AF509"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6A7389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3FF97B2" w14:textId="77777777" w:rsidTr="00BF4F5C">
        <w:trPr>
          <w:jc w:val="center"/>
        </w:trPr>
        <w:tc>
          <w:tcPr>
            <w:tcW w:w="4876" w:type="dxa"/>
          </w:tcPr>
          <w:p w14:paraId="05F9F44D" w14:textId="77777777" w:rsidR="00804A7C" w:rsidRPr="00FA40C1" w:rsidRDefault="00804A7C" w:rsidP="00BF4F5C">
            <w:pPr>
              <w:pStyle w:val="Normal6a"/>
              <w:rPr>
                <w:color w:val="000000" w:themeColor="text1"/>
              </w:rPr>
            </w:pPr>
            <w:r w:rsidRPr="00FA40C1">
              <w:rPr>
                <w:color w:val="000000" w:themeColor="text1"/>
              </w:rPr>
              <w:t>Lorsque, sur la base de l’examen visé à l’article 8 ter, paragraphe 4, ou de l’analyse visée à l’article 8 quater, paragraphe 2, et en prenant en considération les conséquences d’une suspension de l’exemption de l’obligation de visa sur les relations extérieures globales de l’Union et de ses États membres avec le pays tiers concerné, tout en travaillant en coopération étroite avec ce pays tiers afin de trouver des solutions de remplacement à long terme, la Commission décide que des mesures doivent être prises, ou lorsqu’une majorité simple des États membres a notifié à la Commission l’existence des circonstances mentionnées à l’article 8 bis, paragraphe 1, points a), b), c) ou d) </w:t>
            </w:r>
            <w:r w:rsidRPr="00FA40C1">
              <w:rPr>
                <w:b/>
                <w:i/>
                <w:color w:val="000000" w:themeColor="text1"/>
              </w:rPr>
              <w:t>i)</w:t>
            </w:r>
            <w:r w:rsidRPr="00FA40C1">
              <w:rPr>
                <w:color w:val="000000" w:themeColor="text1"/>
              </w:rPr>
              <w:t xml:space="preserve">, la Commission adopte un acte </w:t>
            </w:r>
            <w:r w:rsidRPr="00FA40C1">
              <w:rPr>
                <w:b/>
                <w:i/>
                <w:color w:val="000000" w:themeColor="text1"/>
              </w:rPr>
              <w:t>d’exécution</w:t>
            </w:r>
            <w:r w:rsidRPr="00FA40C1">
              <w:rPr>
                <w:color w:val="000000" w:themeColor="text1"/>
              </w:rPr>
              <w:t xml:space="preserve"> portant suspension temporaire de l’exemption de l’obligation de visa à l’égard des ressortissants du pays tiers concerné pour une période de douze mois.</w:t>
            </w:r>
          </w:p>
        </w:tc>
        <w:tc>
          <w:tcPr>
            <w:tcW w:w="4876" w:type="dxa"/>
          </w:tcPr>
          <w:p w14:paraId="611DEC50" w14:textId="77777777" w:rsidR="00804A7C" w:rsidRPr="00FA40C1" w:rsidRDefault="00804A7C" w:rsidP="00BF4F5C">
            <w:pPr>
              <w:pStyle w:val="Normal6a"/>
              <w:rPr>
                <w:color w:val="000000" w:themeColor="text1"/>
              </w:rPr>
            </w:pPr>
            <w:r w:rsidRPr="00FA40C1">
              <w:rPr>
                <w:color w:val="000000" w:themeColor="text1"/>
              </w:rPr>
              <w:t xml:space="preserve">Lorsque, sur la base de l’examen visé à l’article 8 ter, paragraphe 4, ou de l’analyse visée à l’article 8 quater, paragraphe 2, et en prenant en considération </w:t>
            </w:r>
            <w:r w:rsidRPr="00FA40C1">
              <w:rPr>
                <w:b/>
                <w:i/>
                <w:color w:val="000000" w:themeColor="text1"/>
              </w:rPr>
              <w:t>la nécessité, la proportionnalité et</w:t>
            </w:r>
            <w:r w:rsidRPr="00FA40C1">
              <w:rPr>
                <w:color w:val="000000" w:themeColor="text1"/>
              </w:rPr>
              <w:t xml:space="preserve"> les conséquences d’une suspension de l’exemption de l’obligation de visa sur les relations extérieures globales de l’Union et de ses États membres avec le pays tiers concerné </w:t>
            </w:r>
            <w:r w:rsidRPr="00FA40C1">
              <w:rPr>
                <w:b/>
                <w:i/>
                <w:color w:val="000000" w:themeColor="text1"/>
              </w:rPr>
              <w:t>et sur les ressortissants de ce pays tiers, comme le prévoit l’article 8 ter, paragraphe 4 bis</w:t>
            </w:r>
            <w:r w:rsidRPr="00FA40C1">
              <w:rPr>
                <w:color w:val="000000" w:themeColor="text1"/>
              </w:rPr>
              <w:t xml:space="preserve">, tout en travaillant en coopération étroite avec ce pays tiers afin de trouver des solutions de remplacement à long terme, la Commission décide que des mesures doivent être prises, ou lorsqu’une majorité simple des États membres a notifié à la Commission l’existence des circonstances mentionnées à l’article 8 bis, paragraphe 1, points a), b), c) ou d), la Commission adopte un acte </w:t>
            </w:r>
            <w:r w:rsidRPr="00FA40C1">
              <w:rPr>
                <w:b/>
                <w:i/>
                <w:color w:val="000000" w:themeColor="text1"/>
              </w:rPr>
              <w:t>délégué</w:t>
            </w:r>
            <w:r w:rsidRPr="00FA40C1">
              <w:rPr>
                <w:color w:val="000000" w:themeColor="text1"/>
              </w:rPr>
              <w:t xml:space="preserve"> portant suspension temporaire de l’exemption de l’obligation de visa à l’égard des ressortissants du pays tiers concerné pour une période de douze mois.</w:t>
            </w:r>
          </w:p>
        </w:tc>
      </w:tr>
    </w:tbl>
    <w:p w14:paraId="0F6B7151"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27E6E840" w14:textId="77777777" w:rsidR="00804A7C" w:rsidRPr="00FA40C1" w:rsidRDefault="00804A7C" w:rsidP="00804A7C">
      <w:pPr>
        <w:rPr>
          <w:color w:val="000000" w:themeColor="text1"/>
        </w:rPr>
      </w:pPr>
      <w:r w:rsidRPr="00FA40C1">
        <w:rPr>
          <w:rStyle w:val="HideTWBExt"/>
        </w:rPr>
        <w:t>&lt;/Amend&gt;</w:t>
      </w:r>
    </w:p>
    <w:p w14:paraId="5D27C1CF"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122</w:t>
      </w:r>
      <w:r w:rsidRPr="00FA40C1">
        <w:rPr>
          <w:rStyle w:val="HideTWBExt"/>
          <w:b w:val="0"/>
        </w:rPr>
        <w:t>&lt;/NumAm&gt;</w:t>
      </w:r>
    </w:p>
    <w:p w14:paraId="59430901"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7BBD3DEE" w14:textId="77777777" w:rsidR="00804A7C" w:rsidRPr="00FA40C1" w:rsidRDefault="00804A7C" w:rsidP="00804A7C">
      <w:pPr>
        <w:pStyle w:val="NormalBold"/>
        <w:rPr>
          <w:color w:val="000000" w:themeColor="text1"/>
        </w:rPr>
      </w:pPr>
      <w:r w:rsidRPr="00FA40C1">
        <w:rPr>
          <w:rStyle w:val="HideTWBExt"/>
          <w:b w:val="0"/>
        </w:rPr>
        <w:t>&lt;/RepeatBlock-By&gt;</w:t>
      </w:r>
    </w:p>
    <w:p w14:paraId="25FDDA1C"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6A52763"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8E4B1D1"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886893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1 – alinéa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15112B6" w14:textId="77777777" w:rsidTr="00BF4F5C">
        <w:trPr>
          <w:trHeight w:hRule="exact" w:val="240"/>
          <w:jc w:val="center"/>
        </w:trPr>
        <w:tc>
          <w:tcPr>
            <w:tcW w:w="9752" w:type="dxa"/>
            <w:gridSpan w:val="2"/>
          </w:tcPr>
          <w:p w14:paraId="3C4C2C6C" w14:textId="77777777" w:rsidR="00804A7C" w:rsidRPr="00FA40C1" w:rsidRDefault="00804A7C" w:rsidP="00BF4F5C">
            <w:pPr>
              <w:rPr>
                <w:color w:val="000000" w:themeColor="text1"/>
              </w:rPr>
            </w:pPr>
          </w:p>
        </w:tc>
      </w:tr>
      <w:tr w:rsidR="00804A7C" w:rsidRPr="00FA40C1" w14:paraId="23A331E0" w14:textId="77777777" w:rsidTr="00BF4F5C">
        <w:trPr>
          <w:trHeight w:val="240"/>
          <w:jc w:val="center"/>
        </w:trPr>
        <w:tc>
          <w:tcPr>
            <w:tcW w:w="4876" w:type="dxa"/>
          </w:tcPr>
          <w:p w14:paraId="2E47A40A"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D6CD7E5"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87B9337" w14:textId="77777777" w:rsidTr="00BF4F5C">
        <w:trPr>
          <w:jc w:val="center"/>
        </w:trPr>
        <w:tc>
          <w:tcPr>
            <w:tcW w:w="4876" w:type="dxa"/>
          </w:tcPr>
          <w:p w14:paraId="46BD355E" w14:textId="77777777" w:rsidR="00804A7C" w:rsidRPr="00FA40C1" w:rsidRDefault="00804A7C" w:rsidP="00BF4F5C">
            <w:pPr>
              <w:pStyle w:val="Normal6a"/>
              <w:rPr>
                <w:color w:val="000000" w:themeColor="text1"/>
              </w:rPr>
            </w:pPr>
            <w:r w:rsidRPr="00FA40C1">
              <w:rPr>
                <w:color w:val="000000" w:themeColor="text1"/>
              </w:rPr>
              <w:t xml:space="preserve">La suspension s’applique à certaines catégories de ressortissants du pays tiers concerné, par référence à la nature des documents de voyage </w:t>
            </w:r>
            <w:r w:rsidRPr="00FA40C1">
              <w:rPr>
                <w:b/>
                <w:i/>
                <w:color w:val="000000" w:themeColor="text1"/>
              </w:rPr>
              <w:t>et</w:t>
            </w:r>
            <w:r w:rsidRPr="00FA40C1">
              <w:rPr>
                <w:color w:val="000000" w:themeColor="text1"/>
              </w:rPr>
              <w:t xml:space="preserve">, s’il y a lieu, à d’autres critères. Lorsqu’elle détermine les catégories auxquelles la suspension s’applique, la Commission, en se basant sur les informations disponibles, inclut des catégories qui sont </w:t>
            </w:r>
            <w:r w:rsidRPr="00FA40C1">
              <w:rPr>
                <w:b/>
                <w:i/>
                <w:color w:val="000000" w:themeColor="text1"/>
              </w:rPr>
              <w:t>suffisamment larges pour permettre</w:t>
            </w:r>
            <w:r w:rsidRPr="00FA40C1">
              <w:rPr>
                <w:color w:val="000000" w:themeColor="text1"/>
              </w:rPr>
              <w:t xml:space="preserve"> de remédier efficacement aux circonstances qui ont conduit à la suspension, tout en respectant le principe de proportionnalité et celui de non-discrimination, conformément à l’article 21 de la charte des droits fondamentaux de l’Union européenne. L’acte </w:t>
            </w:r>
            <w:r w:rsidRPr="00FA40C1">
              <w:rPr>
                <w:b/>
                <w:i/>
                <w:color w:val="000000" w:themeColor="text1"/>
              </w:rPr>
              <w:t>d’exécution</w:t>
            </w:r>
            <w:r w:rsidRPr="00FA40C1">
              <w:rPr>
                <w:color w:val="000000" w:themeColor="text1"/>
              </w:rPr>
              <w:t xml:space="preserve"> fixe la date à laquelle la suspension de l’exemption de l’obligation de visa doit prendre effet.</w:t>
            </w:r>
          </w:p>
        </w:tc>
        <w:tc>
          <w:tcPr>
            <w:tcW w:w="4876" w:type="dxa"/>
          </w:tcPr>
          <w:p w14:paraId="63B52C91" w14:textId="77777777" w:rsidR="00804A7C" w:rsidRPr="00FA40C1" w:rsidRDefault="00804A7C" w:rsidP="00BF4F5C">
            <w:pPr>
              <w:pStyle w:val="Normal6a"/>
              <w:rPr>
                <w:color w:val="000000" w:themeColor="text1"/>
              </w:rPr>
            </w:pPr>
            <w:r w:rsidRPr="00FA40C1">
              <w:rPr>
                <w:color w:val="000000" w:themeColor="text1"/>
              </w:rPr>
              <w:t xml:space="preserve">La suspension s’applique à certaines catégories de ressortissants du pays tiers concerné </w:t>
            </w:r>
            <w:r w:rsidRPr="00FA40C1">
              <w:rPr>
                <w:b/>
                <w:i/>
                <w:color w:val="000000" w:themeColor="text1"/>
              </w:rPr>
              <w:t>ou à certaines personnes</w:t>
            </w:r>
            <w:r w:rsidRPr="00FA40C1">
              <w:rPr>
                <w:color w:val="000000" w:themeColor="text1"/>
              </w:rPr>
              <w:t xml:space="preserve">, par référence à la nature des documents de voyage </w:t>
            </w:r>
            <w:r w:rsidRPr="00FA40C1">
              <w:rPr>
                <w:b/>
                <w:i/>
                <w:color w:val="000000" w:themeColor="text1"/>
              </w:rPr>
              <w:t>ou</w:t>
            </w:r>
            <w:r w:rsidRPr="00FA40C1">
              <w:rPr>
                <w:color w:val="000000" w:themeColor="text1"/>
              </w:rPr>
              <w:t xml:space="preserve">, s’il y a lieu, à d’autres critères. Lorsqu’elle détermine les catégories </w:t>
            </w:r>
            <w:r w:rsidRPr="00FA40C1">
              <w:rPr>
                <w:b/>
                <w:i/>
                <w:color w:val="000000" w:themeColor="text1"/>
              </w:rPr>
              <w:t>ou les personnes</w:t>
            </w:r>
            <w:r w:rsidRPr="00FA40C1">
              <w:rPr>
                <w:color w:val="000000" w:themeColor="text1"/>
              </w:rPr>
              <w:t xml:space="preserve"> auxquelles la suspension s’applique, la Commission, en se basant sur les informations disponibles </w:t>
            </w:r>
            <w:r w:rsidRPr="00FA40C1">
              <w:rPr>
                <w:b/>
                <w:i/>
                <w:color w:val="000000" w:themeColor="text1"/>
              </w:rPr>
              <w:t>et sur l’évaluation de l’incidence et des conséquences de cette suspension</w:t>
            </w:r>
            <w:r w:rsidRPr="00FA40C1">
              <w:rPr>
                <w:color w:val="000000" w:themeColor="text1"/>
              </w:rPr>
              <w:t xml:space="preserve">, inclut </w:t>
            </w:r>
            <w:r w:rsidRPr="00FA40C1">
              <w:rPr>
                <w:b/>
                <w:i/>
                <w:color w:val="000000" w:themeColor="text1"/>
              </w:rPr>
              <w:t>uniquement</w:t>
            </w:r>
            <w:r w:rsidRPr="00FA40C1">
              <w:rPr>
                <w:color w:val="000000" w:themeColor="text1"/>
              </w:rPr>
              <w:t xml:space="preserve"> des catégories </w:t>
            </w:r>
            <w:r w:rsidRPr="00FA40C1">
              <w:rPr>
                <w:b/>
                <w:i/>
                <w:color w:val="000000" w:themeColor="text1"/>
              </w:rPr>
              <w:t>ou des personnes</w:t>
            </w:r>
            <w:r w:rsidRPr="00FA40C1">
              <w:rPr>
                <w:color w:val="000000" w:themeColor="text1"/>
              </w:rPr>
              <w:t xml:space="preserve"> qui sont </w:t>
            </w:r>
            <w:r w:rsidRPr="00FA40C1">
              <w:rPr>
                <w:b/>
                <w:i/>
                <w:color w:val="000000" w:themeColor="text1"/>
              </w:rPr>
              <w:t>capables</w:t>
            </w:r>
            <w:r w:rsidRPr="00FA40C1">
              <w:rPr>
                <w:color w:val="000000" w:themeColor="text1"/>
              </w:rPr>
              <w:t xml:space="preserve"> de </w:t>
            </w:r>
            <w:r w:rsidRPr="00FA40C1">
              <w:rPr>
                <w:b/>
                <w:i/>
                <w:color w:val="000000" w:themeColor="text1"/>
              </w:rPr>
              <w:t>contribuer à</w:t>
            </w:r>
            <w:r w:rsidRPr="00FA40C1">
              <w:rPr>
                <w:color w:val="000000" w:themeColor="text1"/>
              </w:rPr>
              <w:t xml:space="preserve"> remédier efficacement aux circonstances qui ont conduit à la suspension, tout en respectant le principe de proportionnalité et celui de non-discrimination, conformément à l’article 21 de la charte des droits fondamentaux de l’Union européenne. L’acte </w:t>
            </w:r>
            <w:r w:rsidRPr="00FA40C1">
              <w:rPr>
                <w:b/>
                <w:i/>
                <w:color w:val="000000" w:themeColor="text1"/>
              </w:rPr>
              <w:t>délégué</w:t>
            </w:r>
            <w:r w:rsidRPr="00FA40C1">
              <w:rPr>
                <w:color w:val="000000" w:themeColor="text1"/>
              </w:rPr>
              <w:t xml:space="preserve"> fixe la date à laquelle la suspension de l’exemption de l’obligation de visa doit prendre effet.</w:t>
            </w:r>
          </w:p>
        </w:tc>
      </w:tr>
    </w:tbl>
    <w:p w14:paraId="77CB64F7"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0ED5C94" w14:textId="77777777" w:rsidR="00804A7C" w:rsidRPr="00FA40C1" w:rsidRDefault="00804A7C" w:rsidP="00804A7C">
      <w:pPr>
        <w:rPr>
          <w:color w:val="000000" w:themeColor="text1"/>
        </w:rPr>
      </w:pPr>
      <w:r w:rsidRPr="00FA40C1">
        <w:rPr>
          <w:rStyle w:val="HideTWBExt"/>
        </w:rPr>
        <w:t>&lt;/Amend&gt;</w:t>
      </w:r>
    </w:p>
    <w:p w14:paraId="0E4E14E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123</w:t>
      </w:r>
      <w:r w:rsidRPr="00FA40C1">
        <w:rPr>
          <w:rStyle w:val="HideTWBExt"/>
          <w:b w:val="0"/>
        </w:rPr>
        <w:t>&lt;/NumAm&gt;</w:t>
      </w:r>
    </w:p>
    <w:p w14:paraId="64848043"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A3979D5" w14:textId="77777777" w:rsidR="00804A7C" w:rsidRPr="00FA40C1" w:rsidRDefault="00804A7C" w:rsidP="00804A7C">
      <w:pPr>
        <w:pStyle w:val="NormalBold"/>
        <w:rPr>
          <w:color w:val="000000" w:themeColor="text1"/>
        </w:rPr>
      </w:pPr>
      <w:r w:rsidRPr="00FA40C1">
        <w:rPr>
          <w:rStyle w:val="HideTWBExt"/>
          <w:b w:val="0"/>
        </w:rPr>
        <w:t>&lt;/RepeatBlock-By&gt;</w:t>
      </w:r>
    </w:p>
    <w:p w14:paraId="1A03C50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1DA9B56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2A0AB1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8D0BBE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1 – alinéa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33261D61" w14:textId="77777777" w:rsidTr="00BF4F5C">
        <w:trPr>
          <w:trHeight w:hRule="exact" w:val="240"/>
          <w:jc w:val="center"/>
        </w:trPr>
        <w:tc>
          <w:tcPr>
            <w:tcW w:w="9752" w:type="dxa"/>
            <w:gridSpan w:val="2"/>
          </w:tcPr>
          <w:p w14:paraId="3AC5038D" w14:textId="77777777" w:rsidR="00804A7C" w:rsidRPr="00FA40C1" w:rsidRDefault="00804A7C" w:rsidP="00BF4F5C">
            <w:pPr>
              <w:rPr>
                <w:color w:val="000000" w:themeColor="text1"/>
              </w:rPr>
            </w:pPr>
          </w:p>
        </w:tc>
      </w:tr>
      <w:tr w:rsidR="00804A7C" w:rsidRPr="00FA40C1" w14:paraId="293B6488" w14:textId="77777777" w:rsidTr="00BF4F5C">
        <w:trPr>
          <w:trHeight w:val="240"/>
          <w:jc w:val="center"/>
        </w:trPr>
        <w:tc>
          <w:tcPr>
            <w:tcW w:w="4876" w:type="dxa"/>
          </w:tcPr>
          <w:p w14:paraId="5841CDF4"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F8700E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30B8D06" w14:textId="77777777" w:rsidTr="00BF4F5C">
        <w:trPr>
          <w:jc w:val="center"/>
        </w:trPr>
        <w:tc>
          <w:tcPr>
            <w:tcW w:w="4876" w:type="dxa"/>
          </w:tcPr>
          <w:p w14:paraId="668C868D" w14:textId="77777777" w:rsidR="00804A7C" w:rsidRPr="00FA40C1" w:rsidRDefault="00804A7C" w:rsidP="00BF4F5C">
            <w:pPr>
              <w:pStyle w:val="Normal6a"/>
              <w:rPr>
                <w:color w:val="000000" w:themeColor="text1"/>
              </w:rPr>
            </w:pPr>
            <w:r w:rsidRPr="00FA40C1">
              <w:rPr>
                <w:color w:val="000000" w:themeColor="text1"/>
              </w:rPr>
              <w:t xml:space="preserve">La Commission adopte l’acte </w:t>
            </w:r>
            <w:r w:rsidRPr="00FA40C1">
              <w:rPr>
                <w:b/>
                <w:i/>
                <w:color w:val="000000" w:themeColor="text1"/>
              </w:rPr>
              <w:t>d’exécution</w:t>
            </w:r>
            <w:r w:rsidRPr="00FA40C1">
              <w:rPr>
                <w:color w:val="000000" w:themeColor="text1"/>
              </w:rPr>
              <w:t xml:space="preserve"> visé au premier alinéa dans un délai d’un mois à compter de:</w:t>
            </w:r>
          </w:p>
        </w:tc>
        <w:tc>
          <w:tcPr>
            <w:tcW w:w="4876" w:type="dxa"/>
          </w:tcPr>
          <w:p w14:paraId="3812C490" w14:textId="77777777" w:rsidR="00804A7C" w:rsidRPr="00FA40C1" w:rsidRDefault="00804A7C" w:rsidP="00BF4F5C">
            <w:pPr>
              <w:pStyle w:val="Normal6a"/>
              <w:rPr>
                <w:color w:val="000000" w:themeColor="text1"/>
              </w:rPr>
            </w:pPr>
            <w:r w:rsidRPr="00FA40C1">
              <w:rPr>
                <w:color w:val="000000" w:themeColor="text1"/>
              </w:rPr>
              <w:t xml:space="preserve">La Commission adopte l’acte </w:t>
            </w:r>
            <w:r w:rsidRPr="00FA40C1">
              <w:rPr>
                <w:b/>
                <w:i/>
                <w:color w:val="000000" w:themeColor="text1"/>
              </w:rPr>
              <w:t>délégué</w:t>
            </w:r>
            <w:r w:rsidRPr="00FA40C1">
              <w:rPr>
                <w:color w:val="000000" w:themeColor="text1"/>
              </w:rPr>
              <w:t xml:space="preserve"> visé au premier alinéa dans un délai d’un mois à compter de:</w:t>
            </w:r>
          </w:p>
        </w:tc>
      </w:tr>
    </w:tbl>
    <w:p w14:paraId="2D2DE85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5360354" w14:textId="77777777" w:rsidR="00804A7C" w:rsidRPr="00FA40C1" w:rsidRDefault="00804A7C" w:rsidP="00804A7C">
      <w:pPr>
        <w:rPr>
          <w:color w:val="000000" w:themeColor="text1"/>
        </w:rPr>
      </w:pPr>
      <w:r w:rsidRPr="00FA40C1">
        <w:rPr>
          <w:rStyle w:val="HideTWBExt"/>
        </w:rPr>
        <w:t>&lt;/Amend&gt;</w:t>
      </w:r>
    </w:p>
    <w:p w14:paraId="54CA38E4"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124</w:t>
      </w:r>
      <w:r w:rsidRPr="00FA40C1">
        <w:rPr>
          <w:rStyle w:val="HideTWBExt"/>
          <w:b w:val="0"/>
        </w:rPr>
        <w:t>&lt;/NumAm&gt;</w:t>
      </w:r>
    </w:p>
    <w:p w14:paraId="6CF5579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1B2D6697" w14:textId="77777777" w:rsidR="00804A7C" w:rsidRPr="00FA40C1" w:rsidRDefault="00804A7C" w:rsidP="00804A7C">
      <w:pPr>
        <w:pStyle w:val="NormalBold"/>
        <w:rPr>
          <w:color w:val="000000" w:themeColor="text1"/>
        </w:rPr>
      </w:pPr>
      <w:r w:rsidRPr="00FA40C1">
        <w:rPr>
          <w:rStyle w:val="HideTWBExt"/>
          <w:b w:val="0"/>
        </w:rPr>
        <w:t>&lt;/RepeatBlock-By&gt;</w:t>
      </w:r>
    </w:p>
    <w:p w14:paraId="37C56DB9"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C0F14E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9A161FE"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1F392E1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1 – alinéa 3 – point c</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ACC2379" w14:textId="77777777" w:rsidTr="00BF4F5C">
        <w:trPr>
          <w:trHeight w:hRule="exact" w:val="240"/>
          <w:jc w:val="center"/>
        </w:trPr>
        <w:tc>
          <w:tcPr>
            <w:tcW w:w="9752" w:type="dxa"/>
            <w:gridSpan w:val="2"/>
          </w:tcPr>
          <w:p w14:paraId="6FA9A92D" w14:textId="77777777" w:rsidR="00804A7C" w:rsidRPr="00FA40C1" w:rsidRDefault="00804A7C" w:rsidP="00BF4F5C">
            <w:pPr>
              <w:rPr>
                <w:color w:val="000000" w:themeColor="text1"/>
              </w:rPr>
            </w:pPr>
          </w:p>
        </w:tc>
      </w:tr>
      <w:tr w:rsidR="00804A7C" w:rsidRPr="00FA40C1" w14:paraId="5A6798EE" w14:textId="77777777" w:rsidTr="00BF4F5C">
        <w:trPr>
          <w:trHeight w:val="240"/>
          <w:jc w:val="center"/>
        </w:trPr>
        <w:tc>
          <w:tcPr>
            <w:tcW w:w="4876" w:type="dxa"/>
          </w:tcPr>
          <w:p w14:paraId="6479CA2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F4DE56F"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509DD6AC" w14:textId="77777777" w:rsidTr="00BF4F5C">
        <w:trPr>
          <w:jc w:val="center"/>
        </w:trPr>
        <w:tc>
          <w:tcPr>
            <w:tcW w:w="4876" w:type="dxa"/>
          </w:tcPr>
          <w:p w14:paraId="5362D8D9" w14:textId="77777777" w:rsidR="00804A7C" w:rsidRPr="00FA40C1" w:rsidRDefault="00804A7C" w:rsidP="00BF4F5C">
            <w:pPr>
              <w:pStyle w:val="Normal6a"/>
              <w:rPr>
                <w:color w:val="000000" w:themeColor="text1"/>
              </w:rPr>
            </w:pPr>
            <w:r w:rsidRPr="00FA40C1">
              <w:rPr>
                <w:color w:val="000000" w:themeColor="text1"/>
              </w:rPr>
              <w:t>c)</w:t>
            </w:r>
            <w:r w:rsidRPr="00FA40C1">
              <w:rPr>
                <w:color w:val="000000" w:themeColor="text1"/>
              </w:rPr>
              <w:tab/>
              <w:t>la réception de la notification, faite par une majorité simple des États membres, de l’existence de motifs mentionnés à l’article 8 bis, paragraphe 1, points a), b), c) ou d) </w:t>
            </w:r>
            <w:r w:rsidRPr="00FA40C1">
              <w:rPr>
                <w:b/>
                <w:i/>
                <w:color w:val="000000" w:themeColor="text1"/>
              </w:rPr>
              <w:t>i)</w:t>
            </w:r>
            <w:r w:rsidRPr="00FA40C1">
              <w:rPr>
                <w:color w:val="000000" w:themeColor="text1"/>
              </w:rPr>
              <w:t>.</w:t>
            </w:r>
          </w:p>
        </w:tc>
        <w:tc>
          <w:tcPr>
            <w:tcW w:w="4876" w:type="dxa"/>
          </w:tcPr>
          <w:p w14:paraId="1225D660" w14:textId="77777777" w:rsidR="00804A7C" w:rsidRPr="00FA40C1" w:rsidRDefault="00804A7C" w:rsidP="00BF4F5C">
            <w:pPr>
              <w:pStyle w:val="Normal6a"/>
              <w:rPr>
                <w:color w:val="000000" w:themeColor="text1"/>
              </w:rPr>
            </w:pPr>
            <w:r w:rsidRPr="00FA40C1">
              <w:rPr>
                <w:color w:val="000000" w:themeColor="text1"/>
              </w:rPr>
              <w:t>c)</w:t>
            </w:r>
            <w:r w:rsidRPr="00FA40C1">
              <w:rPr>
                <w:color w:val="000000" w:themeColor="text1"/>
              </w:rPr>
              <w:tab/>
              <w:t>la réception de la notification, faite par une majorité simple des États membres, de l’existence de motifs mentionnés à l’article 8 bis, paragraphe 1, points a), b), c) ou d).</w:t>
            </w:r>
          </w:p>
        </w:tc>
      </w:tr>
    </w:tbl>
    <w:p w14:paraId="52416E5B"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3338C26" w14:textId="77777777" w:rsidR="00804A7C" w:rsidRPr="00FA40C1" w:rsidRDefault="00804A7C" w:rsidP="00804A7C">
      <w:pPr>
        <w:rPr>
          <w:color w:val="000000" w:themeColor="text1"/>
        </w:rPr>
      </w:pPr>
      <w:r w:rsidRPr="00FA40C1">
        <w:rPr>
          <w:rStyle w:val="HideTWBExt"/>
        </w:rPr>
        <w:t>&lt;/Amend&gt;</w:t>
      </w:r>
    </w:p>
    <w:p w14:paraId="1722C7C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125</w:t>
      </w:r>
      <w:r w:rsidRPr="00FA40C1">
        <w:rPr>
          <w:rStyle w:val="HideTWBExt"/>
          <w:b w:val="0"/>
        </w:rPr>
        <w:t>&lt;/NumAm&gt;</w:t>
      </w:r>
    </w:p>
    <w:p w14:paraId="2C57D6D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40DAE2DB" w14:textId="77777777" w:rsidR="00804A7C" w:rsidRPr="00FA40C1" w:rsidRDefault="00804A7C" w:rsidP="00804A7C">
      <w:pPr>
        <w:pStyle w:val="NormalBold"/>
        <w:rPr>
          <w:color w:val="000000" w:themeColor="text1"/>
        </w:rPr>
      </w:pPr>
      <w:r w:rsidRPr="00FA40C1">
        <w:rPr>
          <w:rStyle w:val="HideTWBExt"/>
          <w:b w:val="0"/>
        </w:rPr>
        <w:t>&lt;/RepeatBlock-By&gt;</w:t>
      </w:r>
    </w:p>
    <w:p w14:paraId="283DCE17"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6181CB9"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612D347"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B401E1D"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1 – alinéa 4</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B2CED95" w14:textId="77777777" w:rsidTr="00BF4F5C">
        <w:trPr>
          <w:trHeight w:hRule="exact" w:val="240"/>
          <w:jc w:val="center"/>
        </w:trPr>
        <w:tc>
          <w:tcPr>
            <w:tcW w:w="9752" w:type="dxa"/>
            <w:gridSpan w:val="2"/>
          </w:tcPr>
          <w:p w14:paraId="45D017C6" w14:textId="77777777" w:rsidR="00804A7C" w:rsidRPr="00FA40C1" w:rsidRDefault="00804A7C" w:rsidP="00BF4F5C">
            <w:pPr>
              <w:rPr>
                <w:color w:val="000000" w:themeColor="text1"/>
              </w:rPr>
            </w:pPr>
          </w:p>
        </w:tc>
      </w:tr>
      <w:tr w:rsidR="00804A7C" w:rsidRPr="00FA40C1" w14:paraId="60001A1F" w14:textId="77777777" w:rsidTr="00BF4F5C">
        <w:trPr>
          <w:trHeight w:val="240"/>
          <w:jc w:val="center"/>
        </w:trPr>
        <w:tc>
          <w:tcPr>
            <w:tcW w:w="4876" w:type="dxa"/>
          </w:tcPr>
          <w:p w14:paraId="65A3411F"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30633DA"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30A65FA" w14:textId="77777777" w:rsidTr="00BF4F5C">
        <w:trPr>
          <w:jc w:val="center"/>
        </w:trPr>
        <w:tc>
          <w:tcPr>
            <w:tcW w:w="4876" w:type="dxa"/>
          </w:tcPr>
          <w:p w14:paraId="7EF6EEA0" w14:textId="77777777" w:rsidR="00804A7C" w:rsidRPr="00FA40C1" w:rsidRDefault="00804A7C" w:rsidP="00BF4F5C">
            <w:pPr>
              <w:pStyle w:val="Normal6a"/>
              <w:rPr>
                <w:color w:val="000000" w:themeColor="text1"/>
              </w:rPr>
            </w:pPr>
            <w:r w:rsidRPr="00FA40C1">
              <w:rPr>
                <w:color w:val="000000" w:themeColor="text1"/>
              </w:rPr>
              <w:t xml:space="preserve">Les actes </w:t>
            </w:r>
            <w:r w:rsidRPr="00FA40C1">
              <w:rPr>
                <w:b/>
                <w:i/>
                <w:color w:val="000000" w:themeColor="text1"/>
              </w:rPr>
              <w:t>d’exécution</w:t>
            </w:r>
            <w:r w:rsidRPr="00FA40C1">
              <w:rPr>
                <w:color w:val="000000" w:themeColor="text1"/>
              </w:rPr>
              <w:t xml:space="preserve"> visés au premier alinéa sont adoptés en conformité avec </w:t>
            </w:r>
            <w:r w:rsidRPr="00FA40C1">
              <w:rPr>
                <w:b/>
                <w:i/>
                <w:color w:val="000000" w:themeColor="text1"/>
              </w:rPr>
              <w:t>la procédure d’examen visée à</w:t>
            </w:r>
            <w:r w:rsidRPr="00FA40C1">
              <w:rPr>
                <w:color w:val="000000" w:themeColor="text1"/>
              </w:rPr>
              <w:t xml:space="preserve"> l’article </w:t>
            </w:r>
            <w:r w:rsidRPr="00FA40C1">
              <w:rPr>
                <w:b/>
                <w:i/>
                <w:color w:val="000000" w:themeColor="text1"/>
              </w:rPr>
              <w:t>11, paragraphe 2</w:t>
            </w:r>
            <w:r w:rsidRPr="00FA40C1">
              <w:rPr>
                <w:color w:val="000000" w:themeColor="text1"/>
              </w:rPr>
              <w:t>.</w:t>
            </w:r>
          </w:p>
        </w:tc>
        <w:tc>
          <w:tcPr>
            <w:tcW w:w="4876" w:type="dxa"/>
          </w:tcPr>
          <w:p w14:paraId="622D6862" w14:textId="77777777" w:rsidR="00804A7C" w:rsidRPr="00FA40C1" w:rsidRDefault="00804A7C" w:rsidP="00BF4F5C">
            <w:pPr>
              <w:pStyle w:val="Normal6a"/>
              <w:rPr>
                <w:color w:val="000000" w:themeColor="text1"/>
              </w:rPr>
            </w:pPr>
            <w:r w:rsidRPr="00FA40C1">
              <w:rPr>
                <w:color w:val="000000" w:themeColor="text1"/>
              </w:rPr>
              <w:t xml:space="preserve">Les actes </w:t>
            </w:r>
            <w:r w:rsidRPr="00FA40C1">
              <w:rPr>
                <w:b/>
                <w:i/>
                <w:color w:val="000000" w:themeColor="text1"/>
              </w:rPr>
              <w:t>délégués</w:t>
            </w:r>
            <w:r w:rsidRPr="00FA40C1">
              <w:rPr>
                <w:color w:val="000000" w:themeColor="text1"/>
              </w:rPr>
              <w:t xml:space="preserve"> visés au premier alinéa sont adoptés en conformité avec l’article </w:t>
            </w:r>
            <w:r w:rsidRPr="00FA40C1">
              <w:rPr>
                <w:b/>
                <w:i/>
                <w:color w:val="000000" w:themeColor="text1"/>
              </w:rPr>
              <w:t>10</w:t>
            </w:r>
            <w:r w:rsidRPr="00FA40C1">
              <w:rPr>
                <w:color w:val="000000" w:themeColor="text1"/>
              </w:rPr>
              <w:t>.</w:t>
            </w:r>
          </w:p>
        </w:tc>
      </w:tr>
    </w:tbl>
    <w:p w14:paraId="40F6CA4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56BB41A4" w14:textId="77777777" w:rsidR="00804A7C" w:rsidRPr="00FA40C1" w:rsidRDefault="00804A7C" w:rsidP="00804A7C">
      <w:pPr>
        <w:rPr>
          <w:color w:val="000000" w:themeColor="text1"/>
        </w:rPr>
      </w:pPr>
      <w:r w:rsidRPr="00FA40C1">
        <w:rPr>
          <w:rStyle w:val="HideTWBExt"/>
        </w:rPr>
        <w:t>&lt;/Amend&gt;</w:t>
      </w:r>
    </w:p>
    <w:p w14:paraId="0A99F446"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126</w:t>
      </w:r>
      <w:r w:rsidRPr="00FA40C1">
        <w:rPr>
          <w:rStyle w:val="HideTWBExt"/>
          <w:b w:val="0"/>
        </w:rPr>
        <w:t>&lt;/NumAm&gt;</w:t>
      </w:r>
    </w:p>
    <w:p w14:paraId="4F3CCA1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A22AC93" w14:textId="77777777" w:rsidR="00804A7C" w:rsidRPr="00FA40C1" w:rsidRDefault="00804A7C" w:rsidP="00804A7C">
      <w:pPr>
        <w:pStyle w:val="NormalBold"/>
        <w:rPr>
          <w:color w:val="000000" w:themeColor="text1"/>
        </w:rPr>
      </w:pPr>
      <w:r w:rsidRPr="00FA40C1">
        <w:rPr>
          <w:rStyle w:val="HideTWBExt"/>
          <w:b w:val="0"/>
        </w:rPr>
        <w:t>&lt;/RepeatBlock-By&gt;</w:t>
      </w:r>
    </w:p>
    <w:p w14:paraId="4F436EC6"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68FD86E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12E52F8"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4931CD42"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2CFF784" w14:textId="77777777" w:rsidTr="00BF4F5C">
        <w:trPr>
          <w:trHeight w:hRule="exact" w:val="240"/>
          <w:jc w:val="center"/>
        </w:trPr>
        <w:tc>
          <w:tcPr>
            <w:tcW w:w="9752" w:type="dxa"/>
            <w:gridSpan w:val="2"/>
          </w:tcPr>
          <w:p w14:paraId="169C3CAA" w14:textId="77777777" w:rsidR="00804A7C" w:rsidRPr="00FA40C1" w:rsidRDefault="00804A7C" w:rsidP="00BF4F5C">
            <w:pPr>
              <w:rPr>
                <w:color w:val="000000" w:themeColor="text1"/>
              </w:rPr>
            </w:pPr>
          </w:p>
        </w:tc>
      </w:tr>
      <w:tr w:rsidR="00804A7C" w:rsidRPr="00FA40C1" w14:paraId="4F8CDC30" w14:textId="77777777" w:rsidTr="00BF4F5C">
        <w:trPr>
          <w:trHeight w:val="240"/>
          <w:jc w:val="center"/>
        </w:trPr>
        <w:tc>
          <w:tcPr>
            <w:tcW w:w="4876" w:type="dxa"/>
          </w:tcPr>
          <w:p w14:paraId="7F572771"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D91058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21C25A02" w14:textId="77777777" w:rsidTr="00BF4F5C">
        <w:trPr>
          <w:jc w:val="center"/>
        </w:trPr>
        <w:tc>
          <w:tcPr>
            <w:tcW w:w="4876" w:type="dxa"/>
          </w:tcPr>
          <w:p w14:paraId="69E7EB5C" w14:textId="77777777" w:rsidR="00804A7C" w:rsidRPr="00FA40C1" w:rsidRDefault="00804A7C" w:rsidP="00BF4F5C">
            <w:pPr>
              <w:pStyle w:val="Normal6a"/>
              <w:rPr>
                <w:color w:val="000000" w:themeColor="text1"/>
              </w:rPr>
            </w:pPr>
            <w:r w:rsidRPr="00FA40C1">
              <w:rPr>
                <w:b/>
                <w:i/>
                <w:color w:val="000000" w:themeColor="text1"/>
              </w:rPr>
              <w:t>2.</w:t>
            </w:r>
            <w:r w:rsidRPr="00FA40C1">
              <w:rPr>
                <w:color w:val="000000" w:themeColor="text1"/>
              </w:rPr>
              <w:tab/>
            </w:r>
            <w:r w:rsidRPr="00FA40C1">
              <w:rPr>
                <w:b/>
                <w:i/>
                <w:color w:val="000000" w:themeColor="text1"/>
              </w:rPr>
              <w:t>Lorsqu’il existe des raisons d’urgence impérieuses dûment justifiées, la Commission adopte des actes d’exécution immédiatement applicables, en conformité avec la procédure visée à l’article 11, paragraphe 4, portant suspension temporaire de l’exemption de l’obligation de visa à l’égard des ressortissants du pays tiers concerné pour une période de douze mois.</w:t>
            </w:r>
          </w:p>
        </w:tc>
        <w:tc>
          <w:tcPr>
            <w:tcW w:w="4876" w:type="dxa"/>
          </w:tcPr>
          <w:p w14:paraId="013D2508" w14:textId="77777777" w:rsidR="00804A7C" w:rsidRPr="00FA40C1" w:rsidRDefault="00804A7C" w:rsidP="00BF4F5C">
            <w:pPr>
              <w:pStyle w:val="Normal6a"/>
              <w:rPr>
                <w:color w:val="000000" w:themeColor="text1"/>
              </w:rPr>
            </w:pPr>
            <w:r w:rsidRPr="00FA40C1">
              <w:rPr>
                <w:b/>
                <w:i/>
                <w:color w:val="000000" w:themeColor="text1"/>
              </w:rPr>
              <w:t>supprimé</w:t>
            </w:r>
          </w:p>
        </w:tc>
      </w:tr>
    </w:tbl>
    <w:p w14:paraId="3803B7C0"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1AD087F" w14:textId="77777777" w:rsidR="00804A7C" w:rsidRPr="00FA40C1" w:rsidRDefault="00804A7C" w:rsidP="00804A7C">
      <w:pPr>
        <w:rPr>
          <w:color w:val="000000" w:themeColor="text1"/>
        </w:rPr>
      </w:pPr>
      <w:r w:rsidRPr="00FA40C1">
        <w:rPr>
          <w:rStyle w:val="HideTWBExt"/>
        </w:rPr>
        <w:t>&lt;/Amend&gt;</w:t>
      </w:r>
    </w:p>
    <w:p w14:paraId="7DD1B97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127</w:t>
      </w:r>
      <w:r w:rsidRPr="00FA40C1">
        <w:rPr>
          <w:rStyle w:val="HideTWBExt"/>
          <w:b w:val="0"/>
        </w:rPr>
        <w:t>&lt;/NumAm&gt;</w:t>
      </w:r>
    </w:p>
    <w:p w14:paraId="71C4759F"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Jan-Christoph Oetjen, Moritz Körner</w:t>
      </w:r>
      <w:r w:rsidRPr="00FA40C1">
        <w:rPr>
          <w:rStyle w:val="HideTWBExt"/>
          <w:b w:val="0"/>
        </w:rPr>
        <w:t>&lt;/Members&gt;</w:t>
      </w:r>
    </w:p>
    <w:p w14:paraId="18E156EA" w14:textId="77777777" w:rsidR="00804A7C" w:rsidRPr="00FA40C1" w:rsidRDefault="00804A7C" w:rsidP="00804A7C">
      <w:pPr>
        <w:pStyle w:val="NormalBold"/>
        <w:rPr>
          <w:color w:val="000000" w:themeColor="text1"/>
        </w:rPr>
      </w:pPr>
      <w:r w:rsidRPr="00FA40C1">
        <w:rPr>
          <w:rStyle w:val="HideTWBExt"/>
          <w:b w:val="0"/>
        </w:rPr>
        <w:t>&lt;/RepeatBlock-By&gt;</w:t>
      </w:r>
    </w:p>
    <w:p w14:paraId="17D0161E"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4ED3ED6"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3C906B9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0B7C3D26"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FB1CB49" w14:textId="77777777" w:rsidTr="00BF4F5C">
        <w:trPr>
          <w:trHeight w:hRule="exact" w:val="240"/>
          <w:jc w:val="center"/>
        </w:trPr>
        <w:tc>
          <w:tcPr>
            <w:tcW w:w="9752" w:type="dxa"/>
            <w:gridSpan w:val="2"/>
          </w:tcPr>
          <w:p w14:paraId="3842A49C" w14:textId="77777777" w:rsidR="00804A7C" w:rsidRPr="00FA40C1" w:rsidRDefault="00804A7C" w:rsidP="00BF4F5C">
            <w:pPr>
              <w:rPr>
                <w:color w:val="000000" w:themeColor="text1"/>
              </w:rPr>
            </w:pPr>
          </w:p>
        </w:tc>
      </w:tr>
      <w:tr w:rsidR="00804A7C" w:rsidRPr="00FA40C1" w14:paraId="3A270350" w14:textId="77777777" w:rsidTr="00BF4F5C">
        <w:trPr>
          <w:trHeight w:val="240"/>
          <w:jc w:val="center"/>
        </w:trPr>
        <w:tc>
          <w:tcPr>
            <w:tcW w:w="4876" w:type="dxa"/>
          </w:tcPr>
          <w:p w14:paraId="12D0AED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6ACF9F8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0BB078B" w14:textId="77777777" w:rsidTr="00BF4F5C">
        <w:trPr>
          <w:jc w:val="center"/>
        </w:trPr>
        <w:tc>
          <w:tcPr>
            <w:tcW w:w="4876" w:type="dxa"/>
          </w:tcPr>
          <w:p w14:paraId="05B6D9D3"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Lorsqu’il existe des raisons d’urgence impérieuses dûment justifiées, la Commission </w:t>
            </w:r>
            <w:r w:rsidRPr="00FA40C1">
              <w:rPr>
                <w:b/>
                <w:i/>
                <w:color w:val="000000" w:themeColor="text1"/>
              </w:rPr>
              <w:t>adopte</w:t>
            </w:r>
            <w:r w:rsidRPr="00FA40C1">
              <w:rPr>
                <w:color w:val="000000" w:themeColor="text1"/>
              </w:rPr>
              <w:t xml:space="preserve"> des actes d’exécution immédiatement applicables, en conformité avec la procédure visée à l’article 11, paragraphe 4, portant suspension temporaire de l’exemption de l’obligation de visa à l’égard des ressortissants du pays tiers concerné pour une période </w:t>
            </w:r>
            <w:r w:rsidRPr="00FA40C1">
              <w:rPr>
                <w:b/>
                <w:i/>
                <w:color w:val="000000" w:themeColor="text1"/>
              </w:rPr>
              <w:t>de</w:t>
            </w:r>
            <w:r w:rsidRPr="00FA40C1">
              <w:rPr>
                <w:color w:val="000000" w:themeColor="text1"/>
              </w:rPr>
              <w:t xml:space="preserve"> douze mois.</w:t>
            </w:r>
          </w:p>
        </w:tc>
        <w:tc>
          <w:tcPr>
            <w:tcW w:w="4876" w:type="dxa"/>
          </w:tcPr>
          <w:p w14:paraId="52CF2B40"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Lorsqu’il existe des raisons d’urgence impérieuses dûment justifiées, </w:t>
            </w:r>
            <w:r w:rsidRPr="00FA40C1">
              <w:rPr>
                <w:b/>
                <w:i/>
                <w:color w:val="000000" w:themeColor="text1"/>
              </w:rPr>
              <w:t>lorsqu’une menace grave pour l’ordre public ou la sécurité intérieure d’un État membre au sens de l’article 8 bis, point d), est imprévisible et nécessite d’agir immédiatement,</w:t>
            </w:r>
            <w:r w:rsidRPr="00FA40C1">
              <w:rPr>
                <w:color w:val="000000" w:themeColor="text1"/>
              </w:rPr>
              <w:t xml:space="preserve"> la Commission </w:t>
            </w:r>
            <w:r w:rsidRPr="00FA40C1">
              <w:rPr>
                <w:b/>
                <w:i/>
                <w:color w:val="000000" w:themeColor="text1"/>
              </w:rPr>
              <w:t>peut adopter</w:t>
            </w:r>
            <w:r w:rsidRPr="00FA40C1">
              <w:rPr>
                <w:color w:val="000000" w:themeColor="text1"/>
              </w:rPr>
              <w:t xml:space="preserve"> des actes d’exécution immédiatement applicables, en conformité avec la procédure visée à l’article 11, paragraphe 4, portant suspension temporaire de l’exemption de l’obligation de visa à l’égard des ressortissants du pays tiers concerné pour une période </w:t>
            </w:r>
            <w:r w:rsidRPr="00FA40C1">
              <w:rPr>
                <w:b/>
                <w:i/>
                <w:color w:val="000000" w:themeColor="text1"/>
              </w:rPr>
              <w:t>ne dépassant pas trois mois. Si, au cours de cette période, la Commission décide, sur la base de l’examen visé à l’article 8 quater, que des actions supplémentaires sont nécessaires, elle peut adopter un acte d’exécution en conformité avec la procédure visée à l’article 8 sexies, paragraphe 1, au plus tard un mois avant l’expiration de la période de trois mois. La durée totale de la période de suspension de l’exemption de l’obligation de visa établie par l’acte d’exécution immédiatement applicable et par l’acte d’exécution n’excède pas</w:t>
            </w:r>
            <w:r w:rsidRPr="00FA40C1">
              <w:rPr>
                <w:color w:val="000000" w:themeColor="text1"/>
              </w:rPr>
              <w:t xml:space="preserve"> douze mois.</w:t>
            </w:r>
          </w:p>
        </w:tc>
      </w:tr>
    </w:tbl>
    <w:p w14:paraId="521D62C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4C630265" w14:textId="77777777" w:rsidR="00804A7C" w:rsidRPr="00FA40C1" w:rsidRDefault="00804A7C" w:rsidP="00804A7C">
      <w:pPr>
        <w:rPr>
          <w:color w:val="000000" w:themeColor="text1"/>
        </w:rPr>
      </w:pPr>
      <w:r w:rsidRPr="00FA40C1">
        <w:rPr>
          <w:rStyle w:val="HideTWBExt"/>
        </w:rPr>
        <w:t>&lt;/Amend&gt;</w:t>
      </w:r>
    </w:p>
    <w:p w14:paraId="07BD049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128</w:t>
      </w:r>
      <w:r w:rsidRPr="00FA40C1">
        <w:rPr>
          <w:rStyle w:val="HideTWBExt"/>
          <w:b w:val="0"/>
        </w:rPr>
        <w:t>&lt;/NumAm&gt;</w:t>
      </w:r>
    </w:p>
    <w:p w14:paraId="79667D48"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6BE11E3A" w14:textId="77777777" w:rsidR="00804A7C" w:rsidRPr="00FA40C1" w:rsidRDefault="00804A7C" w:rsidP="00804A7C">
      <w:pPr>
        <w:pStyle w:val="NormalBold"/>
        <w:rPr>
          <w:color w:val="000000" w:themeColor="text1"/>
        </w:rPr>
      </w:pPr>
      <w:r w:rsidRPr="00FA40C1">
        <w:rPr>
          <w:rStyle w:val="HideTWBExt"/>
          <w:b w:val="0"/>
        </w:rPr>
        <w:t>&lt;/RepeatBlock-By&gt;</w:t>
      </w:r>
    </w:p>
    <w:p w14:paraId="365186A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0A706E2"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52C00CF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2CBEBCD8"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2</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67833AF2" w14:textId="77777777" w:rsidTr="00BF4F5C">
        <w:trPr>
          <w:trHeight w:hRule="exact" w:val="240"/>
          <w:jc w:val="center"/>
        </w:trPr>
        <w:tc>
          <w:tcPr>
            <w:tcW w:w="9752" w:type="dxa"/>
            <w:gridSpan w:val="2"/>
          </w:tcPr>
          <w:p w14:paraId="2C5F8522" w14:textId="77777777" w:rsidR="00804A7C" w:rsidRPr="00FA40C1" w:rsidRDefault="00804A7C" w:rsidP="00BF4F5C">
            <w:pPr>
              <w:rPr>
                <w:color w:val="000000" w:themeColor="text1"/>
              </w:rPr>
            </w:pPr>
          </w:p>
        </w:tc>
      </w:tr>
      <w:tr w:rsidR="00804A7C" w:rsidRPr="00FA40C1" w14:paraId="2AD45D41" w14:textId="77777777" w:rsidTr="00BF4F5C">
        <w:trPr>
          <w:trHeight w:val="240"/>
          <w:jc w:val="center"/>
        </w:trPr>
        <w:tc>
          <w:tcPr>
            <w:tcW w:w="4876" w:type="dxa"/>
          </w:tcPr>
          <w:p w14:paraId="30794EB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8CCFB60"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7FC6D709" w14:textId="77777777" w:rsidTr="00BF4F5C">
        <w:trPr>
          <w:jc w:val="center"/>
        </w:trPr>
        <w:tc>
          <w:tcPr>
            <w:tcW w:w="4876" w:type="dxa"/>
          </w:tcPr>
          <w:p w14:paraId="300A561D"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Lorsqu’il existe des raisons d’urgence impérieuses dûment justifiées, la Commission adopte des actes d’exécution immédiatement applicables, en conformité avec la procédure visée à l’article 11, paragraphe 4, portant suspension temporaire de l’exemption de l’obligation de visa à l’égard des ressortissants du pays tiers concerné pour une période de douze mois.</w:t>
            </w:r>
          </w:p>
        </w:tc>
        <w:tc>
          <w:tcPr>
            <w:tcW w:w="4876" w:type="dxa"/>
          </w:tcPr>
          <w:p w14:paraId="179665AA" w14:textId="77777777" w:rsidR="00804A7C" w:rsidRPr="00FA40C1" w:rsidRDefault="00804A7C" w:rsidP="00BF4F5C">
            <w:pPr>
              <w:pStyle w:val="Normal6a"/>
              <w:rPr>
                <w:color w:val="000000" w:themeColor="text1"/>
              </w:rPr>
            </w:pPr>
            <w:r w:rsidRPr="00FA40C1">
              <w:rPr>
                <w:color w:val="000000" w:themeColor="text1"/>
              </w:rPr>
              <w:t>2.</w:t>
            </w:r>
            <w:r w:rsidRPr="00FA40C1">
              <w:rPr>
                <w:color w:val="000000" w:themeColor="text1"/>
              </w:rPr>
              <w:tab/>
              <w:t xml:space="preserve">Lorsqu’il existe des raisons d’urgence impérieuses dûment justifiées, la Commission adopte des actes d’exécution immédiatement applicables, en conformité avec la procédure visée à l’article 11, paragraphe 4, portant suspension temporaire de l’exemption de l’obligation de visa à l’égard des ressortissants du pays tiers concerné pour une période de douze mois. </w:t>
            </w:r>
            <w:r w:rsidRPr="00FA40C1">
              <w:rPr>
                <w:b/>
                <w:i/>
                <w:color w:val="000000" w:themeColor="text1"/>
              </w:rPr>
              <w:t>Dans ce cas, la Commission informe le Conseil et le Parlement de manière ouverte, exhaustive et régulière tout au long de la procédure.</w:t>
            </w:r>
          </w:p>
        </w:tc>
      </w:tr>
    </w:tbl>
    <w:p w14:paraId="0A3481E3"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1B67A0A2" w14:textId="77777777" w:rsidR="00804A7C" w:rsidRPr="00FA40C1" w:rsidRDefault="00804A7C" w:rsidP="00804A7C">
      <w:pPr>
        <w:rPr>
          <w:color w:val="000000" w:themeColor="text1"/>
        </w:rPr>
      </w:pPr>
      <w:r w:rsidRPr="00FA40C1">
        <w:rPr>
          <w:rStyle w:val="HideTWBExt"/>
        </w:rPr>
        <w:t>&lt;/Amend&gt;</w:t>
      </w:r>
    </w:p>
    <w:p w14:paraId="12204C9D"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129</w:t>
      </w:r>
      <w:r w:rsidRPr="00FA40C1">
        <w:rPr>
          <w:rStyle w:val="HideTWBExt"/>
          <w:b w:val="0"/>
        </w:rPr>
        <w:t>&lt;/NumAm&gt;</w:t>
      </w:r>
    </w:p>
    <w:p w14:paraId="7C27CFD7"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Malik Azmani, Olivier Chastel, Jan-Christoph Oetjen, Moritz Körner</w:t>
      </w:r>
      <w:r w:rsidRPr="00FA40C1">
        <w:rPr>
          <w:rStyle w:val="HideTWBExt"/>
          <w:b w:val="0"/>
        </w:rPr>
        <w:t>&lt;/Members&gt;</w:t>
      </w:r>
    </w:p>
    <w:p w14:paraId="1E5D5CC6" w14:textId="77777777" w:rsidR="00804A7C" w:rsidRPr="00FA40C1" w:rsidRDefault="00804A7C" w:rsidP="00804A7C">
      <w:pPr>
        <w:pStyle w:val="NormalBold"/>
        <w:rPr>
          <w:color w:val="000000" w:themeColor="text1"/>
        </w:rPr>
      </w:pPr>
      <w:r w:rsidRPr="00FA40C1">
        <w:rPr>
          <w:rStyle w:val="HideTWBExt"/>
          <w:b w:val="0"/>
        </w:rPr>
        <w:t>&lt;/RepeatBlock-By&gt;</w:t>
      </w:r>
    </w:p>
    <w:p w14:paraId="7EBCE08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EFEC1FC"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7E64AEB2"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78ECDCF"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40E017B8" w14:textId="77777777" w:rsidTr="00BF4F5C">
        <w:trPr>
          <w:trHeight w:hRule="exact" w:val="240"/>
          <w:jc w:val="center"/>
        </w:trPr>
        <w:tc>
          <w:tcPr>
            <w:tcW w:w="9752" w:type="dxa"/>
            <w:gridSpan w:val="2"/>
          </w:tcPr>
          <w:p w14:paraId="3C7A74D0" w14:textId="77777777" w:rsidR="00804A7C" w:rsidRPr="00FA40C1" w:rsidRDefault="00804A7C" w:rsidP="00BF4F5C">
            <w:pPr>
              <w:rPr>
                <w:color w:val="000000" w:themeColor="text1"/>
              </w:rPr>
            </w:pPr>
          </w:p>
        </w:tc>
      </w:tr>
      <w:tr w:rsidR="00804A7C" w:rsidRPr="00FA40C1" w14:paraId="247192D6" w14:textId="77777777" w:rsidTr="00BF4F5C">
        <w:trPr>
          <w:trHeight w:val="240"/>
          <w:jc w:val="center"/>
        </w:trPr>
        <w:tc>
          <w:tcPr>
            <w:tcW w:w="4876" w:type="dxa"/>
          </w:tcPr>
          <w:p w14:paraId="6FFAC49C"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02557B8D"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497B675A" w14:textId="77777777" w:rsidTr="00BF4F5C">
        <w:trPr>
          <w:jc w:val="center"/>
        </w:trPr>
        <w:tc>
          <w:tcPr>
            <w:tcW w:w="4876" w:type="dxa"/>
          </w:tcPr>
          <w:p w14:paraId="341AE194"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Pendant la période de suspension, la Commission établit avec le pays tiers concerné un dialogue approfondi en vue de remédier aux circonstances en question.</w:t>
            </w:r>
          </w:p>
        </w:tc>
        <w:tc>
          <w:tcPr>
            <w:tcW w:w="4876" w:type="dxa"/>
          </w:tcPr>
          <w:p w14:paraId="064CC056"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Pendant la période de suspension, la Commission établit avec le pays tiers concerné un dialogue approfondi en vue de remédier aux circonstances en question. </w:t>
            </w:r>
            <w:r w:rsidRPr="00FA40C1">
              <w:rPr>
                <w:b/>
                <w:i/>
                <w:color w:val="000000" w:themeColor="text1"/>
              </w:rPr>
              <w:t>Sans préjudice de l’application de l’article 6, pendant la période de suspension, les ressortissants du pays tiers concerné sont soumis à l’obligation de visa pour franchir les frontières extérieures des États membres.</w:t>
            </w:r>
          </w:p>
        </w:tc>
      </w:tr>
    </w:tbl>
    <w:p w14:paraId="1E38C5CF"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03094F13" w14:textId="77777777" w:rsidR="00804A7C" w:rsidRPr="00FA40C1" w:rsidRDefault="00804A7C" w:rsidP="00804A7C">
      <w:pPr>
        <w:rPr>
          <w:color w:val="000000" w:themeColor="text1"/>
        </w:rPr>
      </w:pPr>
      <w:r w:rsidRPr="00FA40C1">
        <w:rPr>
          <w:rStyle w:val="HideTWBExt"/>
        </w:rPr>
        <w:t>&lt;/Amend&gt;</w:t>
      </w:r>
    </w:p>
    <w:p w14:paraId="61F399D0"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130</w:t>
      </w:r>
      <w:r w:rsidRPr="00FA40C1">
        <w:rPr>
          <w:rStyle w:val="HideTWBExt"/>
          <w:b w:val="0"/>
        </w:rPr>
        <w:t>&lt;/NumAm&gt;</w:t>
      </w:r>
    </w:p>
    <w:p w14:paraId="5960BB12"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EF57AB4" w14:textId="77777777" w:rsidR="00804A7C" w:rsidRPr="00FA40C1" w:rsidRDefault="00804A7C" w:rsidP="00804A7C">
      <w:pPr>
        <w:pStyle w:val="NormalBold"/>
        <w:rPr>
          <w:color w:val="000000" w:themeColor="text1"/>
        </w:rPr>
      </w:pPr>
      <w:r w:rsidRPr="00FA40C1">
        <w:rPr>
          <w:rStyle w:val="HideTWBExt"/>
          <w:b w:val="0"/>
        </w:rPr>
        <w:t>&lt;/RepeatBlock-By&gt;</w:t>
      </w:r>
    </w:p>
    <w:p w14:paraId="5A712B13"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428E501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8A37A8A"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62A0E775"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3</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E55FAB3" w14:textId="77777777" w:rsidTr="00BF4F5C">
        <w:trPr>
          <w:trHeight w:hRule="exact" w:val="240"/>
          <w:jc w:val="center"/>
        </w:trPr>
        <w:tc>
          <w:tcPr>
            <w:tcW w:w="9752" w:type="dxa"/>
            <w:gridSpan w:val="2"/>
          </w:tcPr>
          <w:p w14:paraId="51DC5FD9" w14:textId="77777777" w:rsidR="00804A7C" w:rsidRPr="00FA40C1" w:rsidRDefault="00804A7C" w:rsidP="00BF4F5C">
            <w:pPr>
              <w:rPr>
                <w:color w:val="000000" w:themeColor="text1"/>
              </w:rPr>
            </w:pPr>
          </w:p>
        </w:tc>
      </w:tr>
      <w:tr w:rsidR="00804A7C" w:rsidRPr="00FA40C1" w14:paraId="147DA7B0" w14:textId="77777777" w:rsidTr="00BF4F5C">
        <w:trPr>
          <w:trHeight w:val="240"/>
          <w:jc w:val="center"/>
        </w:trPr>
        <w:tc>
          <w:tcPr>
            <w:tcW w:w="4876" w:type="dxa"/>
          </w:tcPr>
          <w:p w14:paraId="137F69F7"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1A10E068"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D0085A2" w14:textId="77777777" w:rsidTr="00BF4F5C">
        <w:trPr>
          <w:jc w:val="center"/>
        </w:trPr>
        <w:tc>
          <w:tcPr>
            <w:tcW w:w="4876" w:type="dxa"/>
          </w:tcPr>
          <w:p w14:paraId="3396BD5E"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Pendant la période de suspension, la Commission établit avec le pays tiers concerné un dialogue approfondi en vue de remédier aux circonstances en question.</w:t>
            </w:r>
          </w:p>
        </w:tc>
        <w:tc>
          <w:tcPr>
            <w:tcW w:w="4876" w:type="dxa"/>
          </w:tcPr>
          <w:p w14:paraId="38EB7BFE" w14:textId="77777777" w:rsidR="00804A7C" w:rsidRPr="00FA40C1" w:rsidRDefault="00804A7C" w:rsidP="00BF4F5C">
            <w:pPr>
              <w:pStyle w:val="Normal6a"/>
              <w:rPr>
                <w:color w:val="000000" w:themeColor="text1"/>
              </w:rPr>
            </w:pPr>
            <w:r w:rsidRPr="00FA40C1">
              <w:rPr>
                <w:color w:val="000000" w:themeColor="text1"/>
              </w:rPr>
              <w:t>3.</w:t>
            </w:r>
            <w:r w:rsidRPr="00FA40C1">
              <w:rPr>
                <w:color w:val="000000" w:themeColor="text1"/>
              </w:rPr>
              <w:tab/>
              <w:t xml:space="preserve">Pendant la période de suspension, la Commission établit avec le pays tiers concerné un dialogue approfondi en vue de remédier aux circonstances en question </w:t>
            </w:r>
            <w:r w:rsidRPr="00FA40C1">
              <w:rPr>
                <w:b/>
                <w:i/>
                <w:color w:val="000000" w:themeColor="text1"/>
              </w:rPr>
              <w:t>et fait régulièrement rapport au Parlement européen et au Conseil sur les progrès réalisés et les résultats obtenus, ainsi que sur l’efficacité de la suspension appliquée</w:t>
            </w:r>
            <w:r w:rsidRPr="00FA40C1">
              <w:rPr>
                <w:color w:val="000000" w:themeColor="text1"/>
              </w:rPr>
              <w:t>.</w:t>
            </w:r>
          </w:p>
        </w:tc>
      </w:tr>
    </w:tbl>
    <w:p w14:paraId="581360D5"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7A76A211" w14:textId="77777777" w:rsidR="00804A7C" w:rsidRPr="00FA40C1" w:rsidRDefault="00804A7C" w:rsidP="00804A7C">
      <w:pPr>
        <w:rPr>
          <w:color w:val="000000" w:themeColor="text1"/>
        </w:rPr>
      </w:pPr>
      <w:r w:rsidRPr="00FA40C1">
        <w:rPr>
          <w:rStyle w:val="HideTWBExt"/>
        </w:rPr>
        <w:t>&lt;/Amend&gt;</w:t>
      </w:r>
    </w:p>
    <w:p w14:paraId="25DCD5C1"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131</w:t>
      </w:r>
      <w:r w:rsidRPr="00FA40C1">
        <w:rPr>
          <w:rStyle w:val="HideTWBExt"/>
          <w:b w:val="0"/>
        </w:rPr>
        <w:t>&lt;/NumAm&gt;</w:t>
      </w:r>
    </w:p>
    <w:p w14:paraId="24010AEE"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570D20AE" w14:textId="77777777" w:rsidR="00804A7C" w:rsidRPr="00FA40C1" w:rsidRDefault="00804A7C" w:rsidP="00804A7C">
      <w:pPr>
        <w:pStyle w:val="NormalBold"/>
        <w:rPr>
          <w:color w:val="000000" w:themeColor="text1"/>
        </w:rPr>
      </w:pPr>
      <w:r w:rsidRPr="00FA40C1">
        <w:rPr>
          <w:rStyle w:val="HideTWBExt"/>
          <w:b w:val="0"/>
        </w:rPr>
        <w:t>&lt;/RepeatBlock-By&gt;</w:t>
      </w:r>
    </w:p>
    <w:p w14:paraId="2DAB9358"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A407288"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0576A3E7"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37A75E3"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sexies – paragraphe 4</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E270A2F" w14:textId="77777777" w:rsidTr="00BF4F5C">
        <w:trPr>
          <w:trHeight w:hRule="exact" w:val="240"/>
          <w:jc w:val="center"/>
        </w:trPr>
        <w:tc>
          <w:tcPr>
            <w:tcW w:w="9752" w:type="dxa"/>
            <w:gridSpan w:val="2"/>
          </w:tcPr>
          <w:p w14:paraId="7C095C4E" w14:textId="77777777" w:rsidR="00804A7C" w:rsidRPr="00FA40C1" w:rsidRDefault="00804A7C" w:rsidP="00BF4F5C">
            <w:pPr>
              <w:rPr>
                <w:color w:val="000000" w:themeColor="text1"/>
              </w:rPr>
            </w:pPr>
          </w:p>
        </w:tc>
      </w:tr>
      <w:tr w:rsidR="00804A7C" w:rsidRPr="00FA40C1" w14:paraId="5D7EAC66" w14:textId="77777777" w:rsidTr="00BF4F5C">
        <w:trPr>
          <w:trHeight w:val="240"/>
          <w:jc w:val="center"/>
        </w:trPr>
        <w:tc>
          <w:tcPr>
            <w:tcW w:w="4876" w:type="dxa"/>
          </w:tcPr>
          <w:p w14:paraId="0ABE6BA5"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46343FC1"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667791B1" w14:textId="77777777" w:rsidTr="00BF4F5C">
        <w:trPr>
          <w:jc w:val="center"/>
        </w:trPr>
        <w:tc>
          <w:tcPr>
            <w:tcW w:w="4876" w:type="dxa"/>
          </w:tcPr>
          <w:p w14:paraId="5FA8A45D"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Lorsqu’il est remédié aux circonstances ayant conduit à la suspension temporaire de l’exemption de l’obligation de visa avant la fin de la période de validité des actes </w:t>
            </w:r>
            <w:r w:rsidRPr="00FA40C1">
              <w:rPr>
                <w:b/>
                <w:i/>
                <w:color w:val="000000" w:themeColor="text1"/>
              </w:rPr>
              <w:t>d’exécution</w:t>
            </w:r>
            <w:r w:rsidRPr="00FA40C1">
              <w:rPr>
                <w:color w:val="000000" w:themeColor="text1"/>
              </w:rPr>
              <w:t xml:space="preserve"> adoptés en vertu des paragraphes 1 et 2, la Commission adopte, en conformité avec </w:t>
            </w:r>
            <w:r w:rsidRPr="00FA40C1">
              <w:rPr>
                <w:b/>
                <w:i/>
                <w:color w:val="000000" w:themeColor="text1"/>
              </w:rPr>
              <w:t>la procédure d’examen visée à</w:t>
            </w:r>
            <w:r w:rsidRPr="00FA40C1">
              <w:rPr>
                <w:color w:val="000000" w:themeColor="text1"/>
              </w:rPr>
              <w:t xml:space="preserve"> l’article </w:t>
            </w:r>
            <w:r w:rsidRPr="00FA40C1">
              <w:rPr>
                <w:b/>
                <w:i/>
                <w:color w:val="000000" w:themeColor="text1"/>
              </w:rPr>
              <w:t>11, paragraphe 2</w:t>
            </w:r>
            <w:r w:rsidRPr="00FA40C1">
              <w:rPr>
                <w:color w:val="000000" w:themeColor="text1"/>
              </w:rPr>
              <w:t xml:space="preserve">, un acte </w:t>
            </w:r>
            <w:r w:rsidRPr="00FA40C1">
              <w:rPr>
                <w:b/>
                <w:i/>
                <w:color w:val="000000" w:themeColor="text1"/>
              </w:rPr>
              <w:t>d’exécution</w:t>
            </w:r>
            <w:r w:rsidRPr="00FA40C1">
              <w:rPr>
                <w:color w:val="000000" w:themeColor="text1"/>
              </w:rPr>
              <w:t xml:space="preserve"> pour lever la suspension temporaire.</w:t>
            </w:r>
          </w:p>
        </w:tc>
        <w:tc>
          <w:tcPr>
            <w:tcW w:w="4876" w:type="dxa"/>
          </w:tcPr>
          <w:p w14:paraId="63B65F6C" w14:textId="77777777" w:rsidR="00804A7C" w:rsidRPr="00FA40C1" w:rsidRDefault="00804A7C" w:rsidP="00BF4F5C">
            <w:pPr>
              <w:pStyle w:val="Normal6a"/>
              <w:rPr>
                <w:color w:val="000000" w:themeColor="text1"/>
              </w:rPr>
            </w:pPr>
            <w:r w:rsidRPr="00FA40C1">
              <w:rPr>
                <w:color w:val="000000" w:themeColor="text1"/>
              </w:rPr>
              <w:t>4.</w:t>
            </w:r>
            <w:r w:rsidRPr="00FA40C1">
              <w:rPr>
                <w:color w:val="000000" w:themeColor="text1"/>
              </w:rPr>
              <w:tab/>
              <w:t xml:space="preserve">Lorsqu’il est remédié aux circonstances ayant conduit à la suspension temporaire de l’exemption de l’obligation de visa avant la fin de la période de validité des actes </w:t>
            </w:r>
            <w:r w:rsidRPr="00FA40C1">
              <w:rPr>
                <w:b/>
                <w:i/>
                <w:color w:val="000000" w:themeColor="text1"/>
              </w:rPr>
              <w:t>délégués</w:t>
            </w:r>
            <w:r w:rsidRPr="00FA40C1">
              <w:rPr>
                <w:color w:val="000000" w:themeColor="text1"/>
              </w:rPr>
              <w:t xml:space="preserve"> adoptés en vertu des paragraphes 1 et 2, la Commission adopte, en conformité avec l’article </w:t>
            </w:r>
            <w:r w:rsidRPr="00FA40C1">
              <w:rPr>
                <w:b/>
                <w:i/>
                <w:color w:val="000000" w:themeColor="text1"/>
              </w:rPr>
              <w:t>10</w:t>
            </w:r>
            <w:r w:rsidRPr="00FA40C1">
              <w:rPr>
                <w:color w:val="000000" w:themeColor="text1"/>
              </w:rPr>
              <w:t xml:space="preserve">, un </w:t>
            </w:r>
            <w:r w:rsidRPr="00FA40C1">
              <w:rPr>
                <w:b/>
                <w:i/>
                <w:color w:val="000000" w:themeColor="text1"/>
              </w:rPr>
              <w:t>nouvel</w:t>
            </w:r>
            <w:r w:rsidRPr="00FA40C1">
              <w:rPr>
                <w:color w:val="000000" w:themeColor="text1"/>
              </w:rPr>
              <w:t xml:space="preserve"> acte </w:t>
            </w:r>
            <w:r w:rsidRPr="00FA40C1">
              <w:rPr>
                <w:b/>
                <w:i/>
                <w:color w:val="000000" w:themeColor="text1"/>
              </w:rPr>
              <w:t>délégué</w:t>
            </w:r>
            <w:r w:rsidRPr="00FA40C1">
              <w:rPr>
                <w:color w:val="000000" w:themeColor="text1"/>
              </w:rPr>
              <w:t xml:space="preserve"> pour lever la suspension temporaire.</w:t>
            </w:r>
          </w:p>
        </w:tc>
      </w:tr>
    </w:tbl>
    <w:p w14:paraId="141D1CE1"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BE99498" w14:textId="77777777" w:rsidR="00804A7C" w:rsidRPr="00FA40C1" w:rsidRDefault="00804A7C" w:rsidP="00804A7C">
      <w:pPr>
        <w:rPr>
          <w:color w:val="000000" w:themeColor="text1"/>
        </w:rPr>
      </w:pPr>
      <w:r w:rsidRPr="00FA40C1">
        <w:rPr>
          <w:rStyle w:val="HideTWBExt"/>
        </w:rPr>
        <w:t>&lt;/Amend&gt;</w:t>
      </w:r>
    </w:p>
    <w:p w14:paraId="193A5323"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132</w:t>
      </w:r>
      <w:r w:rsidRPr="00FA40C1">
        <w:rPr>
          <w:rStyle w:val="HideTWBExt"/>
          <w:b w:val="0"/>
        </w:rPr>
        <w:t>&lt;/NumAm&gt;</w:t>
      </w:r>
    </w:p>
    <w:p w14:paraId="6D942FE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68FE3749" w14:textId="77777777" w:rsidR="00804A7C" w:rsidRPr="00FA40C1" w:rsidRDefault="00804A7C" w:rsidP="00804A7C">
      <w:pPr>
        <w:pStyle w:val="NormalBold"/>
        <w:rPr>
          <w:color w:val="000000" w:themeColor="text1"/>
        </w:rPr>
      </w:pPr>
      <w:r w:rsidRPr="00FA40C1">
        <w:rPr>
          <w:rStyle w:val="HideTWBExt"/>
          <w:b w:val="0"/>
        </w:rPr>
        <w:t>&lt;/RepeatBlock-By&gt;</w:t>
      </w:r>
    </w:p>
    <w:p w14:paraId="7B9BD64A"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2478CEDE"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49A4E966"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569AC439"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septies – titre</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1C504C09" w14:textId="77777777" w:rsidTr="00BF4F5C">
        <w:trPr>
          <w:trHeight w:hRule="exact" w:val="240"/>
          <w:jc w:val="center"/>
        </w:trPr>
        <w:tc>
          <w:tcPr>
            <w:tcW w:w="9752" w:type="dxa"/>
            <w:gridSpan w:val="2"/>
          </w:tcPr>
          <w:p w14:paraId="0A669434" w14:textId="77777777" w:rsidR="00804A7C" w:rsidRPr="00FA40C1" w:rsidRDefault="00804A7C" w:rsidP="00BF4F5C">
            <w:pPr>
              <w:rPr>
                <w:color w:val="000000" w:themeColor="text1"/>
              </w:rPr>
            </w:pPr>
          </w:p>
        </w:tc>
      </w:tr>
      <w:tr w:rsidR="00804A7C" w:rsidRPr="00FA40C1" w14:paraId="5C866197" w14:textId="77777777" w:rsidTr="00BF4F5C">
        <w:trPr>
          <w:trHeight w:val="240"/>
          <w:jc w:val="center"/>
        </w:trPr>
        <w:tc>
          <w:tcPr>
            <w:tcW w:w="4876" w:type="dxa"/>
          </w:tcPr>
          <w:p w14:paraId="4F81B123"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D756A93"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DE0B75B" w14:textId="77777777" w:rsidTr="00BF4F5C">
        <w:trPr>
          <w:jc w:val="center"/>
        </w:trPr>
        <w:tc>
          <w:tcPr>
            <w:tcW w:w="4876" w:type="dxa"/>
          </w:tcPr>
          <w:p w14:paraId="2A5AD60B" w14:textId="77777777" w:rsidR="00804A7C" w:rsidRPr="00FA40C1" w:rsidRDefault="00804A7C" w:rsidP="00BF4F5C">
            <w:pPr>
              <w:pStyle w:val="Normal6a"/>
              <w:rPr>
                <w:color w:val="000000" w:themeColor="text1"/>
              </w:rPr>
            </w:pPr>
            <w:r w:rsidRPr="00FA40C1">
              <w:rPr>
                <w:b/>
                <w:i/>
                <w:color w:val="000000" w:themeColor="text1"/>
              </w:rPr>
              <w:t>Actes délégués</w:t>
            </w:r>
          </w:p>
        </w:tc>
        <w:tc>
          <w:tcPr>
            <w:tcW w:w="4876" w:type="dxa"/>
          </w:tcPr>
          <w:p w14:paraId="79D224F5" w14:textId="77777777" w:rsidR="00804A7C" w:rsidRPr="00FA40C1" w:rsidRDefault="00804A7C" w:rsidP="00BF4F5C">
            <w:pPr>
              <w:pStyle w:val="Normal6a"/>
              <w:rPr>
                <w:color w:val="000000" w:themeColor="text1"/>
              </w:rPr>
            </w:pPr>
            <w:r w:rsidRPr="00FA40C1">
              <w:rPr>
                <w:b/>
                <w:i/>
                <w:color w:val="000000" w:themeColor="text1"/>
              </w:rPr>
              <w:t>Extension de la suspension</w:t>
            </w:r>
          </w:p>
        </w:tc>
      </w:tr>
    </w:tbl>
    <w:p w14:paraId="00E6C45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30075D34" w14:textId="77777777" w:rsidR="00804A7C" w:rsidRPr="00FA40C1" w:rsidRDefault="00804A7C" w:rsidP="00804A7C">
      <w:pPr>
        <w:rPr>
          <w:color w:val="000000" w:themeColor="text1"/>
        </w:rPr>
      </w:pPr>
      <w:r w:rsidRPr="00FA40C1">
        <w:rPr>
          <w:rStyle w:val="HideTWBExt"/>
        </w:rPr>
        <w:t>&lt;/Amend&gt;</w:t>
      </w:r>
    </w:p>
    <w:p w14:paraId="0BBFEFCE"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133</w:t>
      </w:r>
      <w:r w:rsidRPr="00FA40C1">
        <w:rPr>
          <w:rStyle w:val="HideTWBExt"/>
          <w:b w:val="0"/>
        </w:rPr>
        <w:t>&lt;/NumAm&gt;</w:t>
      </w:r>
    </w:p>
    <w:p w14:paraId="5D5F56ED"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D969891" w14:textId="77777777" w:rsidR="00804A7C" w:rsidRPr="00FA40C1" w:rsidRDefault="00804A7C" w:rsidP="00804A7C">
      <w:pPr>
        <w:pStyle w:val="NormalBold"/>
        <w:rPr>
          <w:color w:val="000000" w:themeColor="text1"/>
        </w:rPr>
      </w:pPr>
      <w:r w:rsidRPr="00FA40C1">
        <w:rPr>
          <w:rStyle w:val="HideTWBExt"/>
          <w:b w:val="0"/>
        </w:rPr>
        <w:t>&lt;/RepeatBlock-By&gt;</w:t>
      </w:r>
    </w:p>
    <w:p w14:paraId="0567BDAF"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7E48F3A"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1657AE2B"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3CC1521B"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septies – paragraphe 1</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0D8BE5A0" w14:textId="77777777" w:rsidTr="00BF4F5C">
        <w:trPr>
          <w:trHeight w:hRule="exact" w:val="240"/>
          <w:jc w:val="center"/>
        </w:trPr>
        <w:tc>
          <w:tcPr>
            <w:tcW w:w="9752" w:type="dxa"/>
            <w:gridSpan w:val="2"/>
          </w:tcPr>
          <w:p w14:paraId="5F77AF45" w14:textId="77777777" w:rsidR="00804A7C" w:rsidRPr="00FA40C1" w:rsidRDefault="00804A7C" w:rsidP="00BF4F5C">
            <w:pPr>
              <w:rPr>
                <w:color w:val="000000" w:themeColor="text1"/>
              </w:rPr>
            </w:pPr>
          </w:p>
        </w:tc>
      </w:tr>
      <w:tr w:rsidR="00804A7C" w:rsidRPr="00FA40C1" w14:paraId="6F524A60" w14:textId="77777777" w:rsidTr="00BF4F5C">
        <w:trPr>
          <w:trHeight w:val="240"/>
          <w:jc w:val="center"/>
        </w:trPr>
        <w:tc>
          <w:tcPr>
            <w:tcW w:w="4876" w:type="dxa"/>
          </w:tcPr>
          <w:p w14:paraId="4AF4F2C2"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3211C8D4"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0FAA4F48" w14:textId="77777777" w:rsidTr="00BF4F5C">
        <w:trPr>
          <w:jc w:val="center"/>
        </w:trPr>
        <w:tc>
          <w:tcPr>
            <w:tcW w:w="4876" w:type="dxa"/>
          </w:tcPr>
          <w:p w14:paraId="42FC2B27"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Lorsque les motifs mentionnés à l’article 8 bis persistent, la Commission, au plus tard deux mois avant l’expiration de la période de douze mois visée à l’article 8 sexies, paragraphe 1, adopte, conformément à l’article 10, un acte délégué modifiant l’annexe II afin d’en suspendre temporairement l’application, pendant une période de vingt-quatre mois, à l’égard de tous les ressortissants du pays tiers concerné. Cette modification s’effectue en insérant, à côté du nom du pays tiers concerné, un renvoi à une note de bas de page indiquant que l’exemption de l’obligation de visa est suspendue pour ce pays tiers et précisant la durée de cette suspension. L’acte délégué prend effet à la date d’expiration de l’acte </w:t>
            </w:r>
            <w:r w:rsidRPr="00FA40C1">
              <w:rPr>
                <w:b/>
                <w:i/>
                <w:color w:val="000000" w:themeColor="text1"/>
              </w:rPr>
              <w:t>d’exécution</w:t>
            </w:r>
            <w:r w:rsidRPr="00FA40C1">
              <w:rPr>
                <w:color w:val="000000" w:themeColor="text1"/>
              </w:rPr>
              <w:t xml:space="preserve"> visé à l’article 8 sexies, paragraphe 1.</w:t>
            </w:r>
          </w:p>
        </w:tc>
        <w:tc>
          <w:tcPr>
            <w:tcW w:w="4876" w:type="dxa"/>
          </w:tcPr>
          <w:p w14:paraId="5F104EC2" w14:textId="77777777" w:rsidR="00804A7C" w:rsidRPr="00FA40C1" w:rsidRDefault="00804A7C" w:rsidP="00BF4F5C">
            <w:pPr>
              <w:pStyle w:val="Normal6a"/>
              <w:rPr>
                <w:color w:val="000000" w:themeColor="text1"/>
              </w:rPr>
            </w:pPr>
            <w:r w:rsidRPr="00FA40C1">
              <w:rPr>
                <w:color w:val="000000" w:themeColor="text1"/>
              </w:rPr>
              <w:t>1.</w:t>
            </w:r>
            <w:r w:rsidRPr="00FA40C1">
              <w:rPr>
                <w:color w:val="000000" w:themeColor="text1"/>
              </w:rPr>
              <w:tab/>
              <w:t xml:space="preserve">Lorsque les motifs mentionnés à l’article 8 bis persistent, la Commission, au plus tard deux mois avant l’expiration de la période de douze mois visée à l’article 8 sexies, paragraphe 1, adopte, conformément à l’article 10, un acte délégué modifiant l’annexe II afin d’en suspendre temporairement l’application, pendant une période de vingt-quatre mois, à l’égard de tous les ressortissants du pays tiers concerné. Cette modification s’effectue en insérant, à côté du nom du pays tiers concerné, un renvoi à une note de bas de page indiquant que l’exemption de l’obligation de visa est suspendue pour ce pays tiers et précisant la durée de cette suspension. L’acte délégué prend effet à la date d’expiration de l’acte </w:t>
            </w:r>
            <w:r w:rsidRPr="00FA40C1">
              <w:rPr>
                <w:b/>
                <w:i/>
                <w:color w:val="000000" w:themeColor="text1"/>
              </w:rPr>
              <w:t>délégué</w:t>
            </w:r>
            <w:r w:rsidRPr="00FA40C1">
              <w:rPr>
                <w:color w:val="000000" w:themeColor="text1"/>
              </w:rPr>
              <w:t xml:space="preserve"> visé à l’article 8 sexies, paragraphe 1.</w:t>
            </w:r>
          </w:p>
        </w:tc>
      </w:tr>
    </w:tbl>
    <w:p w14:paraId="13B038BA"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A7CFA8E" w14:textId="77777777" w:rsidR="00804A7C" w:rsidRPr="00FA40C1" w:rsidRDefault="00804A7C" w:rsidP="00804A7C">
      <w:pPr>
        <w:rPr>
          <w:color w:val="000000" w:themeColor="text1"/>
        </w:rPr>
      </w:pPr>
      <w:r w:rsidRPr="00FA40C1">
        <w:rPr>
          <w:rStyle w:val="HideTWBExt"/>
        </w:rPr>
        <w:t>&lt;/Amend&gt;</w:t>
      </w:r>
    </w:p>
    <w:p w14:paraId="6B38D3BC" w14:textId="77777777" w:rsidR="00804A7C" w:rsidRPr="00FA40C1" w:rsidRDefault="00804A7C" w:rsidP="00804A7C">
      <w:pPr>
        <w:pStyle w:val="AmNumberTabs"/>
        <w:rPr>
          <w:color w:val="000000" w:themeColor="text1"/>
        </w:rPr>
      </w:pPr>
      <w:r w:rsidRPr="00FA40C1">
        <w:rPr>
          <w:rStyle w:val="HideTWBExt"/>
          <w:b w:val="0"/>
        </w:rPr>
        <w:t>&lt;Amend&gt;</w:t>
      </w:r>
      <w:r w:rsidRPr="00FA40C1">
        <w:rPr>
          <w:color w:val="000000" w:themeColor="text1"/>
        </w:rPr>
        <w:t>Amendement</w:t>
      </w:r>
      <w:r w:rsidRPr="00FA40C1">
        <w:rPr>
          <w:color w:val="000000" w:themeColor="text1"/>
        </w:rPr>
        <w:tab/>
      </w:r>
      <w:r w:rsidRPr="00FA40C1">
        <w:rPr>
          <w:color w:val="000000" w:themeColor="text1"/>
        </w:rPr>
        <w:tab/>
      </w:r>
      <w:r w:rsidRPr="00FA40C1">
        <w:rPr>
          <w:rStyle w:val="HideTWBExt"/>
          <w:b w:val="0"/>
        </w:rPr>
        <w:t>&lt;NumAm&gt;</w:t>
      </w:r>
      <w:r w:rsidRPr="00FA40C1">
        <w:rPr>
          <w:color w:val="000000" w:themeColor="text1"/>
        </w:rPr>
        <w:t>134</w:t>
      </w:r>
      <w:r w:rsidRPr="00FA40C1">
        <w:rPr>
          <w:rStyle w:val="HideTWBExt"/>
          <w:b w:val="0"/>
        </w:rPr>
        <w:t>&lt;/NumAm&gt;</w:t>
      </w:r>
    </w:p>
    <w:p w14:paraId="7E1FBEE4" w14:textId="77777777" w:rsidR="00804A7C" w:rsidRPr="00FA40C1" w:rsidRDefault="00804A7C" w:rsidP="00804A7C">
      <w:pPr>
        <w:pStyle w:val="NormalBold"/>
        <w:rPr>
          <w:color w:val="000000" w:themeColor="text1"/>
        </w:rPr>
      </w:pPr>
      <w:r w:rsidRPr="00FA40C1">
        <w:rPr>
          <w:rStyle w:val="HideTWBExt"/>
          <w:b w:val="0"/>
        </w:rPr>
        <w:t>&lt;RepeatBlock-By&gt;&lt;Members&gt;</w:t>
      </w:r>
      <w:r w:rsidRPr="00FA40C1">
        <w:rPr>
          <w:color w:val="000000" w:themeColor="text1"/>
        </w:rPr>
        <w:t>Tineke Strik</w:t>
      </w:r>
      <w:r w:rsidRPr="00FA40C1">
        <w:rPr>
          <w:rStyle w:val="HideTWBExt"/>
          <w:b w:val="0"/>
        </w:rPr>
        <w:t>&lt;/Members&gt;</w:t>
      </w:r>
    </w:p>
    <w:p w14:paraId="22EB2ABD" w14:textId="77777777" w:rsidR="00804A7C" w:rsidRPr="00FA40C1" w:rsidRDefault="00804A7C" w:rsidP="00804A7C">
      <w:pPr>
        <w:pStyle w:val="NormalBold"/>
        <w:rPr>
          <w:color w:val="000000" w:themeColor="text1"/>
        </w:rPr>
      </w:pPr>
      <w:r w:rsidRPr="00FA40C1">
        <w:rPr>
          <w:rStyle w:val="HideTWBExt"/>
          <w:b w:val="0"/>
        </w:rPr>
        <w:t>&lt;/RepeatBlock-By&gt;</w:t>
      </w:r>
    </w:p>
    <w:p w14:paraId="32D35C84" w14:textId="77777777" w:rsidR="00804A7C" w:rsidRPr="00FA40C1" w:rsidRDefault="00804A7C" w:rsidP="00804A7C">
      <w:pPr>
        <w:pStyle w:val="NormalBold"/>
        <w:rPr>
          <w:color w:val="000000" w:themeColor="text1"/>
        </w:rPr>
      </w:pPr>
      <w:r w:rsidRPr="00FA40C1">
        <w:rPr>
          <w:rStyle w:val="HideTWBExt"/>
          <w:b w:val="0"/>
        </w:rPr>
        <w:t>&lt;DocAmend&gt;</w:t>
      </w:r>
      <w:r w:rsidRPr="00FA40C1">
        <w:rPr>
          <w:color w:val="000000" w:themeColor="text1"/>
        </w:rPr>
        <w:t>Proposition de règlement</w:t>
      </w:r>
      <w:r w:rsidRPr="00FA40C1">
        <w:rPr>
          <w:rStyle w:val="HideTWBExt"/>
          <w:b w:val="0"/>
        </w:rPr>
        <w:t>&lt;/DocAmend&gt;</w:t>
      </w:r>
    </w:p>
    <w:p w14:paraId="71911535" w14:textId="77777777" w:rsidR="00804A7C" w:rsidRPr="00FA40C1" w:rsidRDefault="00804A7C" w:rsidP="00804A7C">
      <w:pPr>
        <w:pStyle w:val="NormalBold"/>
        <w:rPr>
          <w:color w:val="000000" w:themeColor="text1"/>
        </w:rPr>
      </w:pPr>
      <w:r w:rsidRPr="00FA40C1">
        <w:rPr>
          <w:rStyle w:val="HideTWBExt"/>
          <w:b w:val="0"/>
        </w:rPr>
        <w:t>&lt;Article&gt;</w:t>
      </w:r>
      <w:r w:rsidRPr="00FA40C1">
        <w:rPr>
          <w:color w:val="000000" w:themeColor="text1"/>
        </w:rPr>
        <w:t>Article 1 – alinéa 1 – point 2</w:t>
      </w:r>
      <w:r w:rsidRPr="00FA40C1">
        <w:rPr>
          <w:rStyle w:val="HideTWBExt"/>
          <w:b w:val="0"/>
        </w:rPr>
        <w:t>&lt;/Article&gt;</w:t>
      </w:r>
    </w:p>
    <w:p w14:paraId="65E7899D" w14:textId="77777777" w:rsidR="00804A7C" w:rsidRPr="00FA40C1" w:rsidRDefault="00804A7C" w:rsidP="00804A7C">
      <w:pPr>
        <w:rPr>
          <w:color w:val="000000" w:themeColor="text1"/>
        </w:rPr>
      </w:pPr>
      <w:r w:rsidRPr="00FA40C1">
        <w:rPr>
          <w:rStyle w:val="HideTWBExt"/>
        </w:rPr>
        <w:t>&lt;DocAmend2&gt;</w:t>
      </w:r>
      <w:r w:rsidRPr="00FA40C1">
        <w:rPr>
          <w:color w:val="000000" w:themeColor="text1"/>
        </w:rPr>
        <w:t>Règlement (UE) 2018/1806</w:t>
      </w:r>
      <w:r w:rsidRPr="00FA40C1">
        <w:rPr>
          <w:rStyle w:val="HideTWBExt"/>
        </w:rPr>
        <w:t>&lt;/DocAmend2&gt;</w:t>
      </w:r>
    </w:p>
    <w:p w14:paraId="7E973382" w14:textId="77777777" w:rsidR="00804A7C" w:rsidRPr="00FA40C1" w:rsidRDefault="00804A7C" w:rsidP="00804A7C">
      <w:pPr>
        <w:rPr>
          <w:color w:val="000000" w:themeColor="text1"/>
        </w:rPr>
      </w:pPr>
      <w:r w:rsidRPr="00FA40C1">
        <w:rPr>
          <w:rStyle w:val="HideTWBExt"/>
        </w:rPr>
        <w:t>&lt;Article2&gt;</w:t>
      </w:r>
      <w:r w:rsidRPr="00FA40C1">
        <w:rPr>
          <w:color w:val="000000" w:themeColor="text1"/>
        </w:rPr>
        <w:t>Article 8 septies – paragraphe 1 bis (nouveau)</w:t>
      </w:r>
      <w:r w:rsidRPr="00FA40C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4A7C" w:rsidRPr="00FA40C1" w14:paraId="59A6F1D9" w14:textId="77777777" w:rsidTr="00BF4F5C">
        <w:trPr>
          <w:trHeight w:hRule="exact" w:val="240"/>
          <w:jc w:val="center"/>
        </w:trPr>
        <w:tc>
          <w:tcPr>
            <w:tcW w:w="9752" w:type="dxa"/>
            <w:gridSpan w:val="2"/>
          </w:tcPr>
          <w:p w14:paraId="099FFC83" w14:textId="77777777" w:rsidR="00804A7C" w:rsidRPr="00FA40C1" w:rsidRDefault="00804A7C" w:rsidP="00BF4F5C">
            <w:pPr>
              <w:rPr>
                <w:color w:val="000000" w:themeColor="text1"/>
              </w:rPr>
            </w:pPr>
          </w:p>
        </w:tc>
      </w:tr>
      <w:tr w:rsidR="00804A7C" w:rsidRPr="00FA40C1" w14:paraId="260E166E" w14:textId="77777777" w:rsidTr="00BF4F5C">
        <w:trPr>
          <w:trHeight w:val="240"/>
          <w:jc w:val="center"/>
        </w:trPr>
        <w:tc>
          <w:tcPr>
            <w:tcW w:w="4876" w:type="dxa"/>
          </w:tcPr>
          <w:p w14:paraId="7498FDE0" w14:textId="77777777" w:rsidR="00804A7C" w:rsidRPr="00FA40C1" w:rsidRDefault="00804A7C" w:rsidP="00BF4F5C">
            <w:pPr>
              <w:pStyle w:val="AmColumnHeading"/>
              <w:rPr>
                <w:color w:val="000000" w:themeColor="text1"/>
              </w:rPr>
            </w:pPr>
            <w:r w:rsidRPr="00FA40C1">
              <w:rPr>
                <w:color w:val="000000" w:themeColor="text1"/>
              </w:rPr>
              <w:t>Texte proposé par la Commission</w:t>
            </w:r>
          </w:p>
        </w:tc>
        <w:tc>
          <w:tcPr>
            <w:tcW w:w="4876" w:type="dxa"/>
          </w:tcPr>
          <w:p w14:paraId="2C5077BB" w14:textId="77777777" w:rsidR="00804A7C" w:rsidRPr="00FA40C1" w:rsidRDefault="00804A7C" w:rsidP="00BF4F5C">
            <w:pPr>
              <w:pStyle w:val="AmColumnHeading"/>
              <w:rPr>
                <w:color w:val="000000" w:themeColor="text1"/>
              </w:rPr>
            </w:pPr>
            <w:r w:rsidRPr="00FA40C1">
              <w:rPr>
                <w:color w:val="000000" w:themeColor="text1"/>
              </w:rPr>
              <w:t>Amendement</w:t>
            </w:r>
          </w:p>
        </w:tc>
      </w:tr>
      <w:tr w:rsidR="00804A7C" w:rsidRPr="00FA40C1" w14:paraId="334645B5" w14:textId="77777777" w:rsidTr="00BF4F5C">
        <w:trPr>
          <w:jc w:val="center"/>
        </w:trPr>
        <w:tc>
          <w:tcPr>
            <w:tcW w:w="4876" w:type="dxa"/>
          </w:tcPr>
          <w:p w14:paraId="057F371B" w14:textId="77777777" w:rsidR="00804A7C" w:rsidRPr="00FA40C1" w:rsidRDefault="00804A7C" w:rsidP="00BF4F5C">
            <w:pPr>
              <w:pStyle w:val="Normal6a"/>
              <w:rPr>
                <w:color w:val="000000" w:themeColor="text1"/>
              </w:rPr>
            </w:pPr>
          </w:p>
        </w:tc>
        <w:tc>
          <w:tcPr>
            <w:tcW w:w="4876" w:type="dxa"/>
          </w:tcPr>
          <w:p w14:paraId="7C71C2AC" w14:textId="77777777" w:rsidR="00804A7C" w:rsidRPr="00FA40C1" w:rsidRDefault="00804A7C" w:rsidP="00BF4F5C">
            <w:pPr>
              <w:pStyle w:val="Normal6a"/>
              <w:rPr>
                <w:color w:val="000000" w:themeColor="text1"/>
              </w:rPr>
            </w:pPr>
            <w:r w:rsidRPr="00FA40C1">
              <w:rPr>
                <w:b/>
                <w:i/>
                <w:color w:val="000000" w:themeColor="text1"/>
              </w:rPr>
              <w:t>1 bis.</w:t>
            </w:r>
            <w:r w:rsidRPr="00FA40C1">
              <w:rPr>
                <w:color w:val="000000" w:themeColor="text1"/>
              </w:rPr>
              <w:tab/>
            </w:r>
            <w:r w:rsidRPr="00FA40C1">
              <w:rPr>
                <w:b/>
                <w:i/>
                <w:color w:val="000000" w:themeColor="text1"/>
              </w:rPr>
              <w:t>L’acte délégué est accompagné d’un rapport au Parlement européen et au Conseil détaillant les conclusions du dialogue approfondi mené avec le pays tiers concerné, les mesures adoptées par ce pays tiers et par les États membres concernés, ainsi que les raisons qui permettent de penser qu’il n’a pas été remédié aux circonstances ayant conduit à la suspension temporaire. </w:t>
            </w:r>
          </w:p>
        </w:tc>
      </w:tr>
    </w:tbl>
    <w:p w14:paraId="29ED0919" w14:textId="77777777" w:rsidR="00804A7C" w:rsidRPr="00FA40C1" w:rsidRDefault="00804A7C" w:rsidP="00804A7C">
      <w:pPr>
        <w:pStyle w:val="AmOrLang"/>
        <w:rPr>
          <w:color w:val="000000" w:themeColor="text1"/>
        </w:rPr>
      </w:pPr>
      <w:r w:rsidRPr="00FA40C1">
        <w:rPr>
          <w:color w:val="000000" w:themeColor="text1"/>
        </w:rPr>
        <w:t xml:space="preserve">Or. </w:t>
      </w:r>
      <w:r w:rsidRPr="00FA40C1">
        <w:rPr>
          <w:rStyle w:val="HideTWBExt"/>
        </w:rPr>
        <w:t>&lt;Original&gt;</w:t>
      </w:r>
      <w:r w:rsidRPr="00FA40C1">
        <w:rPr>
          <w:rStyle w:val="HideTWBInt"/>
        </w:rPr>
        <w:t>{EN}</w:t>
      </w:r>
      <w:r w:rsidRPr="00FA40C1">
        <w:rPr>
          <w:color w:val="000000" w:themeColor="text1"/>
        </w:rPr>
        <w:t>en</w:t>
      </w:r>
      <w:r w:rsidRPr="00FA40C1">
        <w:rPr>
          <w:rStyle w:val="HideTWBExt"/>
        </w:rPr>
        <w:t>&lt;/Original&gt;</w:t>
      </w:r>
    </w:p>
    <w:p w14:paraId="64E929AB" w14:textId="754673CB" w:rsidR="00804A7C" w:rsidRPr="00FA40C1" w:rsidRDefault="00804A7C" w:rsidP="00804A7C">
      <w:pPr>
        <w:rPr>
          <w:color w:val="000000" w:themeColor="text1"/>
        </w:rPr>
      </w:pPr>
      <w:r w:rsidRPr="00FA40C1">
        <w:rPr>
          <w:rStyle w:val="HideTWBExt"/>
        </w:rPr>
        <w:t>&lt;/Amend&gt;&lt;/RepeatBlock-Amend&gt;</w:t>
      </w:r>
    </w:p>
    <w:p w14:paraId="47293B06" w14:textId="48AA6E4F" w:rsidR="00AC1B9B" w:rsidRPr="00FA40C1" w:rsidRDefault="00AC1B9B" w:rsidP="00804A7C">
      <w:pPr>
        <w:rPr>
          <w:color w:val="000000" w:themeColor="text1"/>
        </w:rPr>
      </w:pPr>
    </w:p>
    <w:sectPr w:rsidR="00AC1B9B" w:rsidRPr="00FA40C1" w:rsidSect="005C1D2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7F5D6" w14:textId="77777777" w:rsidR="0075447F" w:rsidRPr="00FA40C1" w:rsidRDefault="0075447F">
      <w:r w:rsidRPr="00FA40C1">
        <w:separator/>
      </w:r>
    </w:p>
  </w:endnote>
  <w:endnote w:type="continuationSeparator" w:id="0">
    <w:p w14:paraId="100BDA73" w14:textId="77777777" w:rsidR="0075447F" w:rsidRPr="00FA40C1" w:rsidRDefault="0075447F">
      <w:r w:rsidRPr="00FA40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B1F02" w14:textId="69E10AB6" w:rsidR="005C1D25" w:rsidRPr="004863DB" w:rsidRDefault="005C1D25" w:rsidP="005C1D25">
    <w:pPr>
      <w:pStyle w:val="EPFooter"/>
      <w:rPr>
        <w:lang w:val="de-DE"/>
      </w:rPr>
    </w:pPr>
    <w:r w:rsidRPr="004863DB">
      <w:rPr>
        <w:lang w:val="de-DE"/>
      </w:rPr>
      <w:t>PE</w:t>
    </w:r>
    <w:r w:rsidRPr="004863DB">
      <w:rPr>
        <w:rStyle w:val="HideTWBExt"/>
        <w:lang w:val="de-DE"/>
      </w:rPr>
      <w:t>&lt;NoPE&gt;</w:t>
    </w:r>
    <w:r w:rsidRPr="004863DB">
      <w:rPr>
        <w:lang w:val="de-DE"/>
      </w:rPr>
      <w:t>759.969</w:t>
    </w:r>
    <w:r w:rsidRPr="004863DB">
      <w:rPr>
        <w:rStyle w:val="HideTWBExt"/>
        <w:lang w:val="de-DE"/>
      </w:rPr>
      <w:t>&lt;/NoPE&gt;&lt;Version&gt;</w:t>
    </w:r>
    <w:r w:rsidRPr="004863DB">
      <w:rPr>
        <w:lang w:val="de-DE"/>
      </w:rPr>
      <w:t>v01-00</w:t>
    </w:r>
    <w:r w:rsidRPr="004863DB">
      <w:rPr>
        <w:rStyle w:val="HideTWBExt"/>
        <w:lang w:val="de-DE"/>
      </w:rPr>
      <w:t>&lt;/Version&gt;</w:t>
    </w:r>
    <w:r w:rsidRPr="004863DB">
      <w:rPr>
        <w:lang w:val="de-DE"/>
      </w:rPr>
      <w:tab/>
    </w:r>
    <w:r w:rsidRPr="00FA40C1">
      <w:fldChar w:fldCharType="begin"/>
    </w:r>
    <w:r w:rsidRPr="004863DB">
      <w:rPr>
        <w:lang w:val="de-DE"/>
      </w:rPr>
      <w:instrText xml:space="preserve"> PAGE  \* MERGEFORMAT </w:instrText>
    </w:r>
    <w:r w:rsidRPr="00FA40C1">
      <w:fldChar w:fldCharType="separate"/>
    </w:r>
    <w:r w:rsidR="004863DB">
      <w:rPr>
        <w:noProof/>
        <w:lang w:val="de-DE"/>
      </w:rPr>
      <w:t>2</w:t>
    </w:r>
    <w:r w:rsidRPr="00FA40C1">
      <w:fldChar w:fldCharType="end"/>
    </w:r>
    <w:r w:rsidRPr="004863DB">
      <w:rPr>
        <w:lang w:val="de-DE"/>
      </w:rPr>
      <w:t>/</w:t>
    </w:r>
    <w:r w:rsidR="004863DB">
      <w:fldChar w:fldCharType="begin"/>
    </w:r>
    <w:r w:rsidR="004863DB" w:rsidRPr="004863DB">
      <w:rPr>
        <w:lang w:val="de-DE"/>
      </w:rPr>
      <w:instrText xml:space="preserve"> NUMPAGES  \* MERGEFORMAT </w:instrText>
    </w:r>
    <w:r w:rsidR="004863DB">
      <w:fldChar w:fldCharType="separate"/>
    </w:r>
    <w:r w:rsidR="004863DB">
      <w:rPr>
        <w:noProof/>
        <w:lang w:val="de-DE"/>
      </w:rPr>
      <w:t>73</w:t>
    </w:r>
    <w:r w:rsidR="004863DB">
      <w:rPr>
        <w:noProof/>
      </w:rPr>
      <w:fldChar w:fldCharType="end"/>
    </w:r>
    <w:r w:rsidRPr="004863DB">
      <w:rPr>
        <w:lang w:val="de-DE"/>
      </w:rPr>
      <w:tab/>
    </w:r>
    <w:r w:rsidRPr="004863DB">
      <w:rPr>
        <w:rStyle w:val="HideTWBExt"/>
        <w:lang w:val="de-DE"/>
      </w:rPr>
      <w:t>&lt;PathFdR&gt;</w:t>
    </w:r>
    <w:r w:rsidR="00FA40C1" w:rsidRPr="004863DB">
      <w:rPr>
        <w:lang w:val="de-DE"/>
      </w:rPr>
      <w:t>AM\1299078FR.docx</w:t>
    </w:r>
    <w:r w:rsidRPr="004863DB">
      <w:rPr>
        <w:rStyle w:val="HideTWBExt"/>
        <w:lang w:val="de-DE"/>
      </w:rPr>
      <w:t>&lt;/PathFdR&gt;</w:t>
    </w:r>
  </w:p>
  <w:p w14:paraId="5E82EBB9" w14:textId="68974B30" w:rsidR="00AC1B9B" w:rsidRPr="00FA40C1" w:rsidRDefault="005C1D25" w:rsidP="005C1D25">
    <w:pPr>
      <w:pStyle w:val="EPFooter2"/>
    </w:pPr>
    <w:r w:rsidRPr="00FA40C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13DC3" w14:textId="77089DBC" w:rsidR="005C1D25" w:rsidRPr="004863DB" w:rsidRDefault="005C1D25" w:rsidP="005C1D25">
    <w:pPr>
      <w:pStyle w:val="EPFooter"/>
      <w:rPr>
        <w:lang w:val="de-DE"/>
      </w:rPr>
    </w:pPr>
    <w:r w:rsidRPr="004863DB">
      <w:rPr>
        <w:rStyle w:val="HideTWBExt"/>
        <w:lang w:val="de-DE"/>
      </w:rPr>
      <w:t>&lt;PathFdR&gt;</w:t>
    </w:r>
    <w:r w:rsidR="00FA40C1" w:rsidRPr="004863DB">
      <w:rPr>
        <w:lang w:val="de-DE"/>
      </w:rPr>
      <w:t>AM\1299078FR.docx</w:t>
    </w:r>
    <w:r w:rsidRPr="004863DB">
      <w:rPr>
        <w:rStyle w:val="HideTWBExt"/>
        <w:lang w:val="de-DE"/>
      </w:rPr>
      <w:t>&lt;/PathFdR&gt;</w:t>
    </w:r>
    <w:r w:rsidRPr="004863DB">
      <w:rPr>
        <w:lang w:val="de-DE"/>
      </w:rPr>
      <w:tab/>
    </w:r>
    <w:r w:rsidRPr="00FA40C1">
      <w:fldChar w:fldCharType="begin"/>
    </w:r>
    <w:r w:rsidRPr="004863DB">
      <w:rPr>
        <w:lang w:val="de-DE"/>
      </w:rPr>
      <w:instrText xml:space="preserve"> PAGE  \* MERGEFORMAT </w:instrText>
    </w:r>
    <w:r w:rsidRPr="00FA40C1">
      <w:fldChar w:fldCharType="separate"/>
    </w:r>
    <w:r w:rsidR="004863DB">
      <w:rPr>
        <w:noProof/>
        <w:lang w:val="de-DE"/>
      </w:rPr>
      <w:t>3</w:t>
    </w:r>
    <w:r w:rsidRPr="00FA40C1">
      <w:fldChar w:fldCharType="end"/>
    </w:r>
    <w:r w:rsidRPr="004863DB">
      <w:rPr>
        <w:lang w:val="de-DE"/>
      </w:rPr>
      <w:t>/</w:t>
    </w:r>
    <w:r w:rsidR="004863DB">
      <w:fldChar w:fldCharType="begin"/>
    </w:r>
    <w:r w:rsidR="004863DB" w:rsidRPr="004863DB">
      <w:rPr>
        <w:lang w:val="de-DE"/>
      </w:rPr>
      <w:instrText xml:space="preserve"> NUMPAGES  \* MERGEFORMAT </w:instrText>
    </w:r>
    <w:r w:rsidR="004863DB">
      <w:fldChar w:fldCharType="separate"/>
    </w:r>
    <w:r w:rsidR="004863DB">
      <w:rPr>
        <w:noProof/>
        <w:lang w:val="de-DE"/>
      </w:rPr>
      <w:t>73</w:t>
    </w:r>
    <w:r w:rsidR="004863DB">
      <w:rPr>
        <w:noProof/>
      </w:rPr>
      <w:fldChar w:fldCharType="end"/>
    </w:r>
    <w:r w:rsidRPr="004863DB">
      <w:rPr>
        <w:lang w:val="de-DE"/>
      </w:rPr>
      <w:tab/>
      <w:t>PE</w:t>
    </w:r>
    <w:r w:rsidRPr="004863DB">
      <w:rPr>
        <w:rStyle w:val="HideTWBExt"/>
        <w:lang w:val="de-DE"/>
      </w:rPr>
      <w:t>&lt;NoPE&gt;</w:t>
    </w:r>
    <w:r w:rsidRPr="004863DB">
      <w:rPr>
        <w:lang w:val="de-DE"/>
      </w:rPr>
      <w:t>759.969</w:t>
    </w:r>
    <w:r w:rsidRPr="004863DB">
      <w:rPr>
        <w:rStyle w:val="HideTWBExt"/>
        <w:lang w:val="de-DE"/>
      </w:rPr>
      <w:t>&lt;/NoPE&gt;&lt;Version&gt;</w:t>
    </w:r>
    <w:r w:rsidRPr="004863DB">
      <w:rPr>
        <w:lang w:val="de-DE"/>
      </w:rPr>
      <w:t>v01-00</w:t>
    </w:r>
    <w:r w:rsidRPr="004863DB">
      <w:rPr>
        <w:rStyle w:val="HideTWBExt"/>
        <w:lang w:val="de-DE"/>
      </w:rPr>
      <w:t>&lt;/Version&gt;</w:t>
    </w:r>
  </w:p>
  <w:p w14:paraId="2F39B450" w14:textId="34ACC685" w:rsidR="00AC1B9B" w:rsidRPr="00FA40C1" w:rsidRDefault="005C1D25" w:rsidP="005C1D25">
    <w:pPr>
      <w:pStyle w:val="EPFooter2"/>
    </w:pPr>
    <w:r w:rsidRPr="004863DB">
      <w:rPr>
        <w:lang w:val="de-DE"/>
      </w:rPr>
      <w:tab/>
    </w:r>
    <w:r w:rsidRPr="004863DB">
      <w:rPr>
        <w:lang w:val="de-DE"/>
      </w:rPr>
      <w:tab/>
    </w:r>
    <w:r w:rsidRPr="00FA40C1">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E7467" w14:textId="0149A0FE" w:rsidR="005C1D25" w:rsidRPr="004863DB" w:rsidRDefault="005C1D25" w:rsidP="005C1D25">
    <w:pPr>
      <w:pStyle w:val="EPFooter"/>
      <w:rPr>
        <w:lang w:val="de-DE"/>
      </w:rPr>
    </w:pPr>
    <w:r w:rsidRPr="004863DB">
      <w:rPr>
        <w:rStyle w:val="HideTWBExt"/>
        <w:lang w:val="de-DE"/>
      </w:rPr>
      <w:t>&lt;PathFdR&gt;</w:t>
    </w:r>
    <w:r w:rsidR="00FA40C1" w:rsidRPr="004863DB">
      <w:rPr>
        <w:lang w:val="de-DE"/>
      </w:rPr>
      <w:t>AM\1299078FR.docx</w:t>
    </w:r>
    <w:r w:rsidRPr="004863DB">
      <w:rPr>
        <w:rStyle w:val="HideTWBExt"/>
        <w:lang w:val="de-DE"/>
      </w:rPr>
      <w:t>&lt;/PathFdR&gt;</w:t>
    </w:r>
    <w:r w:rsidRPr="004863DB">
      <w:rPr>
        <w:lang w:val="de-DE"/>
      </w:rPr>
      <w:tab/>
    </w:r>
    <w:r w:rsidRPr="004863DB">
      <w:rPr>
        <w:lang w:val="de-DE"/>
      </w:rPr>
      <w:tab/>
      <w:t>PE</w:t>
    </w:r>
    <w:r w:rsidRPr="004863DB">
      <w:rPr>
        <w:rStyle w:val="HideTWBExt"/>
        <w:lang w:val="de-DE"/>
      </w:rPr>
      <w:t>&lt;NoPE&gt;</w:t>
    </w:r>
    <w:r w:rsidRPr="004863DB">
      <w:rPr>
        <w:lang w:val="de-DE"/>
      </w:rPr>
      <w:t>759.969</w:t>
    </w:r>
    <w:r w:rsidRPr="004863DB">
      <w:rPr>
        <w:rStyle w:val="HideTWBExt"/>
        <w:lang w:val="de-DE"/>
      </w:rPr>
      <w:t>&lt;/NoPE&gt;&lt;Version&gt;</w:t>
    </w:r>
    <w:r w:rsidRPr="004863DB">
      <w:rPr>
        <w:lang w:val="de-DE"/>
      </w:rPr>
      <w:t>v01-00</w:t>
    </w:r>
    <w:r w:rsidRPr="004863DB">
      <w:rPr>
        <w:rStyle w:val="HideTWBExt"/>
        <w:lang w:val="de-DE"/>
      </w:rPr>
      <w:t>&lt;/Version&gt;</w:t>
    </w:r>
  </w:p>
  <w:p w14:paraId="6ED17A42" w14:textId="7F71E48C" w:rsidR="00AC1B9B" w:rsidRPr="00FA40C1" w:rsidRDefault="005C1D25" w:rsidP="005C1D25">
    <w:pPr>
      <w:pStyle w:val="EPFooter2"/>
    </w:pPr>
    <w:r w:rsidRPr="00FA40C1">
      <w:t>FR</w:t>
    </w:r>
    <w:r w:rsidRPr="00FA40C1">
      <w:tab/>
    </w:r>
    <w:r w:rsidRPr="00FA40C1">
      <w:rPr>
        <w:b w:val="0"/>
        <w:i/>
        <w:color w:val="C0C0C0"/>
        <w:sz w:val="22"/>
      </w:rPr>
      <w:t>Unie dans la diversité</w:t>
    </w:r>
    <w:r w:rsidRPr="00FA40C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F4A8A" w14:textId="77777777" w:rsidR="0075447F" w:rsidRPr="00FA40C1" w:rsidRDefault="0075447F">
      <w:r w:rsidRPr="00FA40C1">
        <w:separator/>
      </w:r>
    </w:p>
  </w:footnote>
  <w:footnote w:type="continuationSeparator" w:id="0">
    <w:p w14:paraId="7EF0842B" w14:textId="77777777" w:rsidR="0075447F" w:rsidRPr="00FA40C1" w:rsidRDefault="0075447F">
      <w:r w:rsidRPr="00FA40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9D9BE" w14:textId="77777777" w:rsidR="00C90702" w:rsidRDefault="00C90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16590" w14:textId="77777777" w:rsidR="00C90702" w:rsidRDefault="00C90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6FA4B" w14:textId="77777777" w:rsidR="00C90702" w:rsidRDefault="00C907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9"/>
    <w:docVar w:name="TXTLANGUE" w:val="FR"/>
    <w:docVar w:name="TXTLANGUEMIN" w:val="fr"/>
    <w:docVar w:name="TXTNRPE" w:val="759.969"/>
    <w:docVar w:name="TXTPEorAP" w:val="PE"/>
    <w:docVar w:name="TXTROUTE" w:val="AM\1299078FR.docx"/>
    <w:docVar w:name="TXTVERSION" w:val="01-00"/>
  </w:docVars>
  <w:rsids>
    <w:rsidRoot w:val="00A77B3E"/>
    <w:rsid w:val="004863DB"/>
    <w:rsid w:val="005C1D25"/>
    <w:rsid w:val="0075447F"/>
    <w:rsid w:val="00804A7C"/>
    <w:rsid w:val="00937114"/>
    <w:rsid w:val="00A77B3E"/>
    <w:rsid w:val="00AC1B9B"/>
    <w:rsid w:val="00C90702"/>
    <w:rsid w:val="00CA2A55"/>
    <w:rsid w:val="00FA40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DB6A0B"/>
  <w15:docId w15:val="{BA416965-AA6E-4A0B-A86F-D507BF40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5447F"/>
    <w:pPr>
      <w:tabs>
        <w:tab w:val="center" w:pos="4513"/>
        <w:tab w:val="right" w:pos="9026"/>
      </w:tabs>
    </w:pPr>
  </w:style>
  <w:style w:type="character" w:customStyle="1" w:styleId="HeaderChar">
    <w:name w:val="Header Char"/>
    <w:basedOn w:val="DefaultParagraphFont"/>
    <w:link w:val="Header"/>
    <w:rsid w:val="0075447F"/>
    <w:rPr>
      <w:sz w:val="24"/>
      <w:szCs w:val="24"/>
    </w:rPr>
  </w:style>
  <w:style w:type="paragraph" w:styleId="Footer">
    <w:name w:val="footer"/>
    <w:basedOn w:val="Normal"/>
    <w:link w:val="FooterChar"/>
    <w:rsid w:val="00C90702"/>
    <w:pPr>
      <w:tabs>
        <w:tab w:val="center" w:pos="4513"/>
        <w:tab w:val="right" w:pos="9026"/>
      </w:tabs>
    </w:pPr>
  </w:style>
  <w:style w:type="character" w:customStyle="1" w:styleId="FooterChar">
    <w:name w:val="Footer Char"/>
    <w:basedOn w:val="DefaultParagraphFont"/>
    <w:link w:val="Footer"/>
    <w:rsid w:val="00C907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17527</Words>
  <Characters>124753</Characters>
  <Application>Microsoft Office Word</Application>
  <DocSecurity>0</DocSecurity>
  <Lines>1039</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2024-03-27T12:37:00Z</dcterms:created>
  <dcterms:modified xsi:type="dcterms:W3CDTF">2024-03-27T12:37:00Z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AM\1299078FR.docx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Bookout">
    <vt:lpwstr>OK - 2024/03/27 12:30</vt:lpwstr>
  </property>
  <property fmtid="{D5CDD505-2E9C-101B-9397-08002B2CF9AE}" pid="12" name="LastEdited with">
    <vt:lpwstr>9.17.2 Build [20240301]</vt:lpwstr>
  </property>
</Properties>
</file>