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Parlament Europejski</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Komisja Wolności Obywatelskich, Sprawiedliwości i Spraw Wewnętrznych</w:t>
      </w:r>
      <w:r>
        <w:rPr>
          <w:rStyle w:val="HideTWBExt"/>
        </w:rPr>
        <w:t>&lt;/Commission&gt;</w:t>
      </w:r>
    </w:p>
    <w:p>
      <w:pPr>
        <w:pStyle w:val="LineBottom"/>
      </w:pPr>
      <w:r>
        <w:t xml:space="preserve"> </w:t>
      </w:r>
    </w:p>
    <w:p>
      <w:pPr>
        <w:pStyle w:val="CoverReference"/>
      </w:pPr>
      <w:r>
        <w:rPr>
          <w:rStyle w:val="HideTWBExt"/>
        </w:rPr>
        <w:t>&lt;RefProc&gt;</w:t>
      </w:r>
      <w:r>
        <w:t>2023/0371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{18/03/2024}</w:t>
      </w:r>
      <w:r>
        <w:t>18.3.2024</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7</w:t>
      </w:r>
      <w:r>
        <w:t xml:space="preserve"> - </w:t>
      </w:r>
      <w:r>
        <w:t>134</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Matjaž Nemec</w:t>
      </w:r>
      <w:r>
        <w:rPr>
          <w:rStyle w:val="HideTWBExt"/>
        </w:rPr>
        <w:t>&lt;/Rapporteur&gt;</w:t>
      </w:r>
    </w:p>
    <w:p>
      <w:pPr>
        <w:pStyle w:val="CoverNormal24a"/>
      </w:pPr>
      <w:r>
        <w:rPr>
          <w:rStyle w:val="HideTWBExt"/>
        </w:rPr>
        <w:t>&lt;DocRefPE&gt;</w:t>
      </w:r>
      <w:r>
        <w:t>(PE759.070v01-00)</w:t>
      </w:r>
      <w:r>
        <w:rPr>
          <w:rStyle w:val="HideTWBExt"/>
        </w:rPr>
        <w:t>&lt;/DocRefPE&gt;</w:t>
      </w:r>
    </w:p>
    <w:p>
      <w:pPr>
        <w:pStyle w:val="CoverNormal24a"/>
      </w:pPr>
      <w:r>
        <w:rPr>
          <w:rStyle w:val="HideTWBExt"/>
        </w:rPr>
        <w:t>&lt;Titre&gt;</w:t>
      </w:r>
      <w:r>
        <w:t>Zmiana rozporządzenia (UE) 2018/1806 w odniesieniu do zmiany mechanizmu zawieszającego</w:t>
      </w:r>
      <w:r>
        <w:rPr>
          <w:rStyle w:val="HideTWBExt"/>
        </w:rPr>
        <w:t>&lt;/Titre&gt;</w:t>
      </w:r>
    </w:p>
    <w:p>
      <w:pPr>
        <w:pStyle w:val="CoverNormal"/>
      </w:pPr>
      <w:r>
        <w:rPr>
          <w:rStyle w:val="HideTWBExt"/>
        </w:rPr>
        <w:t>&lt;DocAmend&gt;</w:t>
      </w:r>
      <w:r>
        <w:t>Wniosek dotyczący rozporządzenia</w:t>
      </w:r>
      <w:r>
        <w:rPr>
          <w:rStyle w:val="HideTWBExt"/>
        </w:rPr>
        <w:t>&lt;/DocAmend&gt;</w:t>
      </w:r>
    </w:p>
    <w:p>
      <w:pPr>
        <w:pStyle w:val="CoverNormal24a"/>
      </w:pPr>
      <w:r>
        <w:rPr>
          <w:rStyle w:val="HideTWBExt"/>
        </w:rPr>
        <w:t>&lt;DocRef&gt;</w:t>
      </w:r>
      <w:r>
        <w:t>(COM(2023)0642 – C9-0392/2023 – 2023/0371(COD))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Ruch bezwizowy przynosi znaczne korzyści zarówno Unii, jak i państwom trzecim.</w:t>
            </w:r>
            <w:r>
              <w:t xml:space="preserve"> </w:t>
            </w:r>
            <w:r>
              <w:rPr>
                <w:b/>
                <w:i/>
              </w:rPr>
              <w:t>Stosunki gospodarcze, społeczne i kulturalne z państwami trzecimi przyczyniają się do dobrobytu i czynią z Unii otwarty i wolny blok.</w:t>
            </w:r>
            <w:r>
              <w:t xml:space="preserve"> </w:t>
            </w:r>
            <w:r>
              <w:rPr>
                <w:b/>
                <w:i/>
              </w:rPr>
              <w:t>Wspólna polityka wizowa Unii stanowi pod tym względem podstawę jej współpracy z państwami trzecimi.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 b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Jednocześnie zmieniający się kontekst geopolityczny przyniósł nowe wyzwania związane z ruchem bezwizowym.</w:t>
            </w:r>
            <w:r>
              <w:t xml:space="preserve"> </w:t>
            </w:r>
            <w:r>
              <w:rPr>
                <w:b/>
                <w:i/>
              </w:rPr>
              <w:t>Nadużycia i zagrożenia dla bezpieczeństwa wynikające z ruchu bezwizowego do UE wymagają szybkiej i odpowiedniej reakcji.</w:t>
            </w:r>
            <w:r>
              <w:t xml:space="preserve"> </w:t>
            </w:r>
            <w:r>
              <w:rPr>
                <w:b/>
                <w:i/>
              </w:rPr>
              <w:t>Konieczne jest, aby Unia była odpowiednio przygotowana do radzenia sobie z tymi wyzwaniami.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Należy wzmocnić mechanizm tymczasowego zawieszenia zwolnienia z obowiązku wizowego wobec obywateli państwa trzeciego wymienionego w załączniku II do rozporządzenia (UE) 2018/1806 („mechanizm zawieszający”), tak aby Unia dysponowała skuteczniejszym zabezpieczeniem umożliwiającym zapobieganie szerszemu zakresowi zagrożeń związanych z migracją nieuregulowaną, zagrożeń dla porządku publicznego i bezpieczeństwa pojawiających się ze strony z państw trzecich wymienionych w tym załączniku II, a także nadużywaniu zwolnienia z obowiązku wizowego przez prowadzenie przez te państwa trzecie programów obywatelstwa dla inwestorów.</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Należy wzmocnić mechanizm tymczasowego zawieszenia zwolnienia z obowiązku wizowego wobec obywateli państwa trzeciego wymienionego w załączniku II do rozporządzenia (UE) 2018/1806 („mechanizm zawieszający”), tak aby Unia dysponowała skuteczniejszym zabezpieczeniem umożliwiającym zapobieganie szerszemu zakresowi zagrożeń związanych z migracją nieuregulowaną, zagrożeń dla porządku publicznego i bezpieczeństwa pojawiających się ze strony z państw trzecich wymienionych w tym załączniku II</w:t>
            </w:r>
            <w:r>
              <w:rPr>
                <w:b/>
                <w:i/>
              </w:rPr>
              <w:t>, a także</w:t>
            </w:r>
            <w:r>
              <w:t xml:space="preserve"> nadużywaniu zwolnienia z obowiązku wizowego przez prowadzenie przez te państwa trzecie programów obywatelstwa dla inwestorów.</w:t>
            </w:r>
          </w:p>
        </w:tc>
        <w:tc>
          <w:tcPr>
            <w:tcW w:w="4876" w:type="dxa"/>
          </w:tcPr>
          <w:p>
            <w:pPr>
              <w:pStyle w:val="Normal6a"/>
            </w:pPr>
            <w:r>
              <w:t>(2)</w:t>
            </w:r>
            <w:r>
              <w:tab/>
            </w:r>
            <w:r>
              <w:rPr>
                <w:b/>
                <w:i/>
              </w:rPr>
              <w:t>Z tego powodu</w:t>
            </w:r>
            <w:r>
              <w:t xml:space="preserve"> należy wzmocnić mechanizm tymczasowego zawieszenia zwolnienia z obowiązku wizowego wobec obywateli państwa trzeciego wymienionego w załączniku II do rozporządzenia (UE) 2018/1806 („mechanizm zawieszający”), tak aby Unia dysponowała skuteczniejszym zabezpieczeniem umożliwiającym zapobieganie szerszemu zakresowi zagrożeń związanych z migracją nieuregulowaną, zagrożeń dla porządku publicznego i bezpieczeństwa pojawiających się ze strony z państw trzecich wymienionych w tym załączniku II </w:t>
            </w:r>
            <w:r>
              <w:rPr>
                <w:b/>
                <w:i/>
              </w:rPr>
              <w:t>lub</w:t>
            </w:r>
            <w:r>
              <w:t xml:space="preserve"> nadużywaniu zwolnienia z obowiązku wizowego przez prowadzenie przez te państwa trzecie programów obywatelstwa dla inwestorów</w:t>
            </w:r>
            <w:r>
              <w:rPr>
                <w:b/>
                <w:i/>
              </w:rPr>
              <w:t>, a także jako narzędzie dyplomatyczne w następstwie poważnego pogorszenia stosunków zewnętrznych z odpowiednimi państwami trzecimi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Należy wzmocnić mechanizm tymczasowego zawieszenia zwolnienia z obowiązku wizowego wobec obywateli państwa trzeciego wymienionego w załączniku II do rozporządzenia (UE) 2018/1806 („mechanizm zawieszający”), tak aby Unia dysponowała skuteczniejszym zabezpieczeniem umożliwiającym zapobieganie </w:t>
            </w:r>
            <w:r>
              <w:rPr>
                <w:b/>
                <w:i/>
              </w:rPr>
              <w:t>szerszemu zakresowi zagrożeń związanych z migracją nieuregulowaną, zagrożeń dla porządku publicznego i bezpieczeństwa pojawiających się ze strony z państw trzecich wymienionych w tym załączniku II, a także</w:t>
            </w:r>
            <w:r>
              <w:t xml:space="preserve"> nadużywaniu zwolnienia z obowiązku wizowego przez prowadzenie przez te państwa trzecie programów obywatelstwa dla inwestorów.</w:t>
            </w:r>
          </w:p>
        </w:tc>
        <w:tc>
          <w:tcPr>
            <w:tcW w:w="4876" w:type="dxa"/>
          </w:tcPr>
          <w:p>
            <w:pPr>
              <w:pStyle w:val="Normal6a"/>
            </w:pPr>
            <w:r>
              <w:t>(2)</w:t>
            </w:r>
            <w:r>
              <w:tab/>
            </w:r>
            <w:r>
              <w:t>Należy wzmocnić mechanizm tymczasowego zawieszenia zwolnienia z obowiązku wizowego wobec obywateli państwa trzeciego wymienionego w załączniku II do rozporządzenia (UE) 2018/1806 („mechanizm zawieszający”), tak aby Unia dysponowała skuteczniejszym zabezpieczeniem umożliwiającym zapobieganie nadużywaniu zwolnienia z obowiązku wizowego przez prowadzenie przez te państwa trzecie programów obywatelstwa dla inwestorów.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Powinna istnieć również możliwość uruchomienia mechanizmu zawieszającego w przypadku poważnych naruszeń przez państwo trzecie zasad Karty Narodów Zjednoczonych lub w przypadku poważnego naruszenia zobowiązań wynikających z międzynarodowego prawa dotyczącego praw człowieka lub międzynarodowego prawa humanitarnego, z uwzględnieniem zasad, które przyświecają działaniom zewnętrznym UE, o których mowa w art. 21 ust.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Należy w szczególności ułatwić stosowanie mechanizmu zawieszającego przez rozszerzenie możliwych podstaw do zawieszenia</w:t>
            </w:r>
            <w:r>
              <w:rPr>
                <w:b/>
                <w:i/>
              </w:rPr>
              <w:t>, dostosowanie odpowiednich progów i procedur</w:t>
            </w:r>
            <w:r>
              <w:t xml:space="preserve"> oraz wzmocnienie obowiązków Komisji w zakresie monitorowania i sprawozdawczości.</w:t>
            </w:r>
          </w:p>
        </w:tc>
        <w:tc>
          <w:tcPr>
            <w:tcW w:w="4876" w:type="dxa"/>
          </w:tcPr>
          <w:p>
            <w:pPr>
              <w:pStyle w:val="Normal6a"/>
            </w:pPr>
            <w:r>
              <w:t>(3)</w:t>
            </w:r>
            <w:r>
              <w:tab/>
            </w:r>
            <w:r>
              <w:t xml:space="preserve">Należy w szczególności ułatwić stosowanie mechanizmu zawieszającego przez rozszerzenie możliwych podstaw do zawieszenia oraz wzmocnienie obowiązków Komisji w zakresie monitorowania i sprawozdawczości. </w:t>
            </w:r>
            <w:r>
              <w:rPr>
                <w:b/>
                <w:i/>
              </w:rPr>
              <w:t>Ponadto Komisja musi ocenić wpływ proponowanego środka na podstawie zasady wzajemności wizowej, która jest zasadą ogólnej polityki wizowej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Należy w szczególności </w:t>
            </w:r>
            <w:r>
              <w:rPr>
                <w:b/>
                <w:i/>
              </w:rPr>
              <w:t>ułatwić stosowanie</w:t>
            </w:r>
            <w:r>
              <w:t xml:space="preserve"> mechanizmu zawieszającego </w:t>
            </w:r>
            <w:r>
              <w:rPr>
                <w:b/>
                <w:i/>
              </w:rPr>
              <w:t>przez rozszerzenie możliwych podstaw do zawieszenia, dostosowanie odpowiednich progów i procedur oraz wzmocnienie obowiązków</w:t>
            </w:r>
            <w:r>
              <w:t xml:space="preserve"> Komisji w zakresie monitorowania i sprawozdawczości.</w:t>
            </w:r>
          </w:p>
        </w:tc>
        <w:tc>
          <w:tcPr>
            <w:tcW w:w="4876" w:type="dxa"/>
          </w:tcPr>
          <w:p>
            <w:pPr>
              <w:pStyle w:val="Normal6a"/>
            </w:pPr>
            <w:r>
              <w:t>(3)</w:t>
            </w:r>
            <w:r>
              <w:tab/>
            </w:r>
            <w:r>
              <w:t xml:space="preserve">Należy w szczególności </w:t>
            </w:r>
            <w:r>
              <w:rPr>
                <w:b/>
                <w:i/>
              </w:rPr>
              <w:t>wyjaśnić kryteria uruchomienia</w:t>
            </w:r>
            <w:r>
              <w:t xml:space="preserve"> mechanizmu zawieszającego</w:t>
            </w:r>
            <w:r>
              <w:rPr>
                <w:b/>
                <w:i/>
              </w:rPr>
              <w:t>, doprecyzować odpowiednie progi i procedury oraz wzmocnić obowiązki</w:t>
            </w:r>
            <w:r>
              <w:t xml:space="preserve"> Komisji w zakresie monitorowania i sprawozdawczości.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Należy w szczególności ułatwić stosowanie mechanizmu zawieszającego przez rozszerzenie możliwych podstaw do zawieszenia, dostosowanie odpowiednich </w:t>
            </w:r>
            <w:r>
              <w:rPr>
                <w:b/>
                <w:i/>
              </w:rPr>
              <w:t>progów i</w:t>
            </w:r>
            <w:r>
              <w:t xml:space="preserve"> procedur oraz wzmocnienie obowiązków Komisji w zakresie monitorowania i sprawozdawczości.</w:t>
            </w:r>
          </w:p>
        </w:tc>
        <w:tc>
          <w:tcPr>
            <w:tcW w:w="4876" w:type="dxa"/>
          </w:tcPr>
          <w:p>
            <w:pPr>
              <w:pStyle w:val="Normal6a"/>
            </w:pPr>
            <w:r>
              <w:t>(3)</w:t>
            </w:r>
            <w:r>
              <w:tab/>
            </w:r>
            <w:r>
              <w:t>Należy w szczególności ułatwić stosowanie mechanizmu zawieszającego przez rozszerzenie możliwych podstaw do zawieszenia, dostosowanie odpowiednich procedur oraz wzmocnienie obowiązków Komisji w zakresie monitorowania i sprawozdawczości.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Jeżeli Komisja rozważa zawieszenie zwolnienia z obowiązku wizowego lub w przypadkach na podstawie powiadomienia przez państwo członkowskie, jej ocena powinna uwzględniać potencjalny wpływ zawieszenia na obywateli danego państwa trzeciego.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Unia zawarła z państwami wymienionymi w załączniku II do rozporządzenia (UE) 2018/1806 szereg umów dotyczących zniesienia wiz krótkoterminowych, które to umowy mogą zawierać inne podstawy do zawieszenia lub inne procedury niż te określone w mechanizmie zawieszającym, i może w przyszłości zawierać dalsze umowy.</w:t>
            </w:r>
            <w:r>
              <w:t xml:space="preserve"> </w:t>
            </w:r>
            <w:r>
              <w:rPr>
                <w:b/>
                <w:i/>
              </w:rPr>
              <w:t>Ponieważ Unia przestrzega umów międzynarodowych, a zatem jest nimi związana, musi stosować odpowiednie inne postanowienia określone w tych umowach zamiast odpowiednich przepisów dotyczących mechanizmu zawieszającego.</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Unia zawarła z państwami wymienionymi w załączniku II do rozporządzenia (UE) 2018/1806 szereg umów dotyczących zniesienia wiz krótkoterminowych, które to umowy mogą zawierać inne podstawy do zawieszenia lub inne procedury niż te określone w mechanizmie zawieszającym</w:t>
            </w:r>
            <w:r>
              <w:rPr>
                <w:b/>
                <w:i/>
              </w:rPr>
              <w:t>, i może w przyszłości zawierać dalsze umowy.</w:t>
            </w:r>
            <w:r>
              <w:t xml:space="preserve"> </w:t>
            </w:r>
            <w:r>
              <w:rPr>
                <w:b/>
                <w:i/>
              </w:rPr>
              <w:t>Ponieważ Unia przestrzega umów międzynarodowych, a zatem jest nimi związana, musi stosować odpowiednie inne postanowienia określone</w:t>
            </w:r>
            <w:r>
              <w:t xml:space="preserve"> w tych umowach </w:t>
            </w:r>
            <w:r>
              <w:rPr>
                <w:b/>
                <w:i/>
              </w:rPr>
              <w:t>zamiast odpowiednich przepisów</w:t>
            </w:r>
            <w:r>
              <w:t xml:space="preserve"> dotyczących </w:t>
            </w:r>
            <w:r>
              <w:rPr>
                <w:b/>
                <w:i/>
              </w:rPr>
              <w:t>mechanizmu zawieszającego</w:t>
            </w:r>
            <w:r>
              <w:t>.</w:t>
            </w:r>
          </w:p>
        </w:tc>
        <w:tc>
          <w:tcPr>
            <w:tcW w:w="4876" w:type="dxa"/>
          </w:tcPr>
          <w:p>
            <w:pPr>
              <w:pStyle w:val="Normal6a"/>
            </w:pPr>
            <w:r>
              <w:t>(4)</w:t>
            </w:r>
            <w:r>
              <w:tab/>
            </w:r>
            <w:r>
              <w:t>Unia zawarła z państwami wymienionymi w załączniku II do rozporządzenia (UE) 2018/1806 szereg umów dotyczących zniesienia wiz krótkoterminowych, które to umowy mogą zawierać inne podstawy do zawieszenia lub inne procedury niż te określone w mechanizmie zawieszającym</w:t>
            </w:r>
            <w:r>
              <w:rPr>
                <w:b/>
                <w:i/>
              </w:rPr>
              <w:t>.</w:t>
            </w:r>
            <w:r>
              <w:t xml:space="preserve"> </w:t>
            </w:r>
            <w:r>
              <w:rPr>
                <w:b/>
                <w:i/>
              </w:rPr>
              <w:t>Unia powinna mieć możliwość zawieszenia ruchu bezwizowego, również na poziomie prawa Unii, w związku z czym w mechanizmie zawieszającym należy przedstawić odpowiednie podstawy zawieszenia</w:t>
            </w:r>
            <w:r>
              <w:t xml:space="preserve"> w tych umowach</w:t>
            </w:r>
            <w:r>
              <w:rPr>
                <w:b/>
                <w:i/>
              </w:rPr>
              <w:t>.</w:t>
            </w:r>
            <w:r>
              <w:t xml:space="preserve"> </w:t>
            </w:r>
            <w:r>
              <w:rPr>
                <w:b/>
                <w:i/>
              </w:rPr>
              <w:t>Stosowanie podstaw do zawieszenia określonych w umowach</w:t>
            </w:r>
            <w:r>
              <w:t xml:space="preserve"> dotyczących </w:t>
            </w:r>
            <w:r>
              <w:rPr>
                <w:b/>
                <w:i/>
              </w:rPr>
              <w:t>zniesienia wiz krótkoterminowych powinno być jednak ograniczone do zakresu stosowania takich umów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Mechanizm zawieszający powinien zapewniać zabezpieczenie przed zagrożeniami dla porządku i bezpieczeństwa publicznego.</w:t>
            </w:r>
            <w:r>
              <w:t xml:space="preserve"> </w:t>
            </w:r>
            <w:r>
              <w:rPr>
                <w:b/>
                <w:i/>
              </w:rPr>
              <w:t>Obejmuje to bezpośrednie zagrożenia dla bezpieczeństwa wewnętrznego Unii, takie jak terroryzm, przestępczość zorganizowana, cyberataki oraz handel ludźmi, narkotykami i bronią.</w:t>
            </w:r>
            <w:r>
              <w:t xml:space="preserve"> </w:t>
            </w:r>
            <w:r>
              <w:rPr>
                <w:b/>
                <w:i/>
              </w:rPr>
              <w:t>W odniesieniu do zewnętrznego wymiaru bezpieczeństwa wewnętrznego należy uwzględnić priorytety określone przez europejską multidyscyplinarną platformę przeciwko zagrożeniom przestępstwami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W swoich konkluzjach z dnia 22 października 2021 r.</w:t>
            </w:r>
            <w:r>
              <w:t xml:space="preserve"> </w:t>
            </w:r>
            <w:r>
              <w:rPr>
                <w:b/>
                <w:i/>
              </w:rPr>
              <w:t>Rada Europejska zwróciła się do Komisji o zaproponowanie wszelkich niezbędnych zmian w unijnych ramach prawnych oraz konkretnych środków w celu zapewnienia natychmiastowej i odpowiedniej reakcji na zagrożenia hybrydowe zgodnie z prawem Unii i zobowiązaniami międzynarodowymi.</w:t>
            </w:r>
            <w:r>
              <w:t xml:space="preserve"> </w:t>
            </w:r>
            <w:r>
              <w:rPr>
                <w:b/>
                <w:i/>
              </w:rPr>
              <w:t>W związku z tym powinna istnieć możliwość uruchomienia mechanizmu zawieszającego w przypadku ryzyka lub zagrożenia dla porządku publicznego lub bezpieczeństwa wewnętrznego państw członkowskich, które to ryzyko lub zagrożenie wynika z zagrożeń hybrydowych, takich jak sytuacje wynikające z finansowanej przez państwo instrumentalizacji migrantów mającej na celu destabilizację lub osłabienie społeczeństwa i kluczowych instytucji.</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W swoich konkluzjach z dnia 22 października 2021 r.</w:t>
            </w:r>
            <w:r>
              <w:t xml:space="preserve"> </w:t>
            </w:r>
            <w:r>
              <w:rPr>
                <w:b/>
                <w:i/>
              </w:rPr>
              <w:t>Rada Europejska zwróciła się do Komisji o zaproponowanie wszelkich niezbędnych zmian w unijnych ramach prawnych oraz konkretnych środków w celu zapewnienia natychmiastowej i odpowiedniej reakcji na zagrożenia hybrydowe zgodnie z prawem Unii i zobowiązaniami międzynarodowymi.</w:t>
            </w:r>
            <w:r>
              <w:t xml:space="preserve"> </w:t>
            </w:r>
            <w:r>
              <w:rPr>
                <w:b/>
                <w:i/>
              </w:rPr>
              <w:t>W związku z tym powinna istnieć możliwość uruchomienia mechanizmu zawieszającego w przypadku ryzyka lub zagrożenia dla porządku publicznego lub bezpieczeństwa wewnętrznego państw członkowskich, które to ryzyko lub zagrożenie wynika z zagrożeń hybrydowych, takich jak sytuacje wynikające z finansowanej przez państwo instrumentalizacji migrantów mającej na celu destabilizację lub osłabienie społeczeństwa i kluczowych instytucji.</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W swoich konkluzjach z dnia 22 października 2021 r. Rada Europejska zwróciła się do Komisji o zaproponowanie wszelkich niezbędnych zmian w unijnych ramach prawnych oraz konkretnych środków w celu zapewnienia natychmiastowej i odpowiedniej reakcji na zagrożenia hybrydowe zgodnie z prawem Unii i zobowiązaniami międzynarodowymi. W związku z tym powinna istnieć możliwość uruchomienia mechanizmu zawieszającego w przypadku ryzyka lub zagrożenia dla porządku publicznego lub bezpieczeństwa wewnętrznego państw członkowskich, które to ryzyko lub zagrożenie wynika z zagrożeń hybrydowych, takich jak sytuacje wynikające z finansowanej przez państwo instrumentalizacji migrantów mającej na celu destabilizację lub osłabienie społeczeństwa i kluczowych instytucji.</w:t>
            </w:r>
          </w:p>
        </w:tc>
        <w:tc>
          <w:tcPr>
            <w:tcW w:w="4876" w:type="dxa"/>
          </w:tcPr>
          <w:p>
            <w:pPr>
              <w:pStyle w:val="Normal6a"/>
            </w:pPr>
            <w:r>
              <w:t>(5)</w:t>
            </w:r>
            <w:r>
              <w:tab/>
            </w:r>
            <w:r>
              <w:t>W swoich konkluzjach z dnia 22 października 2021 r. Rada Europejska zwróciła się do Komisji o zaproponowanie wszelkich niezbędnych zmian w unijnych ramach prawnych oraz konkretnych środków w celu zapewnienia natychmiastowej i odpowiedniej reakcji na zagrożenia hybrydowe zgodnie z prawem Unii i zobowiązaniami międzynarodowymi. W związku z tym powinna istnieć możliwość uruchomienia mechanizmu zawieszającego w przypadku ryzyka lub zagrożenia dla porządku publicznego lub bezpieczeństwa wewnętrznego państw członkowskich, które to ryzyko lub zagrożenie wynika z zagrożeń hybrydowych, takich jak sytuacje wynikające z finansowanej przez państwo instrumentalizacji migrantów mającej na celu destabilizację lub osłabienie społeczeństwa i kluczowych instytucji</w:t>
            </w:r>
            <w:r>
              <w:rPr>
                <w:b/>
                <w:i/>
              </w:rPr>
              <w:t>, o których mowa w art. 1 ust. 4 lit. b) akapit pierwszy rozporządzenia o sytuacjach kryzysowych.</w:t>
            </w:r>
            <w:r>
              <w:t xml:space="preserve"> </w:t>
            </w:r>
            <w:r>
              <w:rPr>
                <w:b/>
                <w:i/>
              </w:rPr>
              <w:t>Takie zagrożenia porządku publicznego lub bezpieczeństwa wewnętrznego państw członkowskich wynikające z zagrożeń hybrydowych mogą również dotyczyć nielegalnej ingerencji zagranicznej w procesy polityczne, cyberoperacji i szpiegostwa przemysłowego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W swoich konkluzjach z dnia 22 października 2021 r. Rada Europejska zwróciła się do Komisji o zaproponowanie wszelkich niezbędnych zmian w unijnych ramach prawnych oraz konkretnych środków w celu zapewnienia natychmiastowej i odpowiedniej reakcji na </w:t>
            </w:r>
            <w:r>
              <w:rPr>
                <w:b/>
                <w:i/>
              </w:rPr>
              <w:t>zagrożenia hybrydowe</w:t>
            </w:r>
            <w:r>
              <w:t xml:space="preserve"> zgodnie z prawem Unii i zobowiązaniami międzynarodowymi. </w:t>
            </w:r>
            <w:r>
              <w:rPr>
                <w:b/>
                <w:i/>
              </w:rPr>
              <w:t>W związku z tym powinna istnieć możliwość uruchomienia mechanizmu zawieszającego w przypadku ryzyka lub zagrożenia dla porządku publicznego lub bezpieczeństwa wewnętrznego państw członkowskich, które to ryzyko lub zagrożenie wynika z zagrożeń hybrydowych, takich jak sytuacje wynikające z finansowanej przez państwo instrumentalizacji migrantów mającej na celu destabilizację lub osłabienie społeczeństwa i kluczowych instytucji.</w:t>
            </w:r>
          </w:p>
        </w:tc>
        <w:tc>
          <w:tcPr>
            <w:tcW w:w="4876" w:type="dxa"/>
          </w:tcPr>
          <w:p>
            <w:pPr>
              <w:pStyle w:val="Normal6a"/>
            </w:pPr>
            <w:r>
              <w:t>(5)</w:t>
            </w:r>
            <w:r>
              <w:tab/>
            </w:r>
            <w:r>
              <w:t xml:space="preserve">W swoich konkluzjach z dnia 22 października 2021 r. Rada Europejska zwróciła się do Komisji o zaproponowanie wszelkich niezbędnych zmian w unijnych ramach prawnych oraz konkretnych środków w celu zapewnienia natychmiastowej i odpowiedniej reakcji na </w:t>
            </w:r>
            <w:r>
              <w:rPr>
                <w:b/>
                <w:i/>
              </w:rPr>
              <w:t>wyzwania</w:t>
            </w:r>
            <w:r>
              <w:t xml:space="preserve"> zgodnie z prawem Unii i zobowiązaniami międzynarodowymi.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Ważne jest również utrzymanie bezpieczeństwa dokumentów zgodnie ze standardami Unii Europejskiej.</w:t>
            </w:r>
            <w:r>
              <w:t xml:space="preserve"> </w:t>
            </w:r>
            <w:r>
              <w:rPr>
                <w:b/>
                <w:i/>
              </w:rPr>
              <w:t>Unia wprowadziła zaawansowane zabezpieczenia i wymogi biometryczne w odniesieniu do dokumentów podróży.</w:t>
            </w:r>
            <w:r>
              <w:t xml:space="preserve"> </w:t>
            </w:r>
            <w:r>
              <w:rPr>
                <w:b/>
                <w:i/>
              </w:rPr>
              <w:t>Środki takie zapobiegają podrabianiu i fałszowaniu dokumentów podróży oraz ustanawiają wiarygodny związek między dokumentem a jego posiadaczem.</w:t>
            </w:r>
            <w:r>
              <w:t xml:space="preserve"> </w:t>
            </w:r>
            <w:r>
              <w:rPr>
                <w:b/>
                <w:i/>
              </w:rPr>
              <w:t>Aby zapewnić ważne i wiarygodne dokumenty podróży, państwa wymienione w załączniku II powinny wydawać odpowiednie dokumenty.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Programy obywatelstwa dla inwestorów prowadzone przez państwa trzecie wymienione w załączniku II do rozporządzenia (UE) 2018/1806 umożliwiają bezwizową podróż do Unii obywatelom państw trzecich, którzy w przeciwnym razie podlegaliby obowiązkowi wizowemu. W ramach programu obywatelstwa dla inwestorów obywatelstwo przyznaje się w zamian za wcześniej ustalone płatności lub inwestycje, bez jakiegokolwiek rzeczywistego związku z danym państwem trzecim. Unia szanuje prawo suwerennych państw do decydowania o własnych procedurach naturalizacji, jednak państwa trzecie zwolnione z obowiązku wizowego powinny być zniechęcane do wykorzystywania bezwizowego dostępu do Unii jako narzędzia pozyskiwania indywidualnych inwestycji w zamian za obywatelstwo. Aby zapobiec wykorzystywaniu w tym celu ruchu bezwizowego do Unii, powinna istnieć możliwość zawieszenia zwolnienia z obowiązku wizowego wobec państwa trzeciego, które decyduje się na prowadzenie takich programów obywatelstwa dla inwestorów, w ramach których obywatelstwo przyznaje się bez jakiegokolwiek rzeczywistego związku z danym państwem trzecim.</w:t>
            </w:r>
          </w:p>
        </w:tc>
        <w:tc>
          <w:tcPr>
            <w:tcW w:w="4876" w:type="dxa"/>
          </w:tcPr>
          <w:p>
            <w:pPr>
              <w:pStyle w:val="Normal6a"/>
            </w:pPr>
            <w:r>
              <w:t>(6)</w:t>
            </w:r>
            <w:r>
              <w:tab/>
            </w:r>
            <w:r>
              <w:t xml:space="preserve">Programy obywatelstwa dla inwestorów prowadzone przez państwa trzecie wymienione w załączniku II do rozporządzenia (UE) 2018/1806 umożliwiają bezwizową podróż do Unii obywatelom państw trzecich, którzy w przeciwnym razie podlegaliby obowiązkowi wizowemu. W ramach programu obywatelstwa dla inwestorów obywatelstwo przyznaje się w zamian za wcześniej ustalone płatności lub inwestycje, bez jakiegokolwiek rzeczywistego związku z danym państwem trzecim. Unia szanuje prawo suwerennych państw do decydowania o własnych procedurach naturalizacji, jednak państwa trzecie zwolnione z obowiązku wizowego powinny być zniechęcane do wykorzystywania bezwizowego dostępu do Unii jako narzędzia pozyskiwania indywidualnych inwestycji w zamian za obywatelstwo. </w:t>
            </w:r>
            <w:r>
              <w:rPr>
                <w:b/>
                <w:i/>
              </w:rPr>
              <w:t>Brak kompleksowych kontroli bezpieczeństwa, procedur weryfikacji i należytej staranności stwarza szereg poważnych zagrożeń dla bezpieczeństwa obywateli Unii, takich jak ryzyko związane z praniem pieniędzy i korupcją.</w:t>
            </w:r>
            <w:r>
              <w:t xml:space="preserve"> Aby zapobiec wykorzystywaniu w tym celu ruchu bezwizowego do Unii, powinna istnieć możliwość zawieszenia zwolnienia z obowiązku wizowego wobec państwa trzeciego, które decyduje się na prowadzenie takich programów obywatelstwa dla inwestorów, w ramach których obywatelstwo przyznaje się bez jakiegokolwiek rzeczywistego związku z danym państwem trzecim.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6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Uruchomienie mechanizmu zawieszającego należy rozpatrywać w szerszym kontekście stosunków Unii z danym państwem trzecim.</w:t>
            </w:r>
            <w:r>
              <w:t xml:space="preserve"> </w:t>
            </w:r>
            <w:r>
              <w:rPr>
                <w:b/>
                <w:i/>
              </w:rPr>
              <w:t>Należy zwrócić szczególną uwagę na stosunki dyplomatyczne i zewnętrzne Unii z państwami trzecimi.</w:t>
            </w:r>
            <w:r>
              <w:t xml:space="preserve"> </w:t>
            </w:r>
            <w:r>
              <w:rPr>
                <w:b/>
                <w:i/>
              </w:rPr>
              <w:t>Obejmuje to kwestie związane z prawami człowieka i podstawowymi wolnościami, naruszanie umów dwustronnych między Unią a państwami trzecimi, wrogie działania wobec Unii lub państw członkowskich oraz nieprzestrzeganie odpowiednich sankcji unijnych lub niedostosowanie się do nich.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Sytuacja, w której polityka wizowa państwa trzeciego wymienionego w załączniku II do rozporządzenia (UE) 2018/1806 nie jest dostosowana do polityki wizowej Unii w odniesieniu do wykazu państw trzecich, których obywatele muszą posiadać wizę podczas przekraczania granic zewnętrznych państw członkowskich, może skutkować migracją nieuregulowaną do Unii, w szczególności w przypadku gdy dane państwo trzecie znajduje się w bliskiej odległości geograficznej od Unii.</w:t>
            </w:r>
            <w:r>
              <w:t xml:space="preserve"> </w:t>
            </w:r>
            <w:r>
              <w:rPr>
                <w:b/>
                <w:i/>
              </w:rPr>
              <w:t>W związku z tym powinna istnieć możliwość uruchomienia mechanizmu zawieszającego, jeżeli po dokonaniu oceny Komisja stwierdzi, że istnieje ryzyko znacznego wzrostu liczby obywateli państw trzecich innych niż obywatele tego państwa trzeciego, którzy przybywają legalnie na terytorium tego państwa trzeciego, a następnie nielegalnie wjeżdżają na terytorium państw członkowskich.</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Sytuacja, w której polityka wizowa państwa trzeciego wymienionego w załączniku II do rozporządzenia (UE) 2018/1806 nie jest dostosowana do polityki wizowej Unii w odniesieniu do wykazu państw trzecich, których obywatele muszą posiadać wizę podczas przekraczania granic zewnętrznych państw członkowskich, może skutkować migracją nieuregulowaną do Unii, w szczególności w przypadku gdy dane państwo trzecie znajduje się w bliskiej odległości geograficznej od Unii.</w:t>
            </w:r>
            <w:r>
              <w:t xml:space="preserve"> </w:t>
            </w:r>
            <w:r>
              <w:rPr>
                <w:b/>
                <w:i/>
              </w:rPr>
              <w:t>W związku z tym powinna istnieć możliwość uruchomienia mechanizmu zawieszającego, jeżeli po dokonaniu oceny Komisja stwierdzi, że istnieje ryzyko znacznego wzrostu liczby obywateli państw trzecich innych niż obywatele tego państwa trzeciego, którzy przybywają legalnie na terytorium tego państwa trzeciego, a następnie nielegalnie wjeżdżają na terytorium państw członkowskich.</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Sytuacja, w której polityka wizowa państwa trzeciego wymienionego w załączniku II do rozporządzenia (UE) 2018/1806 nie jest dostosowana do polityki wizowej Unii w odniesieniu do wykazu państw trzecich, których obywatele muszą posiadać wizę podczas przekraczania granic zewnętrznych państw członkowskich, może skutkować migracją nieuregulowaną do Unii, w szczególności w przypadku gdy dane państwo trzecie znajduje się w bliskiej odległości geograficznej od Unii. W związku z tym powinna istnieć możliwość uruchomienia mechanizmu zawieszającego, jeżeli po dokonaniu oceny Komisja stwierdzi, że </w:t>
            </w:r>
            <w:r>
              <w:rPr>
                <w:b/>
                <w:i/>
              </w:rPr>
              <w:t>istnieje ryzyko</w:t>
            </w:r>
            <w:r>
              <w:t xml:space="preserve"> znacznego wzrostu liczby obywateli państw trzecich innych niż obywatele tego państwa trzeciego, którzy przybywają legalnie na terytorium tego państwa trzeciego, a następnie nielegalnie wjeżdżają na terytorium państw członkowskich.</w:t>
            </w:r>
          </w:p>
        </w:tc>
        <w:tc>
          <w:tcPr>
            <w:tcW w:w="4876" w:type="dxa"/>
          </w:tcPr>
          <w:p>
            <w:pPr>
              <w:pStyle w:val="Normal6a"/>
            </w:pPr>
            <w:r>
              <w:t>(7)</w:t>
            </w:r>
            <w:r>
              <w:tab/>
            </w:r>
            <w:r>
              <w:t xml:space="preserve">Sytuacja, w której polityka wizowa państwa trzeciego wymienionego w załączniku II do rozporządzenia (UE) 2018/1806 nie jest dostosowana do polityki wizowej Unii w odniesieniu do wykazu państw trzecich, których obywatele muszą posiadać wizę podczas przekraczania granic zewnętrznych państw członkowskich, może skutkować migracją nieuregulowaną do Unii, w szczególności w przypadku gdy dane państwo trzecie znajduje się w bliskiej odległości geograficznej od Unii. W związku z tym powinna istnieć możliwość uruchomienia mechanizmu zawieszającego, jeżeli po dokonaniu oceny Komisja stwierdzi, że </w:t>
            </w:r>
            <w:r>
              <w:rPr>
                <w:b/>
                <w:i/>
              </w:rPr>
              <w:t>dochodzi do</w:t>
            </w:r>
            <w:r>
              <w:t xml:space="preserve"> znacznego wzrostu liczby obywateli państw trzecich innych niż obywatele tego państwa trzeciego, którzy przybywają legalnie na terytorium tego państwa trzeciego, a następnie nielegalnie wjeżdżają na terytorium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rPr>
                <w:b/>
                <w:i/>
              </w:rPr>
              <w:t>Komisja powinna</w:t>
            </w:r>
            <w:r>
              <w:t xml:space="preserve"> indywidualnie oceniać wysokość progów umożliwiających uruchomienie mechanizmu zawieszającego w przypadku znacznego wzrostu liczby obywateli państwa trzeciego, którym odmówiono wjazdu lub co do których stwierdzono, że przebywają na terytorium państwa członkowskiego bez takiego prawa, lub liczby </w:t>
            </w:r>
            <w:r>
              <w:rPr>
                <w:b/>
                <w:i/>
              </w:rPr>
              <w:t>wniosków o udzielenie azylu złożonych przez obywateli tego państwa trzeciego, w przypadku którego wskaźnik przyznawania azylu jest niski, lub liczby</w:t>
            </w:r>
            <w:r>
              <w:t xml:space="preserve"> poważnych przestępstw związanych z obywatelami tego państwa trzeciego. </w:t>
            </w:r>
            <w:r>
              <w:rPr>
                <w:b/>
                <w:i/>
              </w:rPr>
              <w:t>Komisja powinna w szczególności mieć możliwość dokonania oceny, czy w przypadkach zgłoszonych przez państwa członkowskie lub w oparciu o własną analizę występują szczególne okoliczności, które uzasadniają zastosowanie progów niższych lub wyższych niż te wskazane w odpowiednich przepisach rozporządzenia (UE) 2018/1806.</w:t>
            </w:r>
            <w:r>
              <w:t xml:space="preserve"> </w:t>
            </w:r>
            <w:r>
              <w:rPr>
                <w:b/>
                <w:i/>
              </w:rPr>
              <w:t>Ocena Komisji powinna uwzględniać np. liczbę przypadków nielegalnego przekroczenia granic zewnętrznych państw członkowskich, liczbę bezzasadnych wniosków o udzielenie azylu lub przestępstw w stosunku do liczby i wielkości państw członkowskich, których to dotyczy, oraz wpływ tych liczb na ich ogólną sytuację migracyjną, funkcjonowanie ich systemów azylowych lub bezpieczeństwo wewnętrzne państw członkowskich, w których ma miejsce ta sytuacja, a także działania podjęte przez dane państwo trzecie w celu zaradzenia tej sytuacji.</w:t>
            </w:r>
          </w:p>
        </w:tc>
        <w:tc>
          <w:tcPr>
            <w:tcW w:w="4876" w:type="dxa"/>
          </w:tcPr>
          <w:p>
            <w:pPr>
              <w:pStyle w:val="Normal6a"/>
            </w:pPr>
            <w:r>
              <w:t>(8)</w:t>
            </w:r>
            <w:r>
              <w:tab/>
            </w:r>
            <w:r>
              <w:rPr>
                <w:b/>
                <w:i/>
              </w:rPr>
              <w:t>Należy</w:t>
            </w:r>
            <w:r>
              <w:t xml:space="preserve"> indywidualnie oceniać wysokość progów umożliwiających uruchomienie mechanizmu zawieszającego w przypadku znacznego wzrostu liczby obywateli państwa trzeciego, którym odmówiono wjazdu lub co do których stwierdzono, że przebywają na terytorium państwa członkowskiego bez takiego prawa, lub liczby poważnych przestępstw związanych z obywatelami tego państwa trzeciego.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rPr>
                <w:b/>
                <w:i/>
              </w:rPr>
              <w:t>Komisja powinna indywidualnie oceniać</w:t>
            </w:r>
            <w:r>
              <w:t xml:space="preserve"> wysokość progów umożliwiających uruchomienie mechanizmu zawieszającego w przypadku znacznego wzrostu liczby obywateli państwa trzeciego, którym odmówiono wjazdu lub co do których stwierdzono, że przebywają na terytorium państwa członkowskiego bez takiego prawa, lub liczby wniosków o udzielenie azylu złożonych przez obywateli tego państwa trzeciego, w przypadku którego wskaźnik przyznawania azylu jest niski</w:t>
            </w:r>
            <w:r>
              <w:rPr>
                <w:b/>
                <w:i/>
              </w:rPr>
              <w:t>, lub liczby poważnych przestępstw związanych z obywatelami tego państwa trzeciego</w:t>
            </w:r>
            <w:r>
              <w:t xml:space="preserve">. Komisja powinna w szczególności </w:t>
            </w:r>
            <w:r>
              <w:rPr>
                <w:b/>
                <w:i/>
              </w:rPr>
              <w:t>mieć możliwość dokonania oceny</w:t>
            </w:r>
            <w:r>
              <w:t xml:space="preserve">, czy w przypadkach zgłoszonych przez państwa członkowskie lub </w:t>
            </w:r>
            <w:r>
              <w:rPr>
                <w:b/>
                <w:i/>
              </w:rPr>
              <w:t>w oparciu o</w:t>
            </w:r>
            <w:r>
              <w:t xml:space="preserve"> własną </w:t>
            </w:r>
            <w:r>
              <w:rPr>
                <w:b/>
                <w:i/>
              </w:rPr>
              <w:t>analizę</w:t>
            </w:r>
            <w:r>
              <w:t xml:space="preserve"> występują szczególne okoliczności, które uzasadniają zastosowanie </w:t>
            </w:r>
            <w:r>
              <w:rPr>
                <w:b/>
                <w:i/>
              </w:rPr>
              <w:t>progów niższych lub wyższych niż te wskazane w odpowiednich przepisach rozporządzenia (UE) 2018/1806.</w:t>
            </w:r>
            <w:r>
              <w:t xml:space="preserve"> </w:t>
            </w:r>
            <w:r>
              <w:rPr>
                <w:b/>
                <w:i/>
              </w:rPr>
              <w:t>Ocena Komisji</w:t>
            </w:r>
            <w:r>
              <w:t xml:space="preserve"> powinna </w:t>
            </w:r>
            <w:r>
              <w:rPr>
                <w:b/>
                <w:i/>
              </w:rPr>
              <w:t>uwzględniać np. liczbę przypadków nielegalnego przekroczenia granic zewnętrznych państw członkowskich, liczbę bezzasadnych wniosków o udzielenie azylu lub przestępstw w stosunku do liczby i wielkości</w:t>
            </w:r>
            <w:r>
              <w:t xml:space="preserve"> państw członkowskich</w:t>
            </w:r>
            <w:r>
              <w:rPr>
                <w:b/>
                <w:i/>
              </w:rPr>
              <w:t>, których to dotyczy, oraz wpływ tych liczb na ich ogólną sytuację migracyjną, funkcjonowanie ich systemów azylowych lub bezpieczeństwo wewnętrzne państw członkowskich, w których ma miejsce ta sytuacja</w:t>
            </w:r>
            <w:r>
              <w:t xml:space="preserve">, a także </w:t>
            </w:r>
            <w:r>
              <w:rPr>
                <w:b/>
                <w:i/>
              </w:rPr>
              <w:t>działania podjęte przez dane państwo trzecie w celu zaradzenia tej sytuacji</w:t>
            </w:r>
            <w:r>
              <w:t>.</w:t>
            </w:r>
          </w:p>
        </w:tc>
        <w:tc>
          <w:tcPr>
            <w:tcW w:w="4876" w:type="dxa"/>
          </w:tcPr>
          <w:p>
            <w:pPr>
              <w:pStyle w:val="Normal6a"/>
            </w:pPr>
            <w:r>
              <w:t>(8)</w:t>
            </w:r>
            <w:r>
              <w:tab/>
            </w:r>
            <w:r>
              <w:rPr>
                <w:b/>
                <w:i/>
              </w:rPr>
              <w:t>Aby uniknąć rozbieżnych interpretacji i ryzyka niejednolitych praktyk, należy jasno określić</w:t>
            </w:r>
            <w:r>
              <w:t xml:space="preserve"> wysokość progów umożliwiających uruchomienie mechanizmu zawieszającego w przypadku znacznego wzrostu liczby obywateli państwa trzeciego, którym odmówiono wjazdu lub co do których stwierdzono, że przebywają na terytorium państwa członkowskiego bez takiego prawa, lub liczby wniosków o udzielenie azylu złożonych przez obywateli tego państwa trzeciego, w przypadku którego wskaźnik przyznawania azylu jest niski. Komisja powinna w szczególności </w:t>
            </w:r>
            <w:r>
              <w:rPr>
                <w:b/>
                <w:i/>
              </w:rPr>
              <w:t>ocenić</w:t>
            </w:r>
            <w:r>
              <w:t xml:space="preserve">, czy w przypadkach zgłoszonych przez państwa członkowskie lub </w:t>
            </w:r>
            <w:r>
              <w:rPr>
                <w:b/>
                <w:i/>
              </w:rPr>
              <w:t>objętych jej</w:t>
            </w:r>
            <w:r>
              <w:t xml:space="preserve"> własną </w:t>
            </w:r>
            <w:r>
              <w:rPr>
                <w:b/>
                <w:i/>
              </w:rPr>
              <w:t>analizą</w:t>
            </w:r>
            <w:r>
              <w:t xml:space="preserve"> występują szczególne okoliczności, które uzasadniają zastosowanie </w:t>
            </w:r>
            <w:r>
              <w:rPr>
                <w:b/>
                <w:i/>
              </w:rPr>
              <w:t>odpowiednich przepisów rozporządzenia (UE) 2018/1806. Ponadto, uwzględniając wpływ, jaki zawieszenie zwolnienia z obowiązku wizowego może mieć na stosunki z danym państwem trzecim oraz na prawa jego obywateli, przed przyjęciem odpowiedniego aktu Komisja</w:t>
            </w:r>
            <w:r>
              <w:t xml:space="preserve"> powinna </w:t>
            </w:r>
            <w:r>
              <w:rPr>
                <w:b/>
                <w:i/>
              </w:rPr>
              <w:t>dokładnie ocenić konieczność, proporcjonalność i konsekwencje takiego zawieszenia.</w:t>
            </w:r>
            <w:r>
              <w:t xml:space="preserve"> </w:t>
            </w:r>
            <w:r>
              <w:rPr>
                <w:b/>
                <w:i/>
              </w:rPr>
              <w:t>Przeprowadzając tę ocenę, Komisja powinna wziąć pod uwagę wpływ proponowanego zawieszenia na ogólne stosunki zewnętrzne Unii i jej</w:t>
            </w:r>
            <w:r>
              <w:t xml:space="preserve"> państw członkowskich </w:t>
            </w:r>
            <w:r>
              <w:rPr>
                <w:b/>
                <w:i/>
              </w:rPr>
              <w:t>z danym państwem trzecim, na prawa obywateli danego państwa trzeciego, na zasady wzajemności wizowej i na niedyskryminację, a także ocenić, czy proponowane zawieszenie stanowiłoby odpowiedni środek w celu zaradzenia tej sytuacji. Należy również zwrócić uwagę na potrzeby obrońców praw człowieka w zakresie mobilności, zwłaszcza w przypadku pogorszenia się sytuacji w zakresie praw człowieka w danym państwie trzecim</w:t>
            </w:r>
            <w:r>
              <w:t xml:space="preserve">, a także </w:t>
            </w:r>
            <w:r>
              <w:rPr>
                <w:b/>
                <w:i/>
              </w:rPr>
              <w:t>na potencjalne zagrożenia, jakie zawieszenie miałoby dla ciągłości i skuteczności ich pracy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Komisja powinna indywidualnie oceniać wysokość progów umożliwiających uruchomienie mechanizmu zawieszającego w przypadku znacznego wzrostu liczby obywateli państwa trzeciego, którym odmówiono wjazdu lub co do których stwierdzono, że przebywają na terytorium państwa członkowskiego bez takiego prawa</w:t>
            </w:r>
            <w:r>
              <w:rPr>
                <w:b/>
                <w:i/>
              </w:rPr>
              <w:t>,</w:t>
            </w:r>
            <w:r>
              <w:t xml:space="preserve"> lub liczby wniosków o udzielenie azylu złożonych przez obywateli tego państwa trzeciego, w przypadku którego wskaźnik przyznawania azylu jest niski, lub liczby poważnych przestępstw związanych z obywatelami tego państwa trzeciego. Komisja powinna w szczególności mieć możliwość dokonania oceny, czy w przypadkach zgłoszonych przez państwa członkowskie lub w oparciu o własną analizę występują szczególne okoliczności, które uzasadniają zastosowanie progów niższych lub wyższych niż te wskazane w odpowiednich przepisach rozporządzenia (UE) 2018/1806. Ocena Komisji powinna uwzględniać np. liczbę przypadków nielegalnego przekroczenia granic zewnętrznych państw członkowskich, liczbę bezzasadnych wniosków o udzielenie azylu lub przestępstw w stosunku do liczby i wielkości państw członkowskich, których to dotyczy, oraz wpływ tych liczb na ich ogólną sytuację migracyjną, funkcjonowanie ich systemów azylowych lub bezpieczeństwo wewnętrzne państw członkowskich, w których ma miejsce ta sytuacja, a także działania podjęte przez dane państwo trzecie w celu zaradzenia tej sytuacji.</w:t>
            </w:r>
          </w:p>
        </w:tc>
        <w:tc>
          <w:tcPr>
            <w:tcW w:w="4876" w:type="dxa"/>
          </w:tcPr>
          <w:p>
            <w:pPr>
              <w:pStyle w:val="Normal6a"/>
            </w:pPr>
            <w:r>
              <w:t>(8)</w:t>
            </w:r>
            <w:r>
              <w:tab/>
            </w:r>
            <w:r>
              <w:t xml:space="preserve">Komisja powinna indywidualnie oceniać wysokość progów umożliwiających uruchomienie mechanizmu zawieszającego w przypadku znacznego wzrostu liczby obywateli państwa trzeciego, którym odmówiono wjazdu lub co do których stwierdzono, że przebywają na terytorium państwa członkowskiego bez takiego prawa </w:t>
            </w:r>
            <w:r>
              <w:rPr>
                <w:b/>
                <w:i/>
              </w:rPr>
              <w:t>bądź przebywają na nim dłużej niż przez okres bezwizowy</w:t>
            </w:r>
            <w:r>
              <w:t xml:space="preserve"> lub liczby wniosków o udzielenie azylu złożonych przez obywateli tego państwa trzeciego, w przypadku którego wskaźnik przyznawania azylu jest niski, lub liczby poważnych przestępstw związanych z obywatelami tego państwa trzeciego. Komisja powinna w szczególności mieć możliwość dokonania oceny, czy w przypadkach zgłoszonych przez państwa członkowskie lub w oparciu o własną analizę występują szczególne okoliczności, które uzasadniają zastosowanie progów niższych lub wyższych niż te wskazane w odpowiednich przepisach rozporządzenia (UE) 2018/1806. Ocena Komisji powinna uwzględniać np. liczbę przypadków nielegalnego przekroczenia granic zewnętrznych państw członkowskich, liczbę bezzasadnych wniosków o udzielenie azylu lub przestępstw w stosunku do liczby i wielkości państw członkowskich, których to dotyczy, oraz wpływ tych liczb na ich ogólną sytuację migracyjną, funkcjonowanie ich systemów azylowych lub bezpieczeństwo wewnętrzne państw członkowskich, w których ma miejsce ta sytuacja, a także działania podjęte przez dane państwo trzecie w celu zaradzenia tej sytuacji.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W celu powiadomienia Komisji o okolicznościach, które mogą stanowić podstawę do zawieszenia, państwa członkowskie powinny mieć możliwość uwzględnienia okresów odniesienia dłuższych niż dwa miesiące, aby móc wskazać nie tylko nagłe zmiany w danej sytuacji, ale również długoterminowe tendencje, które mogą uzasadniać zastosowanie mechanizmu zawieszającego zwolnienie z obowiązku wizowego.</w:t>
            </w:r>
          </w:p>
        </w:tc>
        <w:tc>
          <w:tcPr>
            <w:tcW w:w="4876" w:type="dxa"/>
          </w:tcPr>
          <w:p>
            <w:pPr>
              <w:pStyle w:val="Normal6a"/>
            </w:pPr>
            <w:r>
              <w:t>(9)</w:t>
            </w:r>
            <w:r>
              <w:tab/>
            </w:r>
            <w:r>
              <w:t xml:space="preserve">W celu powiadomienia Komisji o okolicznościach, które mogą stanowić podstawę do zawieszenia, państwa członkowskie powinny mieć możliwość uwzględnienia okresów odniesienia dłuższych niż dwa miesiące, aby móc wskazać nie tylko nagłe zmiany w danej sytuacji, ale również długoterminowe tendencje, które mogą uzasadniać zastosowanie mechanizmu zawieszającego zwolnienie z obowiązku wizowego. </w:t>
            </w:r>
            <w:r>
              <w:rPr>
                <w:b/>
                <w:i/>
              </w:rPr>
              <w:t>W wyjątkowych okolicznościach, które wymagają podjęcia natychmiastowych działań, Komisja powinna zaakceptować okres odniesienia krótszy niż dwa miesiące, w przypadku gdy powiadomienia dokonuje więcej niż jedno państwo członkowskie.</w:t>
            </w:r>
            <w:r>
              <w:t xml:space="preserve"> </w:t>
            </w:r>
            <w:r>
              <w:rPr>
                <w:b/>
                <w:i/>
              </w:rPr>
              <w:t>Powody uruchomienia mechanizmu w odniesieniu do przesłanek określonych w niniejszym rozporządzeniu powinny być kompletne i jasne.</w:t>
            </w:r>
            <w:r>
              <w:t xml:space="preserve"> </w:t>
            </w:r>
            <w:r>
              <w:rPr>
                <w:b/>
                <w:i/>
              </w:rPr>
              <w:t>Komisja niezwłocznie i wyczerpująco informuje Radę i Parlament o powiadomieniach i wynikających z nich decyzjach.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W celu powiadomienia Komisji o okolicznościach, które mogą stanowić podstawę do zawieszenia, państwa członkowskie powinny mieć możliwość uwzględnienia okresów odniesienia dłuższych niż dwa miesiące, aby móc wskazać nie tylko nagłe zmiany w danej sytuacji, ale również długoterminowe tendencje, które mogą uzasadniać zastosowanie mechanizmu zawieszającego zwolnienie z obowiązku wizowego.</w:t>
            </w:r>
          </w:p>
        </w:tc>
        <w:tc>
          <w:tcPr>
            <w:tcW w:w="4876" w:type="dxa"/>
          </w:tcPr>
          <w:p>
            <w:pPr>
              <w:pStyle w:val="Normal6a"/>
            </w:pPr>
            <w:r>
              <w:t>(9)</w:t>
            </w:r>
            <w:r>
              <w:tab/>
            </w:r>
            <w:r>
              <w:t xml:space="preserve">W celu powiadomienia Komisji o okolicznościach, które mogą stanowić podstawę do zawieszenia, państwa członkowskie powinny mieć możliwość uwzględnienia okresów odniesienia dłuższych niż dwa miesiące, </w:t>
            </w:r>
            <w:r>
              <w:rPr>
                <w:b/>
                <w:i/>
              </w:rPr>
              <w:t>ale nie dłuższych niż dwanaście miesięcy,</w:t>
            </w:r>
            <w:r>
              <w:t xml:space="preserve"> aby móc wskazać nie tylko nagłe zmiany w danej sytuacji, ale również długoterminowe tendencje, które mogą uzasadniać zastosowanie mechanizmu zawieszającego zwolnienie z obowiązku wizowego.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 xml:space="preserve">W celu powiadomienia Komisji o okolicznościach, które mogą stanowić podstawę do zawieszenia, państwa członkowskie powinny </w:t>
            </w:r>
            <w:r>
              <w:rPr>
                <w:b/>
                <w:i/>
              </w:rPr>
              <w:t>mieć możliwość uwzględnienia okresów</w:t>
            </w:r>
            <w:r>
              <w:t xml:space="preserve"> odniesienia </w:t>
            </w:r>
            <w:r>
              <w:rPr>
                <w:b/>
                <w:i/>
              </w:rPr>
              <w:t>dłuższych</w:t>
            </w:r>
            <w:r>
              <w:t xml:space="preserve"> niż dwa miesiące, aby móc wskazać </w:t>
            </w:r>
            <w:r>
              <w:rPr>
                <w:b/>
                <w:i/>
              </w:rPr>
              <w:t>nie tylko</w:t>
            </w:r>
            <w:r>
              <w:t xml:space="preserve"> nagłe zmiany w danej sytuacji</w:t>
            </w:r>
            <w:r>
              <w:rPr>
                <w:b/>
                <w:i/>
              </w:rPr>
              <w:t>, ale również długoterminowe tendencje</w:t>
            </w:r>
            <w:r>
              <w:t>, które mogą uzasadniać zastosowanie mechanizmu zawieszającego zwolnienie z obowiązku wizowego.</w:t>
            </w:r>
          </w:p>
        </w:tc>
        <w:tc>
          <w:tcPr>
            <w:tcW w:w="4876" w:type="dxa"/>
          </w:tcPr>
          <w:p>
            <w:pPr>
              <w:pStyle w:val="Normal6a"/>
            </w:pPr>
            <w:r>
              <w:t>(9)</w:t>
            </w:r>
            <w:r>
              <w:tab/>
            </w:r>
            <w:r>
              <w:t xml:space="preserve">W celu powiadomienia Komisji o okolicznościach, które mogą stanowić podstawę do zawieszenia, państwa członkowskie powinny </w:t>
            </w:r>
            <w:r>
              <w:rPr>
                <w:b/>
                <w:i/>
              </w:rPr>
              <w:t>uwzględniać okresy</w:t>
            </w:r>
            <w:r>
              <w:t xml:space="preserve"> odniesienia </w:t>
            </w:r>
            <w:r>
              <w:rPr>
                <w:b/>
                <w:i/>
              </w:rPr>
              <w:t>dłuższe</w:t>
            </w:r>
            <w:r>
              <w:t xml:space="preserve"> niż dwa miesiące, aby móc wskazać nagłe zmiany w danej sytuacji, które mogą uzasadniać zastosowanie mechanizmu zawieszającego zwolnienie z obowiązku wizowego.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Parlament Europejski powinien mieć możliwość powiadomienia Komisji o swojej opinii o istnieniu okoliczności, które mogą stanowić podstawę do zawieszenia, w szczególności w przypadkach programów obywatelstwa dla inwestorów, prowadzonych przez państwa trzecie wymienione w załączniku II do rozporządzenia (UE) 2018/1806 lub w przypadkach, gdy polityka wizowa państwa trzeciego wymienionego w załączniku II do rozporządzenia (UE) 2018/1806 nie jest dostosowana do polityki wizowej Unii, w przypadku znacznego i nagłego pogorszenia stosunków zewnętrznych Unii z państwem trzecim wymienionym w załączniku II lub w przypadkach istnienia podstaw zawieszenia określonych w umowach o zniesieniu wiz krótkoterminowych.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Systematycznie monitorując szczegółowe wymogi, które opierają się na art. 1 i zostały wykorzystane do oceny zasadności liberalizacji reżimu wizowego, Komisja powinna zwracać szczególną uwagę na wymiar bezpieczeństwa, aby zapewnić spełnianie przez państwa wymienione w załączniku II początkowych wymogów w zakresie egzekwowania prawa i imigracji, bezpieczeństwa paszportów, zwalczania terroryzmu i kontroli granic.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W każdym przypadku, gdy uzna to za konieczne, lub na wniosek Parlamentu Europejskiego lub Rady, Komisja powinna przedstawić sprawozdanie z wyników systematycznego monitorowania systemów bezwizowych ze wszystkimi państwami trzecimi wymienionymi w załączniku II do rozporządzenia (UE) 2018/1806. Sprawozdanie powinno koncentrować się na tych państwach trzecich, które zgodnie z analizą Komisji stwarzają szczególne problemy, które – jeśli nie zostaną rozwiązane – mogą prowadzić do uruchomienia mechanizmu zawieszającego. Komisja powinna </w:t>
            </w:r>
            <w:r>
              <w:rPr>
                <w:b/>
                <w:i/>
              </w:rPr>
              <w:t>w szczególności rozważyć</w:t>
            </w:r>
            <w:r>
              <w:t xml:space="preserve"> składanie sprawozdań na temat państw, które zostały ujęte w załączniku II niedawno, bez przeprowadzenia dialogu na temat liberalizacji reżimu wizowego, jeżeli uzna to za konieczne, a w szczególności w pierwszych latach po wejściu w życie zwolnienia z obowiązku wizowego wobec tych państw.</w:t>
            </w:r>
          </w:p>
        </w:tc>
        <w:tc>
          <w:tcPr>
            <w:tcW w:w="4876" w:type="dxa"/>
          </w:tcPr>
          <w:p>
            <w:pPr>
              <w:pStyle w:val="Normal6a"/>
            </w:pPr>
            <w:r>
              <w:t>(10)</w:t>
            </w:r>
            <w:r>
              <w:tab/>
            </w:r>
            <w:r>
              <w:t xml:space="preserve">W każdym przypadku, gdy uzna to za konieczne, lub na wniosek Parlamentu Europejskiego lub Rady, Komisja powinna przedstawić sprawozdanie z wyników systematycznego monitorowania systemów bezwizowych ze wszystkimi państwami trzecimi wymienionymi w załączniku II do rozporządzenia (UE) 2018/1806. Sprawozdanie powinno koncentrować się na tych państwach trzecich, które zgodnie z analizą Komisji </w:t>
            </w:r>
            <w:r>
              <w:rPr>
                <w:b/>
                <w:i/>
              </w:rPr>
              <w:t>przedstawiają konkretne problemy, które – jeśli nie zostaną rozwiązane – mogą prowadzić do uruchomienia mechanizmu zawieszającego. Sprawozdanie powinno koncentrować się na tych państwach trzecich, które zgodnie z analizą Komisji</w:t>
            </w:r>
            <w:r>
              <w:t xml:space="preserve"> stwarzają szczególne problemy, które – jeśli nie zostaną rozwiązane – mogą prowadzić do uruchomienia mechanizmu zawieszającego </w:t>
            </w:r>
            <w:r>
              <w:rPr>
                <w:b/>
                <w:i/>
              </w:rPr>
              <w:t>Podstawą systematycznego monitorowania i sprawozdawczości są dane dostarczone przez agencje UE oraz dane przechowywane w wizowym systemie informacyjnym (VIS), systemie informacyjnym Schengen (SIS II), systemie wjazdu/wyjazdu (EES), europejskim systemie informacji o podróży oraz zezwoleń na podróż (ETIAS) oraz w europejskim systemie przekazywania informacji z rejestrów karnych o obywatelach państw trzecich (ECRIS-TCN)</w:t>
            </w:r>
            <w:r>
              <w:t xml:space="preserve">. Komisja powinna </w:t>
            </w:r>
            <w:r>
              <w:rPr>
                <w:b/>
                <w:i/>
              </w:rPr>
              <w:t>zapewnić monitorowanie każdego państwa trzeciego wymienionego w załączniku II i</w:t>
            </w:r>
            <w:r>
              <w:t xml:space="preserve"> składanie sprawozdań </w:t>
            </w:r>
            <w:r>
              <w:rPr>
                <w:b/>
                <w:i/>
              </w:rPr>
              <w:t>co najmniej raz na cztery lata.</w:t>
            </w:r>
            <w:r>
              <w:t xml:space="preserve"> </w:t>
            </w:r>
            <w:r>
              <w:rPr>
                <w:b/>
                <w:i/>
              </w:rPr>
              <w:t>Komisja powinna również składać sprawozdania</w:t>
            </w:r>
            <w:r>
              <w:t xml:space="preserve"> na temat państw, które zostały ujęte w załączniku II niedawno, bez przeprowadzenia dialogu na temat liberalizacji reżimu wizowego, jeżeli uzna to za konieczne, a w szczególności w pierwszych latach po wejściu w życie zwolnienia z obowiązku wizowego wobec tych państw.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W każdym przypadku, gdy uzna to za konieczne, lub na wniosek Parlamentu Europejskiego lub Rady, Komisja powinna przedstawić sprawozdanie z wyników systematycznego monitorowania systemów bezwizowych ze wszystkimi państwami trzecimi wymienionymi w załączniku II do rozporządzenia (UE) 2018/1806. Sprawozdanie powinno koncentrować się na tych państwach trzecich, które zgodnie z analizą Komisji stwarzają szczególne problemy, które – jeśli nie zostaną rozwiązane – mogą prowadzić do uruchomienia mechanizmu zawieszającego. Komisja powinna w szczególności </w:t>
            </w:r>
            <w:r>
              <w:rPr>
                <w:b/>
                <w:i/>
              </w:rPr>
              <w:t>rozważyć składanie sprawozdań</w:t>
            </w:r>
            <w:r>
              <w:t xml:space="preserve"> na temat państw, które zostały ujęte w załączniku II niedawno, bez przeprowadzenia dialogu na temat liberalizacji reżimu wizowego, jeżeli uzna to za konieczne, a w szczególności w pierwszych latach po wejściu w życie zwolnienia z obowiązku wizowego wobec tych państw.</w:t>
            </w:r>
          </w:p>
        </w:tc>
        <w:tc>
          <w:tcPr>
            <w:tcW w:w="4876" w:type="dxa"/>
          </w:tcPr>
          <w:p>
            <w:pPr>
              <w:pStyle w:val="Normal6a"/>
            </w:pPr>
            <w:r>
              <w:t>(10)</w:t>
            </w:r>
            <w:r>
              <w:tab/>
            </w:r>
            <w:r>
              <w:t xml:space="preserve">W każdym przypadku, gdy uzna to za konieczne, lub na wniosek Parlamentu Europejskiego lub Rady, Komisja powinna przedstawić sprawozdanie z wyników systematycznego monitorowania systemów bezwizowych ze wszystkimi państwami trzecimi wymienionymi w załączniku II do rozporządzenia (UE) 2018/1806. Sprawozdanie powinno koncentrować się na tych państwach trzecich, które zgodnie z analizą Komisji stwarzają szczególne problemy, które – jeśli nie zostaną rozwiązane – mogą prowadzić do uruchomienia mechanizmu zawieszającego. Komisja powinna w szczególności </w:t>
            </w:r>
            <w:r>
              <w:rPr>
                <w:b/>
                <w:i/>
              </w:rPr>
              <w:t>składać sprawozdania</w:t>
            </w:r>
            <w:r>
              <w:t xml:space="preserve"> na temat państw, które zostały ujęte w załączniku II niedawno, bez przeprowadzenia dialogu na temat liberalizacji reżimu wizowego, jeżeli uzna to za konieczne, a w szczególności w pierwszych latach po wejściu w życie zwolnienia z obowiązku wizowego wobec tych państw.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W świetle daleko idących konsekwencji, jakie tymczasowe zawieszenie zwolnienia z obowiązku wizowego może mieć dla obywateli danego państwa trzeciego, Komisja powinna traktować priorytetowo podejście ukierunkowane i stosować ten środek przede wszystkim do wybranych osób zajmujących odpowiedzialne stanowiska, takich jak członkowie oficjalnych delegacji państw trzecich, członkowie rządów lokalnych, regionalnych i krajowych, posłowie do parlamentów lub wysokiej rangi urzędnicy publiczni lub wojskowi, jednocześnie dokładając wszelkich starań, aby zminimalizować negatywne skutki dla ogółu społeczeństwa.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 b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(10b)</w:t>
            </w:r>
            <w:r>
              <w:tab/>
            </w:r>
            <w:r>
              <w:rPr>
                <w:b/>
                <w:i/>
              </w:rPr>
              <w:t>W świetle daleko idących skutków zawieszenia dla obywateli zainteresowanych państw trzecich oraz biorąc pod uwagę zawarty w art. 13 TUE wymóg, aby unijne ramy instytucjonalne zapewniały skuteczność jej polityk i działań, Komisja powinna stale monitorować, czy uruchomienie mechanizmu zawieszającego pozwoliłoby osiągnąć zamierzony rezultat, oraz składać regularne sprawozdania Parlamentowi Europejskiemu i Radzie.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(11)</w:t>
            </w:r>
            <w:r>
              <w:tab/>
            </w:r>
            <w:r>
              <w:t xml:space="preserve">W przypadku podjęcia decyzji o tymczasowym zawieszeniu zwolnienia z obowiązku wizowego wobec państwa trzeciego należy przewidzieć odpowiedni harmonogram pogłębionego dialogu między Komisją a danym państwem trzecim, mającego zaradzić okolicznościom, które doprowadziły do zawieszenia. W tym celu czas trwania tymczasowego zawieszenia, w sprawie którego decyzję podjęto w drodze aktu </w:t>
            </w:r>
            <w:r>
              <w:rPr>
                <w:b/>
                <w:i/>
              </w:rPr>
              <w:t>wykonawczego</w:t>
            </w:r>
            <w:r>
              <w:t xml:space="preserve"> Komisji, powinien – w pierwszym etapie – wynosić 12 miesięcy, z możliwością przedłużenia tego czasu za pomocą aktu delegowanego – w drugim etapie – o kolejne 24 miesiące. Jeżeli przed końcem okresu ważności aktu delegowanego nie uda się znaleźć rozwiązania, a Komisja przedstawi wniosek ustawodawczy w sprawie przeniesienia odniesienia do danego państwa trzeciego z załącznika II do załącznika I do rozporządzenia (UE) 2018/1806, Komisja powinna przyjąć akt delegowany przedłużający tymczasowe zawieszenie do czasu wejścia w życie przyjętego wniosku.</w:t>
            </w:r>
          </w:p>
        </w:tc>
        <w:tc>
          <w:tcPr>
            <w:tcW w:w="4876" w:type="dxa"/>
          </w:tcPr>
          <w:p>
            <w:pPr>
              <w:pStyle w:val="Normal6a"/>
            </w:pPr>
            <w:r>
              <w:t>(11)</w:t>
            </w:r>
            <w:r>
              <w:tab/>
            </w:r>
            <w:r>
              <w:t xml:space="preserve">W przypadku podjęcia decyzji o tymczasowym zawieszeniu zwolnienia z obowiązku wizowego wobec państwa trzeciego należy przewidzieć odpowiedni harmonogram pogłębionego dialogu między Komisją a danym państwem trzecim, mającego zaradzić okolicznościom, które doprowadziły do zawieszenia. W tym celu czas trwania tymczasowego zawieszenia, w sprawie którego decyzję podjęto w drodze aktu </w:t>
            </w:r>
            <w:r>
              <w:rPr>
                <w:b/>
                <w:i/>
              </w:rPr>
              <w:t>delegowanego</w:t>
            </w:r>
            <w:r>
              <w:t xml:space="preserve"> Komisji, powinien – w pierwszym etapie – wynosić 12 miesięcy, z możliwością przedłużenia tego czasu za pomocą aktu delegowanego – w drugim etapie – o kolejne 24 miesiące. Jeżeli przed końcem okresu ważności aktu delegowanego nie uda się znaleźć rozwiązania, a Komisja przedstawi wniosek ustawodawczy w sprawie przeniesienia odniesienia do danego państwa trzeciego z załącznika II do załącznika I do rozporządzenia (UE) 2018/1806, Komisja powinna przyjąć akt delegowany przedłużający tymczasowe zawieszenie do czasu wejścia w życie przyjętego wniosku.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Komisja powinna przyjmować akty wykonawcze mające natychmiastowe zastosowanie, kiedy – w należycie uzasadnionych przypadkach związanych z uruchomieniem mechanizmu zawieszającego – ze względu na szczególnie pilną potrzebę konieczne jest podjęcie przyspieszonych działań, w szczególności po to, aby zapobiec wszelkim nadużyciom w podróżowaniu bezwizowym, które powodują masowy napływ obywateli państw trzecich przybywających nielegalnie na terytorium państw członkowskich, lub poważnej szkodzie dla porządku publicznego lub bezpieczeństwa wewnętrznego państw członkowskich.</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Komisja powinna przyjmować akty wykonawcze mające natychmiastowe zastosowanie, kiedy – w należycie uzasadnionych przypadkach związanych z uruchomieniem mechanizmu zawieszającego – ze względu na szczególnie pilną potrzebę konieczne jest podjęcie przyspieszonych działań, w szczególności po to, aby zapobiec wszelkim nadużyciom w podróżowaniu bezwizowym, które powodują masowy napływ obywateli państw trzecich przybywających nielegalnie na terytorium państw członkowskich, lub poważnej szkodzie dla porządku publicznego lub bezpieczeństwa wewnętrznego państw członkowskich.</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Komisja powinna przyjmować akty wykonawcze mające natychmiastowe zastosowanie, kiedy – w należycie uzasadnionych przypadkach związanych z uruchomieniem mechanizmu zawieszającego – </w:t>
            </w:r>
            <w:r>
              <w:rPr>
                <w:b/>
                <w:i/>
              </w:rPr>
              <w:t>ze względu na szczególnie pilną potrzebę konieczne jest podjęcie przyspieszonych</w:t>
            </w:r>
            <w:r>
              <w:t xml:space="preserve"> działań, w szczególności po to, aby zapobiec wszelkim nadużyciom w podróżowaniu bezwizowym, które powodują masowy napływ obywateli państw trzecich przybywających nielegalnie na terytorium państw członkowskich, lub poważnej szkodzie dla porządku publicznego lub bezpieczeństwa wewnętrznego państw członkowskich.</w:t>
            </w:r>
          </w:p>
        </w:tc>
        <w:tc>
          <w:tcPr>
            <w:tcW w:w="4876" w:type="dxa"/>
          </w:tcPr>
          <w:p>
            <w:pPr>
              <w:pStyle w:val="Normal6a"/>
            </w:pPr>
            <w:r>
              <w:t>(12)</w:t>
            </w:r>
            <w:r>
              <w:tab/>
            </w:r>
            <w:r>
              <w:t xml:space="preserve">Komisja powinna przyjmować akty wykonawcze mające natychmiastowe zastosowanie, kiedy – w należycie uzasadnionych przypadkach związanych z uruchomieniem mechanizmu zawieszającego – </w:t>
            </w:r>
            <w:r>
              <w:rPr>
                <w:b/>
                <w:i/>
              </w:rPr>
              <w:t>poważne zagrożenie porządku publicznego lub bezpieczeństwa wewnętrznego w państwie członkowskim zgodnie z art. 8a lit. d) jest niemożliwe do przewidzenia i wymaga natychmiastowych</w:t>
            </w:r>
            <w:r>
              <w:t xml:space="preserve"> działań, w szczególności po to, aby zapobiec wszelkim nadużyciom w podróżowaniu bezwizowym, które powodują masowy napływ obywateli państw trzecich przybywających nielegalnie na terytorium państw członkowskich, lub poważnej szkodzie dla porządku publicznego lub bezpieczeństwa wewnętrznego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Tymczasowe zawieszenie powinno zostać zniesione w dowolnym momencie, jeżeli okoliczności, które doprowadziły do zawieszenia, zostaną usunięte przed końcem okresu zawieszenia. W tym celu przed końcem okresu zawieszenia określonego w </w:t>
            </w:r>
            <w:r>
              <w:rPr>
                <w:b/>
                <w:i/>
              </w:rPr>
              <w:t>odpowiednim akcie wykonawczym</w:t>
            </w:r>
            <w:r>
              <w:t xml:space="preserve"> Komisja powinna przyjąć </w:t>
            </w:r>
            <w:r>
              <w:rPr>
                <w:b/>
                <w:i/>
              </w:rPr>
              <w:t>akt wykonawczy, a przed końcem okresu zawieszenia określonego w odpowiednim akcie delegowanym – akt delegowany</w:t>
            </w:r>
            <w:r>
              <w:t>.</w:t>
            </w:r>
          </w:p>
        </w:tc>
        <w:tc>
          <w:tcPr>
            <w:tcW w:w="4876" w:type="dxa"/>
          </w:tcPr>
          <w:p>
            <w:pPr>
              <w:pStyle w:val="Normal6a"/>
            </w:pPr>
            <w:r>
              <w:t>(13)</w:t>
            </w:r>
            <w:r>
              <w:tab/>
            </w:r>
            <w:r>
              <w:t xml:space="preserve">Tymczasowe zawieszenie powinno zostać zniesione w dowolnym momencie, jeżeli okoliczności, które doprowadziły do zawieszenia, zostaną usunięte przed końcem okresu zawieszenia </w:t>
            </w:r>
            <w:r>
              <w:rPr>
                <w:b/>
                <w:i/>
              </w:rPr>
              <w:t>lub gdy zawieszenie okaże się nieskuteczne dla zaradzenia sytuacji</w:t>
            </w:r>
            <w:r>
              <w:t xml:space="preserve">. W tym celu przed końcem okresu zawieszenia określonego w </w:t>
            </w:r>
            <w:r>
              <w:rPr>
                <w:b/>
                <w:i/>
              </w:rPr>
              <w:t>odpowiednich aktach delegowanych</w:t>
            </w:r>
            <w:r>
              <w:t xml:space="preserve"> Komisja powinna przyjąć </w:t>
            </w:r>
            <w:r>
              <w:rPr>
                <w:b/>
                <w:i/>
              </w:rPr>
              <w:t>akty delegowane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Moritz Körner, Sophia in 't Veld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-1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art. 7 lit. d) otrzymuje brzmienie: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rozważając dalsze działania zgodnie z lit. e) lub h), Komisja uwzględnia efekty działań podjętych przez dane państwo członkowskie w celu zapewnienia ruchu bezwizowego z danym państwem trzecim, działania podjęte zgodnie z lit. b) oraz konsekwencje zawieszenia zwolnienia z obowiązku wizowego dla stosunków zewnętrznych Unii i jej państw członkowskich z danym państwem trzecim;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 przypadku przyjęcia tej poprawki Komisja będzie ostatecznie zmuszona do osiągnięcia wzajemności wizowej dla wszystkich obywateli UE. PE pozwał Komisję, ponieważ nie podjęła ona niezbędnych prawnie środków w celu osiągnięcia wzajemności wizowej dla obywateli Bułgarii, Cypru i Rumunii z państwami trzecimi. Poprawka ta po prostu skreśla odniesienie do art. 7 lit. d) lit. f) [który w związku z tym odnosi się jedynie do lit. e) i h)], a tym samym usuwa usprawiedliwienie, którego Komisja od 2014 r. używa, aby nie działać zgodnie z oczekiwaniami PE.</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1</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W przypadku gdy umowa między Unią a państwem trzecim wymienionym w załączniku II dotycząca zniesienia wiz krótkoterminowych zawiera postanowienia dotyczące innych podstaw do zawieszenia lub procedur z tym związanych, postanowienia te stosuje się zamiast art. 8a, 8e i 8f niniejszego rozporządzenia.;</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1</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W przypadku </w:t>
            </w:r>
            <w:r>
              <w:rPr>
                <w:b/>
                <w:i/>
              </w:rPr>
              <w:t>gdy umowa</w:t>
            </w:r>
            <w:r>
              <w:t xml:space="preserve"> między Unią a państwem trzecim wymienionym w załączniku II </w:t>
            </w:r>
            <w:r>
              <w:rPr>
                <w:b/>
                <w:i/>
              </w:rPr>
              <w:t>dotycząca</w:t>
            </w:r>
            <w:r>
              <w:t xml:space="preserve"> zniesienia wiz krótkoterminowych </w:t>
            </w:r>
            <w:r>
              <w:rPr>
                <w:b/>
                <w:i/>
              </w:rPr>
              <w:t>zawiera postanowienia dotyczące innych podstaw do zawieszenia lub procedur z tym związanych, postanowienia te stosuje się zamiast art. 8a, 8e i 8f niniejszego rozporządzenia</w:t>
            </w:r>
            <w:r>
              <w:t>.</w:t>
            </w:r>
            <w:r>
              <w:rPr>
                <w:b/>
                <w:i/>
              </w:rPr>
              <w:t>;</w:t>
            </w:r>
          </w:p>
        </w:tc>
        <w:tc>
          <w:tcPr>
            <w:tcW w:w="4876" w:type="dxa"/>
          </w:tcPr>
          <w:p>
            <w:pPr>
              <w:pStyle w:val="Normal6a"/>
            </w:pPr>
            <w:r>
              <w:t>2.</w:t>
            </w:r>
            <w:r>
              <w:tab/>
            </w:r>
            <w:r>
              <w:t xml:space="preserve">W przypadku </w:t>
            </w:r>
            <w:r>
              <w:rPr>
                <w:b/>
                <w:i/>
              </w:rPr>
              <w:t>zawarcia umowy</w:t>
            </w:r>
            <w:r>
              <w:t xml:space="preserve"> między Unią a państwem trzecim wymienionym w załączniku II </w:t>
            </w:r>
            <w:r>
              <w:rPr>
                <w:b/>
                <w:i/>
              </w:rPr>
              <w:t>dotyczącej</w:t>
            </w:r>
            <w:r>
              <w:t xml:space="preserve"> zniesienia wiz krótkoterminowych</w:t>
            </w:r>
            <w:r>
              <w:rPr>
                <w:b/>
                <w:i/>
              </w:rPr>
              <w:t>, art. 8a, 8e i 8f niniejszego rozporządzenia stosuje się bez uszczerbku dla odpowiednich przepisów dotyczących podstaw zawieszenia i procedur określonych w umowie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Mechanizm zawieszający może zostać uruchomiony z następujących powodów:</w:t>
            </w:r>
          </w:p>
        </w:tc>
        <w:tc>
          <w:tcPr>
            <w:tcW w:w="4876" w:type="dxa"/>
          </w:tcPr>
          <w:p>
            <w:pPr>
              <w:pStyle w:val="Normal6a"/>
            </w:pPr>
            <w:r>
              <w:t>1.</w:t>
            </w:r>
            <w:r>
              <w:tab/>
            </w:r>
            <w:r>
              <w:t xml:space="preserve">Mechanizm zawieszający może zostać uruchomiony z </w:t>
            </w:r>
            <w:r>
              <w:rPr>
                <w:b/>
                <w:i/>
              </w:rPr>
              <w:t>powodu co najmniej jednego z</w:t>
            </w:r>
            <w:r>
              <w:t xml:space="preserve"> następujących powodów: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znacznego wzrostu liczby obywateli państwa trzeciego wymienionego w załączniku II, którym odmawia się wjazdu </w:t>
            </w:r>
            <w:r>
              <w:rPr>
                <w:b/>
                <w:i/>
              </w:rPr>
              <w:t>lub</w:t>
            </w:r>
            <w:r>
              <w:t xml:space="preserve"> którzy przebywają bezprawnie na terytorium państwa członkowskiego;</w:t>
            </w:r>
          </w:p>
        </w:tc>
        <w:tc>
          <w:tcPr>
            <w:tcW w:w="4876" w:type="dxa"/>
          </w:tcPr>
          <w:p>
            <w:pPr>
              <w:pStyle w:val="Normal6a"/>
            </w:pPr>
            <w:r>
              <w:t>a)</w:t>
            </w:r>
            <w:r>
              <w:tab/>
            </w:r>
            <w:r>
              <w:t>znacznego wzrostu liczby obywateli państwa trzeciego wymienionego w załączniku II, którym odmawia się wjazdu</w:t>
            </w:r>
            <w:r>
              <w:rPr>
                <w:b/>
                <w:i/>
              </w:rPr>
              <w:t>,</w:t>
            </w:r>
            <w:r>
              <w:t xml:space="preserve"> którzy przebywają bezprawnie na terytorium państwa członkowskiego </w:t>
            </w:r>
            <w:r>
              <w:rPr>
                <w:b/>
                <w:i/>
              </w:rPr>
              <w:t>bądź przebywają na nim dłużej niż przez okres bezwizowy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znacznego wzrostu liczby wniosków o azyl napływających od obywateli państwa trzeciego wymienionego w załączniku II, w przypadku którego odsetek uznawalności jest niski;</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znacznego wzrostu liczby wniosków o azyl napływających od obywateli państwa trzeciego wymienionego w załączniku II, w przypadku którego odsetek uznawalności jest niski;</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Sformułowanie to może naruszać prawo do azylu zagwarantowane w art. 18 Karty praw podstawowych Unii Europejskiej.</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b a (nowa)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znacznego wzrostu liczby wniosków azylowych od obywateli państwa trzeciego wymienionego w załączniku 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15% of all asylum applications in 2022 were made by citizens from visa-free countries.</w:t>
      </w:r>
      <w:r>
        <w:t xml:space="preserve"> </w:t>
      </w:r>
      <w:r>
        <w:t>In 2023 this increased to around 20% according to the EU Asylum Agency.</w:t>
      </w:r>
      <w:r>
        <w:t xml:space="preserve"> </w:t>
      </w:r>
      <w:r>
        <w:t>Many of these applications were made by third country nationals from countries with recognition rates above 4%.</w:t>
      </w:r>
      <w:r>
        <w:t xml:space="preserve"> </w:t>
      </w:r>
      <w:r>
        <w:t>According to the Commission "The main purpose of this proposal is to make the suspension mechanism better equipped to respond swiftly and decisively to emerging challenges in the area of irregular migration and security arising from visa-free third countries, and to counter any abuses of visa-free travel." The purpose of visa-free agreements is to facilitate economic development, tourism, and cultural exchange, and not to enable asylum shopping throughout the Schengen Area.</w:t>
      </w:r>
      <w:r>
        <w:t xml:space="preserve"> </w:t>
      </w:r>
      <w:r>
        <w:t>Therefore, a substantial increase in asylum applications, regardless of recognition rates, should also be considered as grounds for suspension.</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pogorszenia się współpracy w zakresie readmisji z państwem trzecim wymienionym w załączniku II lub innych przypadków braku współpracy w zakresie readmisji;</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d</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znaczącego ryzyka lub bezpośredniego zagrożenia dla porządku publicznego lub bezpieczeństwa wewnętrznego państw członkowskich, które to ryzyko lub zagrożenie </w:t>
            </w:r>
            <w:r>
              <w:rPr>
                <w:b/>
                <w:i/>
              </w:rPr>
              <w:t>są związane</w:t>
            </w:r>
            <w:r>
              <w:t xml:space="preserve"> z państwem trzecim wymienionym w załączniku II i wynikają </w:t>
            </w:r>
            <w:r>
              <w:rPr>
                <w:b/>
                <w:i/>
              </w:rPr>
              <w:t>z któregokolwiek z poniższych:</w:t>
            </w:r>
          </w:p>
        </w:tc>
        <w:tc>
          <w:tcPr>
            <w:tcW w:w="4876" w:type="dxa"/>
          </w:tcPr>
          <w:p>
            <w:pPr>
              <w:pStyle w:val="Normal6a"/>
            </w:pPr>
            <w:r>
              <w:t>d)</w:t>
            </w:r>
            <w:r>
              <w:tab/>
            </w:r>
            <w:r>
              <w:t xml:space="preserve">znaczącego ryzyka lub bezpośredniego zagrożenia dla porządku publicznego lub bezpieczeństwa wewnętrznego państw członkowskich, które to ryzyko lub zagrożenie z państwem trzecim wymienionym w załączniku II i wynikają </w:t>
            </w:r>
            <w:r>
              <w:rPr>
                <w:b/>
                <w:i/>
              </w:rPr>
              <w:t>ze znacznego wzrostu poważnych przestępstw związanych z obywatelami tego państwa trzeciego – co znajduje poparcie w obiektywnych, konkretnych i stosownych informacjach i danych przedstawionych przez właściwe organy.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d</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rPr>
                <w:b/>
                <w:i/>
              </w:rPr>
              <w:t>znaczącego</w:t>
            </w:r>
            <w:r>
              <w:t xml:space="preserve"> ryzyka lub bezpośredniego zagrożenia dla porządku publicznego lub bezpieczeństwa wewnętrznego państw członkowskich, które to ryzyko lub zagrożenie są związane z państwem trzecim wymienionym w załączniku II i wynikają z któregokolwiek z poniższych:</w:t>
            </w:r>
          </w:p>
        </w:tc>
        <w:tc>
          <w:tcPr>
            <w:tcW w:w="4876" w:type="dxa"/>
          </w:tcPr>
          <w:p>
            <w:pPr>
              <w:pStyle w:val="Normal6a"/>
            </w:pPr>
            <w:r>
              <w:t>d)</w:t>
            </w:r>
            <w:r>
              <w:tab/>
            </w:r>
            <w:r>
              <w:t>ryzyka lub bezpośredniego zagrożenia dla porządku publicznego lub bezpieczeństwa wewnętrznego państw członkowskich, które to ryzyko lub zagrożenie są związane z państwem trzecim wymienionym w załączniku II i wynikają z któregokolwiek z poniższych: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d – podpunkt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znacznego wzrostu poważnych przestępstw związanych z obywatelami tego państwa trzeciego, co znajduje poparcie w obiektywnych, konkretnych i stosownych informacjach i danych przedstawionych przez właściwe organy;</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d – podpunkt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rPr>
                <w:b/>
                <w:i/>
              </w:rPr>
              <w:t>znacznego</w:t>
            </w:r>
            <w:r>
              <w:t xml:space="preserve"> wzrostu poważnych przestępstw związanych z obywatelami tego państwa trzeciego, co znajduje poparcie w obiektywnych, konkretnych i stosownych informacjach i danych przedstawionych przez właściwe organy;</w:t>
            </w:r>
          </w:p>
        </w:tc>
        <w:tc>
          <w:tcPr>
            <w:tcW w:w="4876" w:type="dxa"/>
          </w:tcPr>
          <w:p>
            <w:pPr>
              <w:pStyle w:val="Normal6a"/>
            </w:pPr>
            <w:r>
              <w:t>(i)</w:t>
            </w:r>
            <w:r>
              <w:tab/>
            </w:r>
            <w:r>
              <w:t xml:space="preserve">wzrostu poważnych przestępstw związanych z obywatelami tego państwa trzeciego, co znajduje poparcie w obiektywnych, konkretnych i stosownych informacjach i danych przedstawionych przez właściwe organy </w:t>
            </w:r>
            <w:r>
              <w:rPr>
                <w:b/>
                <w:i/>
              </w:rPr>
              <w:t>krajowe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d – podpunkt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zagrożeń hybrydowych;</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Poza zakresem niniejszej części.</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d – podpunkt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zagrożeń hybrydowych;</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d – podpunkt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(ii)</w:t>
            </w:r>
            <w:r>
              <w:tab/>
            </w:r>
            <w:r>
              <w:t>zagrożeń hybrydowych;</w:t>
            </w:r>
          </w:p>
        </w:tc>
        <w:tc>
          <w:tcPr>
            <w:tcW w:w="4876" w:type="dxa"/>
          </w:tcPr>
          <w:p>
            <w:pPr>
              <w:pStyle w:val="Normal6a"/>
            </w:pPr>
            <w:r>
              <w:t>(ii)</w:t>
            </w:r>
            <w:r>
              <w:tab/>
            </w:r>
            <w:r>
              <w:t xml:space="preserve">zagrożeń hybrydowych </w:t>
            </w:r>
            <w:r>
              <w:rPr>
                <w:b/>
                <w:i/>
              </w:rPr>
              <w:t>i instrumentalizacji migrantów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d – podpunkt ii a (nowy)</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(iia)</w:t>
            </w:r>
            <w:r>
              <w:tab/>
            </w:r>
            <w:r>
              <w:rPr>
                <w:b/>
                <w:i/>
              </w:rPr>
              <w:t>nieodpowiednich norm prawnych dotyczących bezpieczeństwa dokumentów podróży i tożsamości;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d a (nowa)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zagrożeń terrorystycznych;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d b (nowa)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db)</w:t>
            </w:r>
            <w:r>
              <w:tab/>
            </w:r>
            <w:r>
              <w:rPr>
                <w:b/>
                <w:i/>
              </w:rPr>
              <w:t>braków w przepisach lub procedurach dotyczących bezpieczeństwa dokumentów;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braku dostosowania polityki wizowej państwa trzeciego wymienionego w załączniku II w przypadku gdy, w szczególności ze względu na bliskość geograficzną tego państwa trzeciego z Unią, istnieje ryzyko znacznego wzrostu liczby obywateli państw trzecich innych niż obywatele tego państwa trzeciego, którzy – po pobycie na terytorium tego państwa trzeciego lub po tranzycie przez to terytorium – wjeżdżają nielegalnie na terytorium państw członkowskich;</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braku dostosowania polityki wizowej państwa trzeciego wymienionego w załączniku II w przypadku gdy, w szczególności ze względu na bliskość geograficzną tego państwa trzeciego z Unią, istnieje ryzyko znacznego wzrostu liczby obywateli państw trzecich innych niż obywatele tego państwa trzeciego, którzy – po pobycie na terytorium tego państwa trzeciego lub po tranzycie przez to terytorium – wjeżdżają nielegalnie na terytorium państw członkowskich;</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braku dostosowania polityki wizowej państwa trzeciego wymienionego w załączniku II w przypadku gdy, w szczególności ze względu na bliskość geograficzną tego państwa trzeciego z Unią, </w:t>
            </w:r>
            <w:r>
              <w:rPr>
                <w:b/>
                <w:i/>
              </w:rPr>
              <w:t>istnieje ryzyko znacznego wzrostu liczby</w:t>
            </w:r>
            <w:r>
              <w:t xml:space="preserve"> obywateli państw trzecich innych niż obywatele tego państwa trzeciego, którzy – po pobycie na terytorium tego państwa trzeciego lub po tranzycie przez to terytorium – wjeżdżają nielegalnie na terytorium państw członkowskich;</w:t>
            </w:r>
          </w:p>
        </w:tc>
        <w:tc>
          <w:tcPr>
            <w:tcW w:w="4876" w:type="dxa"/>
          </w:tcPr>
          <w:p>
            <w:pPr>
              <w:pStyle w:val="Normal6a"/>
            </w:pPr>
            <w:r>
              <w:t>f)</w:t>
            </w:r>
            <w:r>
              <w:tab/>
            </w:r>
            <w:r>
              <w:t xml:space="preserve">braku dostosowania polityki wizowej państwa trzeciego wymienionego w załączniku II w przypadku gdy, w szczególności ze względu na bliskość geograficzną tego państwa trzeciego z Unią, </w:t>
            </w:r>
            <w:r>
              <w:rPr>
                <w:b/>
                <w:i/>
              </w:rPr>
              <w:t>znacznie wzrasta liczba</w:t>
            </w:r>
            <w:r>
              <w:t xml:space="preserve"> obywateli państw trzecich innych niż obywatele tego państwa trzeciego, którzy – po pobycie na terytorium tego państwa trzeciego lub po tranzycie przez to terytorium – wjeżdżają nielegalnie na terytorium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f a (nowa)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poważnych naruszeń zasad określonych w Karcie Narodów Zjednoczonych lub poważnych naruszeń zobowiązań wynikających z międzynarodowego prawa dotyczącego praw człowieka lub międzynarodowego prawa humanitarnego;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f a (nowa)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poważnego pogorszenia stosunków zewnętrznych Unii z państwem trzecim wymienionym w załączniku II, na przykład niedostosowania się do kryteriów wymienionych w art. 1 niniejszego rozporządzenia;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Nuno Melo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g a (nowa)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znacznego i nagłego pogorszenia stosunków zewnętrznych Unii z jednym z państw trzecich wymienionych w załączniku II, zwłaszcza w odniesieniu do praw człowieka i podstawowych wolności, w wyniku jednej z następujących sytuacji: (i) poważnych naruszeń i pogwałceń praw człowieka; (ii) poważnych naruszeń prawa i norm międzynarodowych, w tym przepisów dotyczących praw człowieka, i nieprzestrzegania międzynarodowych orzeczeń i wyroków sądowych;</w:t>
            </w:r>
            <w:r>
              <w:t xml:space="preserve">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1 – litera g a (nowa)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wszelkich innych podstaw zawieszenia określonych w umowie o zniesieniu wiz krótkoterminowych między Unią a państwem trzecim wymienionym w załączniku II, ograniczonych do zakresu stosowania takiej umowy.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Na użytek ust. 1 lit. a), b) i </w:t>
            </w:r>
            <w:r>
              <w:rPr>
                <w:b/>
                <w:i/>
              </w:rPr>
              <w:t>lit. d) ppkt (i)</w:t>
            </w:r>
            <w:r>
              <w:t xml:space="preserve"> niniejszego artykułu znaczny wzrost oznacza wzrost przekraczający próg 50 %</w:t>
            </w:r>
            <w:r>
              <w:rPr>
                <w:b/>
                <w:i/>
              </w:rPr>
              <w:t>, chyba że zgodnie z art. 8b ust. 4 lub art. 8c ust. 2 Komisja stwierdzi, że w danym przypadku zastosowanie ma niższy lub wyższy próg</w:t>
            </w:r>
            <w:r>
              <w:t>.</w:t>
            </w:r>
          </w:p>
        </w:tc>
        <w:tc>
          <w:tcPr>
            <w:tcW w:w="4876" w:type="dxa"/>
          </w:tcPr>
          <w:p>
            <w:pPr>
              <w:pStyle w:val="Normal6a"/>
            </w:pPr>
            <w:r>
              <w:t>2.</w:t>
            </w:r>
            <w:r>
              <w:tab/>
            </w:r>
            <w:r>
              <w:t>Na użytek ust. 1 lit. a), b) i</w:t>
            </w:r>
            <w:r>
              <w:rPr>
                <w:b/>
                <w:i/>
              </w:rPr>
              <w:t xml:space="preserve"> d)</w:t>
            </w:r>
            <w:r>
              <w:t xml:space="preserve"> niniejszego artykułu znaczny wzrost oznacza wzrost przekraczający próg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 użytek ust. 1 lit.</w:t>
            </w:r>
            <w:r>
              <w:rPr>
                <w:b/>
                <w:i/>
              </w:rPr>
              <w:t xml:space="preserve"> a)</w:t>
            </w:r>
            <w:r>
              <w:t>, b) i lit.</w:t>
            </w:r>
            <w:r>
              <w:rPr>
                <w:b/>
                <w:i/>
              </w:rPr>
              <w:t xml:space="preserve"> d)</w:t>
            </w:r>
            <w:r>
              <w:t xml:space="preserve"> ppkt (i) niniejszego artykułu znaczny wzrost oznacza wzrost przekraczający próg 50 %, chyba że zgodnie z art. 8b ust. 4 lub art. 8c ust. 2 Komisja stwierdzi, że w danym przypadku zastosowanie ma niższy lub wyższy próg.</w:t>
            </w:r>
          </w:p>
        </w:tc>
        <w:tc>
          <w:tcPr>
            <w:tcW w:w="4876" w:type="dxa"/>
          </w:tcPr>
          <w:p>
            <w:pPr>
              <w:pStyle w:val="Normal6a"/>
            </w:pPr>
            <w:r>
              <w:t>2.</w:t>
            </w:r>
            <w:r>
              <w:tab/>
            </w:r>
            <w:r>
              <w:t>Na użytek ust. 1 lit.</w:t>
            </w:r>
            <w:r>
              <w:rPr>
                <w:b/>
                <w:i/>
              </w:rPr>
              <w:t> a)</w:t>
            </w:r>
            <w:r>
              <w:t>, b) i lit.</w:t>
            </w:r>
            <w:r>
              <w:rPr>
                <w:b/>
                <w:i/>
              </w:rPr>
              <w:t> d)</w:t>
            </w:r>
            <w:r>
              <w:t xml:space="preserve"> ppkt (i) niniejszego artykułu znaczny wzrost oznacza wzrost przekraczający próg 50 %, chyba że zgodnie z art. 8b ust. 4 lub art. 8c ust. 2 Komisja stwierdzi, że w danym przypadku zastosowanie ma niższy lub wyższy próg </w:t>
            </w:r>
            <w:r>
              <w:rPr>
                <w:b/>
                <w:i/>
              </w:rPr>
              <w:t>i należycie to uzasadni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 użytek ust. 1 lit.</w:t>
            </w:r>
            <w:r>
              <w:rPr>
                <w:b/>
                <w:i/>
              </w:rPr>
              <w:t xml:space="preserve"> a)</w:t>
            </w:r>
            <w:r>
              <w:t>, b) i lit.</w:t>
            </w:r>
            <w:r>
              <w:rPr>
                <w:b/>
                <w:i/>
              </w:rPr>
              <w:t xml:space="preserve"> d) ppkt (i)</w:t>
            </w:r>
            <w:r>
              <w:t xml:space="preserve"> niniejszego artykułu znaczny wzrost oznacza wzrost przekraczający próg 50 %, chyba że zgodnie z art. 8b ust. 4 lub art. 8c ust. 2 Komisja stwierdzi, że w danym przypadku zastosowanie ma niższy lub wyższy próg.</w:t>
            </w:r>
          </w:p>
        </w:tc>
        <w:tc>
          <w:tcPr>
            <w:tcW w:w="4876" w:type="dxa"/>
          </w:tcPr>
          <w:p>
            <w:pPr>
              <w:pStyle w:val="Normal6a"/>
            </w:pPr>
            <w:r>
              <w:t>2.</w:t>
            </w:r>
            <w:r>
              <w:tab/>
            </w:r>
            <w:r>
              <w:t>Na użytek ust. 1 lit.</w:t>
            </w:r>
            <w:r>
              <w:rPr>
                <w:b/>
                <w:i/>
              </w:rPr>
              <w:t> a)</w:t>
            </w:r>
            <w:r>
              <w:t>, b) i lit.</w:t>
            </w:r>
            <w:r>
              <w:rPr>
                <w:b/>
                <w:i/>
              </w:rPr>
              <w:t> d) ppkt (i) i ust. 4</w:t>
            </w:r>
            <w:r>
              <w:t xml:space="preserve"> niniejszego artykułu znaczny wzrost oznacza wzrost przekraczający próg 50 %, chyba że zgodnie z art. 8b ust. 4 lub art. 8c ust. 2 Komisja stwierdzi, że w danym przypadku zastosowanie ma niższy lub wyższy próg.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 użytek ust. 1 lit.</w:t>
            </w:r>
            <w:r>
              <w:rPr>
                <w:b/>
                <w:i/>
              </w:rPr>
              <w:t xml:space="preserve"> a)</w:t>
            </w:r>
            <w:r>
              <w:t>, b) i lit.</w:t>
            </w:r>
            <w:r>
              <w:rPr>
                <w:b/>
                <w:i/>
              </w:rPr>
              <w:t xml:space="preserve"> d)</w:t>
            </w:r>
            <w:r>
              <w:t xml:space="preserve"> ppkt (i) niniejszego artykułu znaczny wzrost oznacza wzrost przekraczający próg </w:t>
            </w:r>
            <w:r>
              <w:rPr>
                <w:b/>
                <w:i/>
              </w:rPr>
              <w:t>50</w:t>
            </w:r>
            <w:r>
              <w:t xml:space="preserve"> %, chyba że zgodnie z art. 8b ust. 4 lub art. 8c ust. 2 Komisja stwierdzi, że w danym przypadku zastosowanie ma niższy lub wyższy próg.</w:t>
            </w:r>
          </w:p>
        </w:tc>
        <w:tc>
          <w:tcPr>
            <w:tcW w:w="4876" w:type="dxa"/>
          </w:tcPr>
          <w:p>
            <w:pPr>
              <w:pStyle w:val="Normal6a"/>
            </w:pPr>
            <w:r>
              <w:t>2.</w:t>
            </w:r>
            <w:r>
              <w:tab/>
            </w:r>
            <w:r>
              <w:t>Na użytek ust. 1 lit.</w:t>
            </w:r>
            <w:r>
              <w:rPr>
                <w:b/>
                <w:i/>
              </w:rPr>
              <w:t> a)</w:t>
            </w:r>
            <w:r>
              <w:t>, b) i lit.</w:t>
            </w:r>
            <w:r>
              <w:rPr>
                <w:b/>
                <w:i/>
              </w:rPr>
              <w:t> d)</w:t>
            </w:r>
            <w:r>
              <w:t xml:space="preserve"> ppkt (i) niniejszego artykułu znaczny wzrost oznacza wzrost przekraczający próg </w:t>
            </w:r>
            <w:r>
              <w:rPr>
                <w:b/>
                <w:i/>
              </w:rPr>
              <w:t>15</w:t>
            </w:r>
            <w:r>
              <w:t xml:space="preserve"> %, chyba że zgodnie z art. 8b ust. 4 lub art. 8c ust. 2 Komisja stwierdzi, że w danym przypadku zastosowanie ma niższy lub wyższy próg.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Według Komisji wcześniejsze doświadczenia uwypukliły „trudności związane z uruchomieniem mechanizmu ze względu na uciążliwą procedurę i ponownie pokazało, że osiągnięcie progów wymaganych przez obecne przepisy może okazać się trudne, z uszczerbkiem dla celu, jakim jest zapewnienie pilnych działań, aby zapobiec ryzyku migracji nieuregulowanej i zagrożeniom dla bezpieczeństwa wynikającym z ruchu bezwizowego.” Wynika z tego, że należy znacznie obniżyć próg.</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 użytek ust. 1 lit.</w:t>
            </w:r>
            <w:r>
              <w:rPr>
                <w:b/>
                <w:i/>
              </w:rPr>
              <w:t xml:space="preserve"> a)</w:t>
            </w:r>
            <w:r>
              <w:t>, b) i lit.</w:t>
            </w:r>
            <w:r>
              <w:rPr>
                <w:b/>
                <w:i/>
              </w:rPr>
              <w:t xml:space="preserve"> d)</w:t>
            </w:r>
            <w:r>
              <w:t xml:space="preserve"> ppkt (i) niniejszego artykułu znaczny wzrost oznacza wzrost przekraczający próg </w:t>
            </w:r>
            <w:r>
              <w:rPr>
                <w:b/>
                <w:i/>
              </w:rPr>
              <w:t>50</w:t>
            </w:r>
            <w:r>
              <w:t xml:space="preserve"> %, chyba że zgodnie z art. 8b ust. 4 lub art. 8c ust. 2 Komisja stwierdzi, że w danym przypadku zastosowanie ma niższy lub wyższy próg.</w:t>
            </w:r>
          </w:p>
        </w:tc>
        <w:tc>
          <w:tcPr>
            <w:tcW w:w="4876" w:type="dxa"/>
          </w:tcPr>
          <w:p>
            <w:pPr>
              <w:pStyle w:val="Normal6a"/>
            </w:pPr>
            <w:r>
              <w:t>2.</w:t>
            </w:r>
            <w:r>
              <w:tab/>
            </w:r>
            <w:r>
              <w:t>Na użytek ust. 1 lit.</w:t>
            </w:r>
            <w:r>
              <w:rPr>
                <w:b/>
                <w:i/>
              </w:rPr>
              <w:t> a)</w:t>
            </w:r>
            <w:r>
              <w:t>, b) i lit.</w:t>
            </w:r>
            <w:r>
              <w:rPr>
                <w:b/>
                <w:i/>
              </w:rPr>
              <w:t> d)</w:t>
            </w:r>
            <w:r>
              <w:t xml:space="preserve"> ppkt (i) niniejszego artykułu znaczny wzrost oznacza wzrost przekraczający próg </w:t>
            </w:r>
            <w:r>
              <w:rPr>
                <w:b/>
                <w:i/>
              </w:rPr>
              <w:t>10</w:t>
            </w:r>
            <w:r>
              <w:t> %, chyba że zgodnie z art. 8b ust. 4 lub art. 8c ust. 2 Komisja stwierdzi, że w danym przypadku zastosowanie ma niższy lub wyższy próg.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 użytek ust. 1 lit.</w:t>
            </w:r>
            <w:r>
              <w:rPr>
                <w:b/>
                <w:i/>
              </w:rPr>
              <w:t xml:space="preserve"> a)</w:t>
            </w:r>
            <w:r>
              <w:t>, b) i lit.</w:t>
            </w:r>
            <w:r>
              <w:rPr>
                <w:b/>
                <w:i/>
              </w:rPr>
              <w:t xml:space="preserve"> d)</w:t>
            </w:r>
            <w:r>
              <w:t xml:space="preserve"> ppkt (i) niniejszego artykułu znaczny wzrost oznacza wzrost przekraczający próg </w:t>
            </w:r>
            <w:r>
              <w:rPr>
                <w:b/>
                <w:i/>
              </w:rPr>
              <w:t>50</w:t>
            </w:r>
            <w:r>
              <w:t xml:space="preserve"> %, chyba że zgodnie z art. 8b ust. 4 lub art. 8c ust. 2 Komisja stwierdzi, że w danym przypadku zastosowanie ma niższy lub wyższy próg.</w:t>
            </w:r>
          </w:p>
        </w:tc>
        <w:tc>
          <w:tcPr>
            <w:tcW w:w="4876" w:type="dxa"/>
          </w:tcPr>
          <w:p>
            <w:pPr>
              <w:pStyle w:val="Normal6a"/>
            </w:pPr>
            <w:r>
              <w:t>2.</w:t>
            </w:r>
            <w:r>
              <w:tab/>
            </w:r>
            <w:r>
              <w:t>Na użytek ust. 1 lit.</w:t>
            </w:r>
            <w:r>
              <w:rPr>
                <w:b/>
                <w:i/>
              </w:rPr>
              <w:t> a)</w:t>
            </w:r>
            <w:r>
              <w:t>, b) i lit.</w:t>
            </w:r>
            <w:r>
              <w:rPr>
                <w:b/>
                <w:i/>
              </w:rPr>
              <w:t> d)</w:t>
            </w:r>
            <w:r>
              <w:t xml:space="preserve"> ppkt (i) niniejszego artykułu znaczny wzrost oznacza wzrost przekraczający próg </w:t>
            </w:r>
            <w:r>
              <w:rPr>
                <w:b/>
                <w:i/>
              </w:rPr>
              <w:t>30</w:t>
            </w:r>
            <w:r>
              <w:t> %, chyba że zgodnie z art. 8b ust. 4 lub art. 8c ust. 2 Komisja stwierdzi, że w danym przypadku zastosowanie ma niższy lub wyższy próg.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Na użytek ust. 1 lit. b) niniejszego artykułu niski wskaźnik przyznawania azylu oznacza wskaźnik przyznawania azylu niższy niż 4 %, chyba że zgodnie z art. 8b ust. 4 lub art. 8c ust. 2 Komisja stwierdzi, że w danym przypadku zastosowanie ma wyższy wskaźnik przyznawania azylu.</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Na użytek</w:t>
            </w:r>
            <w:r>
              <w:t xml:space="preserve"> ust. 1 lit. b) niniejszego artykułu niski wskaźnik przyznawania azylu oznacza wskaźnik przyznawania azylu </w:t>
            </w:r>
            <w:r>
              <w:rPr>
                <w:b/>
                <w:i/>
              </w:rPr>
              <w:t>niższy niż 4 %, chyba że zgodnie z art. 8b ust. 4 lub art. 8c ust. 2 Komisja stwierdzi, że w danym przypadku zastosowanie ma wyższy wskaźnik przyznawania azylu</w:t>
            </w:r>
            <w:r>
              <w:t>.</w:t>
            </w:r>
          </w:p>
        </w:tc>
        <w:tc>
          <w:tcPr>
            <w:tcW w:w="4876" w:type="dxa"/>
          </w:tcPr>
          <w:p>
            <w:pPr>
              <w:pStyle w:val="Normal6a"/>
            </w:pPr>
            <w:r>
              <w:t>3.</w:t>
            </w:r>
            <w:r>
              <w:tab/>
            </w:r>
            <w:r>
              <w:rPr>
                <w:b/>
                <w:i/>
              </w:rPr>
              <w:t>Do celów</w:t>
            </w:r>
            <w:r>
              <w:t xml:space="preserve"> ust. 1 lit. b) niniejszego artykułu niski wskaźnik przyznawania azylu oznacza wskaźnik przyznawania azylu </w:t>
            </w:r>
            <w:r>
              <w:rPr>
                <w:b/>
                <w:i/>
              </w:rPr>
              <w:t>poniżej 2 %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Na użytek ust. 1 lit.</w:t>
            </w:r>
            <w:r>
              <w:rPr>
                <w:b/>
                <w:i/>
              </w:rPr>
              <w:t xml:space="preserve"> b)</w:t>
            </w:r>
            <w:r>
              <w:t xml:space="preserve"> niniejszego artykułu niski wskaźnik przyznawania azylu oznacza wskaźnik przyznawania azylu niższy niż 4 %, chyba że zgodnie z art. 8b ust. 4 lub art. 8c ust. 2 Komisja stwierdzi, że w danym przypadku zastosowanie ma wyższy wskaźnik przyznawania azylu.</w:t>
            </w:r>
          </w:p>
        </w:tc>
        <w:tc>
          <w:tcPr>
            <w:tcW w:w="4876" w:type="dxa"/>
          </w:tcPr>
          <w:p>
            <w:pPr>
              <w:pStyle w:val="Normal6a"/>
            </w:pPr>
            <w:r>
              <w:t>3.</w:t>
            </w:r>
            <w:r>
              <w:tab/>
            </w:r>
            <w:r>
              <w:t>Na użytek ust. 1 lit.</w:t>
            </w:r>
            <w:r>
              <w:rPr>
                <w:b/>
                <w:i/>
              </w:rPr>
              <w:t> b)</w:t>
            </w:r>
            <w:r>
              <w:t xml:space="preserve"> niniejszego artykułu niski wskaźnik przyznawania azylu oznacza wskaźnik przyznawania azylu niższy niż 4 %, chyba że zgodnie z art. 8b ust. 4 lub art. 8c ust. 2 Komisja stwierdzi, że w danym przypadku zastosowanie ma wyższy wskaźnik przyznawania azylu </w:t>
            </w:r>
            <w:r>
              <w:rPr>
                <w:b/>
                <w:i/>
              </w:rPr>
              <w:t>oraz należycie uzasadni tę decyzję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Na użytek ust. 1 lit.</w:t>
            </w:r>
            <w:r>
              <w:rPr>
                <w:b/>
                <w:i/>
              </w:rPr>
              <w:t xml:space="preserve"> b)</w:t>
            </w:r>
            <w:r>
              <w:t xml:space="preserve"> niniejszego artykułu niski wskaźnik przyznawania azylu oznacza wskaźnik przyznawania azylu niższy niż </w:t>
            </w:r>
            <w:r>
              <w:rPr>
                <w:b/>
                <w:i/>
              </w:rPr>
              <w:t>4</w:t>
            </w:r>
            <w:r>
              <w:t xml:space="preserve"> %, chyba że zgodnie z art. 8b ust. 4 lub art. 8c ust. 2 Komisja stwierdzi, że w danym przypadku zastosowanie ma wyższy wskaźnik przyznawania azylu.</w:t>
            </w:r>
          </w:p>
        </w:tc>
        <w:tc>
          <w:tcPr>
            <w:tcW w:w="4876" w:type="dxa"/>
          </w:tcPr>
          <w:p>
            <w:pPr>
              <w:pStyle w:val="Normal6a"/>
            </w:pPr>
            <w:r>
              <w:t>3.</w:t>
            </w:r>
            <w:r>
              <w:tab/>
            </w:r>
            <w:r>
              <w:t>Na użytek ust. 1 lit.</w:t>
            </w:r>
            <w:r>
              <w:rPr>
                <w:b/>
                <w:i/>
              </w:rPr>
              <w:t> b)</w:t>
            </w:r>
            <w:r>
              <w:t xml:space="preserve"> niniejszego artykułu niski wskaźnik przyznawania azylu oznacza wskaźnik przyznawania azylu niższy niż </w:t>
            </w:r>
            <w:r>
              <w:rPr>
                <w:b/>
                <w:i/>
              </w:rPr>
              <w:t>35</w:t>
            </w:r>
            <w:r>
              <w:t xml:space="preserve"> %, chyba że zgodnie z art. 8b ust. 4 lub art. 8c ust. 2 Komisja stwierdzi, że w danym przypadku zastosowanie ma wyższy wskaźnik przyznawania azylu.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Na użytek ust. 1 lit.</w:t>
            </w:r>
            <w:r>
              <w:rPr>
                <w:b/>
                <w:i/>
              </w:rPr>
              <w:t xml:space="preserve"> b)</w:t>
            </w:r>
            <w:r>
              <w:t xml:space="preserve"> niniejszego artykułu niski wskaźnik przyznawania azylu oznacza wskaźnik przyznawania azylu niższy niż </w:t>
            </w:r>
            <w:r>
              <w:rPr>
                <w:b/>
                <w:i/>
              </w:rPr>
              <w:t>4</w:t>
            </w:r>
            <w:r>
              <w:t xml:space="preserve"> %, chyba że zgodnie z art. 8b ust. 4 lub art. 8c ust. 2 Komisja stwierdzi, że w danym przypadku zastosowanie ma wyższy wskaźnik przyznawania azylu.</w:t>
            </w:r>
          </w:p>
        </w:tc>
        <w:tc>
          <w:tcPr>
            <w:tcW w:w="4876" w:type="dxa"/>
          </w:tcPr>
          <w:p>
            <w:pPr>
              <w:pStyle w:val="Normal6a"/>
            </w:pPr>
            <w:r>
              <w:t>3.</w:t>
            </w:r>
            <w:r>
              <w:tab/>
            </w:r>
            <w:r>
              <w:t>Na użytek ust. 1 lit.</w:t>
            </w:r>
            <w:r>
              <w:rPr>
                <w:b/>
                <w:i/>
              </w:rPr>
              <w:t> b)</w:t>
            </w:r>
            <w:r>
              <w:t xml:space="preserve"> niniejszego artykułu niski wskaźnik przyznawania azylu oznacza wskaźnik przyznawania azylu niższy niż </w:t>
            </w:r>
            <w:r>
              <w:rPr>
                <w:b/>
                <w:i/>
              </w:rPr>
              <w:t>20</w:t>
            </w:r>
            <w:r>
              <w:t xml:space="preserve"> %, chyba że zgodnie z art. 8b ust. 4 lub art. 8c ust. 2 Komisja stwierdzi, że w danym przypadku zastosowanie ma wyższy wskaźnik przyznawania azylu.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Na użytek ust. 1 lit.</w:t>
            </w:r>
            <w:r>
              <w:rPr>
                <w:b/>
                <w:i/>
              </w:rPr>
              <w:t xml:space="preserve"> b)</w:t>
            </w:r>
            <w:r>
              <w:t xml:space="preserve"> niniejszego artykułu niski wskaźnik przyznawania azylu oznacza wskaźnik przyznawania azylu niższy niż </w:t>
            </w:r>
            <w:r>
              <w:rPr>
                <w:b/>
                <w:i/>
              </w:rPr>
              <w:t>4</w:t>
            </w:r>
            <w:r>
              <w:t xml:space="preserve"> %, chyba że zgodnie z art. 8b ust. 4 lub art. 8c ust. 2 Komisja stwierdzi, że w danym przypadku zastosowanie ma wyższy wskaźnik przyznawania azylu.</w:t>
            </w:r>
          </w:p>
        </w:tc>
        <w:tc>
          <w:tcPr>
            <w:tcW w:w="4876" w:type="dxa"/>
          </w:tcPr>
          <w:p>
            <w:pPr>
              <w:pStyle w:val="Normal6a"/>
            </w:pPr>
            <w:r>
              <w:t>3.</w:t>
            </w:r>
            <w:r>
              <w:tab/>
            </w:r>
            <w:r>
              <w:t>Na użytek ust. 1 lit.</w:t>
            </w:r>
            <w:r>
              <w:rPr>
                <w:b/>
                <w:i/>
              </w:rPr>
              <w:t> b)</w:t>
            </w:r>
            <w:r>
              <w:t xml:space="preserve"> niniejszego artykułu niski wskaźnik przyznawania azylu oznacza wskaźnik przyznawania azylu niższy niż </w:t>
            </w:r>
            <w:r>
              <w:rPr>
                <w:b/>
                <w:i/>
              </w:rPr>
              <w:t>35</w:t>
            </w:r>
            <w:r>
              <w:t xml:space="preserve"> %, chyba że zgodnie z art. 8b ust. 4 lub art. 8c ust. 2 Komisja stwierdzi, że w danym przypadku zastosowanie ma wyższy wskaźnik przyznawania azylu.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 2022 r. 15 % wszystkich wniosków o udzielenie azylu złożyli obywatele państw zwolnionych z obowiązku wizowego.</w:t>
      </w:r>
      <w:r>
        <w:t xml:space="preserve"> </w:t>
      </w:r>
      <w:r>
        <w:t>Według Agencji Unii Europejskiej ds. Azylu w 2023 r. odsetek ten wzrósł do około 20 %.</w:t>
      </w:r>
      <w:r>
        <w:t xml:space="preserve"> </w:t>
      </w:r>
      <w:r>
        <w:t>Wiele z tych wniosków złożyli obywatele państw trzecich z państw wymienionych w załączniku II, w których wskaźnik przyznawania azylu przekracza 4 %.</w:t>
      </w:r>
      <w:r>
        <w:t xml:space="preserve"> </w:t>
      </w:r>
      <w:r>
        <w:t>Wskaźnik przyznawania azylu wynoszący 4 % jest zdecydowanie za niski i utrudnia funkcjonowanie mechanizmu zawieszającego.</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Na użytek ust. 1 lit.</w:t>
            </w:r>
            <w:r>
              <w:rPr>
                <w:b/>
                <w:i/>
              </w:rPr>
              <w:t xml:space="preserve"> b)</w:t>
            </w:r>
            <w:r>
              <w:t xml:space="preserve"> niniejszego artykułu niski wskaźnik przyznawania azylu oznacza wskaźnik przyznawania azylu niższy niż </w:t>
            </w:r>
            <w:r>
              <w:rPr>
                <w:b/>
                <w:i/>
              </w:rPr>
              <w:t>4</w:t>
            </w:r>
            <w:r>
              <w:t xml:space="preserve"> %, chyba że zgodnie z art. 8b ust. 4 lub art. 8c ust. 2 Komisja stwierdzi, że w danym przypadku zastosowanie ma wyższy wskaźnik przyznawania azylu.</w:t>
            </w:r>
          </w:p>
        </w:tc>
        <w:tc>
          <w:tcPr>
            <w:tcW w:w="4876" w:type="dxa"/>
          </w:tcPr>
          <w:p>
            <w:pPr>
              <w:pStyle w:val="Normal6a"/>
            </w:pPr>
            <w:r>
              <w:t>3.</w:t>
            </w:r>
            <w:r>
              <w:tab/>
            </w:r>
            <w:r>
              <w:t>Na użytek ust. 1 lit.</w:t>
            </w:r>
            <w:r>
              <w:rPr>
                <w:b/>
                <w:i/>
              </w:rPr>
              <w:t> b)</w:t>
            </w:r>
            <w:r>
              <w:t xml:space="preserve"> niniejszego artykułu niski wskaźnik przyznawania azylu oznacza wskaźnik przyznawania azylu niższy niż </w:t>
            </w:r>
            <w:r>
              <w:rPr>
                <w:b/>
                <w:i/>
              </w:rPr>
              <w:t>3</w:t>
            </w:r>
            <w:r>
              <w:t xml:space="preserve"> %, chyba że zgodnie z art. 8b ust. 4 lub art. 8c ust. 2 Komisja stwierdzi, że w danym przypadku zastosowanie ma wyższy wskaźnik przyznawania azylu.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Na użytek ust. 1 lit.</w:t>
            </w:r>
            <w:r>
              <w:rPr>
                <w:b/>
                <w:i/>
              </w:rPr>
              <w:t xml:space="preserve"> c)</w:t>
            </w:r>
            <w:r>
              <w:t xml:space="preserve"> pogorszenie się współpracy w zakresie readmisji z państwem trzecim wymienionym w załączniku II oznacza znaczny wzrost, poparty odpowiednimi danymi, odsetka odrzuconych wniosków o readmisję, przedłożonych przez państwo członkowskie temu państwu trzeciemu, dotyczących jego własnych obywateli </w:t>
            </w:r>
            <w:r>
              <w:rPr>
                <w:b/>
                <w:i/>
              </w:rPr>
              <w:t>lub</w:t>
            </w:r>
            <w:r>
              <w:t xml:space="preserve"> jeżeli </w:t>
            </w:r>
            <w:r>
              <w:rPr>
                <w:b/>
                <w:i/>
              </w:rPr>
              <w:t>umowa o readmisji zawarta między Unią lub tym państwem członkowskim a tym państwem trzecim tak przewiduje – w odniesieniu do obywateli</w:t>
            </w:r>
            <w:r>
              <w:t xml:space="preserve"> państwa trzeciego</w:t>
            </w:r>
            <w:r>
              <w:rPr>
                <w:b/>
                <w:i/>
              </w:rPr>
              <w:t>, którzy przedostali się tranzytem przez to państwo trzecie.</w:t>
            </w:r>
          </w:p>
        </w:tc>
        <w:tc>
          <w:tcPr>
            <w:tcW w:w="4876" w:type="dxa"/>
          </w:tcPr>
          <w:p>
            <w:pPr>
              <w:pStyle w:val="Normal6a"/>
            </w:pPr>
            <w:r>
              <w:t>4.</w:t>
            </w:r>
            <w:r>
              <w:tab/>
            </w:r>
            <w:r>
              <w:t>Na użytek ust. 1 lit.</w:t>
            </w:r>
            <w:r>
              <w:rPr>
                <w:b/>
                <w:i/>
              </w:rPr>
              <w:t> c)</w:t>
            </w:r>
            <w:r>
              <w:t xml:space="preserve"> pogorszenie się współpracy w zakresie readmisji z państwem trzecim wymienionym w załączniku II oznacza znaczny wzrost, poparty odpowiednimi danymi, odsetka odrzuconych wniosków o readmisję, przedłożonych przez państwo członkowskie temu państwu trzeciemu, dotyczących jego własnych obywateli</w:t>
            </w:r>
            <w:r>
              <w:rPr>
                <w:b/>
                <w:i/>
              </w:rPr>
              <w:t>,</w:t>
            </w:r>
            <w:r>
              <w:t xml:space="preserve"> jeżeli </w:t>
            </w:r>
            <w:r>
              <w:rPr>
                <w:b/>
                <w:i/>
              </w:rPr>
              <w:t>można wyraźnie udowodnić, że spadek współpracy jest wynikiem działań lub bezczynności danego</w:t>
            </w:r>
            <w:r>
              <w:t xml:space="preserve"> państwa trzeciego </w:t>
            </w:r>
            <w:r>
              <w:rPr>
                <w:b/>
                <w:i/>
              </w:rPr>
              <w:t>i nie można go przypisać wnioskującemu państwu członkowskiemu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Na użytek ust. 1 lit.</w:t>
            </w:r>
            <w:r>
              <w:rPr>
                <w:b/>
                <w:i/>
              </w:rPr>
              <w:t xml:space="preserve"> c)</w:t>
            </w:r>
            <w:r>
              <w:t xml:space="preserve"> pogorszenie się współpracy w zakresie readmisji z państwem trzecim wymienionym w załączniku II oznacza </w:t>
            </w:r>
            <w:r>
              <w:rPr>
                <w:b/>
                <w:i/>
              </w:rPr>
              <w:t>znaczny wzrost</w:t>
            </w:r>
            <w:r>
              <w:t xml:space="preserve">, poparty odpowiednimi danymi, </w:t>
            </w:r>
            <w:r>
              <w:rPr>
                <w:b/>
                <w:i/>
              </w:rPr>
              <w:t>odsetka</w:t>
            </w:r>
            <w:r>
              <w:t xml:space="preserve"> odrzuconych wniosków o readmisję, przedłożonych przez państwo członkowskie temu państwu trzeciemu, dotyczących jego własnych obywateli lub jeżeli umowa o readmisji zawarta między Unią lub tym państwem członkowskim a tym państwem trzecim tak przewiduje – w odniesieniu do obywateli państwa trzeciego, którzy przedostali się tranzytem przez to państwo trzecie.</w:t>
            </w:r>
          </w:p>
        </w:tc>
        <w:tc>
          <w:tcPr>
            <w:tcW w:w="4876" w:type="dxa"/>
          </w:tcPr>
          <w:p>
            <w:pPr>
              <w:pStyle w:val="Normal6a"/>
            </w:pPr>
            <w:r>
              <w:t>4.</w:t>
            </w:r>
            <w:r>
              <w:tab/>
            </w:r>
            <w:r>
              <w:t>Na użytek ust. 1 lit.</w:t>
            </w:r>
            <w:r>
              <w:rPr>
                <w:b/>
                <w:i/>
              </w:rPr>
              <w:t> c)</w:t>
            </w:r>
            <w:r>
              <w:t xml:space="preserve"> pogorszenie się współpracy w zakresie readmisji z państwem trzecim wymienionym w załączniku II oznacza </w:t>
            </w:r>
            <w:r>
              <w:rPr>
                <w:b/>
                <w:i/>
              </w:rPr>
              <w:t>rosnący odsetek</w:t>
            </w:r>
            <w:r>
              <w:t>, poparty odpowiednimi danymi, odrzuconych wniosków o readmisję, przedłożonych przez państwo członkowskie temu państwu trzeciemu, dotyczących jego własnych obywateli lub jeżeli umowa o readmisji zawarta między Unią lub tym państwem członkowskim a tym państwem trzecim tak przewiduje – w odniesieniu do obywateli państwa trzeciego, którzy przedostali się tranzytem przez to państwo trzecie.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5 – litera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odrzucanie wniosków o readmisję lub nierozpatrywanie ich terminowo,</w:t>
            </w:r>
          </w:p>
        </w:tc>
        <w:tc>
          <w:tcPr>
            <w:tcW w:w="4876" w:type="dxa"/>
          </w:tcPr>
          <w:p>
            <w:pPr>
              <w:pStyle w:val="Normal6a"/>
            </w:pPr>
            <w:r>
              <w:t>a)</w:t>
            </w:r>
            <w:r>
              <w:tab/>
            </w:r>
            <w:r>
              <w:t xml:space="preserve">odrzucanie wniosków o readmisję lub nierozpatrywanie ich terminowo, </w:t>
            </w:r>
            <w:r>
              <w:rPr>
                <w:b/>
                <w:i/>
              </w:rPr>
              <w:t>brak pomocy w terminowym identyfikowaniu przebywających na terytorium państwa członkowskiego obywateli państw trzecich, którzy nie mają do tego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5 – litera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odrzucanie wniosków</w:t>
            </w:r>
            <w:r>
              <w:t xml:space="preserve"> o readmisję </w:t>
            </w:r>
            <w:r>
              <w:rPr>
                <w:b/>
                <w:i/>
              </w:rPr>
              <w:t>lub nierozpatrywanie ich terminowo,</w:t>
            </w:r>
          </w:p>
        </w:tc>
        <w:tc>
          <w:tcPr>
            <w:tcW w:w="4876" w:type="dxa"/>
          </w:tcPr>
          <w:p>
            <w:pPr>
              <w:pStyle w:val="Normal6a"/>
            </w:pPr>
            <w:r>
              <w:t>a)</w:t>
            </w:r>
            <w:r>
              <w:tab/>
            </w:r>
            <w:r>
              <w:rPr>
                <w:b/>
                <w:i/>
              </w:rPr>
              <w:t>odrzucenie lub nierozpatrzenie wniosku</w:t>
            </w:r>
            <w:r>
              <w:t xml:space="preserve"> o readmisję </w:t>
            </w:r>
            <w:r>
              <w:rPr>
                <w:b/>
                <w:i/>
              </w:rPr>
              <w:t>w terminie czterech tygodni od podjęcia decyzji nakazującej powrót;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Słowo „terminowo” jest zbyt niejasne.</w:t>
      </w:r>
      <w:r>
        <w:t xml:space="preserve"> </w:t>
      </w:r>
      <w:r>
        <w:t>Inne państwa wymagają surowych standardów readmisji, aby przyznać dostęp bezwizowy.</w:t>
      </w:r>
      <w:r>
        <w:t xml:space="preserve"> </w:t>
      </w:r>
      <w:r>
        <w:t>Na przykład Stany Zjednoczone wymagają, aby państwa posiadające dostęp do systemu bezwizowego przyjmowały swoich obywateli w ciągu trzech tygodni od ostatecznej decyzji o wydaleniu.</w:t>
      </w:r>
      <w:r>
        <w:t xml:space="preserve"> </w:t>
      </w:r>
      <w:r>
        <w:t>UE ma problem z powrotami, a kraje wymienione w załączniku II powinny przestrzegać ścisłego harmonogramu w odniesieniu do decyzji nakazujących powrót.</w:t>
      </w:r>
    </w:p>
    <w:p>
      <w:r>
        <w:rPr>
          <w:rStyle w:val="HideTWBExt"/>
        </w:rPr>
        <w:t>&lt;/Amend&gt;</w:t>
      </w:r>
    </w:p>
    <w:p>
      <w:pPr>
        <w:pStyle w:val="AmNumberTabs"/>
      </w:pPr>
      <w:r>
        <w:rPr>
          <w:rStyle w:val="HideTWBExt"/>
        </w:rPr>
        <w:t>&lt;Amend&gt;</w:t>
      </w:r>
      <w:r>
        <w:t>Poprawka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5 – litera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odrzucanie wniosków o readmisję lub nierozpatrywanie ich terminowo,</w:t>
            </w:r>
          </w:p>
        </w:tc>
        <w:tc>
          <w:tcPr>
            <w:tcW w:w="4876" w:type="dxa"/>
          </w:tcPr>
          <w:p>
            <w:pPr>
              <w:pStyle w:val="Normal6a"/>
            </w:pPr>
            <w:r>
              <w:t>a)</w:t>
            </w:r>
            <w:r>
              <w:tab/>
            </w:r>
            <w:r>
              <w:t>odrzucanie wniosków o readmisję lub nierozpatrywanie ich terminowo,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5 – litera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niewydawanie terminowo dokumentów podróży na potrzeby powrotów w terminach określonych w umowie o readmisji lub nieakceptowanie europejskich dokumentów podróży wydanych po upływie terminów określonych w umowie o readmisji</w:t>
            </w:r>
            <w:r>
              <w:rPr>
                <w:b/>
                <w:i/>
              </w:rPr>
              <w:t>,</w:t>
            </w:r>
          </w:p>
        </w:tc>
        <w:tc>
          <w:tcPr>
            <w:tcW w:w="4876" w:type="dxa"/>
          </w:tcPr>
          <w:p>
            <w:pPr>
              <w:pStyle w:val="Normal6a"/>
            </w:pPr>
            <w:r>
              <w:t>b)</w:t>
            </w:r>
            <w:r>
              <w:tab/>
            </w:r>
            <w:r>
              <w:t>niewydawanie terminowo dokumentów podróży na potrzeby powrotów w terminach określonych w umowie o readmisji lub nieakceptowanie europejskich dokumentów podróży wydanych po upływie terminów określonych w umowie o readmisji</w:t>
            </w:r>
            <w:r>
              <w:rPr>
                <w:b/>
                <w:i/>
              </w:rPr>
              <w:t> lub stwarzanie utrzymujących się praktycznych przeszkód w wykonywaniu decyzji o readmisji;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5 – litera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niewydawanie terminowo dokumentów podróży na potrzeby powrotów w terminach określonych w umowie o readmisji lub nieakceptowanie europejskich dokumentów podróży wydanych po upływie terminów określonych w umowie o readmisji,</w:t>
            </w:r>
          </w:p>
        </w:tc>
        <w:tc>
          <w:tcPr>
            <w:tcW w:w="4876" w:type="dxa"/>
          </w:tcPr>
          <w:p>
            <w:pPr>
              <w:pStyle w:val="Normal6a"/>
            </w:pPr>
            <w:r>
              <w:t>b)</w:t>
            </w:r>
            <w:r>
              <w:tab/>
            </w:r>
            <w:r>
              <w:t xml:space="preserve">niewydawanie terminowo dokumentów podróży </w:t>
            </w:r>
            <w:r>
              <w:rPr>
                <w:b/>
                <w:i/>
              </w:rPr>
              <w:t>osobom z uznanym prawem pobytu na jego terytorium</w:t>
            </w:r>
            <w:r>
              <w:t xml:space="preserve"> na potrzeby powrotów w terminach określonych w umowie o readmisji lub nieakceptowanie europejskich dokumentów podróży wydanych po upływie terminów określonych w umowie o readmisji,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5 – litera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niewydawanie </w:t>
            </w:r>
            <w:r>
              <w:rPr>
                <w:b/>
                <w:i/>
              </w:rPr>
              <w:t>terminowo</w:t>
            </w:r>
            <w:r>
              <w:t xml:space="preserve"> dokumentów podróży na potrzeby powrotów w terminach określonych w umowie o readmisji lub nieakceptowanie europejskich dokumentów podróży wydanych po upływie terminów określonych w umowie o readmisji,</w:t>
            </w:r>
          </w:p>
        </w:tc>
        <w:tc>
          <w:tcPr>
            <w:tcW w:w="4876" w:type="dxa"/>
          </w:tcPr>
          <w:p>
            <w:pPr>
              <w:pStyle w:val="Normal6a"/>
            </w:pPr>
            <w:r>
              <w:t>b)</w:t>
            </w:r>
            <w:r>
              <w:tab/>
            </w:r>
            <w:r>
              <w:t xml:space="preserve">niewydawanie dokumentów podróży </w:t>
            </w:r>
            <w:r>
              <w:rPr>
                <w:b/>
                <w:i/>
              </w:rPr>
              <w:t>własnym obywatelom lub osobom mającym prawo pobytu na ich terytorium</w:t>
            </w:r>
            <w:r>
              <w:t xml:space="preserve"> na potrzeby powrotów w terminach określonych w umowie o readmisji lub nieakceptowanie europejskich dokumentów podróży wydanych po upływie terminów określonych w umowie o readmisji,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a – ustęp 5 – litera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wypowiedzenie </w:t>
            </w:r>
            <w:r>
              <w:rPr>
                <w:b/>
                <w:i/>
              </w:rPr>
              <w:t>lub zawieszenie</w:t>
            </w:r>
            <w:r>
              <w:t xml:space="preserve"> umowy o readmisji zawartej między państwem trzecim wymienionym w załączniku II a Unią.</w:t>
            </w:r>
          </w:p>
        </w:tc>
        <w:tc>
          <w:tcPr>
            <w:tcW w:w="4876" w:type="dxa"/>
          </w:tcPr>
          <w:p>
            <w:pPr>
              <w:pStyle w:val="Normal6a"/>
            </w:pPr>
            <w:r>
              <w:t>c)</w:t>
            </w:r>
            <w:r>
              <w:tab/>
            </w:r>
            <w:r>
              <w:t>wypowiedzenie</w:t>
            </w:r>
            <w:r>
              <w:rPr>
                <w:b/>
                <w:i/>
              </w:rPr>
              <w:t>, zawieszenie lub podważenie w inny sposób</w:t>
            </w:r>
            <w:r>
              <w:t xml:space="preserve"> umowy o readmisji zawartej między państwem trzecim wymienionym w załączniku II a Unią.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nagłówek</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Powiadamianie </w:t>
            </w:r>
            <w:r>
              <w:rPr>
                <w:b/>
                <w:i/>
              </w:rPr>
              <w:t>przez państwa członkowskie</w:t>
            </w:r>
            <w:r>
              <w:t xml:space="preserve"> i analiza powiadomienia</w:t>
            </w:r>
          </w:p>
        </w:tc>
        <w:tc>
          <w:tcPr>
            <w:tcW w:w="4876" w:type="dxa"/>
          </w:tcPr>
          <w:p>
            <w:pPr>
              <w:pStyle w:val="Normal6a"/>
            </w:pPr>
            <w:r>
              <w:t>Powiadamianie i analiza powiadomienia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Państwo członkowskie może powiadomić Komisję, jeżeli w okresie co najmniej dwóch miesięcy w porównaniu z tym samym okresem w roku poprzednim lub z dwoma miesiącami bezpośrednio poprzedzającymi wprowadzenie w życie zwolnienia z obowiązku wizowego wobec obywateli państwa trzeciego wymienionego w załączniku II znajdzie się w obliczu co najmniej jednej z okoliczności stanowiących podstawę do zawieszenia, o których mowa w art. 8a ust. 1 lit.</w:t>
            </w:r>
            <w:r>
              <w:rPr>
                <w:b/>
                <w:i/>
              </w:rPr>
              <w:t xml:space="preserve"> a)</w:t>
            </w:r>
            <w:r>
              <w:t>, b), c) i lit.</w:t>
            </w:r>
            <w:r>
              <w:rPr>
                <w:b/>
                <w:i/>
              </w:rPr>
              <w:t xml:space="preserve"> d)</w:t>
            </w:r>
            <w:r>
              <w:t xml:space="preserve"> ppkt (i).</w:t>
            </w:r>
          </w:p>
        </w:tc>
        <w:tc>
          <w:tcPr>
            <w:tcW w:w="4876" w:type="dxa"/>
          </w:tcPr>
          <w:p>
            <w:pPr>
              <w:pStyle w:val="Normal6a"/>
            </w:pPr>
            <w:r>
              <w:t>1.</w:t>
            </w:r>
            <w:r>
              <w:tab/>
            </w:r>
            <w:r>
              <w:t>Państwo członkowskie może powiadomić Komisję, jeżeli w okresie co najmniej dwóch</w:t>
            </w:r>
            <w:r>
              <w:rPr>
                <w:b/>
                <w:i/>
              </w:rPr>
              <w:t>, ale nie więcej niż dwunastu</w:t>
            </w:r>
            <w:r>
              <w:t xml:space="preserve"> miesięcy w porównaniu z tym samym okresem w roku poprzednim lub z dwoma miesiącami bezpośrednio poprzedzającymi wprowadzenie w życie zwolnienia z obowiązku wizowego wobec obywateli państwa trzeciego wymienionego w załączniku II znajdzie się w obliczu co najmniej jednej z okoliczności stanowiących podstawę do zawieszenia, o których mowa w art. 8a ust. 1 lit.</w:t>
            </w:r>
            <w:r>
              <w:rPr>
                <w:b/>
                <w:i/>
              </w:rPr>
              <w:t> a)</w:t>
            </w:r>
            <w:r>
              <w:t>, b), c) i lit.</w:t>
            </w:r>
            <w:r>
              <w:rPr>
                <w:b/>
                <w:i/>
              </w:rPr>
              <w:t> d)</w:t>
            </w:r>
            <w:r>
              <w:t xml:space="preserve"> ppkt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Państwo członkowskie może powiadomić Komisję, jeżeli w okresie co najmniej dwóch miesięcy w porównaniu z tym samym okresem w roku poprzednim lub z dwoma miesiącami bezpośrednio poprzedzającymi wprowadzenie w życie zwolnienia z obowiązku wizowego wobec obywateli państwa trzeciego wymienionego w załączniku II znajdzie się w obliczu co najmniej jednej z okoliczności stanowiących podstawę do zawieszenia, o których mowa w art. 8a ust. 1 </w:t>
            </w:r>
            <w:r>
              <w:rPr>
                <w:b/>
                <w:i/>
              </w:rPr>
              <w:t>lit. a), b), c) i lit. d) ppkt (i)</w:t>
            </w:r>
            <w:r>
              <w:t>.</w:t>
            </w:r>
          </w:p>
        </w:tc>
        <w:tc>
          <w:tcPr>
            <w:tcW w:w="4876" w:type="dxa"/>
          </w:tcPr>
          <w:p>
            <w:pPr>
              <w:pStyle w:val="Normal6a"/>
            </w:pPr>
            <w:r>
              <w:t>1.</w:t>
            </w:r>
            <w:r>
              <w:tab/>
            </w:r>
            <w:r>
              <w:t>Państwo członkowskie może powiadomić Komisję, jeżeli w okresie co najmniej dwóch miesięcy w porównaniu z tym samym okresem w roku poprzednim lub z dwoma miesiącami bezpośrednio poprzedzającymi wprowadzenie w życie zwolnienia z obowiązku wizowego wobec obywateli państwa trzeciego wymienionego w załączniku II znajdzie się w obliczu co najmniej jednej z okoliczności stanowiących podstawę do zawieszenia, o których mowa w art. 8a ust.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Państwo członkowskie może powiadomić Komisję, jeżeli w okresie </w:t>
            </w:r>
            <w:r>
              <w:rPr>
                <w:b/>
                <w:i/>
              </w:rPr>
              <w:t>co najmniej</w:t>
            </w:r>
            <w:r>
              <w:t xml:space="preserve"> dwóch miesięcy w porównaniu z tym samym okresem w roku poprzednim lub z dwoma miesiącami bezpośrednio poprzedzającymi wprowadzenie w życie zwolnienia z obowiązku wizowego wobec obywateli państwa trzeciego wymienionego w załączniku II znajdzie się w obliczu co najmniej jednej z okoliczności stanowiących podstawę do zawieszenia, o których mowa w art. 8a ust. 1 lit.</w:t>
            </w:r>
            <w:r>
              <w:rPr>
                <w:b/>
                <w:i/>
              </w:rPr>
              <w:t xml:space="preserve"> a)</w:t>
            </w:r>
            <w:r>
              <w:t>, b), c) i lit.</w:t>
            </w:r>
            <w:r>
              <w:rPr>
                <w:b/>
                <w:i/>
              </w:rPr>
              <w:t xml:space="preserve"> d) ppkt (i)</w:t>
            </w:r>
            <w:r>
              <w:t>.</w:t>
            </w:r>
          </w:p>
        </w:tc>
        <w:tc>
          <w:tcPr>
            <w:tcW w:w="4876" w:type="dxa"/>
          </w:tcPr>
          <w:p>
            <w:pPr>
              <w:pStyle w:val="Normal6a"/>
            </w:pPr>
            <w:r>
              <w:t>1.</w:t>
            </w:r>
            <w:r>
              <w:tab/>
            </w:r>
            <w:r>
              <w:t>Państwo członkowskie może powiadomić Komisję, jeżeli w okresie dwóch miesięcy w porównaniu z tym samym okresem w roku poprzednim lub z dwoma miesiącami bezpośrednio poprzedzającymi wprowadzenie w życie zwolnienia z obowiązku wizowego wobec obywateli państwa trzeciego wymienionego w załączniku II znajdzie się w obliczu co najmniej jednej z okoliczności stanowiących podstawę do zawieszenia, o których mowa w art. 8a ust. 1 lit.</w:t>
            </w:r>
            <w:r>
              <w:rPr>
                <w:b/>
                <w:i/>
              </w:rPr>
              <w:t> a)</w:t>
            </w:r>
            <w:r>
              <w:t>, b), c) i lit.</w:t>
            </w:r>
            <w:r>
              <w:rPr>
                <w:b/>
                <w:i/>
              </w:rPr>
              <w:t>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1 – punkt 1 a (nowy)</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Państwo członkowskie może również powiadomić Komisję o zaistnieniu okoliczności, które stanowią podstawę zawieszenia, o których mowa w art. 8a ust. 1 lit. e), f), g) i 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1 – punkt 1 b (nowy)</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Parlament Europejski może również powiadomić Komisję o zaistnieniu okoliczności stanowiących podstawę zawieszenia, o których mowa w art. 8a ust. 1 lit. e), f), ga) i gb).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Powiadomienie, o którym mowa w ust. 1 niniejszego artykułu, określa podstawy, na których jest oparte, oraz zawiera odpowiednie dane i statystyki, a także szczegółowe wyjaśnienie wstępnych środków podjętych przez dane państwo członkowskie w celu zaradzenia powstałej sytuacji. W swoim powiadomieniu dane państwo członkowskie może określić, których kategorii obywateli danego państwa trzeciego ma dotyczyć akt wykonawczy na mocy art. 8e ust. 1, i podać szczegółowe uzasadnienie.</w:t>
            </w:r>
          </w:p>
        </w:tc>
        <w:tc>
          <w:tcPr>
            <w:tcW w:w="4876" w:type="dxa"/>
          </w:tcPr>
          <w:p>
            <w:pPr>
              <w:pStyle w:val="Normal6a"/>
            </w:pPr>
            <w:r>
              <w:t>2.</w:t>
            </w:r>
            <w:r>
              <w:tab/>
            </w:r>
            <w:r>
              <w:t xml:space="preserve">Powiadomienie, o którym mowa w ust. 1 niniejszego artykułu, określa podstawy, na których jest oparte, oraz zawiera odpowiednie dane i statystyki, a także szczegółowe wyjaśnienie wstępnych środków podjętych przez dane państwo członkowskie w celu zaradzenia powstałej sytuacji. W swoim powiadomieniu dane państwo członkowskie może określić, których kategorii obywateli danego państwa trzeciego ma dotyczyć akt wykonawczy na mocy art. 8e ust. 1, i podać szczegółowe uzasadnienie. </w:t>
            </w:r>
            <w:r>
              <w:rPr>
                <w:b/>
                <w:i/>
              </w:rPr>
              <w:t>W wyjątkowych okolicznościach, które wymagają natychmiastowego działania, państwa członkowskie mogą powiadomić Komisję o okolicznościach, o których mowa w art. 8a ust. 1, obejmujących okres krótszy niż dwa miesiące, pod warunkiem że zainteresowane państwa członkowskie przedstawią szczegółowe uzasadnienie niezbędnej pilnej reakcji.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Powiadomienie, o którym mowa w ust. 1 niniejszego artykułu, określa podstawy, na których jest oparte</w:t>
            </w:r>
            <w:r>
              <w:rPr>
                <w:b/>
                <w:i/>
              </w:rPr>
              <w:t>, oraz</w:t>
            </w:r>
            <w:r>
              <w:t xml:space="preserve"> zawiera odpowiednie dane i statystyki</w:t>
            </w:r>
            <w:r>
              <w:rPr>
                <w:b/>
                <w:i/>
              </w:rPr>
              <w:t>, a także szczegółowe wyjaśnienie</w:t>
            </w:r>
            <w:r>
              <w:t xml:space="preserve"> wstępnych środków podjętych przez </w:t>
            </w:r>
            <w:r>
              <w:rPr>
                <w:b/>
                <w:i/>
              </w:rPr>
              <w:t>dane</w:t>
            </w:r>
            <w:r>
              <w:t xml:space="preserve"> państwo członkowskie w celu zaradzenia powstałej sytuacji. </w:t>
            </w:r>
            <w:r>
              <w:rPr>
                <w:b/>
                <w:i/>
              </w:rPr>
              <w:t>W swoim powiadomieniu dane państwo członkowskie może określić, których kategorii obywateli danego państwa trzeciego ma dotyczyć akt wykonawczy na mocy art. 8e ust. 1, i podać szczegółowe uzasadnienie.</w:t>
            </w:r>
          </w:p>
        </w:tc>
        <w:tc>
          <w:tcPr>
            <w:tcW w:w="4876" w:type="dxa"/>
          </w:tcPr>
          <w:p>
            <w:pPr>
              <w:pStyle w:val="Normal6a"/>
            </w:pPr>
            <w:r>
              <w:t>2.</w:t>
            </w:r>
            <w:r>
              <w:tab/>
            </w:r>
            <w:r>
              <w:t>Powiadomienie, o którym mowa w ust. 1</w:t>
            </w:r>
            <w:r>
              <w:rPr>
                <w:b/>
                <w:i/>
              </w:rPr>
              <w:t>, 1a i 1b</w:t>
            </w:r>
            <w:r>
              <w:t xml:space="preserve"> niniejszego artykułu, określa podstawy, na których jest oparte</w:t>
            </w:r>
            <w:r>
              <w:rPr>
                <w:b/>
                <w:i/>
              </w:rPr>
              <w:t>.</w:t>
            </w:r>
            <w:r>
              <w:t xml:space="preserve"> </w:t>
            </w:r>
            <w:r>
              <w:rPr>
                <w:b/>
                <w:i/>
              </w:rPr>
              <w:t>W stosownych przypadkach powiadomienie, o którym mowa w ust. 1 i 1a,</w:t>
            </w:r>
            <w:r>
              <w:t xml:space="preserve"> zawiera odpowiednie dane i statystyki </w:t>
            </w:r>
            <w:r>
              <w:rPr>
                <w:b/>
                <w:i/>
              </w:rPr>
              <w:t>oraz szczegółowy opis</w:t>
            </w:r>
            <w:r>
              <w:t xml:space="preserve"> wstępnych środków podjętych przez </w:t>
            </w:r>
            <w:r>
              <w:rPr>
                <w:b/>
                <w:i/>
              </w:rPr>
              <w:t>to</w:t>
            </w:r>
            <w:r>
              <w:t xml:space="preserve"> państwo członkowskie w celu zaradzenia powstałej sytuacji.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 swoim powiadomieniu dane państwo członkowskie lub Parlament Europejski może określić, których kategorii obywateli danego państwa trzeciego ma dotyczyć akt wykonawczy na mocy art. 8e ust. 1, i podać szczegółowe uzasadnienie.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Powiadomienie, o którym mowa w ust. 1 niniejszego artykułu, określa podstawy, na których jest oparte, oraz zawiera odpowiednie dane i statystyki, a także szczegółowe wyjaśnienie wstępnych środków podjętych przez dane państwo członkowskie w celu zaradzenia powstałej sytuacji. W swoim powiadomieniu dane państwo członkowskie może określić, których kategorii obywateli danego państwa trzeciego ma dotyczyć akt </w:t>
            </w:r>
            <w:r>
              <w:rPr>
                <w:b/>
                <w:i/>
              </w:rPr>
              <w:t>wykonawczy</w:t>
            </w:r>
            <w:r>
              <w:t xml:space="preserve"> na mocy art. 8e ust. 1, i podać szczegółowe uzasadnienie.</w:t>
            </w:r>
          </w:p>
        </w:tc>
        <w:tc>
          <w:tcPr>
            <w:tcW w:w="4876" w:type="dxa"/>
          </w:tcPr>
          <w:p>
            <w:pPr>
              <w:pStyle w:val="Normal6a"/>
            </w:pPr>
            <w:r>
              <w:t>2.</w:t>
            </w:r>
            <w:r>
              <w:tab/>
            </w:r>
            <w:r>
              <w:t xml:space="preserve">Powiadomienie, o którym mowa w ust. 1 niniejszego artykułu, określa podstawy, na których jest oparte, oraz zawiera odpowiednie dane i statystyki, a także szczegółowe wyjaśnienie wstępnych środków podjętych przez dane państwo członkowskie w celu zaradzenia powstałej sytuacji. W swoim powiadomieniu dane państwo członkowskie może określić, których kategorii obywateli danego państwa trzeciego ma dotyczyć akt </w:t>
            </w:r>
            <w:r>
              <w:rPr>
                <w:b/>
                <w:i/>
              </w:rPr>
              <w:t>delegowany</w:t>
            </w:r>
            <w:r>
              <w:t xml:space="preserve"> na mocy art. 8e ust. 1, i podać szczegółowe uzasadnienie.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Komisja analizuje każde powiadomienie dokonane na podstawie ust. 1 niniejszego artykułu, biorąc pod uwagę:</w:t>
            </w:r>
          </w:p>
        </w:tc>
        <w:tc>
          <w:tcPr>
            <w:tcW w:w="4876" w:type="dxa"/>
          </w:tcPr>
          <w:p>
            <w:pPr>
              <w:pStyle w:val="Normal6a"/>
            </w:pPr>
            <w:r>
              <w:t>4.</w:t>
            </w:r>
            <w:r>
              <w:tab/>
            </w:r>
            <w:r>
              <w:t>Komisja analizuje każde powiadomienie dokonane na podstawie ust. 1</w:t>
            </w:r>
            <w:r>
              <w:rPr>
                <w:b/>
                <w:i/>
              </w:rPr>
              <w:t>, 1a i 1b</w:t>
            </w:r>
            <w:r>
              <w:t xml:space="preserve"> niniejszego artykułu, biorąc pod uwagę: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4 – litera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czy zachodzi którakolwiek z okoliczności stanowiących podstawę, o których mowa w art. 8a ust. 1 </w:t>
            </w:r>
            <w:r>
              <w:rPr>
                <w:b/>
                <w:i/>
              </w:rPr>
              <w:t>lit. a), b), c) lub lit. d) ppkt (i)</w:t>
            </w:r>
            <w:r>
              <w:t>;</w:t>
            </w:r>
          </w:p>
        </w:tc>
        <w:tc>
          <w:tcPr>
            <w:tcW w:w="4876" w:type="dxa"/>
          </w:tcPr>
          <w:p>
            <w:pPr>
              <w:pStyle w:val="Normal6a"/>
            </w:pPr>
            <w:r>
              <w:t>a)</w:t>
            </w:r>
            <w:r>
              <w:tab/>
            </w:r>
            <w:r>
              <w:t>czy zachodzi którakolwiek z okoliczności stanowiących podstawę, o których mowa w art. 8a ust.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4 – litera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czy zachodzi którakolwiek z okoliczności stanowiących podstawę, o których mowa w art. 8a ust. 1 </w:t>
            </w:r>
            <w:r>
              <w:rPr>
                <w:b/>
                <w:i/>
              </w:rPr>
              <w:t>lit. a), b), c) lub lit. d) ppkt (i)</w:t>
            </w:r>
            <w:r>
              <w:t>;</w:t>
            </w:r>
          </w:p>
        </w:tc>
        <w:tc>
          <w:tcPr>
            <w:tcW w:w="4876" w:type="dxa"/>
          </w:tcPr>
          <w:p>
            <w:pPr>
              <w:pStyle w:val="Normal6a"/>
            </w:pPr>
            <w:r>
              <w:t>a)</w:t>
            </w:r>
            <w:r>
              <w:tab/>
            </w:r>
            <w:r>
              <w:t>czy zachodzi którakolwiek z okoliczności stanowiących podstawę, o których mowa w art. 8a ust.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4 – litera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czy zachodzi którakolwiek z okoliczności stanowiących podstawę, o których mowa w art. 8a ust. 1 lit.</w:t>
            </w:r>
            <w:r>
              <w:rPr>
                <w:b/>
                <w:i/>
              </w:rPr>
              <w:t xml:space="preserve"> a)</w:t>
            </w:r>
            <w:r>
              <w:t xml:space="preserve">, b), c) lub </w:t>
            </w:r>
            <w:r>
              <w:rPr>
                <w:b/>
                <w:i/>
              </w:rPr>
              <w:t>lit. d) ppkt (i)</w:t>
            </w:r>
            <w:r>
              <w:t>;</w:t>
            </w:r>
          </w:p>
        </w:tc>
        <w:tc>
          <w:tcPr>
            <w:tcW w:w="4876" w:type="dxa"/>
          </w:tcPr>
          <w:p>
            <w:pPr>
              <w:pStyle w:val="Normal6a"/>
            </w:pPr>
            <w:r>
              <w:t>a)</w:t>
            </w:r>
            <w:r>
              <w:tab/>
            </w:r>
            <w:r>
              <w:t>czy zachodzi którakolwiek z okoliczności stanowiących podstawę, o których mowa w art. 8a ust. 1 lit.</w:t>
            </w:r>
            <w:r>
              <w:rPr>
                <w:b/>
                <w:i/>
              </w:rPr>
              <w:t> a)</w:t>
            </w:r>
            <w:r>
              <w:t>, b), c) lub</w:t>
            </w:r>
            <w:r>
              <w:rPr>
                <w:b/>
                <w:i/>
              </w:rPr>
              <w:t xml:space="preserve">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4 – litera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czy zachodzi którakolwiek z okoliczności stanowiących podstawę, o których mowa w art. 8a ust. 1 lit.</w:t>
            </w:r>
            <w:r>
              <w:rPr>
                <w:b/>
                <w:i/>
              </w:rPr>
              <w:t xml:space="preserve"> a), b), c)</w:t>
            </w:r>
            <w:r>
              <w:t xml:space="preserve"> lub lit.</w:t>
            </w:r>
            <w:r>
              <w:rPr>
                <w:b/>
                <w:i/>
              </w:rPr>
              <w:t xml:space="preserve"> d)</w:t>
            </w:r>
            <w:r>
              <w:t xml:space="preserve"> ppkt (i);</w:t>
            </w:r>
          </w:p>
        </w:tc>
        <w:tc>
          <w:tcPr>
            <w:tcW w:w="4876" w:type="dxa"/>
          </w:tcPr>
          <w:p>
            <w:pPr>
              <w:pStyle w:val="Normal6a"/>
            </w:pPr>
            <w:r>
              <w:t>a)</w:t>
            </w:r>
            <w:r>
              <w:tab/>
            </w:r>
            <w:r>
              <w:t>czy zachodzi którakolwiek z okoliczności stanowiących podstawę, o których mowa w art. 8a ust. 1 lit.</w:t>
            </w:r>
            <w:r>
              <w:rPr>
                <w:b/>
                <w:i/>
              </w:rPr>
              <w:t> a), b)</w:t>
            </w:r>
            <w:r>
              <w:t xml:space="preserve"> lub lit.</w:t>
            </w:r>
            <w:r>
              <w:rPr>
                <w:b/>
                <w:i/>
              </w:rPr>
              <w:t> d)</w:t>
            </w:r>
            <w:r>
              <w:t xml:space="preserve"> ppkt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4 – litera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w konsultacji z danym państwem członkowskim – ogólną kwestię porządku publicznego </w:t>
            </w:r>
            <w:r>
              <w:rPr>
                <w:b/>
                <w:i/>
              </w:rPr>
              <w:t>i bezpieczeństwa wewnętrznego</w:t>
            </w:r>
            <w:r>
              <w:t>.</w:t>
            </w:r>
          </w:p>
        </w:tc>
        <w:tc>
          <w:tcPr>
            <w:tcW w:w="4876" w:type="dxa"/>
          </w:tcPr>
          <w:p>
            <w:pPr>
              <w:pStyle w:val="Normal6a"/>
            </w:pPr>
            <w:r>
              <w:t>f)</w:t>
            </w:r>
            <w:r>
              <w:tab/>
            </w:r>
            <w:r>
              <w:t>w konsultacji z danym państwem członkowskim – ogólną kwestię porządku publicznego.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4 – litera f a (nowa)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wpływ na wzajemność wizową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4 a (nowy)</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Komisja ocenia również konieczność, proporcjonalność i konsekwencje zawieszenia zwolnienia z obowiązku wizowego, przy uwzględnieniu w szczególności: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ogólnych stosunków zewnętrznych Unii i jej państw członkowskich z danym państwem trzecim;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stosowności zawieszenia zwolnienia z obowiązku wizowego w celu zaradzenia tej sytuacji;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wpływu zawieszenia na prawa obywateli danego państwa trzeciego;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zasady wzajemności wizowej i zasady niedyskryminacji;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potencjalnych zagrożeń, na jakie narażeni są obrońcy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b – ustęp 5 a (nowy)</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Przed podjęciem decyzji o czasowym zawieszeniu zwolnienia z obowiązku wizowego wobec obywateli danego państwa trzeciego Komisja szczegółowo analizuje sytuację w zakresie praw człowieka w tym państwie trzecim oraz bierze pod uwagę wszelkie możliwe skutki zawieszenia zwolnienia z obowiązku wizowego w tej sytuacji i dla tego państwa.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c – ustęp 1 a (nowy)</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W ramach monitorowania i analizy Komisja jest informowana przez Europejską Straż Graniczną i Przybrzeżną, Agencję Unii Europejskiej ds. Azylu, Agencję Unii Europejskiej ds. Współpracy Organów Ścigania (Europol) lub wszelkie inne odpowiednie instytucje, organy, urzędy lub agencje Unii.</w:t>
            </w:r>
            <w:r>
              <w:t xml:space="preserve"> </w:t>
            </w:r>
            <w:r>
              <w:rPr>
                <w:b/>
                <w:i/>
              </w:rPr>
              <w:t>Bierze również pod uwagę dane przechowywane w wizowym systemie informacyjnym (VIS), systemie informacyjnym Schengen (SIS II), systemie wjazdu/wyjazdu (EES), europejskim systemie informacji o podróży oraz zezwoleń na podróż (ETIAS) oraz w europejskim systemie przekazywania informacji z rejestrów karnych o obywatelach państw trzecich (ECRIS-TCN).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c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W przypadku gdy Komisja, uwzględniając odpowiednie dane, sprawozdania i statystyki, dysponuje konkretnymi i wiarygodnymi informacjami na temat istnienia którejkolwiek z podstaw, o których mowa w art. 8a ust. 1, informuje Parlament Europejski i Radę o swojej analizie, oraz zastosowanie mają art. 8e i 8f.</w:t>
            </w:r>
          </w:p>
        </w:tc>
        <w:tc>
          <w:tcPr>
            <w:tcW w:w="4876" w:type="dxa"/>
          </w:tcPr>
          <w:p>
            <w:pPr>
              <w:pStyle w:val="Normal6a"/>
            </w:pPr>
            <w:r>
              <w:t>2.</w:t>
            </w:r>
            <w:r>
              <w:tab/>
            </w:r>
            <w:r>
              <w:t xml:space="preserve">W przypadku gdy Komisja, uwzględniając odpowiednie dane, sprawozdania i statystyki </w:t>
            </w:r>
            <w:r>
              <w:rPr>
                <w:b/>
                <w:i/>
              </w:rPr>
              <w:t>oraz po przeprowadzeniu oceny konieczności, proporcjonalności i konsekwencji zawieszenia zwolnienia z obowiązku wizowego, o którym mowa w art. 8b ust. 4a</w:t>
            </w:r>
            <w:r>
              <w:t>, dysponuje konkretnymi i wiarygodnymi informacjami na temat istnienia którejkolwiek z podstaw, o których mowa w art. 8a ust. 1, informuje Parlament Europejski i Radę o swojej analizie, oraz zastosowanie mają art. 8e i 8f.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d – ustęp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Komisja składa Parlamentowi Europejskiemu i Radzie sprawozdanie z monitorowania prowadzonego zgodnie z art. 8c ust. 1 w odniesieniu do państw trzecich</w:t>
            </w:r>
            <w:r>
              <w:rPr>
                <w:b/>
                <w:i/>
              </w:rPr>
              <w:t>, które w wyniku pomyślnego zakończenia dialogu na temat liberalizacji reżimu wizowego prowadzonego między Unią a tym państwem trzecim zostały wymienione</w:t>
            </w:r>
            <w:r>
              <w:t xml:space="preserve"> w załączniku II</w:t>
            </w:r>
            <w:r>
              <w:rPr>
                <w:b/>
                <w:i/>
              </w:rPr>
              <w:t>, co najmniej raz w roku i przez okres siedmiu lat od dnia wejścia w życie liberalizacji reżimu wizowego w odniesieniu do tych państw trzecich, a następnie za każdym razem, gdy Komisja uzna to za konieczne, lub na wniosek Parlamentu Europejskiego lub Rady.</w:t>
            </w:r>
            <w:r>
              <w:t xml:space="preserve"> </w:t>
            </w:r>
            <w:r>
              <w:rPr>
                <w:b/>
                <w:i/>
              </w:rPr>
              <w:t>Sprawozdanie koncentruje się na państwach trzecich, w odniesieniu do których Komisja uzna, na podstawie konkretnych i wiarygodnych informacji, że nie spełniają już one pewnych szczególnych wymogów, których podstawą jest art. 1 i które zostały zastosowane do oceny zasadności liberalizacji reżimu wizowego</w:t>
            </w:r>
            <w:r>
              <w:t>.</w:t>
            </w:r>
          </w:p>
        </w:tc>
        <w:tc>
          <w:tcPr>
            <w:tcW w:w="4876" w:type="dxa"/>
          </w:tcPr>
          <w:p>
            <w:pPr>
              <w:pStyle w:val="Normal6a"/>
            </w:pPr>
            <w:r>
              <w:t>1.</w:t>
            </w:r>
            <w:r>
              <w:tab/>
            </w:r>
            <w:r>
              <w:t xml:space="preserve">Komisja składa Parlamentowi Europejskiemu i Radzie sprawozdanie z monitorowania prowadzonego zgodnie z art. 8c ust. 1 w odniesieniu do państw trzecich </w:t>
            </w:r>
            <w:r>
              <w:rPr>
                <w:b/>
                <w:i/>
              </w:rPr>
              <w:t>wymienionych</w:t>
            </w:r>
            <w:r>
              <w:t xml:space="preserve"> w załączniku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d – ustęp 1 a (nowy)</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Komisja przeprowadza okresowe sprawozdania, dopilnowując w ten sposób, aby każde państwo trzecie było informowane co najmniej raz w okresie czterech lat.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d – ustęp 1 b (nowy)</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W odniesieniu do tych państw trzecich, które zostały umieszczone w wykazie w wyniku pomyślnego zakończenia dialogu w sprawie liberalizacji reżimu wizowego prowadzonego między Unią a tym państwem trzecim, Komisja co roku składa sprawozdanie za okres siedmiu lat od daty wejścia w życie liberalizacji reżimu wizowego dla tych państw trzecich.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d – ustęp 1 c (nowy)</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1c.</w:t>
            </w:r>
            <w:r>
              <w:tab/>
            </w:r>
            <w:r>
              <w:rPr>
                <w:b/>
                <w:i/>
              </w:rPr>
              <w:t>Ilekroć Komisja uzna to za stosowne, sprawozdanie koncentruje się na państwach trzecich, w odniesieniu do których Komisja uzna, na podstawie konkretnych i wiarygodnych informacji, że nie spełniają już one pewnych szczególnych wymogów, których podstawą jest art. 1 i które zostały zastosowane do oceny zasadności liberalizacji reżimu wizowego.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d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Komisja składa również sprawozdanie dotyczące państw trzecich wymienionych w załączniku II </w:t>
            </w:r>
            <w:r>
              <w:rPr>
                <w:b/>
                <w:i/>
              </w:rPr>
              <w:t>innych niż te, o których mowa w ust. 1 niniejszego artykułu, za każdym razem, gdy uzna to za konieczne, lub na wniosek Parlamentu Europejskiego lub Rady</w:t>
            </w:r>
            <w:r>
              <w:t>.</w:t>
            </w:r>
          </w:p>
        </w:tc>
        <w:tc>
          <w:tcPr>
            <w:tcW w:w="4876" w:type="dxa"/>
          </w:tcPr>
          <w:p>
            <w:pPr>
              <w:pStyle w:val="Normal6a"/>
            </w:pPr>
            <w:r>
              <w:t>2.</w:t>
            </w:r>
            <w:r>
              <w:tab/>
            </w:r>
            <w:r>
              <w:rPr>
                <w:b/>
                <w:i/>
              </w:rPr>
              <w:t>Na wniosek Parlamentu Europejskiego lub Rady</w:t>
            </w:r>
            <w:r>
              <w:t xml:space="preserve"> Komisja składa również sprawozdanie dotyczące państw trzecich wymienionych w załączniku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nagłówek</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Akty </w:t>
            </w:r>
            <w:r>
              <w:rPr>
                <w:b/>
                <w:i/>
              </w:rPr>
              <w:t>wykonawcze</w:t>
            </w:r>
          </w:p>
        </w:tc>
        <w:tc>
          <w:tcPr>
            <w:tcW w:w="4876" w:type="dxa"/>
          </w:tcPr>
          <w:p>
            <w:pPr>
              <w:pStyle w:val="Normal6a"/>
            </w:pPr>
            <w:r>
              <w:t xml:space="preserve">Akty </w:t>
            </w:r>
            <w:r>
              <w:rPr>
                <w:b/>
                <w:i/>
              </w:rPr>
              <w:t>delegowane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1 – akapit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W przypadku gdy na podstawie analizy, o której mowa w art. 8b ust. 4, lub na podstawie analizy, o której mowa w art. 8c ust. 2, oraz przy uwzględnieniu konsekwencji zawieszenia zwolnienia z obowiązku wizowego dla ogólnych stosunków zewnętrznych Unii i jej państw członkowskich z danym państwem trzecim, działając jednocześnie w ścisłej współpracy z tym państwem trzecim w celu znalezienia alternatywnego długoterminowego rozwiązania, Komisja zdecyduje, że konieczne jest podjęcie działań, lub jeżeli zwykła większość państw członkowskich powiadomi Komisję o wystąpieniu okoliczności, o których mowa w art. 8a ust. 1 lit.</w:t>
            </w:r>
            <w:r>
              <w:rPr>
                <w:b/>
                <w:i/>
              </w:rPr>
              <w:t xml:space="preserve"> a)</w:t>
            </w:r>
            <w:r>
              <w:t xml:space="preserve">, b), c) lub </w:t>
            </w:r>
            <w:r>
              <w:rPr>
                <w:b/>
                <w:i/>
              </w:rPr>
              <w:t>lit. d) ppkt (i)</w:t>
            </w:r>
            <w:r>
              <w:t xml:space="preserve">, Komisja przyjmuje akt </w:t>
            </w:r>
            <w:r>
              <w:rPr>
                <w:b/>
                <w:i/>
              </w:rPr>
              <w:t>wykonawczy</w:t>
            </w:r>
            <w:r>
              <w:t xml:space="preserve"> tymczasowo zawieszający zwolnienie z obowiązku wizowego wobec obywateli danego państwa trzeciego na okres 12 miesięcy.</w:t>
            </w:r>
          </w:p>
        </w:tc>
        <w:tc>
          <w:tcPr>
            <w:tcW w:w="4876" w:type="dxa"/>
          </w:tcPr>
          <w:p>
            <w:pPr>
              <w:pStyle w:val="Normal6a"/>
            </w:pPr>
            <w:r>
              <w:t xml:space="preserve">W przypadku gdy na podstawie analizy, o której mowa w art. 8b ust. 4, lub na podstawie analizy, o której mowa w art. 8c ust. 2, oraz przy uwzględnieniu </w:t>
            </w:r>
            <w:r>
              <w:rPr>
                <w:b/>
                <w:i/>
              </w:rPr>
              <w:t>konieczności, proporcjonalności i</w:t>
            </w:r>
            <w:r>
              <w:t xml:space="preserve"> konsekwencji zawieszenia zwolnienia z obowiązku wizowego dla ogólnych stosunków zewnętrznych Unii i jej państw członkowskich z danym państwem trzecim </w:t>
            </w:r>
            <w:r>
              <w:rPr>
                <w:b/>
                <w:i/>
              </w:rPr>
              <w:t>oraz dla jego obywateli, o których mowa w art. 8b ust. 4a</w:t>
            </w:r>
            <w:r>
              <w:t>, działając jednocześnie w ścisłej współpracy z tym państwem trzecim w celu znalezienia alternatywnego długoterminowego rozwiązania, Komisja zdecyduje, że konieczne jest podjęcie działań, lub jeżeli zwykła większość państw członkowskich powiadomi Komisję o wystąpieniu okoliczności, o których mowa w art. 8a ust. 1 lit.</w:t>
            </w:r>
            <w:r>
              <w:rPr>
                <w:b/>
                <w:i/>
              </w:rPr>
              <w:t> a)</w:t>
            </w:r>
            <w:r>
              <w:t>, b), c) lub</w:t>
            </w:r>
            <w:r>
              <w:rPr>
                <w:b/>
                <w:i/>
              </w:rPr>
              <w:t xml:space="preserve"> d)</w:t>
            </w:r>
            <w:r>
              <w:t xml:space="preserve">, Komisja przyjmuje akt </w:t>
            </w:r>
            <w:r>
              <w:rPr>
                <w:b/>
                <w:i/>
              </w:rPr>
              <w:t>delegowany</w:t>
            </w:r>
            <w:r>
              <w:t xml:space="preserve"> tymczasowo zawieszający zwolnienie z obowiązku wizowego wobec obywateli danego państwa trzeciego na okres 12 miesięcy.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1 – akapit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Zawieszenie dotyczy niektórych kategorii obywateli danego państwa trzeciego poprzez odwołanie do stosownych typów dokumentów podróży </w:t>
            </w:r>
            <w:r>
              <w:rPr>
                <w:b/>
                <w:i/>
              </w:rPr>
              <w:t>i</w:t>
            </w:r>
            <w:r>
              <w:t xml:space="preserve"> w stosownym przypadku do dodatkowych kryteriów. Określając, których kategorii zawieszenie dotyczy, Komisja na podstawie dostępnych informacji uwzględnia kategorie </w:t>
            </w:r>
            <w:r>
              <w:rPr>
                <w:b/>
                <w:i/>
              </w:rPr>
              <w:t>dostatecznie szerokie, aby</w:t>
            </w:r>
            <w:r>
              <w:t xml:space="preserve"> skutecznie przyczynić się do zaradzenia okolicznościom, które doprowadziły do zawieszenia, przy jednoczesnym poszanowaniu zasady proporcjonalności i niedyskryminacji zgodnie z art. 21 Karty praw podstawowych Unii Europejskiej. Ten akt </w:t>
            </w:r>
            <w:r>
              <w:rPr>
                <w:b/>
                <w:i/>
              </w:rPr>
              <w:t>wykonawczy</w:t>
            </w:r>
            <w:r>
              <w:t xml:space="preserve"> określa dzień, z którym zawieszenie zwolnienia z obowiązku wizowego staje się skuteczne.</w:t>
            </w:r>
          </w:p>
        </w:tc>
        <w:tc>
          <w:tcPr>
            <w:tcW w:w="4876" w:type="dxa"/>
          </w:tcPr>
          <w:p>
            <w:pPr>
              <w:pStyle w:val="Normal6a"/>
            </w:pPr>
            <w:r>
              <w:t xml:space="preserve">Zawieszenie dotyczy niektórych kategorii obywateli danego państwa trzeciego </w:t>
            </w:r>
            <w:r>
              <w:rPr>
                <w:b/>
                <w:i/>
              </w:rPr>
              <w:t>lub wybranych osób</w:t>
            </w:r>
            <w:r>
              <w:t xml:space="preserve"> poprzez odwołanie do stosownych typów dokumentów podróży </w:t>
            </w:r>
            <w:r>
              <w:rPr>
                <w:b/>
                <w:i/>
              </w:rPr>
              <w:t>lub</w:t>
            </w:r>
            <w:r>
              <w:t xml:space="preserve"> w stosownym przypadku do dodatkowych kryteriów. Określając, których kategorii </w:t>
            </w:r>
            <w:r>
              <w:rPr>
                <w:b/>
                <w:i/>
              </w:rPr>
              <w:t>lub których wybranych osób</w:t>
            </w:r>
            <w:r>
              <w:t xml:space="preserve"> zawieszenie dotyczy, Komisja na podstawie dostępnych informacji </w:t>
            </w:r>
            <w:r>
              <w:rPr>
                <w:b/>
                <w:i/>
              </w:rPr>
              <w:t>oraz oceny wpływu i konsekwencji tego zawieszenia</w:t>
            </w:r>
            <w:r>
              <w:t xml:space="preserve"> uwzględnia </w:t>
            </w:r>
            <w:r>
              <w:rPr>
                <w:b/>
                <w:i/>
              </w:rPr>
              <w:t>jedynie</w:t>
            </w:r>
            <w:r>
              <w:t xml:space="preserve"> kategorie </w:t>
            </w:r>
            <w:r>
              <w:rPr>
                <w:b/>
                <w:i/>
              </w:rPr>
              <w:t>lub osoby, które mogą</w:t>
            </w:r>
            <w:r>
              <w:t xml:space="preserve"> skutecznie przyczynić się do zaradzenia okolicznościom, które doprowadziły do zawieszenia, przy jednoczesnym poszanowaniu zasady proporcjonalności i niedyskryminacji zgodnie z art. 21 Karty praw podstawowych Unii Europejskiej. Ten akt </w:t>
            </w:r>
            <w:r>
              <w:rPr>
                <w:b/>
                <w:i/>
              </w:rPr>
              <w:t>delegowany</w:t>
            </w:r>
            <w:r>
              <w:t xml:space="preserve"> określa dzień, z którym zawieszenie zwolnienia z obowiązku wizowego staje się skuteczne.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1 – akapit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Komisja przyjmuje akt </w:t>
            </w:r>
            <w:r>
              <w:rPr>
                <w:b/>
                <w:i/>
              </w:rPr>
              <w:t>wykonawczy</w:t>
            </w:r>
            <w:r>
              <w:t>, o którym mowa w akapicie pierwszym, w terminie jednego miesiąca od:</w:t>
            </w:r>
          </w:p>
        </w:tc>
        <w:tc>
          <w:tcPr>
            <w:tcW w:w="4876" w:type="dxa"/>
          </w:tcPr>
          <w:p>
            <w:pPr>
              <w:pStyle w:val="Normal6a"/>
            </w:pPr>
            <w:r>
              <w:t xml:space="preserve">Komisja przyjmuje akt </w:t>
            </w:r>
            <w:r>
              <w:rPr>
                <w:b/>
                <w:i/>
              </w:rPr>
              <w:t>delegowany</w:t>
            </w:r>
            <w:r>
              <w:t>, o którym mowa w akapicie pierwszym, w terminie jednego miesiąca 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1 – akapit 3 – litera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otrzymania od zwykłej większości państw członkowskich powiadomienia o wystąpieniu podstaw, o których mowa w art. 8a ust. 1 lit.</w:t>
            </w:r>
            <w:r>
              <w:rPr>
                <w:b/>
                <w:i/>
              </w:rPr>
              <w:t xml:space="preserve"> a)</w:t>
            </w:r>
            <w:r>
              <w:t xml:space="preserve">, b), c) lub </w:t>
            </w:r>
            <w:r>
              <w:rPr>
                <w:b/>
                <w:i/>
              </w:rPr>
              <w:t>lit. d) ppkt (i)</w:t>
            </w:r>
            <w:r>
              <w:t>.</w:t>
            </w:r>
          </w:p>
        </w:tc>
        <w:tc>
          <w:tcPr>
            <w:tcW w:w="4876" w:type="dxa"/>
          </w:tcPr>
          <w:p>
            <w:pPr>
              <w:pStyle w:val="Normal6a"/>
            </w:pPr>
            <w:r>
              <w:t>c)</w:t>
            </w:r>
            <w:r>
              <w:tab/>
            </w:r>
            <w:r>
              <w:t>otrzymania od zwykłej większości państw członkowskich powiadomienia o wystąpieniu podstaw, o których mowa w art. 8a ust. 1 lit.</w:t>
            </w:r>
            <w:r>
              <w:rPr>
                <w:b/>
                <w:i/>
              </w:rPr>
              <w:t> a)</w:t>
            </w:r>
            <w:r>
              <w:t>, b), c) lub</w:t>
            </w:r>
            <w:r>
              <w:rPr>
                <w:b/>
                <w:i/>
              </w:rPr>
              <w:t xml:space="preserve">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1 – akapit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Akty </w:t>
            </w:r>
            <w:r>
              <w:rPr>
                <w:b/>
                <w:i/>
              </w:rPr>
              <w:t>wykonawcze</w:t>
            </w:r>
            <w:r>
              <w:t xml:space="preserve">, o których mowa w akapicie pierwszym, przyjmuje się zgodnie z </w:t>
            </w:r>
            <w:r>
              <w:rPr>
                <w:b/>
                <w:i/>
              </w:rPr>
              <w:t>procedurą sprawdzającą, o której mowa w art. 11 ust. 2</w:t>
            </w:r>
            <w:r>
              <w:t>.</w:t>
            </w:r>
          </w:p>
        </w:tc>
        <w:tc>
          <w:tcPr>
            <w:tcW w:w="4876" w:type="dxa"/>
          </w:tcPr>
          <w:p>
            <w:pPr>
              <w:pStyle w:val="Normal6a"/>
            </w:pPr>
            <w:r>
              <w:t xml:space="preserve">Akty </w:t>
            </w:r>
            <w:r>
              <w:rPr>
                <w:b/>
                <w:i/>
              </w:rPr>
              <w:t>delegowane</w:t>
            </w:r>
            <w:r>
              <w:t xml:space="preserve">, o których mowa w akapicie pierwszym, przyjmuje się zgodnie z </w:t>
            </w:r>
            <w:r>
              <w:rPr>
                <w:b/>
                <w:i/>
              </w:rPr>
              <w:t>art. 10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W przypadku należycie uzasadnionej szczególnie pilnej potrzeby Komisja przyjmuje akty wykonawcze mające natychmiastowe zastosowanie zgodnie z procedurą, o której mowa w art. 11 ust. 4, tymczasowo zawieszające zwolnienie obywateli danego państwa trzeciego z obowiązku wizowego na okres 12 miesięcy.</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W przypadku należycie uzasadnionej szczególnie pilnej potrzeby Komisja </w:t>
            </w:r>
            <w:r>
              <w:rPr>
                <w:b/>
                <w:i/>
              </w:rPr>
              <w:t>przyjmuje</w:t>
            </w:r>
            <w:r>
              <w:t xml:space="preserve"> akty wykonawcze mające natychmiastowe zastosowanie zgodnie z procedurą, o której mowa w art. 11 ust. 4, tymczasowo zawieszające zwolnienie obywateli danego państwa trzeciego z obowiązku wizowego na okres 12 miesięcy.</w:t>
            </w:r>
          </w:p>
        </w:tc>
        <w:tc>
          <w:tcPr>
            <w:tcW w:w="4876" w:type="dxa"/>
          </w:tcPr>
          <w:p>
            <w:pPr>
              <w:pStyle w:val="Normal6a"/>
            </w:pPr>
            <w:r>
              <w:t>2.</w:t>
            </w:r>
            <w:r>
              <w:tab/>
            </w:r>
            <w:r>
              <w:t>W przypadku należycie uzasadnionej szczególnie pilnej potrzeby</w:t>
            </w:r>
            <w:r>
              <w:rPr>
                <w:b/>
                <w:i/>
              </w:rPr>
              <w:t>, jeżeli poważne zagrożenie porządku publicznego lub bezpieczeństwa wewnętrznego w państwie członkowskim zgodnie z art. 8a lit. d) jest nieprzewidywalne i wymaga natychmiastowego działania,</w:t>
            </w:r>
            <w:r>
              <w:t xml:space="preserve"> Komisja </w:t>
            </w:r>
            <w:r>
              <w:rPr>
                <w:b/>
                <w:i/>
              </w:rPr>
              <w:t>może przyjąć</w:t>
            </w:r>
            <w:r>
              <w:t xml:space="preserve"> akty wykonawcze mające natychmiastowe zastosowanie zgodnie z procedurą, o której mowa w art. 11 ust. 4, tymczasowo zawieszające zwolnienie obywateli danego państwa trzeciego z obowiązku wizowego na okres </w:t>
            </w:r>
            <w:r>
              <w:rPr>
                <w:b/>
                <w:i/>
              </w:rPr>
              <w:t>maksymalnie trzech miesięcy.</w:t>
            </w:r>
            <w:r>
              <w:t xml:space="preserve"> </w:t>
            </w:r>
            <w:r>
              <w:rPr>
                <w:b/>
                <w:i/>
              </w:rPr>
              <w:t>Jeżeli w tym terminie Komisja zdecyduje na podstawie analizy, o której mowa w art. 8c, że konieczne są dalsze działania, może przyjąć akt wykonawczy zgodnie z procedurą, o której mowa w art. 8e ust. 1, najpóźniej miesiąc przed upływem terminu trzech miesięcy.</w:t>
            </w:r>
            <w:r>
              <w:t xml:space="preserve"> </w:t>
            </w:r>
            <w:r>
              <w:rPr>
                <w:b/>
                <w:i/>
              </w:rPr>
              <w:t>Łączny okres zawieszenia obowiązku wizowego w odniesieniu do aktu wykonawczego mającego natychmiastowe zastosowanie i aktu wykonawczego nie może przekraczać</w:t>
            </w:r>
            <w:r>
              <w:t xml:space="preserve"> 12 miesięcy.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W przypadku należycie uzasadnionej szczególnie pilnej potrzeby Komisja przyjmuje akty wykonawcze mające natychmiastowe zastosowanie zgodnie z procedurą, o której mowa w art. 11 ust. 4, tymczasowo zawieszające zwolnienie obywateli danego państwa trzeciego z obowiązku wizowego na okres 12 miesięcy.</w:t>
            </w:r>
          </w:p>
        </w:tc>
        <w:tc>
          <w:tcPr>
            <w:tcW w:w="4876" w:type="dxa"/>
          </w:tcPr>
          <w:p>
            <w:pPr>
              <w:pStyle w:val="Normal6a"/>
            </w:pPr>
            <w:r>
              <w:t>2.</w:t>
            </w:r>
            <w:r>
              <w:tab/>
            </w:r>
            <w:r>
              <w:t xml:space="preserve">W przypadku należycie uzasadnionej szczególnie pilnej potrzeby Komisja przyjmuje akty wykonawcze mające natychmiastowe zastosowanie zgodnie z procedurą, o której mowa w art. 11 ust. 4, tymczasowo zawieszające zwolnienie obywateli danego państwa trzeciego z obowiązku wizowego na okres 12 miesięcy. </w:t>
            </w:r>
            <w:r>
              <w:rPr>
                <w:b/>
                <w:i/>
              </w:rPr>
              <w:t>W takich przypadkach Komisja informuje Radę i Parlament w sposób otwarty, wyczerpujący i spójny przez cały czas trwania procedury.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W okresie zawieszenia Komisja prowadzi pogłębiony dialog z danym państwem trzecim w celu zaradzenia przedmiotowym okolicznościom.</w:t>
            </w:r>
          </w:p>
        </w:tc>
        <w:tc>
          <w:tcPr>
            <w:tcW w:w="4876" w:type="dxa"/>
          </w:tcPr>
          <w:p>
            <w:pPr>
              <w:pStyle w:val="Normal6a"/>
            </w:pPr>
            <w:r>
              <w:t>3.</w:t>
            </w:r>
            <w:r>
              <w:tab/>
            </w:r>
            <w:r>
              <w:t xml:space="preserve">W okresie zawieszenia Komisja prowadzi pogłębiony dialog z danym państwem trzecim w celu zaradzenia przedmiotowym okolicznościom. </w:t>
            </w:r>
            <w:r>
              <w:rPr>
                <w:b/>
                <w:i/>
              </w:rPr>
              <w:t>Bez uszczerbku dla stosowania art. 6, w okresie obowiązywania zawieszenia obywatele danego państwa trzeciego mają obowiązek posiadać wizę przy przekraczaniu zewnętrznych granic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W okresie zawieszenia Komisja prowadzi pogłębiony dialog z danym państwem trzecim w celu zaradzenia przedmiotowym okolicznościom.</w:t>
            </w:r>
          </w:p>
        </w:tc>
        <w:tc>
          <w:tcPr>
            <w:tcW w:w="4876" w:type="dxa"/>
          </w:tcPr>
          <w:p>
            <w:pPr>
              <w:pStyle w:val="Normal6a"/>
            </w:pPr>
            <w:r>
              <w:t>3.</w:t>
            </w:r>
            <w:r>
              <w:tab/>
            </w:r>
            <w:r>
              <w:t xml:space="preserve">W okresie zawieszenia Komisja prowadzi pogłębiony dialog z danym państwem trzecim w celu zaradzenia przedmiotowym okolicznościom </w:t>
            </w:r>
            <w:r>
              <w:rPr>
                <w:b/>
                <w:i/>
              </w:rPr>
              <w:t>i regularnie składa Parlamentowi Europejskiemu i Radzie sprawozdania na temat postępów i wyników, a także skuteczności zastosowanego zawieszenia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e – ustęp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W przypadku gdy okoliczności, które doprowadziły do tymczasowego zawieszenia zwolnienia z obowiązku wizowego, zostaną usunięte przed końcem okresu obowiązywania aktów </w:t>
            </w:r>
            <w:r>
              <w:rPr>
                <w:b/>
                <w:i/>
              </w:rPr>
              <w:t>wykonawczych</w:t>
            </w:r>
            <w:r>
              <w:t xml:space="preserve"> przyjętych na podstawie ust. 1 i 2, Komisja przyjmuje </w:t>
            </w:r>
            <w:r>
              <w:rPr>
                <w:b/>
                <w:i/>
              </w:rPr>
              <w:t>akt wykonawczy</w:t>
            </w:r>
            <w:r>
              <w:t xml:space="preserve"> w celu zniesienia tymczasowego zawieszenia zgodnie z </w:t>
            </w:r>
            <w:r>
              <w:rPr>
                <w:b/>
                <w:i/>
              </w:rPr>
              <w:t>procedurą sprawdzającą, o której mowa w art. 11 ust. 2</w:t>
            </w:r>
            <w:r>
              <w:t>.</w:t>
            </w:r>
          </w:p>
        </w:tc>
        <w:tc>
          <w:tcPr>
            <w:tcW w:w="4876" w:type="dxa"/>
          </w:tcPr>
          <w:p>
            <w:pPr>
              <w:pStyle w:val="Normal6a"/>
            </w:pPr>
            <w:r>
              <w:t>4.</w:t>
            </w:r>
            <w:r>
              <w:tab/>
            </w:r>
            <w:r>
              <w:t xml:space="preserve">W przypadku gdy okoliczności, które doprowadziły do tymczasowego zawieszenia zwolnienia z obowiązku wizowego, zostaną usunięte przed końcem okresu obowiązywania aktów </w:t>
            </w:r>
            <w:r>
              <w:rPr>
                <w:b/>
                <w:i/>
              </w:rPr>
              <w:t>delegowanych</w:t>
            </w:r>
            <w:r>
              <w:t xml:space="preserve"> przyjętych na podstawie ust. 1 i 2, Komisja przyjmuje </w:t>
            </w:r>
            <w:r>
              <w:rPr>
                <w:b/>
                <w:i/>
              </w:rPr>
              <w:t>nowy akt delegowany</w:t>
            </w:r>
            <w:r>
              <w:t xml:space="preserve"> w celu zniesienia tymczasowego zawieszenia zgodnie z </w:t>
            </w:r>
            <w:r>
              <w:rPr>
                <w:b/>
                <w:i/>
              </w:rPr>
              <w:t>art 10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f – nagłówek</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Akty delegowane</w:t>
            </w:r>
          </w:p>
        </w:tc>
        <w:tc>
          <w:tcPr>
            <w:tcW w:w="4876" w:type="dxa"/>
          </w:tcPr>
          <w:p>
            <w:pPr>
              <w:pStyle w:val="Normal6a"/>
            </w:pPr>
            <w:r>
              <w:rPr>
                <w:b/>
                <w:i/>
              </w:rPr>
              <w:t>Przedłużenie zawieszenia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f – ustęp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Jeżeli podstawy, o których mowa w art. 8a, utrzymują się, najpóźniej dwa miesiące przed upływem okresu 12 miesięcy, o którym mowa w art. 8e ust. 1, Komisja przyjmuje zgodnie z art. 10 akt delegowany zmieniający załącznik II w celu tymczasowego zawieszenia stosowania tego załącznika na okres 24 miesięcy wobec wszystkich obywateli danego państwa trzeciego. Zmiany tej dokonuje się umieszczając przy nazwie danego państwa trzeciego przypis informujący, że zwolnienie z obowiązku wizowego jest względem tego państwa zawieszone i wskazujący okres tego zawieszenia. Akt delegowany staje się skuteczny z dniem wygaśnięcia aktu </w:t>
            </w:r>
            <w:r>
              <w:rPr>
                <w:b/>
                <w:i/>
              </w:rPr>
              <w:t>wykonawczego</w:t>
            </w:r>
            <w:r>
              <w:t>, o którym mowa w art. 8e ust. 1.</w:t>
            </w:r>
          </w:p>
        </w:tc>
        <w:tc>
          <w:tcPr>
            <w:tcW w:w="4876" w:type="dxa"/>
          </w:tcPr>
          <w:p>
            <w:pPr>
              <w:pStyle w:val="Normal6a"/>
            </w:pPr>
            <w:r>
              <w:t>1.</w:t>
            </w:r>
            <w:r>
              <w:tab/>
            </w:r>
            <w:r>
              <w:t xml:space="preserve">Jeżeli podstawy, o których mowa w art. 8a, utrzymują się, najpóźniej dwa miesiące przed upływem okresu 12 miesięcy, o którym mowa w art. 8e ust. 1, Komisja przyjmuje zgodnie z art. 10 akt delegowany zmieniający załącznik II w celu tymczasowego zawieszenia stosowania tego załącznika na okres 24 miesięcy wobec wszystkich obywateli danego państwa trzeciego. Zmiany tej dokonuje się umieszczając przy nazwie danego państwa trzeciego przypis informujący, że zwolnienie z obowiązku wizowego jest względem tego państwa zawieszone i wskazujący okres tego zawieszenia. Akt delegowany staje się skuteczny z dniem wygaśnięcia aktu </w:t>
            </w:r>
            <w:r>
              <w:rPr>
                <w:b/>
                <w:i/>
              </w:rPr>
              <w:t>delegowanego</w:t>
            </w:r>
            <w:r>
              <w:t>, o którym mowa w art. 8e ust.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w:t>
      </w:r>
      <w:r>
        <w:rPr>
          <w:rStyle w:val="HideTWBExt"/>
        </w:rPr>
        <w:t>&lt;/Article&gt;</w:t>
      </w:r>
    </w:p>
    <w:p>
      <w:r>
        <w:rPr>
          <w:rStyle w:val="HideTWBExt"/>
        </w:rPr>
        <w:t>&lt;DocAmend2&gt;</w:t>
      </w:r>
      <w:r>
        <w:t>Rozporządzenie (UE) 2018/1806</w:t>
      </w:r>
      <w:r>
        <w:rPr>
          <w:rStyle w:val="HideTWBExt"/>
        </w:rPr>
        <w:t>&lt;/DocAmend2&gt;</w:t>
      </w:r>
    </w:p>
    <w:p>
      <w:r>
        <w:rPr>
          <w:rStyle w:val="HideTWBExt"/>
        </w:rPr>
        <w:t>&lt;Article2&gt;</w:t>
      </w:r>
      <w:r>
        <w:t>Artykuł 8 f – ustęp 1 a (nowy)</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Do aktu delegowanego dołączone jest sprawozdanie dla Parlamentu Europejskiego i Rady zawierające szczegółowe informacje na temat wyników pogłębionego dialogu z danym państwem trzecim, środków przyjętych przez to państwo trzecie i zainteresowane państwa członkowskie oraz powodów uznania, że nie zaradzono okolicznościom prowadzącym do tymczasowego zawieszenia.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759.969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72</w:t>
    </w:r>
    <w:r>
      <w:fldChar w:fldCharType="end"/>
    </w:r>
    <w:r>
      <w:tab/>
    </w:r>
    <w:r>
      <w:rPr>
        <w:rStyle w:val="HideTWBExt"/>
      </w:rPr>
      <w:t>&lt;PathFdR&gt;</w:t>
    </w:r>
    <w:r>
      <w:t>AM\1299078PL.docx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AM\1299078PL.docx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72</w:t>
    </w:r>
    <w:r>
      <w:fldChar w:fldCharType="end"/>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AM\1299078PL.docx</w:t>
    </w:r>
    <w:r>
      <w:rPr>
        <w:rStyle w:val="HideTWBExt"/>
      </w:rPr>
      <w:t>&lt;/PathFdR&gt;</w:t>
    </w:r>
    <w:r>
      <w:tab/>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72</Pages>
  <Words>15032</Words>
  <Characters>94651</Characters>
  <Application>Microsoft Office Word</Application>
  <DocSecurity>0</DocSecurity>
  <Lines>1</Lines>
  <Paragraphs>1337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55739</vt:lpwstr>
  </property>
  <property fmtid="{D5CDD505-2E9C-101B-9397-08002B2CF9AE}" pid="7" name="dmxml.render.traceId">
    <vt:lpwstr>660b12461de981f1b9af84142e0298fa</vt:lpwstr>
  </property>
  <property fmtid="{D5CDD505-2E9C-101B-9397-08002B2CF9AE}" pid="8" name="FooterPath">
    <vt:lpwstr>AM\1299078PL.docx</vt:lpwstr>
  </property>
  <property fmtid="{D5CDD505-2E9C-101B-9397-08002B2CF9AE}" pid="9" name="PE Number">
    <vt:lpwstr>759.969</vt:lpwstr>
  </property>
  <property fmtid="{D5CDD505-2E9C-101B-9397-08002B2CF9AE}" pid="10" name="UID">
    <vt:lpwstr>eu.europa.europarl-DIN1-2024-0000017064_02.00-pl-01.00_text-xml</vt:lpwstr>
  </property>
</Properties>
</file>