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CD4C97" w:rsidRPr="00CD4C97">
        <w:trPr>
          <w:trHeight w:hRule="exact" w:val="1417"/>
          <w:jc w:val="center"/>
        </w:trPr>
        <w:tc>
          <w:tcPr>
            <w:tcW w:w="6804" w:type="dxa"/>
            <w:vAlign w:val="center"/>
          </w:tcPr>
          <w:p w:rsidR="00305486" w:rsidRPr="00CD4C97" w:rsidRDefault="00DF2E01">
            <w:pPr>
              <w:pStyle w:val="EPName"/>
            </w:pPr>
            <w:r w:rsidRPr="00CD4C97">
              <w:t>Europaparlamentet</w:t>
            </w:r>
          </w:p>
          <w:p w:rsidR="00305486" w:rsidRPr="00CD4C97" w:rsidRDefault="00DF2E01">
            <w:pPr>
              <w:pStyle w:val="EPTerm"/>
            </w:pPr>
            <w:r w:rsidRPr="00CD4C97">
              <w:t>2019-2024</w:t>
            </w:r>
          </w:p>
        </w:tc>
        <w:tc>
          <w:tcPr>
            <w:tcW w:w="2268" w:type="dxa"/>
          </w:tcPr>
          <w:p w:rsidR="00305486" w:rsidRPr="00CD4C97" w:rsidRDefault="000C4F28">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7pt;height:50.25pt">
                  <v:imagedata r:id="rId9" o:title=""/>
                </v:shape>
              </w:pict>
            </w:r>
          </w:p>
        </w:tc>
      </w:tr>
    </w:tbl>
    <w:p w:rsidR="00305486" w:rsidRPr="00CD4C97" w:rsidRDefault="00DF2E01">
      <w:pPr>
        <w:pStyle w:val="LineTop"/>
      </w:pPr>
      <w:r w:rsidRPr="00CD4C97">
        <w:t xml:space="preserve"> </w:t>
      </w:r>
    </w:p>
    <w:p w:rsidR="00305486" w:rsidRPr="00CD4C97" w:rsidRDefault="00DF2E01">
      <w:pPr>
        <w:pStyle w:val="EPBody"/>
      </w:pPr>
      <w:r w:rsidRPr="00CD4C97">
        <w:rPr>
          <w:rStyle w:val="HideTWBExt"/>
          <w:color w:val="auto"/>
        </w:rPr>
        <w:t>&lt;Commission&gt;</w:t>
      </w:r>
      <w:r w:rsidRPr="00CD4C97">
        <w:rPr>
          <w:rStyle w:val="HideTWBInt"/>
          <w:color w:val="auto"/>
        </w:rPr>
        <w:t>{LIBE}</w:t>
      </w:r>
      <w:r w:rsidRPr="00CD4C97">
        <w:t>Utskottet för medborgerliga fri- och rättigheter samt rättsliga och inrikes frågor</w:t>
      </w:r>
      <w:r w:rsidRPr="00CD4C97">
        <w:rPr>
          <w:rStyle w:val="HideTWBExt"/>
          <w:color w:val="auto"/>
        </w:rPr>
        <w:t>&lt;/Commission&gt;</w:t>
      </w:r>
    </w:p>
    <w:p w:rsidR="00305486" w:rsidRPr="00CD4C97" w:rsidRDefault="00DF2E01">
      <w:pPr>
        <w:pStyle w:val="LineBottom"/>
      </w:pPr>
      <w:r w:rsidRPr="00CD4C97">
        <w:t xml:space="preserve"> </w:t>
      </w:r>
    </w:p>
    <w:p w:rsidR="00305486" w:rsidRPr="00CD4C97" w:rsidRDefault="00DF2E01">
      <w:pPr>
        <w:pStyle w:val="CoverReference"/>
      </w:pPr>
      <w:r w:rsidRPr="00CD4C97">
        <w:rPr>
          <w:rStyle w:val="HideTWBExt"/>
          <w:color w:val="auto"/>
        </w:rPr>
        <w:t>&lt;RefProc&gt;</w:t>
      </w:r>
      <w:r w:rsidRPr="00CD4C97">
        <w:t>2023/0371</w:t>
      </w:r>
      <w:r w:rsidRPr="00CD4C97">
        <w:rPr>
          <w:rStyle w:val="HideTWBExt"/>
          <w:color w:val="auto"/>
        </w:rPr>
        <w:t>&lt;/RefProc&gt;&lt;RefTypeProc&gt;</w:t>
      </w:r>
      <w:r w:rsidRPr="00CD4C97">
        <w:t>(COD)</w:t>
      </w:r>
      <w:r w:rsidRPr="00CD4C97">
        <w:rPr>
          <w:rStyle w:val="HideTWBExt"/>
          <w:color w:val="auto"/>
        </w:rPr>
        <w:t>&lt;/RefTypeProc&gt;</w:t>
      </w:r>
    </w:p>
    <w:p w:rsidR="00305486" w:rsidRPr="00CD4C97" w:rsidRDefault="00DF2E01">
      <w:pPr>
        <w:pStyle w:val="CoverDate"/>
      </w:pPr>
      <w:r w:rsidRPr="00CD4C97">
        <w:rPr>
          <w:rStyle w:val="HideTWBExt"/>
          <w:color w:val="auto"/>
        </w:rPr>
        <w:t>&lt;Date&gt;</w:t>
      </w:r>
      <w:r w:rsidRPr="00CD4C97">
        <w:rPr>
          <w:rStyle w:val="HideTWBInt"/>
          <w:color w:val="auto"/>
        </w:rPr>
        <w:t>{18/03/2024}</w:t>
      </w:r>
      <w:r w:rsidRPr="00CD4C97">
        <w:t>18.3.2024</w:t>
      </w:r>
      <w:r w:rsidRPr="00CD4C97">
        <w:rPr>
          <w:rStyle w:val="HideTWBExt"/>
          <w:color w:val="auto"/>
        </w:rPr>
        <w:t>&lt;/Date&gt;</w:t>
      </w:r>
    </w:p>
    <w:p w:rsidR="00305486" w:rsidRPr="00CD4C97" w:rsidRDefault="00DF2E01">
      <w:pPr>
        <w:pStyle w:val="CoverDocType"/>
      </w:pPr>
      <w:bookmarkStart w:id="0" w:name="_GoBack"/>
      <w:bookmarkEnd w:id="0"/>
      <w:r w:rsidRPr="00CD4C97">
        <w:rPr>
          <w:rStyle w:val="HideTWBExt"/>
          <w:color w:val="auto"/>
        </w:rPr>
        <w:t>&lt;TypeAM&gt;</w:t>
      </w:r>
      <w:r w:rsidRPr="00CD4C97">
        <w:t>ÄNDRINGSFÖRSLAG</w:t>
      </w:r>
      <w:r w:rsidRPr="00CD4C97">
        <w:rPr>
          <w:rStyle w:val="HideTWBExt"/>
          <w:color w:val="auto"/>
        </w:rPr>
        <w:t>&lt;/TypeAM&gt;</w:t>
      </w:r>
    </w:p>
    <w:p w:rsidR="00305486" w:rsidRPr="00CD4C97" w:rsidRDefault="00DF2E01">
      <w:pPr>
        <w:pStyle w:val="CoverDocType24a"/>
      </w:pPr>
      <w:r w:rsidRPr="00CD4C97">
        <w:rPr>
          <w:rStyle w:val="HideTWBExt"/>
          <w:color w:val="auto"/>
        </w:rPr>
        <w:t>&lt;RangeAM&gt;</w:t>
      </w:r>
      <w:r w:rsidRPr="00CD4C97">
        <w:t>7 - 134</w:t>
      </w:r>
      <w:r w:rsidRPr="00CD4C97">
        <w:rPr>
          <w:rStyle w:val="HideTWBExt"/>
          <w:color w:val="auto"/>
        </w:rPr>
        <w:t>&lt;/RangeAM&gt;</w:t>
      </w:r>
    </w:p>
    <w:p w:rsidR="00305486" w:rsidRPr="00CD4C97" w:rsidRDefault="00DF2E01">
      <w:pPr>
        <w:pStyle w:val="CoverBold"/>
      </w:pPr>
      <w:r w:rsidRPr="00CD4C97">
        <w:rPr>
          <w:rStyle w:val="HideTWBExt"/>
          <w:color w:val="auto"/>
        </w:rPr>
        <w:t>&lt;TitreType&gt;</w:t>
      </w:r>
      <w:r w:rsidRPr="00CD4C97">
        <w:t>Förslag till betänkande</w:t>
      </w:r>
      <w:r w:rsidRPr="00CD4C97">
        <w:rPr>
          <w:rStyle w:val="HideTWBExt"/>
          <w:color w:val="auto"/>
        </w:rPr>
        <w:t>&lt;/TitreType&gt;</w:t>
      </w:r>
    </w:p>
    <w:p w:rsidR="00305486" w:rsidRPr="00CD4C97" w:rsidRDefault="00DF2E01">
      <w:pPr>
        <w:pStyle w:val="CoverBold"/>
      </w:pPr>
      <w:r w:rsidRPr="00CD4C97">
        <w:rPr>
          <w:rStyle w:val="HideTWBExt"/>
          <w:color w:val="auto"/>
        </w:rPr>
        <w:t>&lt;Rapporteur&gt;</w:t>
      </w:r>
      <w:r w:rsidRPr="00CD4C97">
        <w:t>Matjaž Nemec</w:t>
      </w:r>
      <w:r w:rsidRPr="00CD4C97">
        <w:rPr>
          <w:rStyle w:val="HideTWBExt"/>
          <w:color w:val="auto"/>
        </w:rPr>
        <w:t>&lt;/Rapporteur&gt;</w:t>
      </w:r>
    </w:p>
    <w:p w:rsidR="00305486" w:rsidRPr="00CD4C97" w:rsidRDefault="00DF2E01">
      <w:pPr>
        <w:pStyle w:val="CoverNormal24a"/>
      </w:pPr>
      <w:r w:rsidRPr="00CD4C97">
        <w:rPr>
          <w:rStyle w:val="HideTWBExt"/>
          <w:color w:val="auto"/>
        </w:rPr>
        <w:t>&lt;DocRefPE&gt;</w:t>
      </w:r>
      <w:r w:rsidRPr="00CD4C97">
        <w:t>(PE759.070v01-00)</w:t>
      </w:r>
      <w:r w:rsidRPr="00CD4C97">
        <w:rPr>
          <w:rStyle w:val="HideTWBExt"/>
          <w:color w:val="auto"/>
        </w:rPr>
        <w:t>&lt;/DocRefPE&gt;</w:t>
      </w:r>
    </w:p>
    <w:p w:rsidR="00305486" w:rsidRPr="00CD4C97" w:rsidRDefault="00DF2E01">
      <w:pPr>
        <w:pStyle w:val="CoverNormal24a"/>
      </w:pPr>
      <w:r w:rsidRPr="00CD4C97">
        <w:rPr>
          <w:rStyle w:val="HideTWBExt"/>
          <w:color w:val="auto"/>
        </w:rPr>
        <w:t>&lt;Titre&gt;</w:t>
      </w:r>
      <w:r w:rsidRPr="00CD4C97">
        <w:t>Ändring av förordning (EU) 2018/1806 vad gäller översyn av upphävandemekanismen</w:t>
      </w:r>
      <w:r w:rsidRPr="00CD4C97">
        <w:rPr>
          <w:rStyle w:val="HideTWBExt"/>
          <w:color w:val="auto"/>
        </w:rPr>
        <w:t>&lt;/Titre&gt;</w:t>
      </w:r>
    </w:p>
    <w:p w:rsidR="00305486" w:rsidRPr="00CD4C97" w:rsidRDefault="00DF2E01">
      <w:pPr>
        <w:pStyle w:val="CoverNormal"/>
      </w:pPr>
      <w:r w:rsidRPr="00CD4C97">
        <w:rPr>
          <w:rStyle w:val="HideTWBExt"/>
          <w:color w:val="auto"/>
        </w:rPr>
        <w:t>&lt;DocAmend&gt;</w:t>
      </w:r>
      <w:r w:rsidRPr="00CD4C97">
        <w:t>Förslag till förordning</w:t>
      </w:r>
      <w:r w:rsidRPr="00CD4C97">
        <w:rPr>
          <w:rStyle w:val="HideTWBExt"/>
          <w:color w:val="auto"/>
        </w:rPr>
        <w:t>&lt;/DocAmend&gt;</w:t>
      </w:r>
    </w:p>
    <w:p w:rsidR="00305486" w:rsidRPr="00CD4C97" w:rsidRDefault="00DF2E01">
      <w:pPr>
        <w:pStyle w:val="CoverNormal24a"/>
      </w:pPr>
      <w:r w:rsidRPr="00CD4C97">
        <w:rPr>
          <w:rStyle w:val="HideTWBExt"/>
          <w:color w:val="auto"/>
        </w:rPr>
        <w:t>&lt;DocRef&gt;</w:t>
      </w:r>
      <w:r w:rsidRPr="00CD4C97">
        <w:t>(COM(2023)0642 – C9-0392/2023 – 2023/0371(COD))</w:t>
      </w:r>
      <w:r w:rsidRPr="00CD4C97">
        <w:rPr>
          <w:rStyle w:val="HideTWBExt"/>
          <w:color w:val="auto"/>
        </w:rPr>
        <w:t>&lt;/DocRef&gt;</w:t>
      </w:r>
    </w:p>
    <w:p w:rsidR="00305486" w:rsidRPr="00CD4C97" w:rsidRDefault="00DF2E01">
      <w:r w:rsidRPr="00CD4C97">
        <w:br w:type="page"/>
      </w:r>
      <w:r w:rsidRPr="00CD4C97">
        <w:lastRenderedPageBreak/>
        <w:t>AM_Com_LegReport</w:t>
      </w:r>
    </w:p>
    <w:p w:rsidR="002F59C7" w:rsidRPr="00CD4C97" w:rsidRDefault="00DF2E01" w:rsidP="002F59C7">
      <w:pPr>
        <w:pStyle w:val="AmNumberTabs"/>
      </w:pPr>
      <w:r w:rsidRPr="00CD4C97">
        <w:br w:type="page"/>
      </w:r>
      <w:r w:rsidR="002F59C7" w:rsidRPr="00CD4C97">
        <w:rPr>
          <w:rStyle w:val="HideTWBExt"/>
          <w:b w:val="0"/>
          <w:color w:val="auto"/>
        </w:rPr>
        <w:t>&lt;RepeatBlock-Amend&gt;</w:t>
      </w:r>
      <w:r w:rsidR="002F59C7" w:rsidRPr="00CD4C97">
        <w:rPr>
          <w:rStyle w:val="HideTWBExt"/>
          <w:color w:val="auto"/>
        </w:rPr>
        <w:t>&lt;Amend&gt;</w:t>
      </w:r>
      <w:r w:rsidR="002F59C7" w:rsidRPr="00CD4C97">
        <w:t>Ändringsförslag</w:t>
      </w:r>
      <w:r w:rsidR="002F59C7" w:rsidRPr="00CD4C97">
        <w:tab/>
      </w:r>
      <w:r w:rsidR="002F59C7" w:rsidRPr="00CD4C97">
        <w:tab/>
      </w:r>
      <w:r w:rsidR="002F59C7" w:rsidRPr="00CD4C97">
        <w:rPr>
          <w:rStyle w:val="HideTWBExt"/>
          <w:color w:val="auto"/>
        </w:rPr>
        <w:t>&lt;NumAm&gt;</w:t>
      </w:r>
      <w:r w:rsidR="002F59C7" w:rsidRPr="00CD4C97">
        <w:t>7</w:t>
      </w:r>
      <w:r w:rsidR="002F59C7"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1a (nytt)</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1a)</w:t>
            </w:r>
            <w:r w:rsidRPr="00CD4C97">
              <w:tab/>
            </w:r>
            <w:r w:rsidRPr="00CD4C97">
              <w:rPr>
                <w:b/>
                <w:i/>
              </w:rPr>
              <w:t>Viseringsfritt resande medför betydande fördelar för både unionen och tredjeländer. De ekonomiska, sociala och kulturella förbindelserna med tredjeländer skapar framgång och etablerar unionen som ett öppet och fritt block. Unionens gemensamma viseringspolitik är i detta avseende en hörnsten i dess förbindelser med tredjeländer.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8</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1b (nytt)</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1b)</w:t>
            </w:r>
            <w:r w:rsidRPr="00CD4C97">
              <w:tab/>
            </w:r>
            <w:r w:rsidRPr="00CD4C97">
              <w:rPr>
                <w:b/>
                <w:i/>
              </w:rPr>
              <w:t>Samtidigt har det föränderliga geopolitiska sammanhanget medfört nya utmaningar kopplade till viseringsfritt resande. Missbruk av och säkerhetsrisker till följd av viseringsfritt resande till EU kräver en snabb och tillfredsställande reaktion. Det är av största vikt att unionen är rustad för att hantera dessa utmaningar i enlighet med det.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9</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Miguel Urbán Crespo</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2</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2)</w:t>
            </w:r>
            <w:r w:rsidRPr="00CD4C97">
              <w:tab/>
            </w:r>
            <w:r w:rsidRPr="00CD4C97">
              <w:rPr>
                <w:b/>
                <w:i/>
              </w:rPr>
              <w:t>Mekanismen för tillfälligt upphävande av undantaget från viseringskravet för medborgare i ett tredjeland som anges i förteckningen i bilaga II till förordning (EU) 2018/1806 (upphävandemekanismen) bör stärkas så att unionen har tillgång till en effektivare skyddsåtgärd som syftar till att förhindra ett bredare spektrum av risker för irreguljär migration eller hot mot allmän ordning och säkerhet vilka härrör från de tredjeländer som förtecknas i den bilagan samt missbruk av undantaget från viseringskravet genom att dessa tredjeländer tillämpar system för medborgarskap för investerare.</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10</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2</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2)</w:t>
            </w:r>
            <w:r w:rsidRPr="00CD4C97">
              <w:tab/>
              <w:t xml:space="preserve">Mekanismen för tillfälligt upphävande av undantaget från viseringskravet för medborgare i ett tredjeland som anges i förteckningen i bilaga II till förordning (EU) 2018/1806 (upphävandemekanismen) bör stärkas så att unionen har tillgång till en effektivare skyddsåtgärd som syftar till att förhindra ett bredare spektrum av risker för irreguljär migration eller hot mot allmän ordning och säkerhet vilka härrör från de tredjeländer som förtecknas i den bilagan </w:t>
            </w:r>
            <w:r w:rsidRPr="00CD4C97">
              <w:rPr>
                <w:b/>
                <w:i/>
              </w:rPr>
              <w:t>samt</w:t>
            </w:r>
            <w:r w:rsidRPr="00CD4C97">
              <w:t xml:space="preserve"> missbruk av undantaget från viseringskravet genom att dessa tredjeländer tillämpar system för medborgarskap för investerare.</w:t>
            </w:r>
          </w:p>
        </w:tc>
        <w:tc>
          <w:tcPr>
            <w:tcW w:w="4876" w:type="dxa"/>
          </w:tcPr>
          <w:p w:rsidR="002F59C7" w:rsidRPr="00CD4C97" w:rsidRDefault="002F59C7" w:rsidP="00CE174B">
            <w:pPr>
              <w:pStyle w:val="Normal6a"/>
            </w:pPr>
            <w:r w:rsidRPr="00CD4C97">
              <w:t>2)</w:t>
            </w:r>
            <w:r w:rsidRPr="00CD4C97">
              <w:tab/>
              <w:t xml:space="preserve">Mekanismen för tillfälligt upphävande av undantaget från viseringskravet för medborgare i ett tredjeland som anges i förteckningen i bilaga II till förordning (EU) 2018/1806 (upphävandemekanismen) bör </w:t>
            </w:r>
            <w:r w:rsidRPr="00CD4C97">
              <w:rPr>
                <w:b/>
                <w:i/>
              </w:rPr>
              <w:t>därför</w:t>
            </w:r>
            <w:r w:rsidRPr="00CD4C97">
              <w:t xml:space="preserve"> stärkas så att unionen har tillgång till en effektivare skyddsåtgärd som syftar till att förhindra ett bredare spektrum av risker för irreguljär migration eller hot mot allmän ordning och säkerhet vilka härrör från de tredjeländer som förtecknas i den bilagan </w:t>
            </w:r>
            <w:r w:rsidRPr="00CD4C97">
              <w:rPr>
                <w:b/>
                <w:i/>
              </w:rPr>
              <w:t>eller</w:t>
            </w:r>
            <w:r w:rsidRPr="00CD4C97">
              <w:t xml:space="preserve"> missbruk av undantaget från viseringskravet genom att dessa tredjeländer tillämpar system för medborgarskap för investerare</w:t>
            </w:r>
            <w:r w:rsidRPr="00CD4C97">
              <w:rPr>
                <w:b/>
                <w:i/>
              </w:rPr>
              <w:t>, och som ett diplomatiskt verktyg efter en kraftig försämring av de yttre förbindelserna med berörda tredjeländer</w:t>
            </w:r>
            <w:r w:rsidRPr="00CD4C97">
              <w: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11</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2</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2)</w:t>
            </w:r>
            <w:r w:rsidRPr="00CD4C97">
              <w:tab/>
              <w:t xml:space="preserve">Mekanismen för tillfälligt upphävande av undantaget från viseringskravet för medborgare i ett tredjeland som anges i förteckningen i bilaga II till förordning (EU) 2018/1806 (upphävandemekanismen) bör stärkas så att unionen har tillgång till en effektivare skyddsåtgärd som syftar till att förhindra </w:t>
            </w:r>
            <w:r w:rsidRPr="00CD4C97">
              <w:rPr>
                <w:b/>
                <w:i/>
              </w:rPr>
              <w:t>ett bredare spektrum av risker för irreguljär migration eller hot mot allmän ordning och säkerhet vilka härrör från de tredjeländer som förtecknas i den bilagan samt</w:t>
            </w:r>
            <w:r w:rsidRPr="00CD4C97">
              <w:t xml:space="preserve"> missbruk av undantaget från viseringskravet genom att dessa tredjeländer tillämpar system för medborgarskap för investerare.</w:t>
            </w:r>
          </w:p>
        </w:tc>
        <w:tc>
          <w:tcPr>
            <w:tcW w:w="4876" w:type="dxa"/>
          </w:tcPr>
          <w:p w:rsidR="002F59C7" w:rsidRPr="00CD4C97" w:rsidRDefault="002F59C7" w:rsidP="00CE174B">
            <w:pPr>
              <w:pStyle w:val="Normal6a"/>
            </w:pPr>
            <w:r w:rsidRPr="00CD4C97">
              <w:t>2)</w:t>
            </w:r>
            <w:r w:rsidRPr="00CD4C97">
              <w:tab/>
              <w:t>Mekanismen för tillfälligt upphävande av undantaget från viseringskravet för medborgare i ett tredjeland som anges i förteckningen i bilaga II till förordning (EU) 2018/1806 (upphävandemekanismen) bör stärkas så att unionen har tillgång till en effektivare skyddsåtgärd som syftar till att förhindra missbruk av undantaget från viseringskravet genom att dessa tredjeländer tillämpar system för medborgarskap för investerare.</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12</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2a (nytt)</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2a)</w:t>
            </w:r>
            <w:r w:rsidRPr="00CD4C97">
              <w:tab/>
            </w:r>
            <w:r w:rsidRPr="00CD4C97">
              <w:rPr>
                <w:b/>
                <w:i/>
              </w:rPr>
              <w:t>Det bör också vara möjligt att utlösa upphävandemekanismen om ett tredjeland allvarligt åsidosätter principerna i Förenta nationernas stadga, eller vid allvarliga överträdelser av internationell människorättslagstiftning eller internationell humanitär lagstiftning, med beaktande av de principer som ska vägleda EU:s yttre åtgärder i enlighet med artikel 21.1.</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13</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Miguel Urbán Crespo</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3</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3)</w:t>
            </w:r>
            <w:r w:rsidRPr="00CD4C97">
              <w:tab/>
              <w:t>I synnerhet bör användningen av upphävandemekanismen underlättas genom att man breddar de möjliga grunderna för tillfälligt upphävande</w:t>
            </w:r>
            <w:r w:rsidRPr="00CD4C97">
              <w:rPr>
                <w:b/>
                <w:i/>
              </w:rPr>
              <w:t>, anpassar de relevanta tröskelvärdena och förfarandena</w:t>
            </w:r>
            <w:r w:rsidRPr="00CD4C97">
              <w:t xml:space="preserve"> och stärker kommissionens övervaknings- och rapporteringsskyldigheter.</w:t>
            </w:r>
          </w:p>
        </w:tc>
        <w:tc>
          <w:tcPr>
            <w:tcW w:w="4876" w:type="dxa"/>
          </w:tcPr>
          <w:p w:rsidR="002F59C7" w:rsidRPr="00CD4C97" w:rsidRDefault="002F59C7" w:rsidP="00CE174B">
            <w:pPr>
              <w:pStyle w:val="Normal6a"/>
            </w:pPr>
            <w:r w:rsidRPr="00CD4C97">
              <w:t>3)</w:t>
            </w:r>
            <w:r w:rsidRPr="00CD4C97">
              <w:tab/>
              <w:t xml:space="preserve">I synnerhet bör användningen av upphävandemekanismen underlättas genom att man breddar de möjliga grunderna för tillfälligt upphävande och stärker kommissionens övervaknings- och rapporteringsskyldigheter. </w:t>
            </w:r>
            <w:r w:rsidRPr="00CD4C97">
              <w:rPr>
                <w:b/>
                <w:i/>
              </w:rPr>
              <w:t>Kommissionen måste dessutom bedöma konsekvenserna av den föreslagna åtgärden på grundval av principen om ömsesidighet i fråga om viseringskrav, vilket är en princip för EU:s viseringspolitik i allmänhet. </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14</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3</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3)</w:t>
            </w:r>
            <w:r w:rsidRPr="00CD4C97">
              <w:tab/>
              <w:t xml:space="preserve">I synnerhet bör </w:t>
            </w:r>
            <w:r w:rsidRPr="00CD4C97">
              <w:rPr>
                <w:b/>
                <w:i/>
              </w:rPr>
              <w:t>användningen av</w:t>
            </w:r>
            <w:r w:rsidRPr="00CD4C97">
              <w:t xml:space="preserve"> upphävandemekanismen </w:t>
            </w:r>
            <w:r w:rsidRPr="00CD4C97">
              <w:rPr>
                <w:b/>
                <w:i/>
              </w:rPr>
              <w:t>underlättas genom att man breddar de möjliga grunderna för tillfälligt upphävande, anpassar</w:t>
            </w:r>
            <w:r w:rsidRPr="00CD4C97">
              <w:t xml:space="preserve"> de relevanta tröskelvärdena och förfarandena och </w:t>
            </w:r>
            <w:r w:rsidRPr="00CD4C97">
              <w:rPr>
                <w:b/>
                <w:i/>
              </w:rPr>
              <w:t>stärker</w:t>
            </w:r>
            <w:r w:rsidRPr="00CD4C97">
              <w:t xml:space="preserve"> kommissionens övervaknings- och rapporteringsskyldigheter.</w:t>
            </w:r>
          </w:p>
        </w:tc>
        <w:tc>
          <w:tcPr>
            <w:tcW w:w="4876" w:type="dxa"/>
          </w:tcPr>
          <w:p w:rsidR="002F59C7" w:rsidRPr="00CD4C97" w:rsidRDefault="002F59C7" w:rsidP="00CE174B">
            <w:pPr>
              <w:pStyle w:val="Normal6a"/>
            </w:pPr>
            <w:r w:rsidRPr="00CD4C97">
              <w:t>3)</w:t>
            </w:r>
            <w:r w:rsidRPr="00CD4C97">
              <w:tab/>
              <w:t xml:space="preserve">I synnerhet bör </w:t>
            </w:r>
            <w:r w:rsidRPr="00CD4C97">
              <w:rPr>
                <w:b/>
                <w:i/>
              </w:rPr>
              <w:t>kriterierna för att utlösa</w:t>
            </w:r>
            <w:r w:rsidRPr="00CD4C97">
              <w:t xml:space="preserve"> upphävandemekanismen </w:t>
            </w:r>
            <w:r w:rsidRPr="00CD4C97">
              <w:rPr>
                <w:b/>
                <w:i/>
              </w:rPr>
              <w:t>förtydligas för att göra</w:t>
            </w:r>
            <w:r w:rsidRPr="00CD4C97">
              <w:t xml:space="preserve"> de relevanta tröskelvärdena och förfarandena </w:t>
            </w:r>
            <w:r w:rsidRPr="00CD4C97">
              <w:rPr>
                <w:b/>
                <w:i/>
              </w:rPr>
              <w:t>mer exakta</w:t>
            </w:r>
            <w:r w:rsidRPr="00CD4C97">
              <w:t xml:space="preserve"> och </w:t>
            </w:r>
            <w:r w:rsidRPr="00CD4C97">
              <w:rPr>
                <w:b/>
                <w:i/>
              </w:rPr>
              <w:t>stärka</w:t>
            </w:r>
            <w:r w:rsidRPr="00CD4C97">
              <w:t xml:space="preserve"> kommissionens övervaknings- och rapporteringsskyldigheter.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15</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Matjaž Nemec</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3</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3)</w:t>
            </w:r>
            <w:r w:rsidRPr="00CD4C97">
              <w:tab/>
              <w:t xml:space="preserve">I synnerhet bör användningen av upphävandemekanismen underlättas genom att man breddar de möjliga grunderna för tillfälligt upphävande, anpassar de relevanta </w:t>
            </w:r>
            <w:r w:rsidRPr="00CD4C97">
              <w:rPr>
                <w:b/>
                <w:i/>
              </w:rPr>
              <w:t>tröskelvärdena och</w:t>
            </w:r>
            <w:r w:rsidRPr="00CD4C97">
              <w:t xml:space="preserve"> förfarandena och stärker kommissionens övervaknings- och rapporteringsskyldigheter.</w:t>
            </w:r>
          </w:p>
        </w:tc>
        <w:tc>
          <w:tcPr>
            <w:tcW w:w="4876" w:type="dxa"/>
          </w:tcPr>
          <w:p w:rsidR="002F59C7" w:rsidRPr="00CD4C97" w:rsidRDefault="002F59C7" w:rsidP="00CE174B">
            <w:pPr>
              <w:pStyle w:val="Normal6a"/>
            </w:pPr>
            <w:r w:rsidRPr="00CD4C97">
              <w:t>3)</w:t>
            </w:r>
            <w:r w:rsidRPr="00CD4C97">
              <w:tab/>
              <w:t>I synnerhet bör användningen av upphävandemekanismen underlättas genom att man breddar de möjliga grunderna för tillfälligt upphävande, anpassar de relevanta förfarandena och stärker kommissionens övervaknings- och rapporteringsskyldigheter.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16</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Matjaž Nemec</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3a (nytt)</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3a)</w:t>
            </w:r>
            <w:r w:rsidRPr="00CD4C97">
              <w:tab/>
            </w:r>
            <w:r w:rsidRPr="00CD4C97">
              <w:rPr>
                <w:b/>
                <w:i/>
              </w:rPr>
              <w:t>När kommissionen överväger att tillfälligt upphäva viseringsundantaget eller fall som är föremål för en medlemsstats underrättelse bör dess bedömning ske med beaktande av de potentiella konsekvenserna av det tillfälliga upphävandet för medborgarna i det berörda tredjelandet.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17</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4</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4)</w:t>
            </w:r>
            <w:r w:rsidRPr="00CD4C97">
              <w:tab/>
            </w:r>
            <w:r w:rsidRPr="00CD4C97">
              <w:rPr>
                <w:b/>
                <w:i/>
              </w:rPr>
              <w:t>Unionen har ingått ett antal avtal om undantag från viseringskravet för kortare vistelser med de länder som anges i förteckningen i bilaga II till förordning (EU) 2018/1806, vilka kan innehålla andra grunder för upphävande eller andra förfaranden än de som anges i upphävandemekanismen; flera sådana avtal kan också ingås i framtiden. Eftersom unionen respekterar internationella avtal och därmed är bunden av dessa avtal bör de berörda andra bestämmelserna i dessa avtal tillämpas i stället för motsvarande bestämmelser i upphävandemekanismen.</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18</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Matjaž Nemec</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4</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4)</w:t>
            </w:r>
            <w:r w:rsidRPr="00CD4C97">
              <w:tab/>
              <w:t>Unionen har ingått ett antal avtal om undantag från viseringskravet för kortare vistelser med de länder som anges i förteckningen i bilaga II till förordning (EU) 2018/1806, vilka kan innehålla andra grunder för upphävande eller andra förfaranden än de som anges i upphävandemekanismen</w:t>
            </w:r>
            <w:r w:rsidRPr="00CD4C97">
              <w:rPr>
                <w:b/>
                <w:i/>
              </w:rPr>
              <w:t>; flera sådana avtal kan också ingås i framtiden</w:t>
            </w:r>
            <w:r w:rsidRPr="00CD4C97">
              <w:t>.</w:t>
            </w:r>
            <w:r w:rsidRPr="00CD4C97">
              <w:rPr>
                <w:b/>
                <w:i/>
              </w:rPr>
              <w:t xml:space="preserve"> Eftersom unionen respekterar internationella avtal och därmed är bunden av dessa avtal </w:t>
            </w:r>
            <w:r w:rsidRPr="00CD4C97">
              <w:t xml:space="preserve">bör de berörda </w:t>
            </w:r>
            <w:r w:rsidRPr="00CD4C97">
              <w:rPr>
                <w:b/>
                <w:i/>
              </w:rPr>
              <w:t>andra bestämmelserna</w:t>
            </w:r>
            <w:r w:rsidRPr="00CD4C97">
              <w:t xml:space="preserve"> i dessa avtal </w:t>
            </w:r>
            <w:r w:rsidRPr="00CD4C97">
              <w:rPr>
                <w:b/>
                <w:i/>
              </w:rPr>
              <w:t>tillämpas i stället för motsvarande bestämmelser</w:t>
            </w:r>
            <w:r w:rsidRPr="00CD4C97">
              <w:t xml:space="preserve"> i upphävandemekanismen.</w:t>
            </w:r>
          </w:p>
        </w:tc>
        <w:tc>
          <w:tcPr>
            <w:tcW w:w="4876" w:type="dxa"/>
          </w:tcPr>
          <w:p w:rsidR="002F59C7" w:rsidRPr="00CD4C97" w:rsidRDefault="002F59C7" w:rsidP="00CE174B">
            <w:pPr>
              <w:pStyle w:val="Normal6a"/>
            </w:pPr>
            <w:r w:rsidRPr="00CD4C97">
              <w:t>4)</w:t>
            </w:r>
            <w:r w:rsidRPr="00CD4C97">
              <w:tab/>
              <w:t>Unionen har ingått ett antal avtal om undantag från viseringskravet för kortare vistelser med de länder som anges i förteckningen i bilaga II till förordning (EU) 2018/1806, vilka kan innehålla andra grunder för upphävande eller andra förfaranden än de som anges i upphävandemekanismen.</w:t>
            </w:r>
            <w:r w:rsidRPr="00CD4C97">
              <w:rPr>
                <w:b/>
                <w:i/>
              </w:rPr>
              <w:t xml:space="preserve"> Det bör vara möjligt för unionen att tillfälligt upphäva det viseringsfria systemet, även på unionsrättslig nivå, och därför </w:t>
            </w:r>
            <w:r w:rsidRPr="00CD4C97">
              <w:t xml:space="preserve">bör de berörda </w:t>
            </w:r>
            <w:r w:rsidRPr="00CD4C97">
              <w:rPr>
                <w:b/>
                <w:i/>
              </w:rPr>
              <w:t>grunderna för tillfälligt upphävande</w:t>
            </w:r>
            <w:r w:rsidRPr="00CD4C97">
              <w:t xml:space="preserve"> i dessa avtal </w:t>
            </w:r>
            <w:r w:rsidRPr="00CD4C97">
              <w:rPr>
                <w:b/>
                <w:i/>
              </w:rPr>
              <w:t>anges</w:t>
            </w:r>
            <w:r w:rsidRPr="00CD4C97">
              <w:t xml:space="preserve"> i upphävandemekanismen. </w:t>
            </w:r>
            <w:r w:rsidRPr="00CD4C97">
              <w:rPr>
                <w:b/>
                <w:i/>
              </w:rPr>
              <w:t>Användningen av grunder för upphävande i avtal om undantag från viseringskrav för kortare vistelser bör dock begränsas till tillämpningsområdet för dessa avtal.</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19</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4a (nytt)</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4a)</w:t>
            </w:r>
            <w:r w:rsidRPr="00CD4C97">
              <w:tab/>
            </w:r>
            <w:r w:rsidRPr="00CD4C97">
              <w:rPr>
                <w:b/>
                <w:i/>
              </w:rPr>
              <w:t>Upphävandemekanismen bör säkerställa ett skydd mot hot mot den allmänna ordningen och säkerheten. Det inbegriper omedelbara risker mot unionens inre säkerhet, exempelvis terrorism, organiserad brottslighet, cyberattacker och olaglig handel med människor, droger och vapen. När det gäller den yttre dimensionen av inre säkerhet bör de prioriteringar som har identifierats av den europeiska sektorsövergripande plattformen mot brottshot (Empact) beaktas.</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20</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Matjaž Nemec</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5</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5)</w:t>
            </w:r>
            <w:r w:rsidRPr="00CD4C97">
              <w:tab/>
            </w:r>
            <w:r w:rsidRPr="00CD4C97">
              <w:rPr>
                <w:b/>
                <w:i/>
              </w:rPr>
              <w:t>I sina slutsatser av den 22 oktober 2021 uppmanade Europeiska rådet kommissionen att föreslå alla ändringar som krävs av unionens rättsliga ramar samt konkreta åtgärder för att säkerställa en omedelbar och adekvat reaktion på hybridhot i överensstämmelse med unionsrätten och internationella skyldigheter. Det bör därför vara möjligt att utlösa upphävandemekanismen i händelse av risker för eller hot mot medlemsstaternas allmänna ordning eller inre säkerhet till följd av hybridhot såsom situationer med statsstödd instrumentalisering av migranter i syfte att destabilisera eller undergräva samhället och viktiga institutioner.</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21</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5</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5)</w:t>
            </w:r>
            <w:r w:rsidRPr="00CD4C97">
              <w:tab/>
            </w:r>
            <w:r w:rsidRPr="00CD4C97">
              <w:rPr>
                <w:b/>
                <w:i/>
              </w:rPr>
              <w:t>I sina slutsatser av den 22 oktober 2021 uppmanade Europeiska rådet kommissionen att föreslå alla ändringar som krävs av unionens rättsliga ramar samt konkreta åtgärder för att säkerställa en omedelbar och adekvat reaktion på hybridhot i överensstämmelse med unionsrätten och internationella skyldigheter. Det bör därför vara möjligt att utlösa upphävandemekanismen i händelse av risker för eller hot mot medlemsstaternas allmänna ordning eller inre säkerhet till följd av hybridhot såsom situationer med statsstödd instrumentalisering av migranter i syfte att destabilisera eller undergräva samhället och viktiga institutioner.</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22</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5</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5)</w:t>
            </w:r>
            <w:r w:rsidRPr="00CD4C97">
              <w:tab/>
              <w:t>I sina slutsatser av den 22 oktober 2021 uppmanade Europeiska rådet kommissionen att föreslå alla ändringar som krävs av unionens rättsliga ramar samt konkreta åtgärder för att säkerställa en omedelbar och adekvat reaktion på hybridhot i överensstämmelse med unionsrätten och internationella skyldigheter. Det bör därför vara möjligt att utlösa upphävandemekanismen i händelse av risker för eller hot mot medlemsstaternas allmänna ordning eller inre säkerhet till följd av hybridhot såsom situationer med statsstödd instrumentalisering av migranter i syfte att destabilisera eller undergräva samhället och viktiga institutioner.</w:t>
            </w:r>
          </w:p>
        </w:tc>
        <w:tc>
          <w:tcPr>
            <w:tcW w:w="4876" w:type="dxa"/>
          </w:tcPr>
          <w:p w:rsidR="002F59C7" w:rsidRPr="00CD4C97" w:rsidRDefault="002F59C7" w:rsidP="00CE174B">
            <w:pPr>
              <w:pStyle w:val="Normal6a"/>
            </w:pPr>
            <w:r w:rsidRPr="00CD4C97">
              <w:t>5)</w:t>
            </w:r>
            <w:r w:rsidRPr="00CD4C97">
              <w:tab/>
              <w:t>I sina slutsatser av den 22 oktober 2021 uppmanade Europeiska rådet kommissionen att föreslå alla ändringar som krävs av unionens rättsliga ramar samt konkreta åtgärder för att säkerställa en omedelbar och adekvat reaktion på hybridhot i överensstämmelse med unionsrätten och internationella skyldigheter. Det bör därför vara möjligt att utlösa upphävandemekanismen i händelse av risker för eller hot mot medlemsstaternas allmänna ordning eller inre säkerhet till följd av hybridhot såsom situationer med statsstödd instrumentalisering av migranter i syfte att destabilisera eller undergräva samhället och viktiga institutioner</w:t>
            </w:r>
            <w:r w:rsidRPr="00CD4C97">
              <w:rPr>
                <w:b/>
                <w:i/>
              </w:rPr>
              <w:t>, på det sätt som avses i artikel 1.4 b första stycket i krisförordningen</w:t>
            </w:r>
            <w:r w:rsidRPr="00CD4C97">
              <w:t xml:space="preserve">. </w:t>
            </w:r>
            <w:r w:rsidRPr="00CD4C97">
              <w:rPr>
                <w:b/>
                <w:i/>
              </w:rPr>
              <w:t>Sådana hot mot medlemsstaternas allmänna ordning eller inre säkerhet, som uppstår till följd av hybridhot, kan också avse hemlig utländsk inblandning i politiska processer, cyberverksamheter och ekonomiskt spionage.</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23</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Miguel Urbán Crespo</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5</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5)</w:t>
            </w:r>
            <w:r w:rsidRPr="00CD4C97">
              <w:tab/>
              <w:t xml:space="preserve">I sina slutsatser av den 22 oktober 2021 uppmanade Europeiska rådet kommissionen att föreslå alla ändringar som krävs av unionens rättsliga ramar samt konkreta åtgärder för att säkerställa en omedelbar och adekvat reaktion på </w:t>
            </w:r>
            <w:r w:rsidRPr="00CD4C97">
              <w:rPr>
                <w:b/>
                <w:i/>
              </w:rPr>
              <w:t>hybridhot</w:t>
            </w:r>
            <w:r w:rsidRPr="00CD4C97">
              <w:t xml:space="preserve"> i överensstämmelse med unionsrätten och internationella skyldigheter. </w:t>
            </w:r>
            <w:r w:rsidRPr="00CD4C97">
              <w:rPr>
                <w:b/>
                <w:i/>
              </w:rPr>
              <w:t>Det bör därför vara möjligt att utlösa upphävandemekanismen i händelse av risker för eller hot mot medlemsstaternas allmänna ordning eller inre säkerhet till följd av hybridhot såsom situationer med statsstödd instrumentalisering av migranter i syfte att destabilisera eller undergräva samhället och viktiga institutioner.</w:t>
            </w:r>
          </w:p>
        </w:tc>
        <w:tc>
          <w:tcPr>
            <w:tcW w:w="4876" w:type="dxa"/>
          </w:tcPr>
          <w:p w:rsidR="002F59C7" w:rsidRPr="00CD4C97" w:rsidRDefault="002F59C7" w:rsidP="00CE174B">
            <w:pPr>
              <w:pStyle w:val="Normal6a"/>
            </w:pPr>
            <w:r w:rsidRPr="00CD4C97">
              <w:t>5)</w:t>
            </w:r>
            <w:r w:rsidRPr="00CD4C97">
              <w:tab/>
              <w:t xml:space="preserve">I sina slutsatser av den 22 oktober 2021 uppmanade Europeiska rådet kommissionen att föreslå alla ändringar som krävs av unionens rättsliga ramar samt konkreta åtgärder för att säkerställa en omedelbar och adekvat reaktion på </w:t>
            </w:r>
            <w:r w:rsidRPr="00CD4C97">
              <w:rPr>
                <w:b/>
                <w:i/>
              </w:rPr>
              <w:t>utmaningar</w:t>
            </w:r>
            <w:r w:rsidRPr="00CD4C97">
              <w:t xml:space="preserve"> i överensstämmelse med unionsrätten och internationella skyldigheter. </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24</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5a (nytt)</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5a)</w:t>
            </w:r>
            <w:r w:rsidRPr="00CD4C97">
              <w:tab/>
            </w:r>
            <w:r w:rsidRPr="00CD4C97">
              <w:rPr>
                <w:b/>
                <w:i/>
              </w:rPr>
              <w:t>Det är också viktigt att handlingars säkerhet upprätthålls i enlighet med Europeiska unionens standarder. Unionen har infört avancerade säkerhetsfunktioner och biometriska krav för resehandlingar. Sådana åtgärder förhindrar förfalskning av resehandlingar och etablerar en tillförlitlig länk mellan handlingen och dess innehavare. För att säkerställa giltiga och tillförlitliga resehandlingar bör länder som förtecknas i bilaga II utfärda handlingar i enlighet med det.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25</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6</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6)</w:t>
            </w:r>
            <w:r w:rsidRPr="00CD4C97">
              <w:tab/>
              <w:t>System för medborgarskap för investerare som tillämpas av tredjeländer som anges i förteckningen i bilaga II till förordning (EU) 2018/1806 tillåter viseringsfritt resande till unionen för tredjelandsmedborgare som annars skulle omfattas av viseringskrav. Inom ramen för ett system för medborgarskap för investerare beviljas medborgarskap i utbyte mot förutbestämda betalningar eller investeringar utan någon verklig koppling till det berörda tredjelandet. Även om unionen respekterar suveräna länders rätt att besluta om sina egna naturaliseringsförfaranden bör viseringsfria tredjeländer avskräckas från att använda viseringsfritt tillträde till unionen som ett verktyg för att mobilisera enskilda investeringar i utbyte mot medborgarskap. För att förhindra att viseringsfritt tillträde till unionen används för detta ändamål bör det vara möjligt att tillfälligt upphäva undantaget från viseringskravet för ett tredjeland som väljer att tillämpa sådana system för medborgarskap för investerare, varigenom medborgarskap beviljas utan någon verklig koppling till det berörda tredjelandet.</w:t>
            </w:r>
          </w:p>
        </w:tc>
        <w:tc>
          <w:tcPr>
            <w:tcW w:w="4876" w:type="dxa"/>
          </w:tcPr>
          <w:p w:rsidR="002F59C7" w:rsidRPr="00CD4C97" w:rsidRDefault="002F59C7" w:rsidP="00CE174B">
            <w:pPr>
              <w:pStyle w:val="Normal6a"/>
            </w:pPr>
            <w:r w:rsidRPr="00CD4C97">
              <w:t>6)</w:t>
            </w:r>
            <w:r w:rsidRPr="00CD4C97">
              <w:tab/>
              <w:t xml:space="preserve">System för medborgarskap för investerare som tillämpas av tredjeländer som anges i förteckningen i bilaga II till förordning (EU) 2018/1806 tillåter viseringsfritt resande till unionen för tredjelandsmedborgare som annars skulle omfattas av viseringskrav. Inom ramen för ett system för medborgarskap för investerare beviljas medborgarskap i utbyte mot förutbestämda betalningar eller investeringar utan någon verklig koppling till det berörda tredjelandet. Även om unionen respekterar suveräna länders rätt att besluta om sina egna naturaliseringsförfaranden bör viseringsfria tredjeländer avskräckas från att använda viseringsfritt tillträde till unionen som ett verktyg för att mobilisera enskilda investeringar i utbyte mot medborgarskap. </w:t>
            </w:r>
            <w:r w:rsidRPr="00CD4C97">
              <w:rPr>
                <w:b/>
                <w:i/>
              </w:rPr>
              <w:t>En brist på omfattande säkerhetskontroller, granskningsförfaranden och tillbörlig aktsamhet skapar flera allvarliga säkerhetsrisker för unionens medborgare, exempelvis risker till följd av penningtvätt och korruption.</w:t>
            </w:r>
            <w:r w:rsidRPr="00CD4C97">
              <w:t xml:space="preserve"> För att förhindra att viseringsfritt tillträde till unionen används för detta ändamål bör det vara möjligt att tillfälligt upphäva undantaget från viseringskravet för ett tredjeland som väljer att tillämpa sådana system för medborgarskap för investerare, varigenom medborgarskap beviljas utan någon verklig koppling till det berörda tredjelandet.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26</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6a (nytt)</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6a)</w:t>
            </w:r>
            <w:r w:rsidRPr="00CD4C97">
              <w:tab/>
            </w:r>
            <w:r w:rsidRPr="00CD4C97">
              <w:rPr>
                <w:b/>
                <w:i/>
              </w:rPr>
              <w:t>Utlösandet av upphävandemekanismen bör beaktas i den bredare kontexten med unionens förbindelser med det berörda tredjelandet. Särskild hänsyn bör ges åt unionens diplomatiska och yttre förbindelser med tredjeländer. Det inbegriper hänsyn till mänskliga rättigheter och grundläggande friheter, överträdelser av bilaterala avtal mellan unionen och tredjeländer, fientliga handlingar mot unionen eller medlemsstaterna och bristande efterlevnad av eller anpassning till unionens sanktioner.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27</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Miguel Urbán Crespo</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7</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7)</w:t>
            </w:r>
            <w:r w:rsidRPr="00CD4C97">
              <w:tab/>
            </w:r>
            <w:r w:rsidRPr="00CD4C97">
              <w:rPr>
                <w:b/>
                <w:i/>
              </w:rPr>
              <w:t>Om viseringspolitiken i ett tredjeland som anges i förteckningen i bilaga II till förordning (EU) 2018/1806 inte är anpassad till unionens viseringspolitik vad gäller förteckningen över tredjeländer vars medborgare är skyldiga att inneha visering när de passerar medlemsstaternas yttre gränser kan detta leda till irreguljär migration till unionen, särskilt om det berörda tredjelandet ligger nära unionen. Det bör därför vara möjligt att utlösa upphävandemekanismen om kommissionen efter en bedömning drar slutsatsen att det finns en risk för en betydande ökning av antalet medborgare i andra tredjeländer än det berörda landet som lagligen anländer till det tredjelandets territorium och sedan irreguljärt reser in på medlemsstaternas territorium.</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28</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7</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7)</w:t>
            </w:r>
            <w:r w:rsidRPr="00CD4C97">
              <w:tab/>
            </w:r>
            <w:r w:rsidRPr="00CD4C97">
              <w:rPr>
                <w:b/>
                <w:i/>
              </w:rPr>
              <w:t>Om viseringspolitiken i ett tredjeland som anges i förteckningen i bilaga II till förordning (EU) 2018/1806 inte är anpassad till unionens viseringspolitik vad gäller förteckningen över tredjeländer vars medborgare är skyldiga att inneha visering när de passerar medlemsstaternas yttre gränser kan detta leda till irreguljär migration till unionen, särskilt om det berörda tredjelandet ligger nära unionen. Det bör därför vara möjligt att utlösa upphävandemekanismen om kommissionen efter en bedömning drar slutsatsen att det finns en risk för en betydande ökning av antalet medborgare i andra tredjeländer än det berörda landet som lagligen anländer till det tredjelandets territorium och sedan irreguljärt reser in på medlemsstaternas territorium.</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29</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7</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7)</w:t>
            </w:r>
            <w:r w:rsidRPr="00CD4C97">
              <w:tab/>
              <w:t xml:space="preserve">Om viseringspolitiken i ett tredjeland som anges i förteckningen i bilaga II till förordning (EU) 2018/1806 inte är anpassad till unionens viseringspolitik vad gäller förteckningen över tredjeländer vars medborgare är skyldiga att inneha visering när de passerar medlemsstaternas yttre gränser kan detta leda till irreguljär migration till unionen, särskilt om det berörda tredjelandet ligger nära unionen. Det bör därför vara möjligt att utlösa upphävandemekanismen om kommissionen efter en bedömning drar slutsatsen att det finns en </w:t>
            </w:r>
            <w:r w:rsidRPr="00CD4C97">
              <w:rPr>
                <w:b/>
                <w:i/>
              </w:rPr>
              <w:t>risk för en</w:t>
            </w:r>
            <w:r w:rsidRPr="00CD4C97">
              <w:t xml:space="preserve"> betydande ökning av antalet medborgare i andra tredjeländer än det berörda landet som lagligen anländer till det tredjelandets territorium och sedan irreguljärt reser in på medlemsstaternas territorium.</w:t>
            </w:r>
          </w:p>
        </w:tc>
        <w:tc>
          <w:tcPr>
            <w:tcW w:w="4876" w:type="dxa"/>
          </w:tcPr>
          <w:p w:rsidR="002F59C7" w:rsidRPr="00CD4C97" w:rsidRDefault="002F59C7" w:rsidP="00CE174B">
            <w:pPr>
              <w:pStyle w:val="Normal6a"/>
            </w:pPr>
            <w:r w:rsidRPr="00CD4C97">
              <w:t>7)</w:t>
            </w:r>
            <w:r w:rsidRPr="00CD4C97">
              <w:tab/>
              <w:t>Om viseringspolitiken i ett tredjeland som anges i förteckningen i bilaga II till förordning (EU) 2018/1806 inte är anpassad till unionens viseringspolitik vad gäller förteckningen över tredjeländer vars medborgare är skyldiga att inneha visering när de passerar medlemsstaternas yttre gränser kan detta leda till irreguljär migration till unionen, särskilt om det berörda tredjelandet ligger nära unionen. Det bör därför vara möjligt att utlösa upphävandemekanismen om kommissionen efter en bedömning drar slutsatsen att det finns en betydande ökning av antalet medborgare i andra tredjeländer än det berörda landet som lagligen anländer till det tredjelandets territorium och sedan irreguljärt reser in på medlemsstaternas territorium.</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30</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Miguel Urbán Crespo</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8</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8)</w:t>
            </w:r>
            <w:r w:rsidRPr="00CD4C97">
              <w:tab/>
              <w:t xml:space="preserve">Tröskelvärdena för att utlösa upphävandemekanismen vid en betydande ökning av antalet medborgare i ett tredjeland som nekats inresa eller befunnits vistas på medlemsstatens territorium utan rätt att göra det, eller av antalet </w:t>
            </w:r>
            <w:r w:rsidRPr="00CD4C97">
              <w:rPr>
                <w:b/>
                <w:i/>
              </w:rPr>
              <w:t>asylansökningar från medborgare i det tredjelandet där andelen godkända ansökningar är låg eller av antalet</w:t>
            </w:r>
            <w:r w:rsidRPr="00CD4C97">
              <w:t xml:space="preserve"> allvarliga brott med anknytning till medborgare i det tredjelandet, bör bedömas från fall till fall</w:t>
            </w:r>
            <w:r w:rsidRPr="00CD4C97">
              <w:rPr>
                <w:b/>
                <w:i/>
              </w:rPr>
              <w:t xml:space="preserve"> av kommissionen</w:t>
            </w:r>
            <w:r w:rsidRPr="00CD4C97">
              <w:t>.</w:t>
            </w:r>
            <w:r w:rsidRPr="00CD4C97">
              <w:rPr>
                <w:b/>
                <w:i/>
              </w:rPr>
              <w:t xml:space="preserve"> I synnerhet bör kommissionen kunna bedöma om det finns särskilda omständigheter, i de fall som medlemsstaterna underrättat den om eller inom ramen för den egna analysen, som skulle motivera en tillämpning av lägre eller högre tröskelvärden än de som anges i berörda bestämmelser i förordning (EU) 2018/1806. Kommissionens bedömning bör exempelvis ta hänsyn till antalet otillåtna passager av medlemsstaternas yttre gränser, ogrundade asylansökningar eller brott i förhållande till antalet medlemsstater som påverkas och deras storlek samt antalets inverkan på den övergripande migrationssituationen, asylsystemens funktion eller den inre säkerheten i de berörda medlemsstaterna samt de åtgärder som det berörda tredjelandet har vidtagit för att avhjälpa situationen.</w:t>
            </w:r>
          </w:p>
        </w:tc>
        <w:tc>
          <w:tcPr>
            <w:tcW w:w="4876" w:type="dxa"/>
          </w:tcPr>
          <w:p w:rsidR="002F59C7" w:rsidRPr="00CD4C97" w:rsidRDefault="002F59C7" w:rsidP="00CE174B">
            <w:pPr>
              <w:pStyle w:val="Normal6a"/>
            </w:pPr>
            <w:r w:rsidRPr="00CD4C97">
              <w:t>8)</w:t>
            </w:r>
            <w:r w:rsidRPr="00CD4C97">
              <w:tab/>
              <w:t>Tröskelvärdena för att utlösa upphävandemekanismen vid en betydande ökning av antalet medborgare i ett tredjeland som nekats inresa eller befunnits vistas på medlemsstatens territorium utan rätt att göra det, eller av antalet allvarliga brott med anknytning till medborgare i det tredjelandet, bör bedömas från fall till fall.</w:t>
            </w:r>
            <w:r w:rsidRPr="00CD4C97">
              <w:rPr>
                <w:b/>
                <w:i/>
              </w:rPr>
              <w:t> </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31</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8</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8)</w:t>
            </w:r>
            <w:r w:rsidRPr="00CD4C97">
              <w:tab/>
              <w:t xml:space="preserve">Tröskelvärdena för att utlösa upphävandemekanismen vid en betydande ökning av antalet medborgare i ett tredjeland som nekats inresa eller befunnits vistas på medlemsstatens territorium utan rätt att göra det, eller av antalet asylansökningar från medborgare i det tredjelandet där andelen godkända ansökningar är låg </w:t>
            </w:r>
            <w:r w:rsidRPr="00CD4C97">
              <w:rPr>
                <w:b/>
                <w:i/>
              </w:rPr>
              <w:t>eller av antalet allvarliga brott med anknytning till medborgare i det tredjelandet, bör bedömas från fall till fall av kommissionen.</w:t>
            </w:r>
            <w:r w:rsidRPr="00CD4C97">
              <w:t xml:space="preserve"> I synnerhet bör kommissionen </w:t>
            </w:r>
            <w:r w:rsidRPr="00CD4C97">
              <w:rPr>
                <w:b/>
                <w:i/>
              </w:rPr>
              <w:t>kunna</w:t>
            </w:r>
            <w:r w:rsidRPr="00CD4C97">
              <w:t xml:space="preserve"> bedöma om det finns särskilda omständigheter, i de fall som medlemsstaterna underrättat den om eller inom ramen för den egna analysen, som skulle motivera en tillämpning av </w:t>
            </w:r>
            <w:r w:rsidRPr="00CD4C97">
              <w:rPr>
                <w:b/>
                <w:i/>
              </w:rPr>
              <w:t>lägre eller högre tröskelvärden än de som anges i berörda bestämmelser</w:t>
            </w:r>
            <w:r w:rsidRPr="00CD4C97">
              <w:t xml:space="preserve"> i förordning (EU) 2018/1806. </w:t>
            </w:r>
            <w:r w:rsidRPr="00CD4C97">
              <w:rPr>
                <w:b/>
                <w:i/>
              </w:rPr>
              <w:t>Kommissionens bedömning bör exempelvis ta hänsyn till antalet otillåtna passager av medlemsstaternas yttre gränser, ogrundade asylansökningar eller brott i förhållande till antalet medlemsstater som påverkas och deras storlek samt antalets inverkan på den övergripande migrationssituationen, asylsystemens funktion eller den inre säkerheten i de berörda medlemsstaterna samt de åtgärder som det berörda tredjelandet har vidtagit för att avhjälpa situationen.</w:t>
            </w:r>
          </w:p>
        </w:tc>
        <w:tc>
          <w:tcPr>
            <w:tcW w:w="4876" w:type="dxa"/>
          </w:tcPr>
          <w:p w:rsidR="002F59C7" w:rsidRPr="00CD4C97" w:rsidRDefault="002F59C7" w:rsidP="00CE174B">
            <w:pPr>
              <w:pStyle w:val="Normal6a"/>
            </w:pPr>
            <w:r w:rsidRPr="00CD4C97">
              <w:t>8)</w:t>
            </w:r>
            <w:r w:rsidRPr="00CD4C97">
              <w:tab/>
              <w:t xml:space="preserve">Tröskelvärdena för att utlösa upphävandemekanismen vid en betydande ökning av antalet medborgare i ett tredjeland som nekats inresa eller befunnits vistas på medlemsstatens territorium utan rätt att göra det, eller av antalet asylansökningar från medborgare i det tredjelandet där andelen godkända ansökningar är låg </w:t>
            </w:r>
            <w:r w:rsidRPr="00CD4C97">
              <w:rPr>
                <w:b/>
                <w:i/>
              </w:rPr>
              <w:t>bör anges tydligt för att undvika olika tolkningar och risken för olika praxis.</w:t>
            </w:r>
            <w:r w:rsidRPr="00CD4C97">
              <w:t xml:space="preserve"> I synnerhet bör kommissionen bedöma om det finns särskilda omständigheter, i de fall som medlemsstaterna underrättat den om eller inom ramen för den egna analysen, som skulle motivera en tillämpning av </w:t>
            </w:r>
            <w:r w:rsidRPr="00CD4C97">
              <w:rPr>
                <w:b/>
                <w:i/>
              </w:rPr>
              <w:t>de berörda bestämmelserna</w:t>
            </w:r>
            <w:r w:rsidRPr="00CD4C97">
              <w:t xml:space="preserve"> i förordning (EU) 2018/1806. </w:t>
            </w:r>
            <w:r w:rsidRPr="00CD4C97">
              <w:rPr>
                <w:b/>
                <w:i/>
              </w:rPr>
              <w:t>Med hänsyn till de konsekvenser som ett tillfälligt upphävande av undantaget från viseringskravet kan få på förbindelserna med det berörda tredjelandet och på dess medborgares rättigheter bör kommissionen grundligt bedöma nödvändigheten, proportionaliteten och konsekvenserna av detta upphävande innan den relevanta rättsakten antas. Vid utförandet av denna bedömning bör kommissionen ta hänsyn till konsekvenserna av det föreslagna tillfälliga upphävandet på unionens och dess medlemsstaters övergripande yttre förbindelser med det berörda tredjelandet, på rättigheterna för medborgarna i det berörda tredjelandet, på principerna om ömsesidighet i fråga om viseringskrav och på icke-diskriminering, och utvärdera om det föreslagna upphävandet skulle utgöra en lämplig åtgärd för att avhjälpa situationen. Uppmärksamhet bör också ges till behoven av mobilitet för människorättsförsvarare, särskilt vid en försämring av situationen för de mänskliga rättigheterna i det berörda tredjelandet, och de potentiella risker som det tillfälliga upphävandet skulle medföra på deras arbetes kontinuitet och effektivitet.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32</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8</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8)</w:t>
            </w:r>
            <w:r w:rsidRPr="00CD4C97">
              <w:tab/>
              <w:t>Tröskelvärdena för att utlösa upphävandemekanismen vid en betydande ökning av antalet medborgare i ett tredjeland som nekats inresa eller befunnits vistas på medlemsstatens territorium utan rätt att göra det, eller av antalet asylansökningar från medborgare i det tredjelandet där andelen godkända ansökningar är låg eller av antalet allvarliga brott med anknytning till medborgare i det tredjelandet, bör bedömas från fall till fall av kommissionen. I synnerhet bör kommissionen kunna bedöma om det finns särskilda omständigheter, i de fall som medlemsstaterna underrättat den om eller inom ramen för den egna analysen, som skulle motivera en tillämpning av lägre eller högre tröskelvärden än de som anges i berörda bestämmelser i förordning (EU) 2018/1806. Kommissionens bedömning bör exempelvis ta hänsyn till antalet otillåtna passager av medlemsstaternas yttre gränser, ogrundade asylansökningar eller brott i förhållande till antalet medlemsstater som påverkas och deras storlek samt antalets inverkan på den övergripande migrationssituationen, asylsystemens funktion eller den inre säkerheten i de berörda medlemsstaterna samt de åtgärder som det berörda tredjelandet har vidtagit för att avhjälpa situationen.</w:t>
            </w:r>
          </w:p>
        </w:tc>
        <w:tc>
          <w:tcPr>
            <w:tcW w:w="4876" w:type="dxa"/>
          </w:tcPr>
          <w:p w:rsidR="002F59C7" w:rsidRPr="00CD4C97" w:rsidRDefault="002F59C7" w:rsidP="00CE174B">
            <w:pPr>
              <w:pStyle w:val="Normal6a"/>
            </w:pPr>
            <w:r w:rsidRPr="00CD4C97">
              <w:t>8)</w:t>
            </w:r>
            <w:r w:rsidRPr="00CD4C97">
              <w:tab/>
              <w:t xml:space="preserve">Tröskelvärdena för att utlösa upphävandemekanismen vid en betydande ökning av antalet medborgare i ett tredjeland som nekats inresa eller befunnits vistas på medlemsstatens territorium utan rätt att göra det, </w:t>
            </w:r>
            <w:r w:rsidRPr="00CD4C97">
              <w:rPr>
                <w:b/>
                <w:i/>
              </w:rPr>
              <w:t>eller som stannar längre än tidsperioden med viseringsfrihet</w:t>
            </w:r>
            <w:r w:rsidRPr="00CD4C97">
              <w:t xml:space="preserve"> eller av antalet asylansökningar från medborgare i det tredjelandet där andelen godkända ansökningar är låg eller av antalet allvarliga brott med anknytning till medborgare i det tredjelandet, bör bedömas från fall till fall av kommissionen. I synnerhet bör kommissionen kunna bedöma om det finns särskilda omständigheter, i de fall som medlemsstaterna underrättat den om eller inom ramen för den egna analysen, som skulle motivera en tillämpning av lägre eller högre tröskelvärden än de som anges i berörda bestämmelser i förordning (EU) 2018/1806. Kommissionens bedömning bör exempelvis ta hänsyn till antalet otillåtna passager av medlemsstaternas yttre gränser, ogrundade asylansökningar eller brott i förhållande till antalet medlemsstater som påverkas och deras storlek samt antalets inverkan på den övergripande migrationssituationen, asylsystemens funktion eller den inre säkerheten i de berörda medlemsstaterna samt de åtgärder som det berörda tredjelandet har vidtagit för att avhjälpa situationen.</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33</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9</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9)</w:t>
            </w:r>
            <w:r w:rsidRPr="00CD4C97">
              <w:tab/>
              <w:t>Vid underrättelse till kommissionen om de omständigheter som kan utgöra grund för tillfälligt upphävande bör medlemsstaterna kunna beakta referensperioder som är längre än två månader för att identifiera inte bara plötsliga förändringar i den relevanta situationen utan även långsiktigare trender som kan motivera användningen av upphävandemekanismen.</w:t>
            </w:r>
          </w:p>
        </w:tc>
        <w:tc>
          <w:tcPr>
            <w:tcW w:w="4876" w:type="dxa"/>
          </w:tcPr>
          <w:p w:rsidR="002F59C7" w:rsidRPr="00CD4C97" w:rsidRDefault="002F59C7" w:rsidP="00CE174B">
            <w:pPr>
              <w:pStyle w:val="Normal6a"/>
            </w:pPr>
            <w:r w:rsidRPr="00CD4C97">
              <w:t>9)</w:t>
            </w:r>
            <w:r w:rsidRPr="00CD4C97">
              <w:tab/>
              <w:t xml:space="preserve">Vid underrättelse till kommissionen om de omständigheter som kan utgöra grund för tillfälligt upphävande bör medlemsstaterna kunna beakta referensperioder som är längre än två månader för att identifiera inte bara plötsliga förändringar i den relevanta situationen utan även långsiktigare trender som kan motivera användningen av upphävandemekanismen. </w:t>
            </w:r>
            <w:r w:rsidRPr="00CD4C97">
              <w:rPr>
                <w:b/>
                <w:i/>
              </w:rPr>
              <w:t>I undantagsfall som kräver omedelbara åtgärder bör kommissionen acceptera en referensperiod som är kortare än två månader när underrättelser lämnas av mer än en medlemsstat. Skälen för att utlösa mekanismen på de grunder som anges i denna förordning bör vara fullständiga och tydliga. Kommissionen ska omedelbart och utförligt informera rådet och parlamentet om underrättelser och beslut till följd av dessa.</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34</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9</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9)</w:t>
            </w:r>
            <w:r w:rsidRPr="00CD4C97">
              <w:tab/>
              <w:t>Vid underrättelse till kommissionen om de omständigheter som kan utgöra grund för tillfälligt upphävande bör medlemsstaterna kunna beakta referensperioder som är längre än två månader för att identifiera inte bara plötsliga förändringar i den relevanta situationen utan även långsiktigare trender som kan motivera användningen av upphävandemekanismen.</w:t>
            </w:r>
          </w:p>
        </w:tc>
        <w:tc>
          <w:tcPr>
            <w:tcW w:w="4876" w:type="dxa"/>
          </w:tcPr>
          <w:p w:rsidR="002F59C7" w:rsidRPr="00CD4C97" w:rsidRDefault="002F59C7" w:rsidP="00CE174B">
            <w:pPr>
              <w:pStyle w:val="Normal6a"/>
            </w:pPr>
            <w:r w:rsidRPr="00CD4C97">
              <w:t>9)</w:t>
            </w:r>
            <w:r w:rsidRPr="00CD4C97">
              <w:tab/>
              <w:t xml:space="preserve">Vid underrättelse till kommissionen om de omständigheter som kan utgöra grund för tillfälligt upphävande bör medlemsstaterna kunna beakta referensperioder som är längre än två månader </w:t>
            </w:r>
            <w:r w:rsidRPr="00CD4C97">
              <w:rPr>
                <w:b/>
                <w:i/>
              </w:rPr>
              <w:t>men inte längre än tolv månader</w:t>
            </w:r>
            <w:r w:rsidRPr="00CD4C97">
              <w:t xml:space="preserve"> för att identifiera inte bara plötsliga förändringar i den relevanta situationen utan även långsiktigare trender som kan motivera användningen av upphävandemekanismen.</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35</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9</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9)</w:t>
            </w:r>
            <w:r w:rsidRPr="00CD4C97">
              <w:tab/>
              <w:t xml:space="preserve">Vid underrättelse till kommissionen om de omständigheter som kan utgöra grund för tillfälligt upphävande bör medlemsstaterna </w:t>
            </w:r>
            <w:r w:rsidRPr="00CD4C97">
              <w:rPr>
                <w:b/>
                <w:i/>
              </w:rPr>
              <w:t>kunna</w:t>
            </w:r>
            <w:r w:rsidRPr="00CD4C97">
              <w:t xml:space="preserve"> beakta referensperioder </w:t>
            </w:r>
            <w:r w:rsidRPr="00CD4C97">
              <w:rPr>
                <w:b/>
                <w:i/>
              </w:rPr>
              <w:t>som är längre än</w:t>
            </w:r>
            <w:r w:rsidRPr="00CD4C97">
              <w:t xml:space="preserve"> två månader för att identifiera </w:t>
            </w:r>
            <w:r w:rsidRPr="00CD4C97">
              <w:rPr>
                <w:b/>
                <w:i/>
              </w:rPr>
              <w:t>inte bara</w:t>
            </w:r>
            <w:r w:rsidRPr="00CD4C97">
              <w:t xml:space="preserve"> plötsliga förändringar i den relevanta situationen </w:t>
            </w:r>
            <w:r w:rsidRPr="00CD4C97">
              <w:rPr>
                <w:b/>
                <w:i/>
              </w:rPr>
              <w:t>utan även långsiktigare trender</w:t>
            </w:r>
            <w:r w:rsidRPr="00CD4C97">
              <w:t xml:space="preserve"> som kan motivera användningen av upphävandemekanismen.</w:t>
            </w:r>
          </w:p>
        </w:tc>
        <w:tc>
          <w:tcPr>
            <w:tcW w:w="4876" w:type="dxa"/>
          </w:tcPr>
          <w:p w:rsidR="002F59C7" w:rsidRPr="00CD4C97" w:rsidRDefault="002F59C7" w:rsidP="00CE174B">
            <w:pPr>
              <w:pStyle w:val="Normal6a"/>
            </w:pPr>
            <w:r w:rsidRPr="00CD4C97">
              <w:t>9)</w:t>
            </w:r>
            <w:r w:rsidRPr="00CD4C97">
              <w:tab/>
              <w:t xml:space="preserve">Vid underrättelse till kommissionen om de omständigheter som kan utgöra grund för tillfälligt upphävande bör medlemsstaterna beakta referensperioder </w:t>
            </w:r>
            <w:r w:rsidRPr="00CD4C97">
              <w:rPr>
                <w:b/>
                <w:i/>
              </w:rPr>
              <w:t>på</w:t>
            </w:r>
            <w:r w:rsidRPr="00CD4C97">
              <w:t xml:space="preserve"> två månader för att identifiera plötsliga förändringar i den relevanta situationen som kan motivera användningen av upphävandemekanismen.</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36</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Matjaž Nemec</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9a (nytt)</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9a)</w:t>
            </w:r>
            <w:r w:rsidRPr="00CD4C97">
              <w:tab/>
            </w:r>
            <w:r w:rsidRPr="00CD4C97">
              <w:rPr>
                <w:b/>
                <w:i/>
              </w:rPr>
              <w:t>Det bör vara möjligt för Europaparlamentet att underrätta kommissionen om sin syn på att det finns omständigheter som kan utgöra grund för ett tillfälligt upphävande, särskilt i fall där ett system för medborgarskap för investerare drivs av tredjeländer i bilaga II till förordning (EU) 2018/1806, eller i fall där viseringspolitiken i ett tredjeland i bilaga II till förordning (EU) 2018/1806 inte stämmer överens med unionens viseringspolitik, eller vid en betydande och plötslig försämring av unionens yttre förbindelser med ett tredjeland i bilaga II, eller om det finns skäl för tillfälligt upphävande som föreskrivs i avtal om undantag från viseringskravet för kortare vistelser.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37</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Charlie Weimers, Patryk Jaki, Vincenzo Sofo, Jorge Buxadé Villalba, Pirkko Ruohonen-Lerner</w:t>
      </w:r>
      <w:r w:rsidRPr="00CD4C97">
        <w:rPr>
          <w:rStyle w:val="HideTWBExt"/>
          <w:color w:val="auto"/>
        </w:rPr>
        <w:t>&lt;/Members&gt;</w:t>
      </w:r>
    </w:p>
    <w:p w:rsidR="002F59C7" w:rsidRPr="00CD4C97" w:rsidRDefault="002F59C7" w:rsidP="002F59C7">
      <w:r w:rsidRPr="00CD4C97">
        <w:rPr>
          <w:rStyle w:val="HideTWBExt"/>
          <w:color w:val="auto"/>
        </w:rPr>
        <w:t>&lt;AuNomDe&gt;</w:t>
      </w:r>
      <w:r w:rsidRPr="00CD4C97">
        <w:rPr>
          <w:rStyle w:val="HideTWBInt"/>
          <w:color w:val="auto"/>
        </w:rPr>
        <w:t>{ECR}</w:t>
      </w:r>
      <w:r w:rsidRPr="00CD4C97">
        <w:t>för ECR-gruppen</w:t>
      </w:r>
      <w:r w:rsidRPr="00CD4C97">
        <w:rPr>
          <w:rStyle w:val="HideTWBExt"/>
          <w:color w:val="auto"/>
        </w:rPr>
        <w:t>&lt;/AuNomDe&gt;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9a (nytt)</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9a)</w:t>
            </w:r>
            <w:r w:rsidRPr="00CD4C97">
              <w:tab/>
            </w:r>
            <w:r w:rsidRPr="00CD4C97">
              <w:rPr>
                <w:b/>
                <w:i/>
              </w:rPr>
              <w:t>Kommissionens systematiska övervakning av de specifika kraven, som är baserade på artikel 1 och användes för att bedöma lämpligheten i att bevilja viseringsliberalisering, bör rikta särskild uppmärksamhet mot säkerhetsdimensionen för att säkerställa att länderna i bilaga II upprätthåller de ursprungliga kraven för brottsbekämpning och tillämpning av invandringslagstiftning, passäkerhet, terrorismbekämpning och kapacitet när det gäller gränskontroller.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38</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10</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10)</w:t>
            </w:r>
            <w:r w:rsidRPr="00CD4C97">
              <w:tab/>
              <w:t xml:space="preserve">När kommissionen anser det nödvändigt, eller på begäran av Europaparlamentet eller rådet, bör den rapportera om resultatet av sin systematiska övervakning av de viseringsfria systemen med alla tredjeländer som anges i förteckningen i bilaga II till förordning (EU) 2018/1806. Rapporten bör inriktas på de tredjeländer som enligt kommissionens analys uppvisar specifika problem som kan leda till att upphävandemekanismen utlöses om de inte åtgärdas. Kommissionen bör </w:t>
            </w:r>
            <w:r w:rsidRPr="00CD4C97">
              <w:rPr>
                <w:b/>
                <w:i/>
              </w:rPr>
              <w:t>särskilt överväga att</w:t>
            </w:r>
            <w:r w:rsidRPr="00CD4C97">
              <w:t xml:space="preserve"> rapportera om länder som nyligen har förtecknats i bilaga II utan att ha genomgått en dialog om viseringsliberalisering, om den anser det nödvändigt och särskilt under de första åren efter att undantaget från viseringskravet har trätt i kraft för dessa länder.</w:t>
            </w:r>
          </w:p>
        </w:tc>
        <w:tc>
          <w:tcPr>
            <w:tcW w:w="4876" w:type="dxa"/>
          </w:tcPr>
          <w:p w:rsidR="002F59C7" w:rsidRPr="00CD4C97" w:rsidRDefault="002F59C7" w:rsidP="00CE174B">
            <w:pPr>
              <w:pStyle w:val="Normal6a"/>
            </w:pPr>
            <w:r w:rsidRPr="00CD4C97">
              <w:t>10)</w:t>
            </w:r>
            <w:r w:rsidRPr="00CD4C97">
              <w:tab/>
              <w:t xml:space="preserve">När kommissionen anser det nödvändigt, eller på begäran av Europaparlamentet eller rådet, bör den rapportera om resultatet av sin systematiska övervakning av de viseringsfria systemen med alla tredjeländer som anges i förteckningen i bilaga II till förordning (EU) 2018/1806. Rapporten bör inriktas på de tredjeländer som enligt kommissionens analys uppvisar specifika problem som kan leda till att upphävandemekanismen utlöses om de inte åtgärdas. </w:t>
            </w:r>
            <w:r w:rsidRPr="00CD4C97">
              <w:rPr>
                <w:b/>
                <w:i/>
              </w:rPr>
              <w:t xml:space="preserve">Systematisk övervakning och rapportering ska ske på grundval av uppgifter som lagras i informationssystemet för viseringar (VIS), Schengens informationssystem, in- och utresesystemet, EU-systemet för reseuppgifter och resetillstånd (Etias) och det europeiska informationssystemet för utbyte av uppgifter ur kriminalregister avseende tredjelandsmedborgare (Ecris-TCN). Kommissionen bör säkerställa att varje tredjeland i bilaga II övervakas och är föremål för en rapport minst vart fjärde år. </w:t>
            </w:r>
            <w:r w:rsidRPr="00CD4C97">
              <w:t xml:space="preserve">Kommissionen bör </w:t>
            </w:r>
            <w:r w:rsidRPr="00CD4C97">
              <w:rPr>
                <w:b/>
                <w:i/>
              </w:rPr>
              <w:t>vidare</w:t>
            </w:r>
            <w:r w:rsidRPr="00CD4C97">
              <w:t xml:space="preserve"> rapportera om länder som nyligen har förtecknats i bilaga II utan att ha genomgått en dialog om viseringsliberalisering, om den anser det nödvändigt och särskilt under de första åren efter att undantaget från viseringskravet har trätt i kraft för dessa länder.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39</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10</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10)</w:t>
            </w:r>
            <w:r w:rsidRPr="00CD4C97">
              <w:tab/>
              <w:t xml:space="preserve">När kommissionen anser det nödvändigt, eller på begäran av Europaparlamentet eller rådet, bör den rapportera om resultatet av sin systematiska övervakning av de viseringsfria systemen med alla tredjeländer som anges i förteckningen i bilaga II till förordning (EU) 2018/1806. Rapporten bör inriktas på de tredjeländer som enligt kommissionens analys uppvisar specifika problem som kan leda till att upphävandemekanismen utlöses om de inte åtgärdas. Kommissionen bör särskilt </w:t>
            </w:r>
            <w:r w:rsidRPr="00CD4C97">
              <w:rPr>
                <w:b/>
                <w:i/>
              </w:rPr>
              <w:t xml:space="preserve">överväga att </w:t>
            </w:r>
            <w:r w:rsidRPr="00CD4C97">
              <w:t>rapportera om länder som nyligen har förtecknats i bilaga II utan att ha genomgått en dialog om viseringsliberalisering, om den anser det nödvändigt och särskilt under de första åren efter att undantaget från viseringskravet har trätt i kraft för dessa länder.</w:t>
            </w:r>
          </w:p>
        </w:tc>
        <w:tc>
          <w:tcPr>
            <w:tcW w:w="4876" w:type="dxa"/>
          </w:tcPr>
          <w:p w:rsidR="002F59C7" w:rsidRPr="00CD4C97" w:rsidRDefault="002F59C7" w:rsidP="00CE174B">
            <w:pPr>
              <w:pStyle w:val="Normal6a"/>
            </w:pPr>
            <w:r w:rsidRPr="00CD4C97">
              <w:t>10)</w:t>
            </w:r>
            <w:r w:rsidRPr="00CD4C97">
              <w:tab/>
              <w:t>När kommissionen anser det nödvändigt, eller på begäran av Europaparlamentet eller rådet, bör den rapportera om resultatet av sin systematiska övervakning av de viseringsfria systemen med alla tredjeländer som anges i förteckningen i bilaga II till förordning (EU) 2018/1806. Rapporten bör inriktas på de tredjeländer som enligt kommissionens analys uppvisar specifika problem som kan leda till att upphävandemekanismen utlöses om de inte åtgärdas. Kommissionen bör särskilt rapportera om länder som nyligen har förtecknats i bilaga II utan att ha genomgått en dialog om viseringsliberalisering, om den anser det nödvändigt och särskilt under de första åren efter att undantaget från viseringskravet har trätt i kraft för dessa länder.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40</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10a (nytt)</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10a)</w:t>
            </w:r>
            <w:r w:rsidRPr="00CD4C97">
              <w:tab/>
            </w:r>
            <w:r w:rsidRPr="00CD4C97">
              <w:rPr>
                <w:b/>
                <w:i/>
              </w:rPr>
              <w:t>Mot bakgrund av de långtgående konsekvenser som det tillfälliga upphävandet av undantaget från viseringskravet kan få på medborgarna i det berörda tredjelandet bör kommissionen prioritera en riktad strategi, och tillämpa åtgärden först och främst på utvalda personer i ansvarsställning, exempelvis medlemmar i tredjelandets officiella delegationer, medlemmar i lokala, regionala och nationella regeringar, parlamentsledamöter eller högt uppsatta offentliga eller militära tjänstemän, samtidigt som den strävar efter att minimera de negativa konsekvenserna för allmänheten.</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41</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10b (nytt)</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10b)</w:t>
            </w:r>
            <w:r w:rsidRPr="00CD4C97">
              <w:tab/>
            </w:r>
            <w:r w:rsidRPr="00CD4C97">
              <w:rPr>
                <w:b/>
                <w:i/>
              </w:rPr>
              <w:t>Mot bakgrund av konsekvenserna av det tillfälliga upphävandet för medborgarna i de berörda tredjeländerna, och med hänsyn till kraven i artikel 13 i EU-fördraget för unionens institutionella ram för att säkerställa effektiviteten i dess politik och åtgärder bör kommissionen permanent övervaka om utlösandet av upphävandemekanismen skulle uppnå det avsedda resultatet, och regelbundet rapportera till Europaparlamentet och rådet.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42</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11</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11)</w:t>
            </w:r>
            <w:r w:rsidRPr="00CD4C97">
              <w:tab/>
              <w:t xml:space="preserve">Om ett beslut har fattats om att tillfälligt upphäva undantaget från viseringskravet för ett tredjeland bör det finnas en lämplig tidsram för den förstärkta dialogen mellan kommissionen och det berörda tredjelandet i syfte att avhjälpa de omständigheter som ledde till upphävandet. I detta syfte bör varaktigheten för det tillfälliga upphävande som beslutas genom en </w:t>
            </w:r>
            <w:r w:rsidRPr="00CD4C97">
              <w:rPr>
                <w:b/>
                <w:i/>
              </w:rPr>
              <w:t>genomförandeakt</w:t>
            </w:r>
            <w:r w:rsidRPr="00CD4C97">
              <w:t xml:space="preserve"> från kommissionen i en första fas vara 12 månader, med en möjlighet till förlängning i en andra fas med ytterligare 24 månader genom en delegerad akt. Om ingen lösning hittas före utgången av den delegerade aktens giltighetstid och kommissionen lägger fram ett lagstiftningsförslag om överföring av det berörda tredjelandet från bilaga II till bilaga I till förordning (EU) 2018/1806, bör kommissionen anta en delegerad akt som förlänger det tillfälliga upphävandet till dess att det antagna förslaget träder i kraft.</w:t>
            </w:r>
          </w:p>
        </w:tc>
        <w:tc>
          <w:tcPr>
            <w:tcW w:w="4876" w:type="dxa"/>
          </w:tcPr>
          <w:p w:rsidR="002F59C7" w:rsidRPr="00CD4C97" w:rsidRDefault="002F59C7" w:rsidP="00CE174B">
            <w:pPr>
              <w:pStyle w:val="Normal6a"/>
            </w:pPr>
            <w:r w:rsidRPr="00CD4C97">
              <w:t>11)</w:t>
            </w:r>
            <w:r w:rsidRPr="00CD4C97">
              <w:tab/>
              <w:t xml:space="preserve">Om ett beslut har fattats om att tillfälligt upphäva undantaget från viseringskravet för ett tredjeland bör det finnas en lämplig tidsram för den förstärkta dialogen mellan kommissionen och det berörda tredjelandet i syfte att avhjälpa de omständigheter som ledde till upphävandet. I detta syfte bör varaktigheten för det tillfälliga upphävande som beslutas genom en </w:t>
            </w:r>
            <w:r w:rsidRPr="00CD4C97">
              <w:rPr>
                <w:b/>
                <w:i/>
              </w:rPr>
              <w:t>delegerad akt</w:t>
            </w:r>
            <w:r w:rsidRPr="00CD4C97">
              <w:t xml:space="preserve"> från kommissionen i en första fas vara 12 månader, med en möjlighet till förlängning i en andra fas med ytterligare 24 månader genom en delegerad akt. Om ingen lösning hittas före utgången av den delegerade aktens giltighetstid och kommissionen lägger fram ett lagstiftningsförslag om överföring av det berörda tredjelandet från bilaga II till bilaga I till förordning (EU) 2018/1806, bör kommissionen anta en delegerad akt som förlänger det tillfälliga upphävandet till dess att det antagna förslaget träder i kraft.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43</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12</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12)</w:t>
            </w:r>
            <w:r w:rsidRPr="00CD4C97">
              <w:tab/>
            </w:r>
            <w:r w:rsidRPr="00CD4C97">
              <w:rPr>
                <w:b/>
                <w:i/>
              </w:rPr>
              <w:t>Kommissionen bör anta genomförandeakter med omedelbar verkan om tvingande skäl till skyndsamhet i vederbörligen motiverade fall med anknytning till utlösandet av upphävandemekanismen kräver skyndsamma åtgärder, särskilt för att förhindra missbruk av viseringsfritt resande som orsakar en massiv tillströmning av tredjelandsmedborgare som anländer irreguljärt till medlemsstaternas territorium eller allvarlig skada för medlemsstaternas allmänna ordning eller inre säkerhet.</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44</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Miguel Urbán Crespo</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12</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12)</w:t>
            </w:r>
            <w:r w:rsidRPr="00CD4C97">
              <w:tab/>
            </w:r>
            <w:r w:rsidRPr="00CD4C97">
              <w:rPr>
                <w:b/>
                <w:i/>
              </w:rPr>
              <w:t>Kommissionen bör anta genomförandeakter med omedelbar verkan om tvingande skäl till skyndsamhet i vederbörligen motiverade fall med anknytning till utlösandet av upphävandemekanismen kräver skyndsamma åtgärder, särskilt för att förhindra missbruk av viseringsfritt resande som orsakar en massiv tillströmning av tredjelandsmedborgare som anländer irreguljärt till medlemsstaternas territorium eller allvarlig skada för medlemsstaternas allmänna ordning eller inre säkerhet.</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45</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12</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12)</w:t>
            </w:r>
            <w:r w:rsidRPr="00CD4C97">
              <w:tab/>
              <w:t>Kommissionen bör anta genomförandeakter med omedelbar verkan om</w:t>
            </w:r>
            <w:r w:rsidRPr="00CD4C97">
              <w:rPr>
                <w:b/>
                <w:i/>
              </w:rPr>
              <w:t xml:space="preserve"> tvingande skäl till skyndsamhet</w:t>
            </w:r>
            <w:r w:rsidRPr="00CD4C97">
              <w:t xml:space="preserve"> i vederbörligen motiverade fall med anknytning till utlösandet av upphävandemekanismen kräver </w:t>
            </w:r>
            <w:r w:rsidRPr="00CD4C97">
              <w:rPr>
                <w:b/>
                <w:i/>
              </w:rPr>
              <w:t xml:space="preserve">skyndsamma </w:t>
            </w:r>
            <w:r w:rsidRPr="00CD4C97">
              <w:t>åtgärder, särskilt för att förhindra missbruk av viseringsfritt resande som orsakar en massiv tillströmning av tredjelandsmedborgare som anländer irreguljärt till medlemsstaternas territorium eller allvarlig skada för medlemsstaternas allmänna ordning eller inre säkerhet.</w:t>
            </w:r>
          </w:p>
        </w:tc>
        <w:tc>
          <w:tcPr>
            <w:tcW w:w="4876" w:type="dxa"/>
          </w:tcPr>
          <w:p w:rsidR="002F59C7" w:rsidRPr="00CD4C97" w:rsidRDefault="002F59C7" w:rsidP="00CE174B">
            <w:pPr>
              <w:pStyle w:val="Normal6a"/>
            </w:pPr>
            <w:r w:rsidRPr="00CD4C97">
              <w:t>12)</w:t>
            </w:r>
            <w:r w:rsidRPr="00CD4C97">
              <w:tab/>
              <w:t xml:space="preserve">Kommissionen bör anta genomförandeakter med omedelbar verkan om </w:t>
            </w:r>
            <w:r w:rsidRPr="00CD4C97">
              <w:rPr>
                <w:b/>
                <w:i/>
              </w:rPr>
              <w:t xml:space="preserve">ett allvarligt hot mot den allmänna ordningen eller inre säkerheten i en medlemsstat i enlighet med artikel 8a.d </w:t>
            </w:r>
            <w:r w:rsidRPr="00CD4C97">
              <w:t>i vederbörligen motiverade fall med anknytning till utlösandet av upphävandemekanismen</w:t>
            </w:r>
            <w:r w:rsidRPr="00CD4C97">
              <w:rPr>
                <w:b/>
                <w:i/>
              </w:rPr>
              <w:t xml:space="preserve"> är oförutsebart och </w:t>
            </w:r>
            <w:r w:rsidRPr="00CD4C97">
              <w:t>kräver</w:t>
            </w:r>
            <w:r w:rsidRPr="00CD4C97">
              <w:rPr>
                <w:b/>
                <w:i/>
              </w:rPr>
              <w:t xml:space="preserve"> omedelbara</w:t>
            </w:r>
            <w:r w:rsidRPr="00CD4C97">
              <w:t xml:space="preserve"> åtgärder, särskilt för att förhindra missbruk av viseringsfritt resande som orsakar en massiv tillströmning av tredjelandsmedborgare som anländer irreguljärt till medlemsstaternas territorium eller allvarlig skada för medlemsstaternas allmänna ordning eller inre säkerhet.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46</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Skäl 13</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13)</w:t>
            </w:r>
            <w:r w:rsidRPr="00CD4C97">
              <w:tab/>
              <w:t xml:space="preserve">Om de omständigheter som ledde till det tillfälliga upphävandet åtgärdas innan upphävandeperioden löper ut bör det tillfälliga upphävandet hävas. I detta syfte bör kommissionen anta </w:t>
            </w:r>
            <w:r w:rsidRPr="00CD4C97">
              <w:rPr>
                <w:b/>
                <w:i/>
              </w:rPr>
              <w:t>en genomförandeakt innan den upphävandeperiod som anges i den relevanta genomförandeakten löper ut respektive en delegerad akt</w:t>
            </w:r>
            <w:r w:rsidRPr="00CD4C97">
              <w:t xml:space="preserve"> innan den upphävandeperiod som anges i </w:t>
            </w:r>
            <w:r w:rsidRPr="00CD4C97">
              <w:rPr>
                <w:b/>
                <w:i/>
              </w:rPr>
              <w:t xml:space="preserve">den </w:t>
            </w:r>
            <w:r w:rsidRPr="00CD4C97">
              <w:t xml:space="preserve">relevanta delegerade </w:t>
            </w:r>
            <w:r w:rsidRPr="00CD4C97">
              <w:rPr>
                <w:b/>
                <w:i/>
              </w:rPr>
              <w:t>akten</w:t>
            </w:r>
            <w:r w:rsidRPr="00CD4C97">
              <w:t xml:space="preserve"> löper ut.</w:t>
            </w:r>
          </w:p>
        </w:tc>
        <w:tc>
          <w:tcPr>
            <w:tcW w:w="4876" w:type="dxa"/>
          </w:tcPr>
          <w:p w:rsidR="002F59C7" w:rsidRPr="00CD4C97" w:rsidRDefault="002F59C7" w:rsidP="00CE174B">
            <w:pPr>
              <w:pStyle w:val="Normal6a"/>
            </w:pPr>
            <w:r w:rsidRPr="00CD4C97">
              <w:t>13)</w:t>
            </w:r>
            <w:r w:rsidRPr="00CD4C97">
              <w:tab/>
              <w:t>Om de omständigheter som ledde till det tillfälliga upphävandet åtgärdas innan upphävandeperioden löper ut</w:t>
            </w:r>
            <w:r w:rsidRPr="00CD4C97">
              <w:rPr>
                <w:b/>
                <w:i/>
              </w:rPr>
              <w:t>, eller om upphävandet visar sig vara ineffektivt för att avhjälpa situationen</w:t>
            </w:r>
            <w:r w:rsidRPr="00CD4C97">
              <w:t xml:space="preserve"> bör det tillfälliga upphävandet hävas. I detta syfte bör kommissionen anta</w:t>
            </w:r>
            <w:r w:rsidRPr="00CD4C97">
              <w:rPr>
                <w:b/>
                <w:i/>
              </w:rPr>
              <w:t xml:space="preserve"> delegerade akter</w:t>
            </w:r>
            <w:r w:rsidRPr="00CD4C97">
              <w:t xml:space="preserve"> innan den upphävandeperiod som anges i </w:t>
            </w:r>
            <w:r w:rsidRPr="00CD4C97">
              <w:rPr>
                <w:b/>
                <w:i/>
              </w:rPr>
              <w:t xml:space="preserve">de </w:t>
            </w:r>
            <w:r w:rsidRPr="00CD4C97">
              <w:t xml:space="preserve">relevanta delegerade </w:t>
            </w:r>
            <w:r w:rsidRPr="00CD4C97">
              <w:rPr>
                <w:b/>
                <w:i/>
              </w:rPr>
              <w:t>akterna</w:t>
            </w:r>
            <w:r w:rsidRPr="00CD4C97">
              <w:t xml:space="preserve"> löper ut.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47</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Moritz Körner, Sophia in 't Veld</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-1 (nytt)</w:t>
      </w:r>
      <w:r w:rsidRPr="00CD4C9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(-1)</w:t>
            </w:r>
            <w:r w:rsidRPr="00CD4C97">
              <w:tab/>
            </w:r>
            <w:r w:rsidRPr="00CD4C97">
              <w:rPr>
                <w:b/>
                <w:i/>
              </w:rPr>
              <w:t>Artikel 7 d ska ersättas med följande:</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d) Kommissionen ska, när den överväger ytterligare åtgärder i enlighet med leden e eller h, beakta resultatet av de åtgärder som vidtagits av den berörda medlemsstaten för att säkerställa viseringsfria resor till det berörda tredjelandet, de åtgärder som vidtagits i enlighet med led b samt följderna av upphävande av undantaget från viseringskravet för unionens och dess medlemsstaters yttre förbindelser med tredjelandet i fråga.</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pPr>
        <w:pStyle w:val="AmJustTitle"/>
      </w:pPr>
      <w:r w:rsidRPr="00CD4C97">
        <w:rPr>
          <w:rStyle w:val="HideTWBExt"/>
          <w:color w:val="auto"/>
        </w:rPr>
        <w:t>&lt;TitreJust&gt;</w:t>
      </w:r>
      <w:r w:rsidRPr="00CD4C97">
        <w:t>Motivering</w:t>
      </w:r>
      <w:r w:rsidRPr="00CD4C97">
        <w:rPr>
          <w:rStyle w:val="HideTWBExt"/>
          <w:color w:val="auto"/>
        </w:rPr>
        <w:t>&lt;/TitreJust&gt;</w:t>
      </w:r>
    </w:p>
    <w:p w:rsidR="002F59C7" w:rsidRPr="00CD4C97" w:rsidRDefault="002F59C7" w:rsidP="002F59C7">
      <w:pPr>
        <w:pStyle w:val="AmJustText"/>
      </w:pPr>
      <w:r w:rsidRPr="00CD4C97">
        <w:t>Om detta ändringsförslag antas kommer kommissionen slutligen att tvingas att uppnå ömsesidighet i fråga om viseringskrav för alla EU-medborgare. Parlamentet drog kommissionen inför rätta eftersom kommissionen har underlåtit att vidta de lagligen nödvändiga åtgärderna för att uppnå ömsesidighet i fråga om viseringskrav för bulgariska, cypriotiska och rumänska medborgare med tredjeländer. Detta ändringsförslag raderar enbart hänvisningen till led f i artikel 7 d [som därmed enbart hänvisar till leden e och h], och raderar därmed den ursäkt som kommissionen har använt för att inte agera i enlighet med parlamentets förväntan sedan 2014.</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48</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1</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 – punkt 2</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2.</w:t>
            </w:r>
            <w:r w:rsidRPr="00CD4C97">
              <w:tab/>
            </w:r>
            <w:r w:rsidRPr="00CD4C97">
              <w:rPr>
                <w:b/>
                <w:i/>
              </w:rPr>
              <w:t>I fall där ett avtal mellan unionen och ett tredjeland som anges i förteckningen i bilaga II om undantag från viseringskravet för kortare vistelser innehåller bestämmelser om andra grunder för upphävande eller andra förfaranden, ska dessa bestämmelser tillämpas i stället för artiklarna 8a, 8e och 8f i denna förordning.</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49</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Matjaž Nemec</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1</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 – punkt 2</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2.</w:t>
            </w:r>
            <w:r w:rsidRPr="00CD4C97">
              <w:tab/>
              <w:t xml:space="preserve">I fall där ett avtal mellan unionen och ett tredjeland som anges i förteckningen i bilaga II om undantag från viseringskravet för kortare vistelser </w:t>
            </w:r>
            <w:r w:rsidRPr="00CD4C97">
              <w:rPr>
                <w:b/>
                <w:i/>
              </w:rPr>
              <w:t>innehåller bestämmelser om andra grunder för upphävande eller andra förfaranden, ska dessa bestämmelser tillämpas i stället för</w:t>
            </w:r>
            <w:r w:rsidRPr="00CD4C97">
              <w:t xml:space="preserve"> artiklarna 8a, 8e och 8f i denna förordning.</w:t>
            </w:r>
          </w:p>
        </w:tc>
        <w:tc>
          <w:tcPr>
            <w:tcW w:w="4876" w:type="dxa"/>
          </w:tcPr>
          <w:p w:rsidR="002F59C7" w:rsidRPr="00CD4C97" w:rsidRDefault="002F59C7" w:rsidP="00CE174B">
            <w:pPr>
              <w:pStyle w:val="Normal6a"/>
            </w:pPr>
            <w:r w:rsidRPr="00CD4C97">
              <w:t>2.</w:t>
            </w:r>
            <w:r w:rsidRPr="00CD4C97">
              <w:tab/>
              <w:t xml:space="preserve">I fall där ett avtal mellan unionen och ett tredjeland som anges i förteckningen i bilaga II om undantag från viseringskravet för kortare vistelser </w:t>
            </w:r>
            <w:r w:rsidRPr="00CD4C97">
              <w:rPr>
                <w:b/>
                <w:i/>
              </w:rPr>
              <w:t>har ingåtts ska</w:t>
            </w:r>
            <w:r w:rsidRPr="00CD4C97">
              <w:t xml:space="preserve"> artiklarna 8a, 8e och 8f i denna förordning </w:t>
            </w:r>
            <w:r w:rsidRPr="00CD4C97">
              <w:rPr>
                <w:b/>
                <w:i/>
              </w:rPr>
              <w:t>gälla utan att det påverkar de relevanta bestämmelserna om grunder för tillfälligt upphävande och de förfaranden som föreskrivs i avtalet</w:t>
            </w:r>
            <w:r w:rsidRPr="00CD4C97">
              <w: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50</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1.</w:t>
            </w:r>
            <w:r w:rsidRPr="00CD4C97">
              <w:tab/>
              <w:t>Upphävandemekanismen kan utlösas på följande grunder:</w:t>
            </w:r>
          </w:p>
        </w:tc>
        <w:tc>
          <w:tcPr>
            <w:tcW w:w="4876" w:type="dxa"/>
          </w:tcPr>
          <w:p w:rsidR="002F59C7" w:rsidRPr="00CD4C97" w:rsidRDefault="002F59C7" w:rsidP="00CE174B">
            <w:pPr>
              <w:pStyle w:val="Normal6a"/>
            </w:pPr>
            <w:r w:rsidRPr="00CD4C97">
              <w:t>1.</w:t>
            </w:r>
            <w:r w:rsidRPr="00CD4C97">
              <w:tab/>
              <w:t xml:space="preserve">Upphävandemekanismen kan utlösas på </w:t>
            </w:r>
            <w:r w:rsidRPr="00CD4C97">
              <w:rPr>
                <w:b/>
                <w:i/>
              </w:rPr>
              <w:t>en eller flera av</w:t>
            </w:r>
            <w:r w:rsidRPr="00CD4C97">
              <w:t xml:space="preserve"> följande grunder: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51</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a</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a)</w:t>
            </w:r>
            <w:r w:rsidRPr="00CD4C97">
              <w:tab/>
              <w:t>En betydande ökning av antalet medborgare i ett tredjeland som anges i förteckningen i bilaga II vilka nekats inresa eller konstaterats vistas på en medlemsstats territorium utan att ha rätt till det.</w:t>
            </w:r>
          </w:p>
        </w:tc>
        <w:tc>
          <w:tcPr>
            <w:tcW w:w="4876" w:type="dxa"/>
          </w:tcPr>
          <w:p w:rsidR="002F59C7" w:rsidRPr="00CD4C97" w:rsidRDefault="002F59C7" w:rsidP="00CE174B">
            <w:pPr>
              <w:pStyle w:val="Normal6a"/>
            </w:pPr>
            <w:r w:rsidRPr="00CD4C97">
              <w:t>a)</w:t>
            </w:r>
            <w:r w:rsidRPr="00CD4C97">
              <w:tab/>
              <w:t xml:space="preserve">En betydande ökning av antalet medborgare i ett tredjeland som anges i förteckningen i bilaga II vilka nekats inresa eller konstaterats vistas på en medlemsstats territorium utan att ha rätt till det </w:t>
            </w:r>
            <w:r w:rsidRPr="00CD4C97">
              <w:rPr>
                <w:b/>
                <w:i/>
              </w:rPr>
              <w:t>eller stannat kvar under längre tid än perioden med viseringsfrihet</w:t>
            </w:r>
            <w:r w:rsidRPr="00CD4C97">
              <w: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52</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Leopoldo López Gil, Javier Zarzalejos</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b</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b)</w:t>
            </w:r>
            <w:r w:rsidRPr="00CD4C97">
              <w:tab/>
            </w:r>
            <w:r w:rsidRPr="00CD4C97">
              <w:rPr>
                <w:b/>
                <w:i/>
              </w:rPr>
              <w:t>En betydande ökning av antalet asylansökningar från medborgare i ett tredjeland som anges i förteckningen i bilaga II där andelen godkända ansökningar är låg.</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{ES}</w:t>
      </w:r>
      <w:r w:rsidRPr="00CD4C97">
        <w:t>es</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53</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Miguel Urbán Crespo</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b</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b)</w:t>
            </w:r>
            <w:r w:rsidRPr="00CD4C97">
              <w:tab/>
            </w:r>
            <w:r w:rsidRPr="00CD4C97">
              <w:rPr>
                <w:b/>
                <w:i/>
              </w:rPr>
              <w:t>En betydande ökning av antalet asylansökningar från medborgare i ett tredjeland som anges i förteckningen i bilaga II där andelen godkända ansökningar är låg.</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pPr>
        <w:pStyle w:val="AmJustTitle"/>
      </w:pPr>
      <w:r w:rsidRPr="00CD4C97">
        <w:rPr>
          <w:rStyle w:val="HideTWBExt"/>
          <w:color w:val="auto"/>
        </w:rPr>
        <w:t>&lt;TitreJust&gt;</w:t>
      </w:r>
      <w:r w:rsidRPr="00CD4C97">
        <w:t>Motivering</w:t>
      </w:r>
      <w:r w:rsidRPr="00CD4C97">
        <w:rPr>
          <w:rStyle w:val="HideTWBExt"/>
          <w:color w:val="auto"/>
        </w:rPr>
        <w:t>&lt;/TitreJust&gt;</w:t>
      </w:r>
    </w:p>
    <w:p w:rsidR="002F59C7" w:rsidRPr="00CD4C97" w:rsidRDefault="002F59C7" w:rsidP="002F59C7">
      <w:pPr>
        <w:pStyle w:val="AmJustText"/>
      </w:pPr>
      <w:r w:rsidRPr="00CD4C97">
        <w:t>Denna formulering kan bryta mot asylrätten som garanteras i artikel 18 i EU-stadgan om de grundläggande rättigheterna.</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54</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Charlie Weimers, Patryk Jaki, Vincenzo Sofo, Jorge Buxadé Villalba, Pirkko Ruohonen-Lerner</w:t>
      </w:r>
      <w:r w:rsidRPr="00CD4C97">
        <w:rPr>
          <w:rStyle w:val="HideTWBExt"/>
          <w:color w:val="auto"/>
        </w:rPr>
        <w:t>&lt;/Members&gt;</w:t>
      </w:r>
    </w:p>
    <w:p w:rsidR="002F59C7" w:rsidRPr="00CD4C97" w:rsidRDefault="002F59C7" w:rsidP="002F59C7">
      <w:r w:rsidRPr="00CD4C97">
        <w:rPr>
          <w:rStyle w:val="HideTWBExt"/>
          <w:color w:val="auto"/>
        </w:rPr>
        <w:t>&lt;AuNomDe&gt;</w:t>
      </w:r>
      <w:r w:rsidRPr="00CD4C97">
        <w:rPr>
          <w:rStyle w:val="HideTWBInt"/>
          <w:color w:val="auto"/>
        </w:rPr>
        <w:t>{ECR}</w:t>
      </w:r>
      <w:r w:rsidRPr="00CD4C97">
        <w:t>för ECR-gruppen</w:t>
      </w:r>
      <w:r w:rsidRPr="00CD4C97">
        <w:rPr>
          <w:rStyle w:val="HideTWBExt"/>
          <w:color w:val="auto"/>
        </w:rPr>
        <w:t>&lt;/AuNomDe&gt;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ba (nytt)</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(ba)</w:t>
            </w:r>
            <w:r w:rsidRPr="00CD4C97">
              <w:tab/>
            </w:r>
            <w:r w:rsidRPr="00CD4C97">
              <w:rPr>
                <w:b/>
                <w:i/>
              </w:rPr>
              <w:t>En betydande ökning av antalet asylansökningar från medborgare i ett tredjeland som anges i förteckningen i bilaga II.</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8E7DFF">
      <w:pPr>
        <w:pStyle w:val="AmJustTitle"/>
        <w:keepLines/>
        <w:widowControl/>
      </w:pPr>
      <w:r w:rsidRPr="00CD4C97">
        <w:rPr>
          <w:rStyle w:val="HideTWBExt"/>
          <w:color w:val="auto"/>
        </w:rPr>
        <w:t>&lt;TitreJust&gt;</w:t>
      </w:r>
      <w:r w:rsidRPr="00CD4C97">
        <w:t>Motivering</w:t>
      </w:r>
      <w:r w:rsidRPr="00CD4C97">
        <w:rPr>
          <w:rStyle w:val="HideTWBExt"/>
          <w:color w:val="auto"/>
        </w:rPr>
        <w:t>&lt;/TitreJust&gt;</w:t>
      </w:r>
    </w:p>
    <w:p w:rsidR="002F59C7" w:rsidRPr="00CD4C97" w:rsidRDefault="002F59C7" w:rsidP="008E7DFF">
      <w:pPr>
        <w:pStyle w:val="AmJustText"/>
        <w:keepNext/>
        <w:keepLines/>
        <w:widowControl/>
      </w:pPr>
      <w:r w:rsidRPr="00CD4C97">
        <w:t>15 % av alla asylansökningar under 2022 gjordes av medborgare från länder med viseringsfrihet. Under 2023 ökade detta till omkring 20 % enligt EU:s asylbyrå. Många av dessa ansökningar gjordes av tredjelandsmedborgare från länder med mer än 4 % godkända asylansökningar. Huvudsyftet med detta förslag är enligt kommissionen att göra upphävandemekanismen bättre lämpad att snabbt och beslutsamt kunna användas för att svara på nya utmaningar på området irreguljär migration och säkerhet vilka härrör från viseringsfria tredjeländer samt att motverka missbruk av viseringsfritt resande. Syftet med avtal om viseringsfrihet är att underlätta ekonomisk utveckling, turism och kulturellt utbyte, och inte att möjliggöra asylshopping i hela Schengenområdet. Därför bör en betydande ökning av asylansökningarna, oberoende av andelen godkända asylansökningar, också beaktas som en grund för tillfälligt upphävande.</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55</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Miguel Urbán Crespo</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c</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c)</w:t>
            </w:r>
            <w:r w:rsidRPr="00CD4C97">
              <w:tab/>
            </w:r>
            <w:r w:rsidRPr="00CD4C97">
              <w:rPr>
                <w:b/>
                <w:i/>
              </w:rPr>
              <w:t>Ett minskat samarbete om återtagande med ett tredjeland som anges i förteckningen i bilaga II eller andra fall av bristande samarbete i fråga om återtagande.</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56</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d</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d)</w:t>
            </w:r>
            <w:r w:rsidRPr="00CD4C97">
              <w:tab/>
              <w:t xml:space="preserve">En betydande risk eller ett omedelbart hot mot den allmänna ordningen eller den inre säkerheten i medlemsstaterna med kopplingar till ett tredjeland som anges i förteckningen i bilaga II och som härrör från </w:t>
            </w:r>
            <w:r w:rsidRPr="00CD4C97">
              <w:rPr>
                <w:b/>
                <w:i/>
              </w:rPr>
              <w:t>något av följande:</w:t>
            </w:r>
          </w:p>
        </w:tc>
        <w:tc>
          <w:tcPr>
            <w:tcW w:w="4876" w:type="dxa"/>
          </w:tcPr>
          <w:p w:rsidR="002F59C7" w:rsidRPr="00CD4C97" w:rsidRDefault="002F59C7" w:rsidP="00CE174B">
            <w:pPr>
              <w:pStyle w:val="Normal6a"/>
            </w:pPr>
            <w:r w:rsidRPr="00CD4C97">
              <w:t>d)</w:t>
            </w:r>
            <w:r w:rsidRPr="00CD4C97">
              <w:tab/>
              <w:t xml:space="preserve">En betydande risk eller ett omedelbart hot mot den allmänna ordningen eller den inre säkerheten i medlemsstaterna med kopplingar till ett tredjeland som anges i förteckningen i bilaga II och som härrör från </w:t>
            </w:r>
            <w:r w:rsidRPr="00CD4C97">
              <w:rPr>
                <w:b/>
                <w:i/>
              </w:rPr>
              <w:t>en betydande ökning av antalet allvarliga brott med kopplingar till medborgare i det berörda tredjelandet, som styrks av objektiv, konkret och relevant information och uppgifter från behöriga myndigheter.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57</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Jaak Madison</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d</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d)</w:t>
            </w:r>
            <w:r w:rsidRPr="00CD4C97">
              <w:tab/>
              <w:t>En</w:t>
            </w:r>
            <w:r w:rsidRPr="00CD4C97">
              <w:rPr>
                <w:b/>
                <w:i/>
              </w:rPr>
              <w:t xml:space="preserve"> betydande</w:t>
            </w:r>
            <w:r w:rsidRPr="00CD4C97">
              <w:t xml:space="preserve"> risk eller ett omedelbart hot mot den allmänna ordningen eller den inre säkerheten i medlemsstaterna med kopplingar till ett tredjeland som anges i förteckningen i bilaga II och som härrör från något av följande:</w:t>
            </w:r>
          </w:p>
        </w:tc>
        <w:tc>
          <w:tcPr>
            <w:tcW w:w="4876" w:type="dxa"/>
          </w:tcPr>
          <w:p w:rsidR="002F59C7" w:rsidRPr="00CD4C97" w:rsidRDefault="002F59C7" w:rsidP="00CE174B">
            <w:pPr>
              <w:pStyle w:val="Normal6a"/>
            </w:pPr>
            <w:r w:rsidRPr="00CD4C97">
              <w:t>d)</w:t>
            </w:r>
            <w:r w:rsidRPr="00CD4C97">
              <w:tab/>
              <w:t>En risk eller ett omedelbart hot mot den allmänna ordningen eller den inre säkerheten i medlemsstaterna med kopplingar till ett tredjeland som anges i förteckningen i bilaga II och som härrör från något av följande:</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58</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d – led i</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i)</w:t>
            </w:r>
            <w:r w:rsidRPr="00CD4C97">
              <w:tab/>
            </w:r>
            <w:r w:rsidRPr="00CD4C97">
              <w:rPr>
                <w:b/>
                <w:i/>
              </w:rPr>
              <w:t>En betydande ökning av antalet allvarliga brott med kopplingar till medborgare i det berörda tredjelandet, som styrks av objektiv, konkret och relevant information och uppgifter från behöriga myndigheter.</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59</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Jaak Madison</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d – led i</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i)</w:t>
            </w:r>
            <w:r w:rsidRPr="00CD4C97">
              <w:tab/>
              <w:t xml:space="preserve">En </w:t>
            </w:r>
            <w:r w:rsidRPr="00CD4C97">
              <w:rPr>
                <w:b/>
                <w:i/>
              </w:rPr>
              <w:t>betydande</w:t>
            </w:r>
            <w:r w:rsidRPr="00CD4C97">
              <w:t xml:space="preserve"> ökning av antalet allvarliga brott med kopplingar till medborgare i det berörda tredjelandet, som styrks av objektiv, konkret och relevant information och uppgifter från behöriga myndigheter.</w:t>
            </w:r>
          </w:p>
        </w:tc>
        <w:tc>
          <w:tcPr>
            <w:tcW w:w="4876" w:type="dxa"/>
          </w:tcPr>
          <w:p w:rsidR="002F59C7" w:rsidRPr="00CD4C97" w:rsidRDefault="002F59C7" w:rsidP="00CE174B">
            <w:pPr>
              <w:pStyle w:val="Normal6a"/>
            </w:pPr>
            <w:r w:rsidRPr="00CD4C97">
              <w:t>i)</w:t>
            </w:r>
            <w:r w:rsidRPr="00CD4C97">
              <w:tab/>
              <w:t xml:space="preserve">En ökning av antalet allvarliga brott med kopplingar till medborgare i det berörda tredjelandet, som styrks av objektiv, konkret och relevant information och uppgifter från behöriga </w:t>
            </w:r>
            <w:r w:rsidRPr="00CD4C97">
              <w:rPr>
                <w:b/>
                <w:i/>
              </w:rPr>
              <w:t>nationella</w:t>
            </w:r>
            <w:r w:rsidRPr="00CD4C97">
              <w:t xml:space="preserve"> myndigheter.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60</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Miguel Urbán Crespo</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d – led ii</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ii)</w:t>
            </w:r>
            <w:r w:rsidRPr="00CD4C97">
              <w:tab/>
            </w:r>
            <w:r w:rsidRPr="00CD4C97">
              <w:rPr>
                <w:b/>
                <w:i/>
              </w:rPr>
              <w:t>Hybridhot.</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pPr>
        <w:pStyle w:val="AmJustTitle"/>
      </w:pPr>
      <w:r w:rsidRPr="00CD4C97">
        <w:rPr>
          <w:rStyle w:val="HideTWBExt"/>
          <w:color w:val="auto"/>
        </w:rPr>
        <w:t>&lt;TitreJust&gt;</w:t>
      </w:r>
      <w:r w:rsidRPr="00CD4C97">
        <w:t>Motivering</w:t>
      </w:r>
      <w:r w:rsidRPr="00CD4C97">
        <w:rPr>
          <w:rStyle w:val="HideTWBExt"/>
          <w:color w:val="auto"/>
        </w:rPr>
        <w:t>&lt;/TitreJust&gt;</w:t>
      </w:r>
    </w:p>
    <w:p w:rsidR="002F59C7" w:rsidRPr="00CD4C97" w:rsidRDefault="002F59C7" w:rsidP="002F59C7">
      <w:pPr>
        <w:pStyle w:val="AmJustText"/>
      </w:pPr>
      <w:r w:rsidRPr="00CD4C97">
        <w:t>Utanför tillämpningsområdet i denna del.</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61</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d – led ii</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ii)</w:t>
            </w:r>
            <w:r w:rsidRPr="00CD4C97">
              <w:tab/>
            </w:r>
            <w:r w:rsidRPr="00CD4C97">
              <w:rPr>
                <w:b/>
                <w:i/>
              </w:rPr>
              <w:t>Hybridhot.</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62</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Jaak Madison</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d – led ii</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ii)</w:t>
            </w:r>
            <w:r w:rsidRPr="00CD4C97">
              <w:tab/>
              <w:t>Hybridhot.</w:t>
            </w:r>
          </w:p>
        </w:tc>
        <w:tc>
          <w:tcPr>
            <w:tcW w:w="4876" w:type="dxa"/>
          </w:tcPr>
          <w:p w:rsidR="002F59C7" w:rsidRPr="00CD4C97" w:rsidRDefault="002F59C7" w:rsidP="00CE174B">
            <w:pPr>
              <w:pStyle w:val="Normal6a"/>
            </w:pPr>
            <w:r w:rsidRPr="00CD4C97">
              <w:t>ii)</w:t>
            </w:r>
            <w:r w:rsidRPr="00CD4C97">
              <w:tab/>
              <w:t xml:space="preserve">Hybridhot </w:t>
            </w:r>
            <w:r w:rsidRPr="00CD4C97">
              <w:rPr>
                <w:b/>
                <w:i/>
              </w:rPr>
              <w:t>och instrumentalisering av migranter</w:t>
            </w:r>
            <w:r w:rsidRPr="00CD4C97">
              <w: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63</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d – led iia (nytt)</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iia)</w:t>
            </w:r>
            <w:r w:rsidRPr="00CD4C97">
              <w:tab/>
            </w:r>
            <w:r w:rsidRPr="00CD4C97">
              <w:rPr>
                <w:b/>
                <w:i/>
              </w:rPr>
              <w:t>Otillfredsställande juridiska standarder avseende säkerheten för rese- och identitetshandlingar.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64</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Jaak Madison</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da (nytt)</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da)</w:t>
            </w:r>
            <w:r w:rsidRPr="00CD4C97">
              <w:tab/>
            </w:r>
            <w:r w:rsidRPr="00CD4C97">
              <w:rPr>
                <w:b/>
                <w:i/>
              </w:rPr>
              <w:t>Terroristhot.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65</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Jaak Madison</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db (nytt)</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db)</w:t>
            </w:r>
            <w:r w:rsidRPr="00CD4C97">
              <w:tab/>
            </w:r>
            <w:r w:rsidRPr="00CD4C97">
              <w:rPr>
                <w:b/>
                <w:i/>
              </w:rPr>
              <w:t>Brister i lagstiftningen om eller förfaranden för dokumentsäkerhet.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66</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f</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f)</w:t>
            </w:r>
            <w:r w:rsidRPr="00CD4C97">
              <w:tab/>
            </w:r>
            <w:r w:rsidRPr="00CD4C97">
              <w:rPr>
                <w:b/>
                <w:i/>
              </w:rPr>
              <w:t>Bristande anpassning av viseringspolitiken i ett tredjeland som anges i förteckningen i bilaga II om det, särskilt på grund av tredjelandets geografiska närhet till unionen, finns en risk för en betydande ökning av antalet medborgare i andra tredjeländer än det berörda landet som irreguljärt reser in på medlemsstaternas territorium efter att ha vistats på eller transiterat genom det tredjelandets territorium.</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67</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Miguel Urbán Crespo</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f</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f)</w:t>
            </w:r>
            <w:r w:rsidRPr="00CD4C97">
              <w:tab/>
            </w:r>
            <w:r w:rsidRPr="00CD4C97">
              <w:rPr>
                <w:b/>
                <w:i/>
              </w:rPr>
              <w:t>Bristande anpassning av viseringspolitiken i ett tredjeland som anges i förteckningen i bilaga II om det, särskilt på grund av tredjelandets geografiska närhet till unionen, finns en risk för en betydande ökning av antalet medborgare i andra tredjeländer än det berörda landet som irreguljärt reser in på medlemsstaternas territorium efter att ha vistats på eller transiterat genom det tredjelandets territorium.</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68</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f</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f)</w:t>
            </w:r>
            <w:r w:rsidRPr="00CD4C97">
              <w:tab/>
              <w:t xml:space="preserve">Bristande anpassning av viseringspolitiken i ett tredjeland som anges i förteckningen i bilaga II om det, särskilt på grund av tredjelandets geografiska närhet till unionen, finns en </w:t>
            </w:r>
            <w:r w:rsidRPr="00CD4C97">
              <w:rPr>
                <w:b/>
                <w:i/>
              </w:rPr>
              <w:t xml:space="preserve">risk för en </w:t>
            </w:r>
            <w:r w:rsidRPr="00CD4C97">
              <w:t>betydande ökning av antalet medborgare i andra tredjeländer än det berörda landet som irreguljärt reser in på medlemsstaternas territorium efter att ha vistats på eller transiterat genom det tredjelandets territorium.</w:t>
            </w:r>
          </w:p>
        </w:tc>
        <w:tc>
          <w:tcPr>
            <w:tcW w:w="4876" w:type="dxa"/>
          </w:tcPr>
          <w:p w:rsidR="002F59C7" w:rsidRPr="00CD4C97" w:rsidRDefault="002F59C7" w:rsidP="00CE174B">
            <w:pPr>
              <w:pStyle w:val="Normal6a"/>
            </w:pPr>
            <w:r w:rsidRPr="00CD4C97">
              <w:t>f)</w:t>
            </w:r>
            <w:r w:rsidRPr="00CD4C97">
              <w:tab/>
              <w:t>Bristande anpassning av viseringspolitiken i ett tredjeland som anges i förteckningen i bilaga II om det, särskilt på grund av tredjelandets geografiska närhet till unionen, finns en betydande ökning av antalet medborgare i andra tredjeländer än det berörda landet som irreguljärt reser in på medlemsstaternas territorium efter att ha vistats på eller transiterat genom det tredjelandets territorium.</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69</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fa (nytt)</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fa)</w:t>
            </w:r>
            <w:r w:rsidRPr="00CD4C97">
              <w:tab/>
            </w:r>
            <w:r w:rsidRPr="00CD4C97">
              <w:rPr>
                <w:b/>
                <w:i/>
              </w:rPr>
              <w:t>Allvarliga brott mot de principer som föreskrivs i Förenta nationernas stadga, eller allvarliga åsidosättanden av de skyldigheter som följer av internationell människorättslig lagstiftning eller internationell humanitär lagstiftning.</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70</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fa (nytt)</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fa)</w:t>
            </w:r>
            <w:r w:rsidRPr="00CD4C97">
              <w:tab/>
            </w:r>
            <w:r w:rsidRPr="00CD4C97">
              <w:rPr>
                <w:b/>
                <w:i/>
              </w:rPr>
              <w:t>En allvarlig försämring av unionens yttre förbindelser med ett tredjeland som förtecknas i bilaga II, som exemplifieras av den bristande anpassningen av kriterierna i artikel 1 i denna förordning.</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71</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Nuno Melo</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ga (nytt)</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ga)</w:t>
            </w:r>
            <w:r w:rsidRPr="00CD4C97">
              <w:tab/>
            </w:r>
            <w:r w:rsidRPr="00CD4C97">
              <w:rPr>
                <w:b/>
                <w:i/>
              </w:rPr>
              <w:t>En betydande och plötslig försämring av unionens yttre förbindelser med ett tredjeland som anges i förteckningen i bilaga II, särskilt med avseende på mänskliga rättigheter och grundläggande friheter, till följd av en av följande situationer: i) allvarliga brott mot och kränkningar av de mänskliga rättigheterna, ii) allvarliga överträdelser av internationell rätt och internationella normer, inbegripet överträdelser av internationell människorättslagstiftning och bristande efterlevnad av internationella domstolars beslut och avgöranden.</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{PT}</w:t>
      </w:r>
      <w:r w:rsidRPr="00CD4C97">
        <w:t>pt</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72</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Matjaž Nemec</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1 – led ga (nytt)</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ga)</w:t>
            </w:r>
            <w:r w:rsidRPr="00CD4C97">
              <w:tab/>
            </w:r>
            <w:r w:rsidRPr="00CD4C97">
              <w:rPr>
                <w:b/>
                <w:i/>
              </w:rPr>
              <w:t>Varje annan grund för tillfälligt upphävande som anges i ett avtal om undantag från viseringskrav vid kortare vistelser mellan unionen och ett tredjeland som förtecknas i bilaga II, vilket är begränsat till tillämpningsområdet för detta avtal.</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73</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2</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2.</w:t>
            </w:r>
            <w:r w:rsidRPr="00CD4C97">
              <w:tab/>
              <w:t>Vid tillämpning av punkt 1 a, b och d </w:t>
            </w:r>
            <w:r w:rsidRPr="00CD4C97">
              <w:rPr>
                <w:b/>
                <w:i/>
              </w:rPr>
              <w:t xml:space="preserve">i) </w:t>
            </w:r>
            <w:r w:rsidRPr="00CD4C97">
              <w:t>i denna artikel avses med en betydande ökning en ökning som överstiger ett tröskelvärde på 50 %</w:t>
            </w:r>
            <w:r w:rsidRPr="00CD4C97">
              <w:rPr>
                <w:b/>
                <w:i/>
              </w:rPr>
              <w:t>, såvida inte kommissionen i enlighet med artikel 8b.4 eller 8c.2 drar slutsatsen att en mindre eller större ökning är tillämplig i det enskilda fallet</w:t>
            </w:r>
            <w:r w:rsidRPr="00CD4C97">
              <w:t>.</w:t>
            </w:r>
          </w:p>
        </w:tc>
        <w:tc>
          <w:tcPr>
            <w:tcW w:w="4876" w:type="dxa"/>
          </w:tcPr>
          <w:p w:rsidR="002F59C7" w:rsidRPr="00CD4C97" w:rsidRDefault="002F59C7" w:rsidP="00CE174B">
            <w:pPr>
              <w:pStyle w:val="Normal6a"/>
            </w:pPr>
            <w:r w:rsidRPr="00CD4C97">
              <w:t>2.</w:t>
            </w:r>
            <w:r w:rsidRPr="00CD4C97">
              <w:tab/>
              <w:t>Vid tillämpning av punkt 1 a, b och d i denna artikel avses med en betydande ökning en ökning som överstiger ett tröskelvärde på 50 %.</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74</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Matjaž Nemec</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2</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2.</w:t>
            </w:r>
            <w:r w:rsidRPr="00CD4C97">
              <w:tab/>
              <w:t>Vid tillämpning av punkt 1 a, b och d i) i denna artikel avses med en betydande ökning en ökning som överstiger ett tröskelvärde på 50 %, såvida inte kommissionen i enlighet med artikel 8b.4 eller 8c.2 drar slutsatsen att en mindre eller större ökning är tillämplig i det enskilda fallet.</w:t>
            </w:r>
          </w:p>
        </w:tc>
        <w:tc>
          <w:tcPr>
            <w:tcW w:w="4876" w:type="dxa"/>
          </w:tcPr>
          <w:p w:rsidR="002F59C7" w:rsidRPr="00CD4C97" w:rsidRDefault="002F59C7" w:rsidP="00CE174B">
            <w:pPr>
              <w:pStyle w:val="Normal6a"/>
            </w:pPr>
            <w:r w:rsidRPr="00CD4C97">
              <w:t>2.</w:t>
            </w:r>
            <w:r w:rsidRPr="00CD4C97">
              <w:tab/>
              <w:t>Vid tillämpning av punkt 1 a, b och d i) i denna artikel avses med en betydande ökning en ökning som överstiger ett tröskelvärde på 50 %, såvida inte kommissionen i enlighet med artikel 8b.4 eller 8c.2 drar slutsatsen att en mindre eller större ökning är tillämplig i det enskilda fallet</w:t>
            </w:r>
            <w:r w:rsidRPr="00CD4C97">
              <w:rPr>
                <w:b/>
                <w:i/>
              </w:rPr>
              <w:t>, genom att lämna vederbörligen motiverade skäl för detta beslut</w:t>
            </w:r>
            <w:r w:rsidRPr="00CD4C97">
              <w: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75</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2</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2.</w:t>
            </w:r>
            <w:r w:rsidRPr="00CD4C97">
              <w:tab/>
              <w:t>Vid tillämpning av punkt 1 a, b och d i) i denna artikel avses med en betydande ökning en ökning som överstiger ett tröskelvärde på 50 %, såvida inte kommissionen i enlighet med artikel 8b.4 eller 8c.2 drar slutsatsen att en mindre eller större ökning är tillämplig i det enskilda fallet.</w:t>
            </w:r>
          </w:p>
        </w:tc>
        <w:tc>
          <w:tcPr>
            <w:tcW w:w="4876" w:type="dxa"/>
          </w:tcPr>
          <w:p w:rsidR="002F59C7" w:rsidRPr="00CD4C97" w:rsidRDefault="002F59C7" w:rsidP="00CE174B">
            <w:pPr>
              <w:pStyle w:val="Normal6a"/>
            </w:pPr>
            <w:r w:rsidRPr="00CD4C97">
              <w:t>2.</w:t>
            </w:r>
            <w:r w:rsidRPr="00CD4C97">
              <w:tab/>
              <w:t xml:space="preserve">Vid tillämpning av punkt 1 a, b och d i) </w:t>
            </w:r>
            <w:r w:rsidRPr="00CD4C97">
              <w:rPr>
                <w:b/>
                <w:i/>
              </w:rPr>
              <w:t>samt stycke 4</w:t>
            </w:r>
            <w:r w:rsidRPr="00CD4C97">
              <w:t xml:space="preserve"> i denna artikel avses med en betydande ökning en ökning som överstiger ett tröskelvärde på 50 %, såvida inte kommissionen i enlighet med artikel 8b.4 eller 8c.2 drar slutsatsen att en mindre eller större ökning är tillämplig i det enskilda fallet.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76</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Charlie Weimers, Patryk Jaki, Vincenzo Sofo, Jorge Buxadé Villalba, Pirkko Ruohonen-Lerner</w:t>
      </w:r>
      <w:r w:rsidRPr="00CD4C97">
        <w:rPr>
          <w:rStyle w:val="HideTWBExt"/>
          <w:color w:val="auto"/>
        </w:rPr>
        <w:t>&lt;/Members&gt;</w:t>
      </w:r>
    </w:p>
    <w:p w:rsidR="002F59C7" w:rsidRPr="00CD4C97" w:rsidRDefault="002F59C7" w:rsidP="002F59C7">
      <w:r w:rsidRPr="00CD4C97">
        <w:rPr>
          <w:rStyle w:val="HideTWBExt"/>
          <w:color w:val="auto"/>
        </w:rPr>
        <w:t>&lt;AuNomDe&gt;</w:t>
      </w:r>
      <w:r w:rsidRPr="00CD4C97">
        <w:rPr>
          <w:rStyle w:val="HideTWBInt"/>
          <w:color w:val="auto"/>
        </w:rPr>
        <w:t>{ECR}</w:t>
      </w:r>
      <w:r w:rsidRPr="00CD4C97">
        <w:t>för ECR-gruppen</w:t>
      </w:r>
      <w:r w:rsidRPr="00CD4C97">
        <w:rPr>
          <w:rStyle w:val="HideTWBExt"/>
          <w:color w:val="auto"/>
        </w:rPr>
        <w:t>&lt;/AuNomDe&gt;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2</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2.</w:t>
            </w:r>
            <w:r w:rsidRPr="00CD4C97">
              <w:tab/>
              <w:t xml:space="preserve">Vid tillämpning av punkt 1 a, b och d i) i denna artikel avses med en betydande ökning en ökning som överstiger ett tröskelvärde på </w:t>
            </w:r>
            <w:r w:rsidRPr="00CD4C97">
              <w:rPr>
                <w:b/>
                <w:i/>
              </w:rPr>
              <w:t>50 %</w:t>
            </w:r>
            <w:r w:rsidRPr="00CD4C97">
              <w:t>, såvida inte kommissionen i enlighet med artikel 8b.4 eller 8c.2 drar slutsatsen att en mindre eller större ökning är tillämplig i det enskilda fallet.</w:t>
            </w:r>
          </w:p>
        </w:tc>
        <w:tc>
          <w:tcPr>
            <w:tcW w:w="4876" w:type="dxa"/>
          </w:tcPr>
          <w:p w:rsidR="002F59C7" w:rsidRPr="00CD4C97" w:rsidRDefault="002F59C7" w:rsidP="00CE174B">
            <w:pPr>
              <w:pStyle w:val="Normal6a"/>
            </w:pPr>
            <w:r w:rsidRPr="00CD4C97">
              <w:t>2.</w:t>
            </w:r>
            <w:r w:rsidRPr="00CD4C97">
              <w:tab/>
              <w:t xml:space="preserve">Vid tillämpning av punkt 1 a, b och d i) i denna artikel avses med en betydande ökning en ökning som överstiger ett tröskelvärde på </w:t>
            </w:r>
            <w:r w:rsidRPr="00CD4C97">
              <w:rPr>
                <w:b/>
                <w:i/>
              </w:rPr>
              <w:t>15 %</w:t>
            </w:r>
            <w:r w:rsidRPr="00CD4C97">
              <w:t>, såvida inte kommissionen i enlighet med artikel 8b.4 eller 8c.2 drar slutsatsen att en mindre eller större ökning är tillämplig i det enskilda fallet.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pPr>
        <w:pStyle w:val="AmJustTitle"/>
      </w:pPr>
      <w:r w:rsidRPr="00CD4C97">
        <w:rPr>
          <w:rStyle w:val="HideTWBExt"/>
          <w:color w:val="auto"/>
        </w:rPr>
        <w:t>&lt;TitreJust&gt;</w:t>
      </w:r>
      <w:r w:rsidRPr="00CD4C97">
        <w:t>Motivering</w:t>
      </w:r>
      <w:r w:rsidRPr="00CD4C97">
        <w:rPr>
          <w:rStyle w:val="HideTWBExt"/>
          <w:color w:val="auto"/>
        </w:rPr>
        <w:t>&lt;/TitreJust&gt;</w:t>
      </w:r>
    </w:p>
    <w:p w:rsidR="002F59C7" w:rsidRPr="00CD4C97" w:rsidRDefault="002F59C7" w:rsidP="002F59C7">
      <w:pPr>
        <w:pStyle w:val="AmJustText"/>
      </w:pPr>
      <w:r w:rsidRPr="00CD4C97">
        <w:t>Enligt kommissionen belyser tidigare erfarenheter svårigheterna med att utlösa mekanismen på grund av det tungrodda förfarandet och visar återigen att det kan visa sig vara svårt att nå de tröskelvärden som krävs enligt de nuvarande reglerna, på bekostnad av målet att snabbt ingripa mot risker för irreguljär migration och säkerhetsrisker som härrör från viseringsfria resor. Av detta följer att tröskelvärdet måste sänkas betydligt.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77</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Jaak Madison</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2</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2.</w:t>
            </w:r>
            <w:r w:rsidRPr="00CD4C97">
              <w:tab/>
              <w:t xml:space="preserve">Vid tillämpning av punkt 1 a, b och d i) i denna artikel avses med en betydande ökning en ökning som överstiger ett tröskelvärde på </w:t>
            </w:r>
            <w:r w:rsidRPr="00CD4C97">
              <w:rPr>
                <w:b/>
                <w:i/>
              </w:rPr>
              <w:t>50 %</w:t>
            </w:r>
            <w:r w:rsidRPr="00CD4C97">
              <w:t>, såvida inte kommissionen i enlighet med artikel 8b.4 eller 8c.2 drar slutsatsen att en mindre eller större ökning är tillämplig i det enskilda fallet.</w:t>
            </w:r>
          </w:p>
        </w:tc>
        <w:tc>
          <w:tcPr>
            <w:tcW w:w="4876" w:type="dxa"/>
          </w:tcPr>
          <w:p w:rsidR="002F59C7" w:rsidRPr="00CD4C97" w:rsidRDefault="002F59C7" w:rsidP="00CE174B">
            <w:pPr>
              <w:pStyle w:val="Normal6a"/>
            </w:pPr>
            <w:r w:rsidRPr="00CD4C97">
              <w:t>2.</w:t>
            </w:r>
            <w:r w:rsidRPr="00CD4C97">
              <w:tab/>
              <w:t xml:space="preserve">Vid tillämpning av punkt 1 a, b och d i) i denna artikel avses med en betydande ökning en ökning som överstiger ett tröskelvärde på </w:t>
            </w:r>
            <w:r w:rsidRPr="00CD4C97">
              <w:rPr>
                <w:b/>
                <w:i/>
              </w:rPr>
              <w:t>10 %</w:t>
            </w:r>
            <w:r w:rsidRPr="00CD4C97">
              <w:t>, såvida inte kommissionen i enlighet med artikel 8b.4 eller 8c.2 drar slutsatsen att en mindre eller större ökning är tillämplig i det enskilda fallet.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78</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2</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2.</w:t>
            </w:r>
            <w:r w:rsidRPr="00CD4C97">
              <w:tab/>
              <w:t xml:space="preserve">Vid tillämpning av punkt 1 a, b och d i) i denna artikel avses med en betydande ökning en ökning som överstiger ett tröskelvärde på </w:t>
            </w:r>
            <w:r w:rsidRPr="00CD4C97">
              <w:rPr>
                <w:b/>
                <w:i/>
              </w:rPr>
              <w:t>50 %</w:t>
            </w:r>
            <w:r w:rsidRPr="00CD4C97">
              <w:t>, såvida inte kommissionen i enlighet med artikel 8b.4 eller 8c.2 drar slutsatsen att en mindre eller större ökning är tillämplig i det enskilda fallet.</w:t>
            </w:r>
          </w:p>
        </w:tc>
        <w:tc>
          <w:tcPr>
            <w:tcW w:w="4876" w:type="dxa"/>
          </w:tcPr>
          <w:p w:rsidR="002F59C7" w:rsidRPr="00CD4C97" w:rsidRDefault="002F59C7" w:rsidP="00CE174B">
            <w:pPr>
              <w:pStyle w:val="Normal6a"/>
            </w:pPr>
            <w:r w:rsidRPr="00CD4C97">
              <w:t>2.</w:t>
            </w:r>
            <w:r w:rsidRPr="00CD4C97">
              <w:tab/>
              <w:t xml:space="preserve">Vid tillämpning av punkt 1 a, b och d i) i denna artikel avses med en betydande ökning en ökning som överstiger ett tröskelvärde på </w:t>
            </w:r>
            <w:r w:rsidRPr="00CD4C97">
              <w:rPr>
                <w:b/>
                <w:i/>
              </w:rPr>
              <w:t>30 %</w:t>
            </w:r>
            <w:r w:rsidRPr="00CD4C97">
              <w:t>, såvida inte kommissionen i enlighet med artikel 8b.4 eller 8c.2 drar slutsatsen att en mindre eller större ökning är tillämplig i det enskilda fallet.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79</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Leopoldo López Gil, Javier Zarzalejos</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3</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3.</w:t>
            </w:r>
            <w:r w:rsidRPr="00CD4C97">
              <w:tab/>
            </w:r>
            <w:r w:rsidRPr="00CD4C97">
              <w:rPr>
                <w:b/>
                <w:i/>
              </w:rPr>
              <w:t>Vid tillämpning av punkt 1 b i denna artikel avses med en låg andel godkända asylansökningar en andel godkända asylansökningar på mindre än 4 %, såvida inte kommissionen i enlighet med artikel 8b.4 eller 8c.2 drar slutsatsen att en högre andel godkända asylansökningar är tillämplig i det enskilda fallet.</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{ES}</w:t>
      </w:r>
      <w:r w:rsidRPr="00CD4C97">
        <w:t>es</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80</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3</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3.</w:t>
            </w:r>
            <w:r w:rsidRPr="00CD4C97">
              <w:tab/>
              <w:t xml:space="preserve">Vid tillämpning av punkt 1 b i denna artikel avses med en låg andel godkända asylansökningar en andel godkända asylansökningar på mindre än </w:t>
            </w:r>
            <w:r w:rsidRPr="00CD4C97">
              <w:rPr>
                <w:b/>
                <w:i/>
              </w:rPr>
              <w:t>4 %, såvida inte kommissionen i enlighet med artikel 8b.4 eller 8c.2 drar slutsatsen att en högre andel godkända asylansökningar är tillämplig i det enskilda fallet</w:t>
            </w:r>
            <w:r w:rsidRPr="00CD4C97">
              <w:t>.</w:t>
            </w:r>
          </w:p>
        </w:tc>
        <w:tc>
          <w:tcPr>
            <w:tcW w:w="4876" w:type="dxa"/>
          </w:tcPr>
          <w:p w:rsidR="002F59C7" w:rsidRPr="00CD4C97" w:rsidRDefault="002F59C7" w:rsidP="00CE174B">
            <w:pPr>
              <w:pStyle w:val="Normal6a"/>
            </w:pPr>
            <w:r w:rsidRPr="00CD4C97">
              <w:t>3.</w:t>
            </w:r>
            <w:r w:rsidRPr="00CD4C97">
              <w:tab/>
              <w:t xml:space="preserve">Vid tillämpning av punkt 1 b i denna artikel avses med en låg andel godkända asylansökningar en andel godkända asylansökningar på mindre än </w:t>
            </w:r>
            <w:r w:rsidRPr="00CD4C97">
              <w:rPr>
                <w:b/>
                <w:i/>
              </w:rPr>
              <w:t>2 %</w:t>
            </w:r>
            <w:r w:rsidRPr="00CD4C97">
              <w: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81</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Matjaž Nemec</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3</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3.</w:t>
            </w:r>
            <w:r w:rsidRPr="00CD4C97">
              <w:tab/>
              <w:t>Vid tillämpning av punkt 1 b i denna artikel avses med en låg andel godkända asylansökningar en andel godkända asylansökningar på mindre än 4 %, såvida inte kommissionen i enlighet med artikel 8b.4 eller 8c.2 drar slutsatsen att en högre andel godkända asylansökningar är tillämplig i det enskilda fallet.</w:t>
            </w:r>
          </w:p>
        </w:tc>
        <w:tc>
          <w:tcPr>
            <w:tcW w:w="4876" w:type="dxa"/>
          </w:tcPr>
          <w:p w:rsidR="002F59C7" w:rsidRPr="00CD4C97" w:rsidRDefault="002F59C7" w:rsidP="00CE174B">
            <w:pPr>
              <w:pStyle w:val="Normal6a"/>
            </w:pPr>
            <w:r w:rsidRPr="00CD4C97">
              <w:t>3.</w:t>
            </w:r>
            <w:r w:rsidRPr="00CD4C97">
              <w:tab/>
              <w:t>Vid tillämpning av punkt 1 b i denna artikel avses med en låg andel godkända asylansökningar en andel godkända asylansökningar på mindre än 4 %, såvida inte kommissionen i enlighet med artikel 8b.4 eller 8c.2 drar slutsatsen att en högre andel godkända asylansökningar är tillämplig i det enskilda fallet</w:t>
            </w:r>
            <w:r w:rsidRPr="00CD4C97">
              <w:rPr>
                <w:b/>
                <w:i/>
              </w:rPr>
              <w:t>, genom att lämna vederbörligen motiverade skäl för detta beslut</w:t>
            </w:r>
            <w:r w:rsidRPr="00CD4C97">
              <w: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82</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Jaak Madison</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3</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3.</w:t>
            </w:r>
            <w:r w:rsidRPr="00CD4C97">
              <w:tab/>
              <w:t xml:space="preserve">Vid tillämpning av punkt 1 b i denna artikel avses med en låg andel godkända asylansökningar en andel godkända asylansökningar på mindre än </w:t>
            </w:r>
            <w:r w:rsidRPr="00CD4C97">
              <w:rPr>
                <w:b/>
                <w:i/>
              </w:rPr>
              <w:t>4 %</w:t>
            </w:r>
            <w:r w:rsidRPr="00CD4C97">
              <w:t>, såvida inte kommissionen i enlighet med artikel 8b.4 eller 8c.2 drar slutsatsen att en högre andel godkända asylansökningar är tillämplig i det enskilda fallet.</w:t>
            </w:r>
          </w:p>
        </w:tc>
        <w:tc>
          <w:tcPr>
            <w:tcW w:w="4876" w:type="dxa"/>
          </w:tcPr>
          <w:p w:rsidR="002F59C7" w:rsidRPr="00CD4C97" w:rsidRDefault="002F59C7" w:rsidP="00CE174B">
            <w:pPr>
              <w:pStyle w:val="Normal6a"/>
            </w:pPr>
            <w:r w:rsidRPr="00CD4C97">
              <w:t>3.</w:t>
            </w:r>
            <w:r w:rsidRPr="00CD4C97">
              <w:tab/>
              <w:t xml:space="preserve">Vid tillämpning av punkt 1 b i denna artikel avses med en låg andel godkända asylansökningar en andel godkända asylansökningar på mindre än </w:t>
            </w:r>
            <w:r w:rsidRPr="00CD4C97">
              <w:rPr>
                <w:b/>
                <w:i/>
              </w:rPr>
              <w:t>35 %</w:t>
            </w:r>
            <w:r w:rsidRPr="00CD4C97">
              <w:t>, såvida inte kommissionen i enlighet med artikel 8b.4 eller 8c.2 drar slutsatsen att en högre andel godkända asylansökningar är tillämplig i det enskilda fallet.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83</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3</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3.</w:t>
            </w:r>
            <w:r w:rsidRPr="00CD4C97">
              <w:tab/>
              <w:t xml:space="preserve">Vid tillämpning av punkt 1 b i denna artikel avses med en låg andel godkända asylansökningar en andel godkända asylansökningar på mindre än </w:t>
            </w:r>
            <w:r w:rsidRPr="00CD4C97">
              <w:rPr>
                <w:b/>
                <w:i/>
              </w:rPr>
              <w:t>4 %</w:t>
            </w:r>
            <w:r w:rsidRPr="00CD4C97">
              <w:t>, såvida inte kommissionen i enlighet med artikel 8b.4 eller 8c.2 drar slutsatsen att en högre andel godkända asylansökningar är tillämplig i det enskilda fallet.</w:t>
            </w:r>
          </w:p>
        </w:tc>
        <w:tc>
          <w:tcPr>
            <w:tcW w:w="4876" w:type="dxa"/>
          </w:tcPr>
          <w:p w:rsidR="002F59C7" w:rsidRPr="00CD4C97" w:rsidRDefault="002F59C7" w:rsidP="00CE174B">
            <w:pPr>
              <w:pStyle w:val="Normal6a"/>
            </w:pPr>
            <w:r w:rsidRPr="00CD4C97">
              <w:t>3.</w:t>
            </w:r>
            <w:r w:rsidRPr="00CD4C97">
              <w:tab/>
              <w:t xml:space="preserve">Vid tillämpning av punkt 1 b i denna artikel avses med en låg andel godkända asylansökningar en andel godkända asylansökningar på mindre än </w:t>
            </w:r>
            <w:r w:rsidRPr="00CD4C97">
              <w:rPr>
                <w:b/>
                <w:i/>
              </w:rPr>
              <w:t>20 %</w:t>
            </w:r>
            <w:r w:rsidRPr="00CD4C97">
              <w:t>, såvida inte kommissionen i enlighet med artikel 8b.4 eller 8c.2 drar slutsatsen att en högre andel godkända asylansökningar är tillämplig i det enskilda fallet.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84</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Charlie Weimers, Patryk Jaki, Vincenzo Sofo, Jorge Buxadé Villalba, Pirkko Ruohonen-Lerner</w:t>
      </w:r>
      <w:r w:rsidRPr="00CD4C97">
        <w:rPr>
          <w:rStyle w:val="HideTWBExt"/>
          <w:color w:val="auto"/>
        </w:rPr>
        <w:t>&lt;/Members&gt;</w:t>
      </w:r>
    </w:p>
    <w:p w:rsidR="002F59C7" w:rsidRPr="00CD4C97" w:rsidRDefault="002F59C7" w:rsidP="002F59C7">
      <w:r w:rsidRPr="00CD4C97">
        <w:rPr>
          <w:rStyle w:val="HideTWBExt"/>
          <w:color w:val="auto"/>
        </w:rPr>
        <w:t>&lt;AuNomDe&gt;</w:t>
      </w:r>
      <w:r w:rsidRPr="00CD4C97">
        <w:rPr>
          <w:rStyle w:val="HideTWBInt"/>
          <w:color w:val="auto"/>
        </w:rPr>
        <w:t>{ECR}</w:t>
      </w:r>
      <w:r w:rsidRPr="00CD4C97">
        <w:t>för ECR-gruppen</w:t>
      </w:r>
      <w:r w:rsidRPr="00CD4C97">
        <w:rPr>
          <w:rStyle w:val="HideTWBExt"/>
          <w:color w:val="auto"/>
        </w:rPr>
        <w:t>&lt;/AuNomDe&gt;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3</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3.</w:t>
            </w:r>
            <w:r w:rsidRPr="00CD4C97">
              <w:tab/>
              <w:t xml:space="preserve">Vid tillämpning av punkt 1 b i denna artikel avses med en låg andel godkända asylansökningar en andel godkända asylansökningar på mindre än </w:t>
            </w:r>
            <w:r w:rsidRPr="00CD4C97">
              <w:rPr>
                <w:b/>
                <w:i/>
              </w:rPr>
              <w:t>4 %</w:t>
            </w:r>
            <w:r w:rsidRPr="00CD4C97">
              <w:t>, såvida inte kommissionen i enlighet med artikel 8b.4 eller 8c.2 drar slutsatsen att en högre andel godkända asylansökningar är tillämplig i det enskilda fallet.</w:t>
            </w:r>
          </w:p>
        </w:tc>
        <w:tc>
          <w:tcPr>
            <w:tcW w:w="4876" w:type="dxa"/>
          </w:tcPr>
          <w:p w:rsidR="002F59C7" w:rsidRPr="00CD4C97" w:rsidRDefault="002F59C7" w:rsidP="00CE174B">
            <w:pPr>
              <w:pStyle w:val="Normal6a"/>
            </w:pPr>
            <w:r w:rsidRPr="00CD4C97">
              <w:t>3.</w:t>
            </w:r>
            <w:r w:rsidRPr="00CD4C97">
              <w:tab/>
              <w:t xml:space="preserve">Vid tillämpning av punkt 1 b i denna artikel avses med en låg andel godkända asylansökningar en andel godkända asylansökningar på mindre än </w:t>
            </w:r>
            <w:r w:rsidRPr="00CD4C97">
              <w:rPr>
                <w:b/>
                <w:i/>
              </w:rPr>
              <w:t>35 %</w:t>
            </w:r>
            <w:r w:rsidRPr="00CD4C97">
              <w:t>, såvida inte kommissionen i enlighet med artikel 8b.4 eller 8c.2 drar slutsatsen att en högre andel godkända asylansökningar är tillämplig i det enskilda fallet.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pPr>
        <w:pStyle w:val="AmJustTitle"/>
      </w:pPr>
      <w:r w:rsidRPr="00CD4C97">
        <w:rPr>
          <w:rStyle w:val="HideTWBExt"/>
          <w:color w:val="auto"/>
        </w:rPr>
        <w:t>&lt;TitreJust&gt;</w:t>
      </w:r>
      <w:r w:rsidRPr="00CD4C97">
        <w:t>Motivering</w:t>
      </w:r>
      <w:r w:rsidRPr="00CD4C97">
        <w:rPr>
          <w:rStyle w:val="HideTWBExt"/>
          <w:color w:val="auto"/>
        </w:rPr>
        <w:t>&lt;/TitreJust&gt;</w:t>
      </w:r>
    </w:p>
    <w:p w:rsidR="002F59C7" w:rsidRPr="00CD4C97" w:rsidRDefault="002F59C7" w:rsidP="002F59C7">
      <w:pPr>
        <w:pStyle w:val="AmJustText"/>
      </w:pPr>
      <w:r w:rsidRPr="00CD4C97">
        <w:t>15 % av alla asylansökningar under 2022 gjordes av medborgare från länder med viseringsfrihet. Under 2023 ökade detta till omkring 20 % enligt EU:s asylbyrå. Många av dessa ansökningar gjordes av tredjelandsmedborgare från länder i bilaga II med mer än 4 % godkända asylansökningar. Andelen godkända asylansökningar på 4 % är alldeles för låg och medför att upphävandemekanismen inte fungerar som den ska.</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85</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3</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3.</w:t>
            </w:r>
            <w:r w:rsidRPr="00CD4C97">
              <w:tab/>
              <w:t xml:space="preserve">Vid tillämpning av punkt 1 b i denna artikel avses med en låg andel godkända asylansökningar en andel godkända asylansökningar på mindre än </w:t>
            </w:r>
            <w:r w:rsidRPr="00CD4C97">
              <w:rPr>
                <w:b/>
                <w:i/>
              </w:rPr>
              <w:t>4 %</w:t>
            </w:r>
            <w:r w:rsidRPr="00CD4C97">
              <w:t>, såvida inte kommissionen i enlighet med artikel 8b.4 eller 8c.2 drar slutsatsen att en högre andel godkända asylansökningar är tillämplig i det enskilda fallet.</w:t>
            </w:r>
          </w:p>
        </w:tc>
        <w:tc>
          <w:tcPr>
            <w:tcW w:w="4876" w:type="dxa"/>
          </w:tcPr>
          <w:p w:rsidR="002F59C7" w:rsidRPr="00CD4C97" w:rsidRDefault="002F59C7" w:rsidP="00CE174B">
            <w:pPr>
              <w:pStyle w:val="Normal6a"/>
            </w:pPr>
            <w:r w:rsidRPr="00CD4C97">
              <w:t>3.</w:t>
            </w:r>
            <w:r w:rsidRPr="00CD4C97">
              <w:tab/>
              <w:t xml:space="preserve">Vid tillämpning av punkt 1 b i denna artikel avses med en låg andel godkända asylansökningar en andel godkända asylansökningar på mindre än </w:t>
            </w:r>
            <w:r w:rsidRPr="00CD4C97">
              <w:rPr>
                <w:b/>
                <w:i/>
              </w:rPr>
              <w:t>3 %</w:t>
            </w:r>
            <w:r w:rsidRPr="00CD4C97">
              <w:t>, såvida inte kommissionen i enlighet med artikel 8b.4 eller 8c.2 drar slutsatsen att en högre andel godkända asylansökningar är tillämplig i det enskilda fallet.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86</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4</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4.</w:t>
            </w:r>
            <w:r w:rsidRPr="00CD4C97">
              <w:tab/>
              <w:t xml:space="preserve">Vid tillämpning av punkt 1 c avses med minskat samarbete om återtagande med ett tredjeland som anges i förteckningen i bilaga II en betydande ökning, som styrks av tillräckliga uppgifter, av andelen avslag på ansökningar om återtagande som en medlemsstat gett in till det berörda tredjelandet avseende dess egna medborgare </w:t>
            </w:r>
            <w:r w:rsidRPr="00CD4C97">
              <w:rPr>
                <w:b/>
                <w:i/>
              </w:rPr>
              <w:t>eller, när så föreskrivs i ett återtagandeavtal mellan unionen eller medlemsstaten i fråga och det berörda tredjelandet, avseende tredjelandsmedborgare som har transiterat genom det tredjelandet.</w:t>
            </w:r>
          </w:p>
        </w:tc>
        <w:tc>
          <w:tcPr>
            <w:tcW w:w="4876" w:type="dxa"/>
          </w:tcPr>
          <w:p w:rsidR="002F59C7" w:rsidRPr="00CD4C97" w:rsidRDefault="002F59C7" w:rsidP="00CE174B">
            <w:pPr>
              <w:pStyle w:val="Normal6a"/>
            </w:pPr>
            <w:r w:rsidRPr="00CD4C97">
              <w:t>4.</w:t>
            </w:r>
            <w:r w:rsidRPr="00CD4C97">
              <w:tab/>
              <w:t xml:space="preserve">Vid tillämpning av punkt 1 c avses med minskat samarbete om återtagande med ett tredjeland som anges i förteckningen i bilaga II en betydande ökning, som styrks av tillräckliga uppgifter, av andelen avslag på ansökningar om återtagande som en medlemsstat gett in till det berörda tredjelandet avseende dess egna medborgare </w:t>
            </w:r>
            <w:r w:rsidRPr="00CD4C97">
              <w:rPr>
                <w:b/>
                <w:i/>
              </w:rPr>
              <w:t>när det kan bevisas tydligt att minskningen av samarbetet är ett resultat av det berörda tredjelandets handlingar eller brist på handlingar och det inte är hänförligt till den medlemsstat som gör begäran.</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87</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4</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4.</w:t>
            </w:r>
            <w:r w:rsidRPr="00CD4C97">
              <w:tab/>
              <w:t xml:space="preserve">Vid tillämpning av punkt 1 c avses med minskat samarbete om återtagande med ett tredjeland som anges i förteckningen i bilaga II en </w:t>
            </w:r>
            <w:r w:rsidRPr="00CD4C97">
              <w:rPr>
                <w:b/>
                <w:i/>
              </w:rPr>
              <w:t>betydande ökning</w:t>
            </w:r>
            <w:r w:rsidRPr="00CD4C97">
              <w:t>, som styrks av tillräckliga uppgifter</w:t>
            </w:r>
            <w:r w:rsidRPr="00CD4C97">
              <w:rPr>
                <w:b/>
                <w:i/>
              </w:rPr>
              <w:t>, av andelen</w:t>
            </w:r>
            <w:r w:rsidRPr="00CD4C97">
              <w:t xml:space="preserve"> avslag på ansökningar om återtagande som en medlemsstat gett in till det berörda tredjelandet avseende dess egna medborgare eller, när så föreskrivs i ett återtagandeavtal mellan unionen eller medlemsstaten i fråga och det berörda tredjelandet, avseende tredjelandsmedborgare som har transiterat genom det tredjelandet.</w:t>
            </w:r>
          </w:p>
        </w:tc>
        <w:tc>
          <w:tcPr>
            <w:tcW w:w="4876" w:type="dxa"/>
          </w:tcPr>
          <w:p w:rsidR="002F59C7" w:rsidRPr="00CD4C97" w:rsidRDefault="002F59C7" w:rsidP="00CE174B">
            <w:pPr>
              <w:pStyle w:val="Normal6a"/>
            </w:pPr>
            <w:r w:rsidRPr="00CD4C97">
              <w:t>4.</w:t>
            </w:r>
            <w:r w:rsidRPr="00CD4C97">
              <w:tab/>
              <w:t xml:space="preserve">Vid tillämpning av punkt 1 c avses med minskat samarbete om återtagande med ett tredjeland som anges i förteckningen i bilaga II en </w:t>
            </w:r>
            <w:r w:rsidRPr="00CD4C97">
              <w:rPr>
                <w:b/>
                <w:i/>
              </w:rPr>
              <w:t>ökande andel</w:t>
            </w:r>
            <w:r w:rsidRPr="00CD4C97">
              <w:t xml:space="preserve">, som styrks av tillräckliga uppgifter </w:t>
            </w:r>
            <w:r w:rsidRPr="00CD4C97">
              <w:rPr>
                <w:b/>
                <w:i/>
              </w:rPr>
              <w:t>om</w:t>
            </w:r>
            <w:r w:rsidRPr="00CD4C97">
              <w:t xml:space="preserve"> avslag på ansökningar om återtagande som en medlemsstat gett in till det berörda tredjelandet avseende dess egna medborgare eller, när så föreskrivs i ett återtagandeavtal mellan unionen eller medlemsstaten i fråga och det berörda tredjelandet, avseende tredjelandsmedborgare som har transiterat genom det tredjelandet.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88</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5 – led a</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a)</w:t>
            </w:r>
            <w:r w:rsidRPr="00CD4C97">
              <w:tab/>
              <w:t>Att avslå eller inte behandla ansökningar om återtagande i rätt tid.</w:t>
            </w:r>
          </w:p>
        </w:tc>
        <w:tc>
          <w:tcPr>
            <w:tcW w:w="4876" w:type="dxa"/>
          </w:tcPr>
          <w:p w:rsidR="002F59C7" w:rsidRPr="00CD4C97" w:rsidRDefault="002F59C7" w:rsidP="00CE174B">
            <w:pPr>
              <w:pStyle w:val="Normal6a"/>
            </w:pPr>
            <w:r w:rsidRPr="00CD4C97">
              <w:t>a)</w:t>
            </w:r>
            <w:r w:rsidRPr="00CD4C97">
              <w:tab/>
              <w:t>Att avslå eller inte behandla ansökningar om återtagande i rätt tid</w:t>
            </w:r>
            <w:r w:rsidRPr="00CD4C97">
              <w:rPr>
                <w:b/>
                <w:i/>
              </w:rPr>
              <w:t>, underlätta att i rätt tid bistå med identifikationen av tredjelandsmedborgare som vistas på en medlemsstats territorium utan rätt att göra det</w:t>
            </w:r>
            <w:r w:rsidRPr="00CD4C97">
              <w: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89</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Charlie Weimers, Patryk Jaki, Vincenzo Sofo, Jorge Buxadé Villalba, Pirkko Ruohonen-Lerner</w:t>
      </w:r>
      <w:r w:rsidRPr="00CD4C97">
        <w:rPr>
          <w:rStyle w:val="HideTWBExt"/>
          <w:color w:val="auto"/>
        </w:rPr>
        <w:t>&lt;/Members&gt;</w:t>
      </w:r>
    </w:p>
    <w:p w:rsidR="002F59C7" w:rsidRPr="00CD4C97" w:rsidRDefault="002F59C7" w:rsidP="002F59C7">
      <w:r w:rsidRPr="00CD4C97">
        <w:rPr>
          <w:rStyle w:val="HideTWBExt"/>
          <w:color w:val="auto"/>
        </w:rPr>
        <w:t>&lt;AuNomDe&gt;</w:t>
      </w:r>
      <w:r w:rsidRPr="00CD4C97">
        <w:rPr>
          <w:rStyle w:val="HideTWBInt"/>
          <w:color w:val="auto"/>
        </w:rPr>
        <w:t>{ECR}</w:t>
      </w:r>
      <w:r w:rsidRPr="00CD4C97">
        <w:t>för ECR-gruppen</w:t>
      </w:r>
      <w:r w:rsidRPr="00CD4C97">
        <w:rPr>
          <w:rStyle w:val="HideTWBExt"/>
          <w:color w:val="auto"/>
        </w:rPr>
        <w:t>&lt;/AuNomDe&gt;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5 – led a</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a)</w:t>
            </w:r>
            <w:r w:rsidRPr="00CD4C97">
              <w:tab/>
              <w:t xml:space="preserve">Att avslå eller inte behandla ansökningar om återtagande </w:t>
            </w:r>
            <w:r w:rsidRPr="00CD4C97">
              <w:rPr>
                <w:b/>
                <w:i/>
              </w:rPr>
              <w:t>i rätt tid</w:t>
            </w:r>
            <w:r w:rsidRPr="00CD4C97">
              <w:t>.</w:t>
            </w:r>
          </w:p>
        </w:tc>
        <w:tc>
          <w:tcPr>
            <w:tcW w:w="4876" w:type="dxa"/>
          </w:tcPr>
          <w:p w:rsidR="002F59C7" w:rsidRPr="00CD4C97" w:rsidRDefault="002F59C7" w:rsidP="00CE174B">
            <w:pPr>
              <w:pStyle w:val="Normal6a"/>
            </w:pPr>
            <w:r w:rsidRPr="00CD4C97">
              <w:t>a)</w:t>
            </w:r>
            <w:r w:rsidRPr="00CD4C97">
              <w:tab/>
              <w:t xml:space="preserve">Att avslå eller inte behandla ansökningar om återtagande </w:t>
            </w:r>
            <w:r w:rsidRPr="00CD4C97">
              <w:rPr>
                <w:b/>
                <w:i/>
              </w:rPr>
              <w:t>inom fyra veckor efter beslutet om återsändande</w:t>
            </w:r>
            <w:r w:rsidRPr="00CD4C97">
              <w: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pPr>
        <w:pStyle w:val="AmJustTitle"/>
      </w:pPr>
      <w:r w:rsidRPr="00CD4C97">
        <w:rPr>
          <w:rStyle w:val="HideTWBExt"/>
          <w:color w:val="auto"/>
        </w:rPr>
        <w:t>&lt;TitreJust&gt;</w:t>
      </w:r>
      <w:r w:rsidRPr="00CD4C97">
        <w:t>Motivering</w:t>
      </w:r>
      <w:r w:rsidRPr="00CD4C97">
        <w:rPr>
          <w:rStyle w:val="HideTWBExt"/>
          <w:color w:val="auto"/>
        </w:rPr>
        <w:t>&lt;/TitreJust&gt;</w:t>
      </w:r>
    </w:p>
    <w:p w:rsidR="002F59C7" w:rsidRPr="00CD4C97" w:rsidRDefault="002F59C7" w:rsidP="002F59C7">
      <w:pPr>
        <w:pStyle w:val="AmJustText"/>
      </w:pPr>
      <w:r w:rsidRPr="00CD4C97">
        <w:t>Orden i rätt tid är alltför vaga. Andra länder kräver stränga standarder för återtagande för att beviljas viseringsfri inresa från första början. USA kräver exempelvis att länder med viseringsfri inresa tar emot sina medborgare inom tre veckor efter det slutgiltiga beslutet om avvisning. EU har problem med återsändande och länder i bilaga II bör hålla en strikt tidsram när det gäller beslut om återsändande.</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90</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5 – led a</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a)</w:t>
            </w:r>
            <w:r w:rsidRPr="00CD4C97">
              <w:tab/>
              <w:t xml:space="preserve">Att avslå eller inte behandla ansökningar om återtagande </w:t>
            </w:r>
            <w:r w:rsidRPr="00CD4C97">
              <w:rPr>
                <w:b/>
                <w:i/>
              </w:rPr>
              <w:t>i rätt tid</w:t>
            </w:r>
            <w:r w:rsidRPr="00CD4C97">
              <w:t>.</w:t>
            </w:r>
          </w:p>
        </w:tc>
        <w:tc>
          <w:tcPr>
            <w:tcW w:w="4876" w:type="dxa"/>
          </w:tcPr>
          <w:p w:rsidR="002F59C7" w:rsidRPr="00CD4C97" w:rsidRDefault="002F59C7" w:rsidP="00CE174B">
            <w:pPr>
              <w:pStyle w:val="Normal6a"/>
            </w:pPr>
            <w:r w:rsidRPr="00CD4C97">
              <w:t>a)</w:t>
            </w:r>
            <w:r w:rsidRPr="00CD4C97">
              <w:tab/>
              <w:t>Att avslå eller inte behandla ansökningar om återtagande.</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91</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5 – led b</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b)</w:t>
            </w:r>
            <w:r w:rsidRPr="00CD4C97">
              <w:tab/>
              <w:t>Att inte i rätt tid utfärda resehandlingar för återvändande inom de tidsfrister som anges i återtagandeavtalet eller inte godta europeiska resehandlingar som utfärdats efter utgången av de tidsfrister som anges i återtagandeavtalet.</w:t>
            </w:r>
          </w:p>
        </w:tc>
        <w:tc>
          <w:tcPr>
            <w:tcW w:w="4876" w:type="dxa"/>
          </w:tcPr>
          <w:p w:rsidR="002F59C7" w:rsidRPr="00CD4C97" w:rsidRDefault="002F59C7" w:rsidP="00CE174B">
            <w:pPr>
              <w:pStyle w:val="Normal6a"/>
            </w:pPr>
            <w:r w:rsidRPr="00CD4C97">
              <w:t>b)</w:t>
            </w:r>
            <w:r w:rsidRPr="00CD4C97">
              <w:tab/>
              <w:t>inte i rätt tid utfärdar resehandlingar för återvändande inom de tidsfrister som anges i återtagandeavtalet eller inte godtar europeiska resehandlingar som utfärdats efter utgången av de tidsfrister som anges i återtagandeavtalet</w:t>
            </w:r>
            <w:r w:rsidRPr="00CD4C97">
              <w:rPr>
                <w:b/>
                <w:i/>
              </w:rPr>
              <w:t>, eller på annat sätt skapar bestående praktiska hinder när det gäller verkställandet av beslut om återtagande</w:t>
            </w:r>
            <w:r w:rsidRPr="00CD4C97">
              <w: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92</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Miguel Urbán Crespo</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5 – led b</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b)</w:t>
            </w:r>
            <w:r w:rsidRPr="00CD4C97">
              <w:tab/>
              <w:t>Att inte i rätt tid utfärda resehandlingar för återvändande inom de tidsfrister som anges i återtagandeavtalet eller inte godta europeiska resehandlingar som utfärdats efter utgången av de tidsfrister som anges i återtagandeavtalet.</w:t>
            </w:r>
          </w:p>
        </w:tc>
        <w:tc>
          <w:tcPr>
            <w:tcW w:w="4876" w:type="dxa"/>
          </w:tcPr>
          <w:p w:rsidR="002F59C7" w:rsidRPr="00CD4C97" w:rsidRDefault="002F59C7" w:rsidP="00CE174B">
            <w:pPr>
              <w:pStyle w:val="Normal6a"/>
            </w:pPr>
            <w:r w:rsidRPr="00CD4C97">
              <w:t>b)</w:t>
            </w:r>
            <w:r w:rsidRPr="00CD4C97">
              <w:tab/>
              <w:t xml:space="preserve">Att inte i rätt tid utfärda resehandlingar för återvändande </w:t>
            </w:r>
            <w:r w:rsidRPr="00CD4C97">
              <w:rPr>
                <w:b/>
                <w:i/>
              </w:rPr>
              <w:t>till personer som erkänns ha rätt att bosätta sig på dess territorium,</w:t>
            </w:r>
            <w:r w:rsidRPr="00CD4C97">
              <w:t xml:space="preserve"> inom de tidsfrister som anges i återtagandeavtalet eller inte godta europeiska resehandlingar som utfärdats efter utgången av de tidsfrister som anges i återtagandeavtalet.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93</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5 – led b</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b)</w:t>
            </w:r>
            <w:r w:rsidRPr="00CD4C97">
              <w:tab/>
              <w:t xml:space="preserve">Att inte </w:t>
            </w:r>
            <w:r w:rsidRPr="00CD4C97">
              <w:rPr>
                <w:b/>
                <w:i/>
              </w:rPr>
              <w:t xml:space="preserve">i rätt tid </w:t>
            </w:r>
            <w:r w:rsidRPr="00CD4C97">
              <w:t>utfärda resehandlingar för återvändande inom de tidsfrister som anges i återtagandeavtalet eller inte godta europeiska resehandlingar som utfärdats efter utgången av de tidsfrister som anges i återtagandeavtalet.</w:t>
            </w:r>
          </w:p>
        </w:tc>
        <w:tc>
          <w:tcPr>
            <w:tcW w:w="4876" w:type="dxa"/>
          </w:tcPr>
          <w:p w:rsidR="002F59C7" w:rsidRPr="00CD4C97" w:rsidRDefault="002F59C7" w:rsidP="00CE174B">
            <w:pPr>
              <w:pStyle w:val="Normal6a"/>
            </w:pPr>
            <w:r w:rsidRPr="00CD4C97">
              <w:t>b)</w:t>
            </w:r>
            <w:r w:rsidRPr="00CD4C97">
              <w:tab/>
              <w:t xml:space="preserve">Att inte utfärda resehandlingar för återvändande </w:t>
            </w:r>
            <w:r w:rsidRPr="00CD4C97">
              <w:rPr>
                <w:b/>
                <w:i/>
              </w:rPr>
              <w:t>till sina egna medborgare eller personer som erkänns ha rätt att bosätta sig på dess territorium</w:t>
            </w:r>
            <w:r w:rsidRPr="00CD4C97">
              <w:t xml:space="preserve"> inom de tidsfrister som anges i återtagandeavtalet eller inte godta europeiska resehandlingar som utfärdats efter utgången av de tidsfrister som anges i återtagandeavtalet.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94</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8a – punkt 5 – led c</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c)</w:t>
            </w:r>
            <w:r w:rsidRPr="00CD4C97">
              <w:tab/>
              <w:t>Att säga upp</w:t>
            </w:r>
            <w:r w:rsidRPr="00CD4C97">
              <w:rPr>
                <w:b/>
                <w:i/>
              </w:rPr>
              <w:t xml:space="preserve"> eller</w:t>
            </w:r>
            <w:r w:rsidRPr="00CD4C97">
              <w:t xml:space="preserve"> tillfälligt upphäva det återtagandeavtal som ingåtts mellan ett tredjeland som anges i förteckningen i bilaga II och unionen.</w:t>
            </w:r>
          </w:p>
        </w:tc>
        <w:tc>
          <w:tcPr>
            <w:tcW w:w="4876" w:type="dxa"/>
          </w:tcPr>
          <w:p w:rsidR="002F59C7" w:rsidRPr="00CD4C97" w:rsidRDefault="002F59C7" w:rsidP="00CE174B">
            <w:pPr>
              <w:pStyle w:val="Normal6a"/>
            </w:pPr>
            <w:r w:rsidRPr="00CD4C97">
              <w:t>c)</w:t>
            </w:r>
            <w:r w:rsidRPr="00CD4C97">
              <w:tab/>
              <w:t>Att säga upp</w:t>
            </w:r>
            <w:r w:rsidRPr="00CD4C97">
              <w:rPr>
                <w:b/>
                <w:i/>
              </w:rPr>
              <w:t>,</w:t>
            </w:r>
            <w:r w:rsidRPr="00CD4C97">
              <w:t xml:space="preserve"> tillfälligt upphäva </w:t>
            </w:r>
            <w:r w:rsidRPr="00CD4C97">
              <w:rPr>
                <w:b/>
                <w:i/>
              </w:rPr>
              <w:t>eller på annat sätt undergräva</w:t>
            </w:r>
            <w:r w:rsidRPr="00CD4C97">
              <w:t xml:space="preserve"> det återtagandeavtal som ingåtts mellan ett tredjeland som anges i förteckningen i bilaga II och unionen.</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95</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Matjaž Nemec</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8b – rubriken</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Underrättelse</w:t>
            </w:r>
            <w:r w:rsidRPr="00CD4C97">
              <w:rPr>
                <w:b/>
                <w:i/>
              </w:rPr>
              <w:t xml:space="preserve"> från en medlemsstat </w:t>
            </w:r>
            <w:r w:rsidRPr="00CD4C97">
              <w:t>och granskning av underrättelsen</w:t>
            </w:r>
          </w:p>
        </w:tc>
        <w:tc>
          <w:tcPr>
            <w:tcW w:w="4876" w:type="dxa"/>
          </w:tcPr>
          <w:p w:rsidR="002F59C7" w:rsidRPr="00CD4C97" w:rsidRDefault="002F59C7" w:rsidP="00CE174B">
            <w:pPr>
              <w:pStyle w:val="Normal6a"/>
            </w:pPr>
            <w:r w:rsidRPr="00CD4C97">
              <w:t>Underrättelse och granskning av underrättelsen</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96</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8b – punkt 1</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1.</w:t>
            </w:r>
            <w:r w:rsidRPr="00CD4C97">
              <w:tab/>
              <w:t>En medlemsstat får underrätta kommissionen om den, under en period på minst två månader i jämförelse med antingen samma tidsperiod under föregående år eller de senaste två månaderna före genomförandet av undantaget från viseringskravet för medborgare i ett tredjeland som anges i förteckningen i bilaga II, ställs inför en eller flera av de omständigheter som utgör grunder för upphävande enligt artikel 8a.1 a, b</w:t>
            </w:r>
            <w:r w:rsidRPr="00CD4C97">
              <w:rPr>
                <w:b/>
                <w:i/>
              </w:rPr>
              <w:t>, c</w:t>
            </w:r>
            <w:r w:rsidRPr="00CD4C97">
              <w:t xml:space="preserve"> och d i.</w:t>
            </w:r>
          </w:p>
        </w:tc>
        <w:tc>
          <w:tcPr>
            <w:tcW w:w="4876" w:type="dxa"/>
          </w:tcPr>
          <w:p w:rsidR="002F59C7" w:rsidRPr="00CD4C97" w:rsidRDefault="002F59C7" w:rsidP="00CE174B">
            <w:pPr>
              <w:pStyle w:val="Normal6a"/>
            </w:pPr>
            <w:r w:rsidRPr="00CD4C97">
              <w:t>1.</w:t>
            </w:r>
            <w:r w:rsidRPr="00CD4C97">
              <w:tab/>
              <w:t xml:space="preserve">En medlemsstat får underrätta kommissionen om den, under en period på minst två </w:t>
            </w:r>
            <w:r w:rsidRPr="00CD4C97">
              <w:rPr>
                <w:b/>
                <w:i/>
              </w:rPr>
              <w:t>men högst tolv</w:t>
            </w:r>
            <w:r w:rsidRPr="00CD4C97">
              <w:t xml:space="preserve"> månader i jämförelse med antingen samma tidsperiod under föregående år eller de senaste två månaderna före genomförandet av undantaget från viseringskravet för medborgare i ett tredjeland som anges i förteckningen i bilaga II, ställs inför en eller flera av de omständigheter som utgör grunder för upphävande enligt artikel 8a.1 a, b och d i.</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97</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8b – punkt 1</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1.</w:t>
            </w:r>
            <w:r w:rsidRPr="00CD4C97">
              <w:tab/>
              <w:t>En medlemsstat får underrätta kommissionen om den, under en period på minst två månader i jämförelse med antingen samma tidsperiod under föregående år eller de senaste två månaderna före genomförandet av undantaget från viseringskravet för medborgare i ett tredjeland som anges i förteckningen i bilaga II, ställs inför en eller flera av de omständigheter som utgör grunder för upphävande enligt artikel 8a.1 </w:t>
            </w:r>
            <w:r w:rsidRPr="00CD4C97">
              <w:rPr>
                <w:b/>
                <w:i/>
              </w:rPr>
              <w:t>a, b, c och d i</w:t>
            </w:r>
            <w:r w:rsidRPr="00CD4C97">
              <w:t>.</w:t>
            </w:r>
          </w:p>
        </w:tc>
        <w:tc>
          <w:tcPr>
            <w:tcW w:w="4876" w:type="dxa"/>
          </w:tcPr>
          <w:p w:rsidR="002F59C7" w:rsidRPr="00CD4C97" w:rsidRDefault="002F59C7" w:rsidP="00CE174B">
            <w:pPr>
              <w:pStyle w:val="Normal6a"/>
            </w:pPr>
            <w:r w:rsidRPr="00CD4C97">
              <w:t>1.</w:t>
            </w:r>
            <w:r w:rsidRPr="00CD4C97">
              <w:tab/>
              <w:t>En medlemsstat får underrätta kommissionen om den, under en period på minst två månader i jämförelse med antingen samma tidsperiod under föregående år eller de senaste två månaderna före genomförandet av undantaget från viseringskravet för medborgare i ett tredjeland som anges i förteckningen i bilaga II, ställs inför en eller flera av de omständigheter som utgör grunder för upphävande enligt artikel 8a.1.</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98</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8b – punkt 1</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1.</w:t>
            </w:r>
            <w:r w:rsidRPr="00CD4C97">
              <w:tab/>
              <w:t xml:space="preserve">En medlemsstat får underrätta kommissionen om den, under en period på </w:t>
            </w:r>
            <w:r w:rsidRPr="00CD4C97">
              <w:rPr>
                <w:b/>
                <w:i/>
              </w:rPr>
              <w:t xml:space="preserve">minst </w:t>
            </w:r>
            <w:r w:rsidRPr="00CD4C97">
              <w:t>två månader i jämförelse med antingen samma tidsperiod under föregående år eller de senaste två månaderna före genomförandet av undantaget från viseringskravet för medborgare i ett tredjeland som anges i förteckningen i bilaga II, ställs inför en eller flera av de omständigheter som utgör grunder för upphävande enligt artikel 8a.1 a, b, c och d </w:t>
            </w:r>
            <w:r w:rsidRPr="00CD4C97">
              <w:rPr>
                <w:b/>
                <w:i/>
              </w:rPr>
              <w:t>i</w:t>
            </w:r>
            <w:r w:rsidRPr="00CD4C97">
              <w:t>.</w:t>
            </w:r>
          </w:p>
        </w:tc>
        <w:tc>
          <w:tcPr>
            <w:tcW w:w="4876" w:type="dxa"/>
          </w:tcPr>
          <w:p w:rsidR="002F59C7" w:rsidRPr="00CD4C97" w:rsidRDefault="002F59C7" w:rsidP="00CE174B">
            <w:pPr>
              <w:pStyle w:val="Normal6a"/>
            </w:pPr>
            <w:r w:rsidRPr="00CD4C97">
              <w:t>1.</w:t>
            </w:r>
            <w:r w:rsidRPr="00CD4C97">
              <w:tab/>
              <w:t>En medlemsstat får underrätta kommissionen om den, under en period på två månader i jämförelse med antingen samma tidsperiod under föregående år eller de senaste två månaderna före genomförandet av undantaget från viseringskravet för medborgare i ett tredjeland som anges i förteckningen i bilaga II, ställs inför en eller flera av de omständigheter som utgör grunder för upphävande enligt artikel 8a.1 a, b, c och d.</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99</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Matjaž Nemec</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8b – punkt 1 – led 1a (nytt)</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1a.</w:t>
            </w:r>
            <w:r w:rsidRPr="00CD4C97">
              <w:tab/>
            </w:r>
            <w:r w:rsidRPr="00CD4C97">
              <w:rPr>
                <w:b/>
                <w:i/>
              </w:rPr>
              <w:t>En medlemsstat får också underrätta kommissionen om att det finns omständigheter som utgör grund för tillfälligt upphävande i enlighet med artikel 8a.1 e, f, g och ga.</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100</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Matjaž Nemec</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8b – punkt 1 – led 1b (nytt)</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1b.</w:t>
            </w:r>
            <w:r w:rsidRPr="00CD4C97">
              <w:tab/>
            </w:r>
            <w:r w:rsidRPr="00CD4C97">
              <w:rPr>
                <w:b/>
                <w:i/>
              </w:rPr>
              <w:t>Europaparlamentet får också underrätta kommissionen om att det finns omständigheter som utgör grund för tillfälligt upphävande i enlighet med artikel 8a.1 e, f, ga och gb.</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101</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8b – punkt 2</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2.</w:t>
            </w:r>
            <w:r w:rsidRPr="00CD4C97">
              <w:tab/>
              <w:t>Den underrättelse som avses i punkt 1 i denna artikel ska ange de skäl som den grundas på och innehålla relevanta uppgifter och statistik samt en detaljerad redogörelse för de preliminära åtgärder som den berörda medlemsstaten har vidtagit för att avhjälpa situationen. Den berörda medlemsstaten kan i sin underrättelse ange vilka kategorier av det berörda tredjelandets medborgare som ska omfattas av en genomförandeakt enligt artikel 8e.1 och i detalj redogöra för skälen till detta.</w:t>
            </w:r>
          </w:p>
        </w:tc>
        <w:tc>
          <w:tcPr>
            <w:tcW w:w="4876" w:type="dxa"/>
          </w:tcPr>
          <w:p w:rsidR="002F59C7" w:rsidRPr="00CD4C97" w:rsidRDefault="002F59C7" w:rsidP="00CE174B">
            <w:pPr>
              <w:pStyle w:val="Normal6a"/>
            </w:pPr>
            <w:r w:rsidRPr="00CD4C97">
              <w:t>2.</w:t>
            </w:r>
            <w:r w:rsidRPr="00CD4C97">
              <w:tab/>
              <w:t xml:space="preserve">Den underrättelse som avses i punkt 1 i denna artikel ska ange de skäl som den grundas på och innehålla relevanta uppgifter och statistik samt en detaljerad redogörelse för de preliminära åtgärder som den berörda medlemsstaten har vidtagit för att avhjälpa situationen. Den berörda medlemsstaten kan i sin underrättelse ange vilka kategorier av det berörda tredjelandets medborgare som ska omfattas av en genomförandeakt enligt artikel 8e.1 och i detalj redogöra för skälen till detta. </w:t>
            </w:r>
            <w:r w:rsidRPr="00CD4C97">
              <w:rPr>
                <w:b/>
                <w:i/>
              </w:rPr>
              <w:t>I undantagsfall som kräver omedelbara åtgärder får medlemsstaterna underrätta kommissionen om de omständigheter i artikel 8a.1 som omfattar en kortare tidsperiod än två månader, förutsatt att en detaljerad motivering av den akuta åtgärd som behövs lämnas av de berörda medlemsstaterna.</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102</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Matjaž Nemec</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8b – punkt 2</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2.</w:t>
            </w:r>
            <w:r w:rsidRPr="00CD4C97">
              <w:tab/>
              <w:t xml:space="preserve">Den underrättelse som avses i punkt 1 i denna artikel ska ange de skäl som den grundas på </w:t>
            </w:r>
            <w:r w:rsidRPr="00CD4C97">
              <w:rPr>
                <w:b/>
                <w:i/>
              </w:rPr>
              <w:t>och</w:t>
            </w:r>
            <w:r w:rsidRPr="00CD4C97">
              <w:t xml:space="preserve"> innehålla relevanta uppgifter och statistik samt en detaljerad redogörelse för de preliminära åtgärder som den berörda medlemsstaten har vidtagit för att avhjälpa situationen. Den berörda medlemsstaten kan i sin underrättelse ange vilka kategorier av det berörda tredjelandets medborgare som ska omfattas av en genomförandeakt enligt artikel 8e.1 och i detalj redogöra för skälen till detta.</w:t>
            </w:r>
          </w:p>
        </w:tc>
        <w:tc>
          <w:tcPr>
            <w:tcW w:w="4876" w:type="dxa"/>
          </w:tcPr>
          <w:p w:rsidR="002F59C7" w:rsidRPr="00CD4C97" w:rsidRDefault="002F59C7" w:rsidP="00CE174B">
            <w:pPr>
              <w:pStyle w:val="Normal6a"/>
            </w:pPr>
            <w:r w:rsidRPr="00CD4C97">
              <w:t>2.</w:t>
            </w:r>
            <w:r w:rsidRPr="00CD4C97">
              <w:tab/>
              <w:t>Den underrättelse som avses i punkt 1</w:t>
            </w:r>
            <w:r w:rsidRPr="00CD4C97">
              <w:rPr>
                <w:b/>
                <w:i/>
              </w:rPr>
              <w:t>, 1a och 1b</w:t>
            </w:r>
            <w:r w:rsidRPr="00CD4C97">
              <w:t xml:space="preserve"> i denna artikel ska ange de skäl som den grundas på</w:t>
            </w:r>
            <w:r w:rsidRPr="00CD4C97">
              <w:rPr>
                <w:b/>
                <w:i/>
              </w:rPr>
              <w:t>. När det är relevant ska den underrättelse som avses i punkt 1 och 1a</w:t>
            </w:r>
            <w:r w:rsidRPr="00CD4C97">
              <w:t xml:space="preserve"> innehålla relevanta uppgifter och statistik samt en detaljerad redogörelse för de preliminära åtgärder som den berörda medlemsstaten har vidtagit för att avhjälpa situationen.</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t xml:space="preserve">Den berörda medlemsstaten </w:t>
            </w:r>
            <w:r w:rsidRPr="00CD4C97">
              <w:rPr>
                <w:b/>
                <w:i/>
              </w:rPr>
              <w:t>eller Europaparlamentet</w:t>
            </w:r>
            <w:r w:rsidRPr="00CD4C97">
              <w:t xml:space="preserve"> kan i sin underrättelse ange vilka kategorier av det berörda tredjelandets medborgare som ska omfattas av en genomförandeakt enligt artikel 8e.1 och i detalj redogöra för skälen till detta.</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103</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8b – punkt 2</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2.</w:t>
            </w:r>
            <w:r w:rsidRPr="00CD4C97">
              <w:tab/>
              <w:t xml:space="preserve">Den underrättelse som avses i punkt 1 i denna artikel ska ange de skäl som den grundas på och innehålla relevanta uppgifter och statistik samt en detaljerad redogörelse för de preliminära åtgärder som den berörda medlemsstaten har vidtagit för att avhjälpa situationen. Den berörda medlemsstaten kan i sin underrättelse ange vilka kategorier av det berörda tredjelandets medborgare som ska omfattas av en </w:t>
            </w:r>
            <w:r w:rsidRPr="00CD4C97">
              <w:rPr>
                <w:b/>
                <w:i/>
              </w:rPr>
              <w:t>genomförandeakt</w:t>
            </w:r>
            <w:r w:rsidRPr="00CD4C97">
              <w:t xml:space="preserve"> enligt artikel 8e.1 och i detalj redogöra för skälen till detta.</w:t>
            </w:r>
          </w:p>
        </w:tc>
        <w:tc>
          <w:tcPr>
            <w:tcW w:w="4876" w:type="dxa"/>
          </w:tcPr>
          <w:p w:rsidR="002F59C7" w:rsidRPr="00CD4C97" w:rsidRDefault="002F59C7" w:rsidP="00CE174B">
            <w:pPr>
              <w:pStyle w:val="Normal6a"/>
            </w:pPr>
            <w:r w:rsidRPr="00CD4C97">
              <w:t>2.</w:t>
            </w:r>
            <w:r w:rsidRPr="00CD4C97">
              <w:tab/>
              <w:t>Den underrättelse som avses i punkt 1 i denna artikel ska ange de skäl som den grundas på och innehålla relevanta uppgifter och statistik samt en detaljerad redogörelse för de preliminära åtgärder som den berörda medlemsstaten har vidtagit för att avhjälpa situationen. Den berörda medlemsstaten kan i sin underrättelse ange vilka kategorier av det berörda tredjelandets medborgare som ska omfattas av en</w:t>
            </w:r>
            <w:r w:rsidRPr="00CD4C97">
              <w:rPr>
                <w:b/>
                <w:i/>
              </w:rPr>
              <w:t xml:space="preserve"> delegerad akt </w:t>
            </w:r>
            <w:r w:rsidRPr="00CD4C97">
              <w:t>enligt artikel 8e.1 och i detalj redogöra för skälen till detta.</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104</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Matjaž Nemec</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8b – punkt 4</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4.</w:t>
            </w:r>
            <w:r w:rsidRPr="00CD4C97">
              <w:tab/>
              <w:t>Kommissionen ska granska eventuella underrättelser enligt punkt 1 i denna artikel, med beaktande av följande:</w:t>
            </w:r>
          </w:p>
        </w:tc>
        <w:tc>
          <w:tcPr>
            <w:tcW w:w="4876" w:type="dxa"/>
          </w:tcPr>
          <w:p w:rsidR="002F59C7" w:rsidRPr="00CD4C97" w:rsidRDefault="002F59C7" w:rsidP="00CE174B">
            <w:pPr>
              <w:pStyle w:val="Normal6a"/>
            </w:pPr>
            <w:r w:rsidRPr="00CD4C97">
              <w:t>4.</w:t>
            </w:r>
            <w:r w:rsidRPr="00CD4C97">
              <w:tab/>
              <w:t>Kommissionen ska granska eventuella underrättelser enligt punkt 1</w:t>
            </w:r>
            <w:r w:rsidRPr="00CD4C97">
              <w:rPr>
                <w:b/>
                <w:i/>
              </w:rPr>
              <w:t>, 1a och 1b</w:t>
            </w:r>
            <w:r w:rsidRPr="00CD4C97">
              <w:t xml:space="preserve"> i denna artikel, med beaktande av följande:</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105</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8b – punkt 4 – led a</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a)</w:t>
            </w:r>
            <w:r w:rsidRPr="00CD4C97">
              <w:tab/>
              <w:t>Huruvida någon av de omständigheter som utgör grunder enligt artikel 8a.1 </w:t>
            </w:r>
            <w:r w:rsidRPr="00CD4C97">
              <w:rPr>
                <w:b/>
                <w:i/>
              </w:rPr>
              <w:t xml:space="preserve">a, b, c eller d i </w:t>
            </w:r>
            <w:r w:rsidRPr="00CD4C97">
              <w:t>föreligger.</w:t>
            </w:r>
          </w:p>
        </w:tc>
        <w:tc>
          <w:tcPr>
            <w:tcW w:w="4876" w:type="dxa"/>
          </w:tcPr>
          <w:p w:rsidR="002F59C7" w:rsidRPr="00CD4C97" w:rsidRDefault="002F59C7" w:rsidP="00CE174B">
            <w:pPr>
              <w:pStyle w:val="Normal6a"/>
            </w:pPr>
            <w:r w:rsidRPr="00CD4C97">
              <w:t>a)</w:t>
            </w:r>
            <w:r w:rsidRPr="00CD4C97">
              <w:tab/>
              <w:t>Huruvida någon av de omständigheter som utgör grunder enligt artikel 8a.1 föreligger.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106</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Matjaž Nemec</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8b – punkt 4 – led a</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a)</w:t>
            </w:r>
            <w:r w:rsidRPr="00CD4C97">
              <w:tab/>
              <w:t>Huruvida någon av de omständigheter som utgör grunder enligt artikel 8a.1 </w:t>
            </w:r>
            <w:r w:rsidRPr="00CD4C97">
              <w:rPr>
                <w:b/>
                <w:i/>
              </w:rPr>
              <w:t xml:space="preserve">a, b, c eller d i </w:t>
            </w:r>
            <w:r w:rsidRPr="00CD4C97">
              <w:t>föreligger.</w:t>
            </w:r>
          </w:p>
        </w:tc>
        <w:tc>
          <w:tcPr>
            <w:tcW w:w="4876" w:type="dxa"/>
          </w:tcPr>
          <w:p w:rsidR="002F59C7" w:rsidRPr="00CD4C97" w:rsidRDefault="002F59C7" w:rsidP="00CE174B">
            <w:pPr>
              <w:pStyle w:val="Normal6a"/>
            </w:pPr>
            <w:r w:rsidRPr="00CD4C97">
              <w:t>a)</w:t>
            </w:r>
            <w:r w:rsidRPr="00CD4C97">
              <w:tab/>
              <w:t>Huruvida någon av de omständigheter som utgör grunder enligt artikel 8a.1 föreligger.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107</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8b – punkt 4 – led a</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a)</w:t>
            </w:r>
            <w:r w:rsidRPr="00CD4C97">
              <w:tab/>
              <w:t>Huruvida någon av de omständigheter som utgör grunder enligt artikel 8a.1 a, b, c eller d </w:t>
            </w:r>
            <w:r w:rsidRPr="00CD4C97">
              <w:rPr>
                <w:b/>
                <w:i/>
              </w:rPr>
              <w:t>i</w:t>
            </w:r>
            <w:r w:rsidRPr="00CD4C97">
              <w:t xml:space="preserve"> föreligger.</w:t>
            </w:r>
          </w:p>
        </w:tc>
        <w:tc>
          <w:tcPr>
            <w:tcW w:w="4876" w:type="dxa"/>
          </w:tcPr>
          <w:p w:rsidR="002F59C7" w:rsidRPr="00CD4C97" w:rsidRDefault="002F59C7" w:rsidP="00CE174B">
            <w:pPr>
              <w:pStyle w:val="Normal6a"/>
            </w:pPr>
            <w:r w:rsidRPr="00CD4C97">
              <w:t>a)</w:t>
            </w:r>
            <w:r w:rsidRPr="00CD4C97">
              <w:tab/>
              <w:t>Huruvida någon av de omständigheter som utgör grunder enligt artikel 8a.1 a, b, c eller d föreligger.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108</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8b – punkt 4 – led a</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a)</w:t>
            </w:r>
            <w:r w:rsidRPr="00CD4C97">
              <w:tab/>
              <w:t>Huruvida någon av de omständigheter som utgör grunder enligt artikel 8a.1 a, b</w:t>
            </w:r>
            <w:r w:rsidRPr="00CD4C97">
              <w:rPr>
                <w:b/>
                <w:i/>
              </w:rPr>
              <w:t>, c</w:t>
            </w:r>
            <w:r w:rsidRPr="00CD4C97">
              <w:t xml:space="preserve"> eller d i föreligger.</w:t>
            </w:r>
          </w:p>
        </w:tc>
        <w:tc>
          <w:tcPr>
            <w:tcW w:w="4876" w:type="dxa"/>
          </w:tcPr>
          <w:p w:rsidR="002F59C7" w:rsidRPr="00CD4C97" w:rsidRDefault="002F59C7" w:rsidP="00CE174B">
            <w:pPr>
              <w:pStyle w:val="Normal6a"/>
            </w:pPr>
            <w:r w:rsidRPr="00CD4C97">
              <w:t>a)</w:t>
            </w:r>
            <w:r w:rsidRPr="00CD4C97">
              <w:tab/>
              <w:t>Huruvida någon av de omständigheter som utgör grunder enligt artikel 8a.1 a, b eller d i föreligger.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109</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Miguel Urbán Crespo</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8b – punkt 4 – led f</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f)</w:t>
            </w:r>
            <w:r w:rsidRPr="00CD4C97">
              <w:tab/>
              <w:t xml:space="preserve">Den övergripande frågan om allmän ordning </w:t>
            </w:r>
            <w:r w:rsidRPr="00CD4C97">
              <w:rPr>
                <w:b/>
                <w:i/>
              </w:rPr>
              <w:t xml:space="preserve">och inre säkerhet, </w:t>
            </w:r>
            <w:r w:rsidRPr="00CD4C97">
              <w:t>i samråd med den berörda medlemsstaten.</w:t>
            </w:r>
          </w:p>
        </w:tc>
        <w:tc>
          <w:tcPr>
            <w:tcW w:w="4876" w:type="dxa"/>
          </w:tcPr>
          <w:p w:rsidR="002F59C7" w:rsidRPr="00CD4C97" w:rsidRDefault="002F59C7" w:rsidP="00CE174B">
            <w:pPr>
              <w:pStyle w:val="Normal6a"/>
            </w:pPr>
            <w:r w:rsidRPr="00CD4C97">
              <w:t>f)</w:t>
            </w:r>
            <w:r w:rsidRPr="00CD4C97">
              <w:tab/>
              <w:t>Den övergripande frågan om allmän ordning i samråd med den berörda medlemsstaten.</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110</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Miguel Urbán Crespo</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8b – punkt 4 – led fa (nytt)</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fa)</w:t>
            </w:r>
            <w:r w:rsidRPr="00CD4C97">
              <w:tab/>
            </w:r>
            <w:r w:rsidRPr="00CD4C97">
              <w:rPr>
                <w:b/>
                <w:i/>
              </w:rPr>
              <w:t>Påverkan på ömsesidigheten i fråga om viseringskrav.</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111</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8b – punkt 4a (ny)</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4a.</w:t>
            </w:r>
            <w:r w:rsidRPr="00CD4C97">
              <w:tab/>
            </w:r>
            <w:r w:rsidRPr="00CD4C97">
              <w:rPr>
                <w:b/>
                <w:i/>
              </w:rPr>
              <w:t>Kommissionen ska också bedöma nödvändigheten, proportionaliteten och konsekvenserna av ett tillfälligt upphävande av undantaget från viseringskravet, med särskild uppmärksamhet på</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a) unionens och dess medlemsstaters övergripande yttre förbindelser med det berörda tredjelandet,</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b) huruvida ett tillfälligt upphävande av undantaget från viseringskravet är lämpligt för att avhjälpa situationen,</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c) konsekvenserna av ett tillfälligt upphävande av rättigheterna för medborgarna i det berörda tredjelandet,</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d) principen om ömsesidighet i fråga om viseringskrav och principen om icke-diskriminering,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e) de potentiella risker som människorättsförsvarare möter.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112</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Miguel Urbán Crespo</w:t>
      </w:r>
      <w:r w:rsidRPr="00CD4C97">
        <w:rPr>
          <w:rStyle w:val="HideTWBExt"/>
          <w:color w:val="auto"/>
        </w:rPr>
        <w:t>&lt;/Members&gt;</w:t>
      </w:r>
    </w:p>
    <w:p w:rsidR="002F59C7" w:rsidRPr="00CD4C97" w:rsidRDefault="002F59C7" w:rsidP="002F59C7">
      <w:r w:rsidRPr="00CD4C97">
        <w:rPr>
          <w:rStyle w:val="HideTWBExt"/>
          <w:color w:val="auto"/>
        </w:rPr>
        <w:t>&lt;AuNomDe&gt;</w:t>
      </w:r>
      <w:r w:rsidRPr="00CD4C97">
        <w:rPr>
          <w:rStyle w:val="HideTWBInt"/>
          <w:color w:val="auto"/>
        </w:rPr>
        <w:t>{The Left}</w:t>
      </w:r>
      <w:r w:rsidRPr="00CD4C97">
        <w:t>för The Left-gruppen</w:t>
      </w:r>
      <w:r w:rsidRPr="00CD4C97">
        <w:rPr>
          <w:rStyle w:val="HideTWBExt"/>
          <w:color w:val="auto"/>
        </w:rPr>
        <w:t>&lt;/AuNomDe&gt;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8b – punkt 5a (ny)</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5a.</w:t>
            </w:r>
            <w:r w:rsidRPr="00CD4C97">
              <w:tab/>
            </w:r>
            <w:r w:rsidRPr="00CD4C97">
              <w:rPr>
                <w:b/>
                <w:i/>
              </w:rPr>
              <w:t>Innan kommissionen fattar något beslut om att tillfälligt upphäva ett undantag från viseringskravet för medborgarna i ett tredjeland ska den ha tillgång till en grundlig undersökning av den människorättsliga situationen i det tredjelandet och beakta de möjliga följderna av att undantaget från viseringskravet upphävs för denna situation och landet.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113</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8c – punkt 1a (ny)</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1a.</w:t>
            </w:r>
            <w:r w:rsidRPr="00CD4C97">
              <w:tab/>
            </w:r>
            <w:r w:rsidRPr="00CD4C97">
              <w:rPr>
                <w:b/>
                <w:i/>
              </w:rPr>
              <w:t>I sin övervakning och analys ska kommissionen informeras av den europeiska gräns- och kustbevakningen, Europeiska unionens asylbyrå, Europeiska unionens byrå för samarbete inom brottsbekämpning (Europol) eller andra relevanta unionsinstitutioner, unionsorgan eller unionsbyråer. Den ska också ta hänsyn till uppgifter som lagras i informationssystemet för viseringar (VIS), Schengens informationssystem, in- och utresesystemet, EU-systemet för reseuppgifter och resetillstånd (Etias) och det europeiska informationssystemet för utbyte av uppgifter ur kriminalregister avseende tredjelandsmedborgare (Ecris-TCN).</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114</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8c – punkt 2</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2.</w:t>
            </w:r>
            <w:r w:rsidRPr="00CD4C97">
              <w:tab/>
              <w:t>Om kommissionen, med beaktande av relevanta uppgifter, rapporter och statistik, har konkret och tillförlitlig information om förekomsten av någon av de grunder som avses i artikel 8a.1 ska den informera Europaparlamentet och rådet om sin analys, och artiklarna 8e och 8f ska tillämpas.</w:t>
            </w:r>
          </w:p>
        </w:tc>
        <w:tc>
          <w:tcPr>
            <w:tcW w:w="4876" w:type="dxa"/>
          </w:tcPr>
          <w:p w:rsidR="002F59C7" w:rsidRPr="00CD4C97" w:rsidRDefault="002F59C7" w:rsidP="00CE174B">
            <w:pPr>
              <w:pStyle w:val="Normal6a"/>
            </w:pPr>
            <w:r w:rsidRPr="00CD4C97">
              <w:t>2.</w:t>
            </w:r>
            <w:r w:rsidRPr="00CD4C97">
              <w:tab/>
              <w:t xml:space="preserve">Om kommissionen, med beaktande av relevanta uppgifter, rapporter och statistik, </w:t>
            </w:r>
            <w:r w:rsidRPr="00CD4C97">
              <w:rPr>
                <w:b/>
                <w:i/>
              </w:rPr>
              <w:t>och efter att ha utfört en bedömning av nödvändigheten, proportionaliteten och konsekvenserna av ett tillfälligt upphävande av undantaget från viseringskravet enligt artikel 8b.4a,</w:t>
            </w:r>
            <w:r w:rsidRPr="00CD4C97">
              <w:t xml:space="preserve"> har konkret och tillförlitlig information om förekomsten av någon av de grunder som avses i artikel 8a.1 ska den informera Europaparlamentet och rådet om sin analys, och artiklarna 8e och 8f ska tillämpas.</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115</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8d – punkt 1</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1.</w:t>
            </w:r>
            <w:r w:rsidRPr="00CD4C97">
              <w:tab/>
              <w:t xml:space="preserve">Kommissionen ska rapportera till Europaparlamentet och rådet om den övervakning som genomförts i enlighet med artikel 8c.1 med avseende på de tredjeländer som har angetts i förteckningen i bilaga II </w:t>
            </w:r>
            <w:r w:rsidRPr="00CD4C97">
              <w:rPr>
                <w:b/>
                <w:i/>
              </w:rPr>
              <w:t>till följd av ett framgångsrikt slutförande av en dialog om viseringsliberalisering mellan unionen och det tredjelandet, minst en gång om året och under en period på sju år efter den dag då viseringsliberaliseringen trädde i kraft för de berörda tredjeländerna, och därefter när kommissionen anser att det är nödvändigt, eller på begäran av Europaparlamentet eller rådet</w:t>
            </w:r>
            <w:r w:rsidRPr="00CD4C97">
              <w:t xml:space="preserve">. </w:t>
            </w:r>
            <w:r w:rsidRPr="00CD4C97">
              <w:rPr>
                <w:b/>
                <w:i/>
              </w:rPr>
              <w:t>Rapporten ska inriktas på de tredjeländer som enligt kommissionens bedömning på grundval av konkret och tillförlitlig information inte längre uppfyller vissa särskilda krav som grundar sig på artikel 1 och som användes för att bedöma lämpligheten i att bevilja viseringsliberalisering.</w:t>
            </w:r>
          </w:p>
        </w:tc>
        <w:tc>
          <w:tcPr>
            <w:tcW w:w="4876" w:type="dxa"/>
          </w:tcPr>
          <w:p w:rsidR="002F59C7" w:rsidRPr="00CD4C97" w:rsidRDefault="002F59C7" w:rsidP="00CE174B">
            <w:pPr>
              <w:pStyle w:val="Normal6a"/>
            </w:pPr>
            <w:r w:rsidRPr="00CD4C97">
              <w:t>1.</w:t>
            </w:r>
            <w:r w:rsidRPr="00CD4C97">
              <w:tab/>
              <w:t>Kommissionen ska rapportera till Europaparlamentet och rådet om den övervakning som genomförts i enlighet med artikel 8c.1 med avseende på de tredjeländer som har angetts i förteckningen i bilaga II.</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116</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8d – punkt 1a (ny)</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1a.</w:t>
            </w:r>
            <w:r w:rsidRPr="00CD4C97">
              <w:tab/>
            </w:r>
            <w:r w:rsidRPr="00CD4C97">
              <w:rPr>
                <w:b/>
                <w:i/>
              </w:rPr>
              <w:t>Kommissionen ska genomföra denna rapportering regelbundet, och därigenom säkerställa att rapportering sker avseende varje tredjeland minst en gång under en fyraårsperiod.</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117</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8d – punkt 1b (ny)</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1b.</w:t>
            </w:r>
            <w:r w:rsidRPr="00CD4C97">
              <w:tab/>
            </w:r>
            <w:r w:rsidRPr="00CD4C97">
              <w:rPr>
                <w:b/>
                <w:i/>
              </w:rPr>
              <w:t>För de tredjeländer som har förtecknats till följd av att en dialog om viseringsliberalisering har inletts mellan unionen och det tredjelandet ska kommissionen årligen rapportera avseende en period om sju år efter dagen för viseringsliberaliseringens ikraftträdande för dessa tredjeländer.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118</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8d – punkt 1c (ny)</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1c.</w:t>
            </w:r>
            <w:r w:rsidRPr="00CD4C97">
              <w:tab/>
            </w:r>
            <w:r w:rsidRPr="00CD4C97">
              <w:rPr>
                <w:b/>
                <w:i/>
              </w:rPr>
              <w:t>När kommissionen anser att det är nödvändigt ska den rapportera om de tredjeländer som enligt kommissionens bedömning på grundval av konkret och tillförlitlig information inte längre uppfyller vissa särskilda krav som grundar sig på artikel 1 och som användes för att bedöma lämpligheten i att bevilja viseringsliberalisering.</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119</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8d – punkt 2</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2.</w:t>
            </w:r>
            <w:r w:rsidRPr="00CD4C97">
              <w:tab/>
              <w:t xml:space="preserve">Kommissionen ska också, </w:t>
            </w:r>
            <w:r w:rsidRPr="00CD4C97">
              <w:rPr>
                <w:b/>
                <w:i/>
              </w:rPr>
              <w:t xml:space="preserve">närhelst den anser det nödvändigt eller </w:t>
            </w:r>
            <w:r w:rsidRPr="00CD4C97">
              <w:t xml:space="preserve">på begäran av Europaparlamentet eller rådet, rapportera om </w:t>
            </w:r>
            <w:r w:rsidRPr="00CD4C97">
              <w:rPr>
                <w:b/>
                <w:i/>
              </w:rPr>
              <w:t>andra</w:t>
            </w:r>
            <w:r w:rsidRPr="00CD4C97">
              <w:t xml:space="preserve"> tredjeländer som anges i förteckningen i bilaga II</w:t>
            </w:r>
            <w:r w:rsidRPr="00CD4C97">
              <w:rPr>
                <w:b/>
                <w:i/>
              </w:rPr>
              <w:t xml:space="preserve"> än de som avses i punkt 1 i denna artikel</w:t>
            </w:r>
            <w:r w:rsidRPr="00CD4C97">
              <w:t>.</w:t>
            </w:r>
          </w:p>
        </w:tc>
        <w:tc>
          <w:tcPr>
            <w:tcW w:w="4876" w:type="dxa"/>
          </w:tcPr>
          <w:p w:rsidR="002F59C7" w:rsidRPr="00CD4C97" w:rsidRDefault="002F59C7" w:rsidP="00CE174B">
            <w:pPr>
              <w:pStyle w:val="Normal6a"/>
            </w:pPr>
            <w:r w:rsidRPr="00CD4C97">
              <w:t>2.</w:t>
            </w:r>
            <w:r w:rsidRPr="00CD4C97">
              <w:tab/>
              <w:t>Kommissionen ska också, på begäran av Europaparlamentet eller rådet, rapportera om tredjeländer som anges i förteckningen i bilaga II</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120</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8e – rubriken</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Genomförandeakter</w:t>
            </w:r>
          </w:p>
        </w:tc>
        <w:tc>
          <w:tcPr>
            <w:tcW w:w="4876" w:type="dxa"/>
          </w:tcPr>
          <w:p w:rsidR="002F59C7" w:rsidRPr="00CD4C97" w:rsidRDefault="002F59C7" w:rsidP="00CE174B">
            <w:pPr>
              <w:pStyle w:val="Normal6a"/>
            </w:pPr>
            <w:r w:rsidRPr="00CD4C97">
              <w:rPr>
                <w:b/>
                <w:i/>
              </w:rPr>
              <w:t>Delegerade akter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121</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8e – punkt 1 – stycke 1</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När kommissionen – på grundval av den granskning som avses i artikel 8b.4 eller den analys som avses i artikel 8c.2 och med beaktande av följderna av ett upphävande av undantaget från viseringskravet för unionens och dess medlemsstaters övergripande yttre förbindelser med det berörda tredjelandet, samt i nära samarbete med det tredjelandet för att hitta alternativa lösningar på lång sikt – beslutar att åtgärder behöver vidtas, eller när en enkel majoritet av medlemsstaterna har underrättat kommissionen om förekomsten av sådana omständigheter som avses i artikel 8a.1 a, b, c eller d</w:t>
            </w:r>
            <w:r w:rsidRPr="00CD4C97">
              <w:rPr>
                <w:b/>
                <w:i/>
              </w:rPr>
              <w:t> i</w:t>
            </w:r>
            <w:r w:rsidRPr="00CD4C97">
              <w:t xml:space="preserve">, ska kommissionen anta en </w:t>
            </w:r>
            <w:r w:rsidRPr="00CD4C97">
              <w:rPr>
                <w:b/>
                <w:i/>
              </w:rPr>
              <w:t>genomförandeakt</w:t>
            </w:r>
            <w:r w:rsidRPr="00CD4C97">
              <w:t xml:space="preserve"> som tillfälligt upphäver undantaget från viseringskravet för medborgare i det berörda tredjelandet under en period på tolv månader.</w:t>
            </w:r>
          </w:p>
        </w:tc>
        <w:tc>
          <w:tcPr>
            <w:tcW w:w="4876" w:type="dxa"/>
          </w:tcPr>
          <w:p w:rsidR="002F59C7" w:rsidRPr="00CD4C97" w:rsidRDefault="002F59C7" w:rsidP="00CE174B">
            <w:pPr>
              <w:pStyle w:val="Normal6a"/>
            </w:pPr>
            <w:r w:rsidRPr="00CD4C97">
              <w:t xml:space="preserve">När kommissionen – på grundval av den granskning som avses i artikel 8b.4 eller den analys som avses i artikel 8c.2 och med beaktande av </w:t>
            </w:r>
            <w:r w:rsidRPr="00CD4C97">
              <w:rPr>
                <w:b/>
                <w:i/>
              </w:rPr>
              <w:t>nödvändigheten, proportionaliteten och</w:t>
            </w:r>
            <w:r w:rsidRPr="00CD4C97">
              <w:t xml:space="preserve"> följderna av ett upphävande av undantaget från viseringskravet för unionens och dess medlemsstaters övergripande yttre förbindelser med det berörda tredjelandet </w:t>
            </w:r>
            <w:r w:rsidRPr="00CD4C97">
              <w:rPr>
                <w:b/>
                <w:i/>
              </w:rPr>
              <w:t>och för dess medborgare på det sätt som föreskrivs i artikel 8b.4a</w:t>
            </w:r>
            <w:r w:rsidRPr="00CD4C97">
              <w:t xml:space="preserve">, samt i nära samarbete med det tredjelandet för att hitta alternativa lösningar på lång sikt – beslutar att åtgärder behöver vidtas, eller när en enkel majoritet av medlemsstaterna har underrättat kommissionen om förekomsten av sådana omständigheter som avses i artikel 8a.1 a, b, c eller d, ska kommissionen anta en </w:t>
            </w:r>
            <w:r w:rsidRPr="00CD4C97">
              <w:rPr>
                <w:b/>
                <w:i/>
              </w:rPr>
              <w:t>delegerad akt</w:t>
            </w:r>
            <w:r w:rsidRPr="00CD4C97">
              <w:t xml:space="preserve"> som tillfälligt upphäver undantaget från viseringskravet för medborgare i det berörda tredjelandet under en period på tolv månader.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122</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8e – punkt 1 – stycke 2</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 xml:space="preserve">Upphävandet ska gälla för vissa kategorier av det berörda tredjelandets medborgare, med hänvisning till relevanta typer av resehandlingar </w:t>
            </w:r>
            <w:r w:rsidRPr="00CD4C97">
              <w:rPr>
                <w:b/>
                <w:i/>
              </w:rPr>
              <w:t>och</w:t>
            </w:r>
            <w:r w:rsidRPr="00CD4C97">
              <w:t xml:space="preserve"> vid behov till ytterligare kriterier. När kommissionen fastställer för vilka kategorier upphävandet ska gälla ska den, på grundval av tillgänglig information, inkludera kategorier som</w:t>
            </w:r>
            <w:r w:rsidRPr="00CD4C97">
              <w:rPr>
                <w:b/>
                <w:i/>
              </w:rPr>
              <w:t xml:space="preserve"> är tillräckligt stora för att</w:t>
            </w:r>
            <w:r w:rsidRPr="00CD4C97">
              <w:t xml:space="preserve"> på ett effektivt sätt bidra till att hantera de omständigheter som ledde till upphävandet, samtidigt som proportionalitetsprincipen och principen om icke-diskriminering respekteras i enlighet med artikel 21 i Europeiska unionens stadga om de grundläggande rättigheterna. I </w:t>
            </w:r>
            <w:r w:rsidRPr="00CD4C97">
              <w:rPr>
                <w:b/>
                <w:i/>
              </w:rPr>
              <w:t>genomförandeakten</w:t>
            </w:r>
            <w:r w:rsidRPr="00CD4C97">
              <w:t xml:space="preserve"> ska det fastställas vilken dag upphävandet av undantaget från viseringskravet ska få verkan.</w:t>
            </w:r>
          </w:p>
        </w:tc>
        <w:tc>
          <w:tcPr>
            <w:tcW w:w="4876" w:type="dxa"/>
          </w:tcPr>
          <w:p w:rsidR="002F59C7" w:rsidRPr="00CD4C97" w:rsidRDefault="002F59C7" w:rsidP="00CE174B">
            <w:pPr>
              <w:pStyle w:val="Normal6a"/>
            </w:pPr>
            <w:r w:rsidRPr="00CD4C97">
              <w:t xml:space="preserve">Upphävandet ska gälla för vissa kategorier av det berörda tredjelandets medborgare </w:t>
            </w:r>
            <w:r w:rsidRPr="00CD4C97">
              <w:rPr>
                <w:b/>
                <w:i/>
              </w:rPr>
              <w:t>eller utvalda personer</w:t>
            </w:r>
            <w:r w:rsidRPr="00CD4C97">
              <w:t xml:space="preserve">, med hänvisning till relevanta typer av resehandlingar </w:t>
            </w:r>
            <w:r w:rsidRPr="00CD4C97">
              <w:rPr>
                <w:b/>
                <w:i/>
              </w:rPr>
              <w:t>eller</w:t>
            </w:r>
            <w:r w:rsidRPr="00CD4C97">
              <w:t xml:space="preserve"> vid behov till ytterligare kriterier. När kommissionen fastställer för vilka kategorier </w:t>
            </w:r>
            <w:r w:rsidRPr="00CD4C97">
              <w:rPr>
                <w:b/>
                <w:i/>
              </w:rPr>
              <w:t>eller utvalda personer</w:t>
            </w:r>
            <w:r w:rsidRPr="00CD4C97">
              <w:t xml:space="preserve"> upphävandet ska gälla ska den, på grundval av tillgänglig information </w:t>
            </w:r>
            <w:r w:rsidRPr="00CD4C97">
              <w:rPr>
                <w:b/>
                <w:i/>
              </w:rPr>
              <w:t>och bedömningen av påverkan och konsekvenserna av detta upphävande</w:t>
            </w:r>
            <w:r w:rsidRPr="00CD4C97">
              <w:t xml:space="preserve">, </w:t>
            </w:r>
            <w:r w:rsidRPr="00CD4C97">
              <w:rPr>
                <w:b/>
                <w:i/>
              </w:rPr>
              <w:t>endast</w:t>
            </w:r>
            <w:r w:rsidRPr="00CD4C97">
              <w:t xml:space="preserve"> inkludera kategorier </w:t>
            </w:r>
            <w:r w:rsidRPr="00CD4C97">
              <w:rPr>
                <w:b/>
                <w:i/>
              </w:rPr>
              <w:t>eller personer</w:t>
            </w:r>
            <w:r w:rsidRPr="00CD4C97">
              <w:t xml:space="preserve"> som på ett effektivt sätt bidra till att hantera de omständigheter som ledde till upphävandet, samtidigt som proportionalitetsprincipen och principen om icke-diskriminering respekteras i enlighet med artikel 21 i Europeiska unionens stadga om de grundläggande rättigheterna. I </w:t>
            </w:r>
            <w:r w:rsidRPr="00CD4C97">
              <w:rPr>
                <w:b/>
                <w:i/>
              </w:rPr>
              <w:t>den delegerade akten</w:t>
            </w:r>
            <w:r w:rsidRPr="00CD4C97">
              <w:t xml:space="preserve"> ska det fastställas vilken dag upphävandet av undantaget från viseringskravet ska få verkan.</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123</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8e – punkt 1 – stycke 3</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 xml:space="preserve">Kommissionen ska anta den </w:t>
            </w:r>
            <w:r w:rsidRPr="00CD4C97">
              <w:rPr>
                <w:b/>
                <w:i/>
              </w:rPr>
              <w:t>genomförandeakt</w:t>
            </w:r>
            <w:r w:rsidRPr="00CD4C97">
              <w:t xml:space="preserve"> som avses i första stycket inom en månad från det att den har</w:t>
            </w:r>
          </w:p>
        </w:tc>
        <w:tc>
          <w:tcPr>
            <w:tcW w:w="4876" w:type="dxa"/>
          </w:tcPr>
          <w:p w:rsidR="002F59C7" w:rsidRPr="00CD4C97" w:rsidRDefault="002F59C7" w:rsidP="00CE174B">
            <w:pPr>
              <w:pStyle w:val="Normal6a"/>
            </w:pPr>
            <w:r w:rsidRPr="00CD4C97">
              <w:t xml:space="preserve">Kommissionen ska anta den </w:t>
            </w:r>
            <w:r w:rsidRPr="00CD4C97">
              <w:rPr>
                <w:b/>
                <w:i/>
              </w:rPr>
              <w:t>delegerade akt</w:t>
            </w:r>
            <w:r w:rsidRPr="00CD4C97">
              <w:t xml:space="preserve"> som avses i första stycket inom en månad från det att den har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124</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8e – punkt 1 – stycke 3 – led c</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c)</w:t>
            </w:r>
            <w:r w:rsidRPr="00CD4C97">
              <w:tab/>
              <w:t>mottagit underrättelsen från en enkel majoritet av medlemsstaterna om förekomsten av sådana grunder som avses i artikel 8a.1 a, b, c eller d</w:t>
            </w:r>
            <w:r w:rsidRPr="00CD4C97">
              <w:rPr>
                <w:b/>
                <w:i/>
              </w:rPr>
              <w:t> i</w:t>
            </w:r>
            <w:r w:rsidRPr="00CD4C97">
              <w:t>.</w:t>
            </w:r>
          </w:p>
        </w:tc>
        <w:tc>
          <w:tcPr>
            <w:tcW w:w="4876" w:type="dxa"/>
          </w:tcPr>
          <w:p w:rsidR="002F59C7" w:rsidRPr="00CD4C97" w:rsidRDefault="002F59C7" w:rsidP="00CE174B">
            <w:pPr>
              <w:pStyle w:val="Normal6a"/>
            </w:pPr>
            <w:r w:rsidRPr="00CD4C97">
              <w:t>c)</w:t>
            </w:r>
            <w:r w:rsidRPr="00CD4C97">
              <w:tab/>
              <w:t>mottagit underrättelsen från en enkel majoritet av medlemsstaterna om förekomsten av sådana grunder som avses i artikel 8a.1 a, b, c eller d.</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125</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8e – punkt 1 – stycke 4</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De</w:t>
            </w:r>
            <w:r w:rsidRPr="00CD4C97">
              <w:rPr>
                <w:b/>
                <w:i/>
              </w:rPr>
              <w:t xml:space="preserve"> genomförandeakter</w:t>
            </w:r>
            <w:r w:rsidRPr="00CD4C97">
              <w:t xml:space="preserve"> som avses i första stycket ska antas i enlighet med </w:t>
            </w:r>
            <w:r w:rsidRPr="00CD4C97">
              <w:rPr>
                <w:b/>
                <w:i/>
              </w:rPr>
              <w:t xml:space="preserve">det granskningsförfarande som avses i </w:t>
            </w:r>
            <w:r w:rsidRPr="00CD4C97">
              <w:t>artikel</w:t>
            </w:r>
            <w:r w:rsidRPr="00CD4C97">
              <w:rPr>
                <w:b/>
                <w:i/>
              </w:rPr>
              <w:t xml:space="preserve"> 11.2</w:t>
            </w:r>
            <w:r w:rsidRPr="00CD4C97">
              <w:t>.</w:t>
            </w:r>
          </w:p>
        </w:tc>
        <w:tc>
          <w:tcPr>
            <w:tcW w:w="4876" w:type="dxa"/>
          </w:tcPr>
          <w:p w:rsidR="002F59C7" w:rsidRPr="00CD4C97" w:rsidRDefault="002F59C7" w:rsidP="00CE174B">
            <w:pPr>
              <w:pStyle w:val="Normal6a"/>
            </w:pPr>
            <w:r w:rsidRPr="00CD4C97">
              <w:t xml:space="preserve">De </w:t>
            </w:r>
            <w:r w:rsidRPr="00CD4C97">
              <w:rPr>
                <w:b/>
                <w:i/>
              </w:rPr>
              <w:t>delegerade akter</w:t>
            </w:r>
            <w:r w:rsidRPr="00CD4C97">
              <w:t xml:space="preserve"> som avses i första stycket ska antas i enlighet med artikel </w:t>
            </w:r>
            <w:r w:rsidRPr="00CD4C97">
              <w:rPr>
                <w:b/>
                <w:i/>
              </w:rPr>
              <w:t>10</w:t>
            </w:r>
            <w:r w:rsidRPr="00CD4C97">
              <w: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126</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8e – punkt 2</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2.</w:t>
            </w:r>
            <w:r w:rsidRPr="00CD4C97">
              <w:tab/>
            </w:r>
            <w:r w:rsidRPr="00CD4C97">
              <w:rPr>
                <w:b/>
                <w:i/>
              </w:rPr>
              <w:t>Av vederbörligen motiverade och tvingande skäl till skyndsamhet ska kommissionen anta genomförandeakter med omedelbar verkan i enlighet med det förfarande som avses i artikel 11.4 för att tillfälligt upphäva undantaget från viseringskravet för medborgare i det berörda tredjelandet under en period på tolv månader.</w:t>
            </w:r>
          </w:p>
        </w:tc>
        <w:tc>
          <w:tcPr>
            <w:tcW w:w="4876" w:type="dxa"/>
          </w:tcPr>
          <w:p w:rsidR="002F59C7" w:rsidRPr="00CD4C97" w:rsidRDefault="002F59C7" w:rsidP="00CE174B">
            <w:pPr>
              <w:pStyle w:val="Normal6a"/>
            </w:pPr>
            <w:r w:rsidRPr="00CD4C97">
              <w:rPr>
                <w:b/>
                <w:i/>
              </w:rPr>
              <w:t>utgår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127</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8e – punkt 2</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2.</w:t>
            </w:r>
            <w:r w:rsidRPr="00CD4C97">
              <w:tab/>
              <w:t>Av vederbörligen motiverade och tvingande skäl till skyndsamhet</w:t>
            </w:r>
            <w:r w:rsidRPr="00CD4C97">
              <w:rPr>
                <w:b/>
                <w:i/>
              </w:rPr>
              <w:t xml:space="preserve"> ska</w:t>
            </w:r>
            <w:r w:rsidRPr="00CD4C97">
              <w:t xml:space="preserve"> kommissionen anta genomförandeakter med omedelbar verkan i enlighet med det förfarande som avses i artikel 11.4 för att tillfälligt upphäva undantaget från viseringskravet för medborgare i det berörda tredjelandet under en period på tolv månader.</w:t>
            </w:r>
          </w:p>
        </w:tc>
        <w:tc>
          <w:tcPr>
            <w:tcW w:w="4876" w:type="dxa"/>
          </w:tcPr>
          <w:p w:rsidR="002F59C7" w:rsidRPr="00CD4C97" w:rsidRDefault="002F59C7" w:rsidP="00CE174B">
            <w:pPr>
              <w:pStyle w:val="Normal6a"/>
            </w:pPr>
            <w:r w:rsidRPr="00CD4C97">
              <w:t>2.</w:t>
            </w:r>
            <w:r w:rsidRPr="00CD4C97">
              <w:tab/>
              <w:t>Av vederbörligen motiverade och tvingande skäl till skyndsamhet</w:t>
            </w:r>
            <w:r w:rsidRPr="00CD4C97">
              <w:rPr>
                <w:b/>
                <w:i/>
              </w:rPr>
              <w:t xml:space="preserve"> får</w:t>
            </w:r>
            <w:r w:rsidRPr="00CD4C97">
              <w:t xml:space="preserve"> kommissionen</w:t>
            </w:r>
            <w:r w:rsidRPr="00CD4C97">
              <w:rPr>
                <w:b/>
                <w:i/>
              </w:rPr>
              <w:t>, när ett allvarligt hot mot den allmänna ordningen eller den inre säkerheten i en medlemsstat enligt artikel 8a.d är oförutsebart och kräver omedelbara åtgärder,</w:t>
            </w:r>
            <w:r w:rsidRPr="00CD4C97">
              <w:t xml:space="preserve"> anta genomförandeakter med omedelbar verkan i enlighet med det förfarande som avses i artikel 11.4 för att tillfälligt upphäva undantaget från viseringskravet för medborgare i det berörda tredjelandet under en period på </w:t>
            </w:r>
            <w:r w:rsidRPr="00CD4C97">
              <w:rPr>
                <w:b/>
                <w:i/>
              </w:rPr>
              <w:t>högst tre månader. Om kommissionen inom denna tidsperiod på grundval av den undersökning som avses i artikel 8c beslutar att ytterligare åtgärder behövs får den anta en genomförandeakt i enlighet med det förfarande som avses i artikel 8e.1, senast en månad före tremånadersperiodens utgång. Den totala varaktigheten hos perioden med tillfälligt upphävande av viseringar enligt genomförandeakten med omedelbar verkan ska inte överstiga</w:t>
            </w:r>
            <w:r w:rsidRPr="00CD4C97">
              <w:t xml:space="preserve"> tolv månader.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128</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8e – punkt 2</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2.</w:t>
            </w:r>
            <w:r w:rsidRPr="00CD4C97">
              <w:tab/>
              <w:t>Av vederbörligen motiverade och tvingande skäl till skyndsamhet ska kommissionen anta genomförandeakter med omedelbar verkan i enlighet med det förfarande som avses i artikel 11.4 för att tillfälligt upphäva undantaget från viseringskravet för medborgare i det berörda tredjelandet under en period på tolv månader.</w:t>
            </w:r>
          </w:p>
        </w:tc>
        <w:tc>
          <w:tcPr>
            <w:tcW w:w="4876" w:type="dxa"/>
          </w:tcPr>
          <w:p w:rsidR="002F59C7" w:rsidRPr="00CD4C97" w:rsidRDefault="002F59C7" w:rsidP="00CE174B">
            <w:pPr>
              <w:pStyle w:val="Normal6a"/>
            </w:pPr>
            <w:r w:rsidRPr="00CD4C97">
              <w:t>2.</w:t>
            </w:r>
            <w:r w:rsidRPr="00CD4C97">
              <w:tab/>
              <w:t xml:space="preserve">Av vederbörligen motiverade och tvingande skäl till skyndsamhet ska kommissionen anta genomförandeakter med omedelbar verkan i enlighet med det förfarande som avses i artikel 11.4 för att tillfälligt upphäva undantaget från viseringskravet för medborgare i det berörda tredjelandet under en period på tolv månader. </w:t>
            </w:r>
            <w:r w:rsidRPr="00CD4C97">
              <w:rPr>
                <w:b/>
                <w:i/>
              </w:rPr>
              <w:t>I sådana fall ska kommissionen informera rådet och parlamentet öppet och på ett omfattande och konsekvent sätt under hela förfarandet.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129</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Malik Azmani, Olivier Chastel, Jan-Christoph Oetjen, Moritz Körner</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8e – punkt 3</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3.</w:t>
            </w:r>
            <w:r w:rsidRPr="00CD4C97">
              <w:tab/>
              <w:t>Under upphävandeperioden ska kommissionen upprätta en förstärkt dialog med det berörda tredjelandet i syfte att åtgärda omständigheterna i fråga.</w:t>
            </w:r>
          </w:p>
        </w:tc>
        <w:tc>
          <w:tcPr>
            <w:tcW w:w="4876" w:type="dxa"/>
          </w:tcPr>
          <w:p w:rsidR="002F59C7" w:rsidRPr="00CD4C97" w:rsidRDefault="002F59C7" w:rsidP="00CE174B">
            <w:pPr>
              <w:pStyle w:val="Normal6a"/>
            </w:pPr>
            <w:r w:rsidRPr="00CD4C97">
              <w:t>3.</w:t>
            </w:r>
            <w:r w:rsidRPr="00CD4C97">
              <w:tab/>
              <w:t xml:space="preserve">Under upphävandeperioden ska kommissionen upprätta en förstärkt dialog med det berörda tredjelandet i syfte att åtgärda omständigheterna i fråga. </w:t>
            </w:r>
            <w:r w:rsidRPr="00CD4C97">
              <w:rPr>
                <w:b/>
                <w:i/>
              </w:rPr>
              <w:t>Utan att det påverkar tillämpningen av artikel 6 ska det berörda tredjelandets medborgare under upphävandeperioden vara skyldiga att inneha visering när de passerar medlemsstaternas yttre gränser.</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130</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8e – punkt 3</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3.</w:t>
            </w:r>
            <w:r w:rsidRPr="00CD4C97">
              <w:tab/>
              <w:t>Under upphävandeperioden ska kommissionen upprätta en förstärkt dialog med det berörda tredjelandet i syfte att åtgärda omständigheterna i fråga.</w:t>
            </w:r>
          </w:p>
        </w:tc>
        <w:tc>
          <w:tcPr>
            <w:tcW w:w="4876" w:type="dxa"/>
          </w:tcPr>
          <w:p w:rsidR="002F59C7" w:rsidRPr="00CD4C97" w:rsidRDefault="002F59C7" w:rsidP="00CE174B">
            <w:pPr>
              <w:pStyle w:val="Normal6a"/>
            </w:pPr>
            <w:r w:rsidRPr="00CD4C97">
              <w:t>3.</w:t>
            </w:r>
            <w:r w:rsidRPr="00CD4C97">
              <w:tab/>
              <w:t xml:space="preserve">Under upphävandeperioden ska kommissionen upprätta en förstärkt dialog med det berörda tredjelandet i syfte att åtgärda omständigheterna i fråga </w:t>
            </w:r>
            <w:r w:rsidRPr="00CD4C97">
              <w:rPr>
                <w:b/>
                <w:i/>
              </w:rPr>
              <w:t>och regelbundet rapportera till Europaparlamentet och rådet om sina framsteg och resultat samt effektiviteten i det upphävande som tillämpas</w:t>
            </w:r>
            <w:r w:rsidRPr="00CD4C97">
              <w: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131</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8e – punkt 4</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4.</w:t>
            </w:r>
            <w:r w:rsidRPr="00CD4C97">
              <w:tab/>
              <w:t xml:space="preserve">Om de omständigheter som ledde till det tillfälliga upphävandet av undantaget från viseringskravet åtgärdas före utgången av giltighetstiden för de </w:t>
            </w:r>
            <w:r w:rsidRPr="00CD4C97">
              <w:rPr>
                <w:b/>
                <w:i/>
              </w:rPr>
              <w:t xml:space="preserve">genomförandeakter </w:t>
            </w:r>
            <w:r w:rsidRPr="00CD4C97">
              <w:t xml:space="preserve">som antagits i enlighet med punkterna 1 och 2 ska kommissionen anta en </w:t>
            </w:r>
            <w:r w:rsidRPr="00CD4C97">
              <w:rPr>
                <w:b/>
                <w:i/>
              </w:rPr>
              <w:t>genomförandeakt</w:t>
            </w:r>
            <w:r w:rsidRPr="00CD4C97">
              <w:t xml:space="preserve"> för att häva det tillfälliga upphävandet i enlighet med </w:t>
            </w:r>
            <w:r w:rsidRPr="00CD4C97">
              <w:rPr>
                <w:b/>
                <w:i/>
              </w:rPr>
              <w:t xml:space="preserve">det granskningsförfarande som avses i </w:t>
            </w:r>
            <w:r w:rsidRPr="00CD4C97">
              <w:t>artikel</w:t>
            </w:r>
            <w:r w:rsidRPr="00CD4C97">
              <w:rPr>
                <w:b/>
                <w:i/>
              </w:rPr>
              <w:t xml:space="preserve"> 11.2</w:t>
            </w:r>
            <w:r w:rsidRPr="00CD4C97">
              <w:t>.</w:t>
            </w:r>
          </w:p>
        </w:tc>
        <w:tc>
          <w:tcPr>
            <w:tcW w:w="4876" w:type="dxa"/>
          </w:tcPr>
          <w:p w:rsidR="002F59C7" w:rsidRPr="00CD4C97" w:rsidRDefault="002F59C7" w:rsidP="00CE174B">
            <w:pPr>
              <w:pStyle w:val="Normal6a"/>
            </w:pPr>
            <w:r w:rsidRPr="00CD4C97">
              <w:t>4.</w:t>
            </w:r>
            <w:r w:rsidRPr="00CD4C97">
              <w:tab/>
              <w:t xml:space="preserve">Om de omständigheter som ledde till det tillfälliga upphävandet av undantaget från viseringskravet åtgärdas före utgången av giltighetstiden för de </w:t>
            </w:r>
            <w:r w:rsidRPr="00CD4C97">
              <w:rPr>
                <w:b/>
                <w:i/>
              </w:rPr>
              <w:t>delegerade akter</w:t>
            </w:r>
            <w:r w:rsidRPr="00CD4C97">
              <w:t xml:space="preserve"> som antagits i enlighet med punkterna 1 och 2 ska kommissionen anta en </w:t>
            </w:r>
            <w:r w:rsidRPr="00CD4C97">
              <w:rPr>
                <w:b/>
                <w:i/>
              </w:rPr>
              <w:t>ny delegerad akt</w:t>
            </w:r>
            <w:r w:rsidRPr="00CD4C97">
              <w:t xml:space="preserve"> för att häva det tillfälliga upphävandet i enlighet med artikel </w:t>
            </w:r>
            <w:r w:rsidRPr="00CD4C97">
              <w:rPr>
                <w:b/>
                <w:i/>
              </w:rPr>
              <w:t>10</w:t>
            </w:r>
            <w:r w:rsidRPr="00CD4C97">
              <w: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132</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8f – rubriken</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rPr>
                <w:b/>
                <w:i/>
              </w:rPr>
              <w:t>Delegerade akter</w:t>
            </w:r>
          </w:p>
        </w:tc>
        <w:tc>
          <w:tcPr>
            <w:tcW w:w="4876" w:type="dxa"/>
          </w:tcPr>
          <w:p w:rsidR="002F59C7" w:rsidRPr="00CD4C97" w:rsidRDefault="002F59C7" w:rsidP="00CE174B">
            <w:pPr>
              <w:pStyle w:val="Normal6a"/>
            </w:pPr>
            <w:r w:rsidRPr="00CD4C97">
              <w:rPr>
                <w:b/>
                <w:i/>
              </w:rPr>
              <w:t>Förlängning av det tillfälliga upphävandet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133</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8f – punkt 1</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r w:rsidRPr="00CD4C97">
              <w:t>1.</w:t>
            </w:r>
            <w:r w:rsidRPr="00CD4C97">
              <w:tab/>
              <w:t xml:space="preserve">Om de grunder som avses i artikel 8a kvarstår ska kommissionen, senast två månader innan den tolvmånadersperiod som avses i artikel 8e.1 löper ut, anta en delegerad akt i enlighet med artikel 10 om ändring av bilaga II för att tillfälligt upphäva tillämpningen av den bilagan under en period på 24 månader för det berörda tredjelandets alla medborgare. Ändringen ska göras genom att det bredvid namnet på tredjelandet i fråga införs en fotnot i vilken det anges att undantaget från viseringskravet upphävs gentemot det tredjelandet och i vilken perioden för upphävandet anges. Den delegerade akten ska få verkan från och med den dag då den </w:t>
            </w:r>
            <w:r w:rsidRPr="00CD4C97">
              <w:rPr>
                <w:b/>
                <w:i/>
              </w:rPr>
              <w:t>genomförandeakt</w:t>
            </w:r>
            <w:r w:rsidRPr="00CD4C97">
              <w:t xml:space="preserve"> som avses i artikel 8e.1 löper ut.</w:t>
            </w:r>
          </w:p>
        </w:tc>
        <w:tc>
          <w:tcPr>
            <w:tcW w:w="4876" w:type="dxa"/>
          </w:tcPr>
          <w:p w:rsidR="002F59C7" w:rsidRPr="00CD4C97" w:rsidRDefault="002F59C7" w:rsidP="00CE174B">
            <w:pPr>
              <w:pStyle w:val="Normal6a"/>
            </w:pPr>
            <w:r w:rsidRPr="00CD4C97">
              <w:t>1.</w:t>
            </w:r>
            <w:r w:rsidRPr="00CD4C97">
              <w:tab/>
              <w:t xml:space="preserve">Om de grunder som avses i artikel 8a kvarstår ska kommissionen, senast två månader innan den tolvmånadersperiod som avses i artikel 8e.1 löper ut, anta en delegerad akt i enlighet med artikel 10 om ändring av bilaga II för att tillfälligt upphäva tillämpningen av den bilagan under en period på 24 månader för det berörda tredjelandets alla medborgare. Ändringen ska göras genom att det bredvid namnet på tredjelandet i fråga införs en fotnot i vilken det anges att undantaget från viseringskravet upphävs gentemot det tredjelandet och i vilken perioden för upphävandet anges. Den delegerade akten ska få verkan från och med den dag då den </w:t>
            </w:r>
            <w:r w:rsidRPr="00CD4C97">
              <w:rPr>
                <w:b/>
                <w:i/>
              </w:rPr>
              <w:t>delegerade akt</w:t>
            </w:r>
            <w:r w:rsidRPr="00CD4C97">
              <w:t xml:space="preserve"> som avses i artikel 8e.1 löper ut.</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w:t>
      </w:r>
    </w:p>
    <w:p w:rsidR="002F59C7" w:rsidRPr="00CD4C97" w:rsidRDefault="002F59C7" w:rsidP="002F59C7">
      <w:pPr>
        <w:pStyle w:val="AmNumberTabs"/>
      </w:pPr>
      <w:r w:rsidRPr="00CD4C97">
        <w:rPr>
          <w:rStyle w:val="HideTWBExt"/>
          <w:color w:val="auto"/>
        </w:rPr>
        <w:t>&lt;Amend&gt;</w:t>
      </w:r>
      <w:r w:rsidRPr="00CD4C97">
        <w:t>Ändringsförslag</w:t>
      </w:r>
      <w:r w:rsidRPr="00CD4C97">
        <w:tab/>
      </w:r>
      <w:r w:rsidRPr="00CD4C97">
        <w:tab/>
      </w:r>
      <w:r w:rsidRPr="00CD4C97">
        <w:rPr>
          <w:rStyle w:val="HideTWBExt"/>
          <w:color w:val="auto"/>
        </w:rPr>
        <w:t>&lt;NumAm&gt;</w:t>
      </w:r>
      <w:r w:rsidRPr="00CD4C97">
        <w:t>134</w:t>
      </w:r>
      <w:r w:rsidRPr="00CD4C97">
        <w:rPr>
          <w:rStyle w:val="HideTWBExt"/>
          <w:color w:val="auto"/>
        </w:rPr>
        <w:t>&lt;/NumAm&gt;</w:t>
      </w:r>
    </w:p>
    <w:p w:rsidR="002F59C7" w:rsidRPr="00CD4C97" w:rsidRDefault="002F59C7" w:rsidP="002F59C7">
      <w:pPr>
        <w:pStyle w:val="NormalBold"/>
      </w:pPr>
      <w:r w:rsidRPr="00CD4C97">
        <w:rPr>
          <w:rStyle w:val="HideTWBExt"/>
          <w:color w:val="auto"/>
        </w:rPr>
        <w:t>&lt;RepeatBlock-By&gt;&lt;Members&gt;</w:t>
      </w:r>
      <w:r w:rsidRPr="00CD4C97">
        <w:t>Tineke Strik</w:t>
      </w:r>
      <w:r w:rsidRPr="00CD4C97">
        <w:rPr>
          <w:rStyle w:val="HideTWBExt"/>
          <w:color w:val="auto"/>
        </w:rPr>
        <w:t>&lt;/Members&gt;</w:t>
      </w:r>
    </w:p>
    <w:p w:rsidR="002F59C7" w:rsidRPr="00CD4C97" w:rsidRDefault="002F59C7" w:rsidP="002F59C7">
      <w:pPr>
        <w:pStyle w:val="NormalBold"/>
      </w:pPr>
      <w:r w:rsidRPr="00CD4C97">
        <w:rPr>
          <w:rStyle w:val="HideTWBExt"/>
          <w:color w:val="auto"/>
        </w:rPr>
        <w:t>&lt;/RepeatBlock-By&gt;</w:t>
      </w:r>
    </w:p>
    <w:p w:rsidR="002F59C7" w:rsidRPr="00CD4C97" w:rsidRDefault="002F59C7" w:rsidP="002F59C7">
      <w:pPr>
        <w:pStyle w:val="NormalBold"/>
      </w:pPr>
      <w:r w:rsidRPr="00CD4C97">
        <w:rPr>
          <w:rStyle w:val="HideTWBExt"/>
          <w:color w:val="auto"/>
        </w:rPr>
        <w:t>&lt;DocAmend&gt;</w:t>
      </w:r>
      <w:r w:rsidRPr="00CD4C97">
        <w:t>Förslag till förordning</w:t>
      </w:r>
      <w:r w:rsidRPr="00CD4C97">
        <w:rPr>
          <w:rStyle w:val="HideTWBExt"/>
          <w:color w:val="auto"/>
        </w:rPr>
        <w:t>&lt;/DocAmend&gt;</w:t>
      </w:r>
    </w:p>
    <w:p w:rsidR="002F59C7" w:rsidRPr="00CD4C97" w:rsidRDefault="002F59C7" w:rsidP="002F59C7">
      <w:pPr>
        <w:pStyle w:val="NormalBold"/>
      </w:pPr>
      <w:r w:rsidRPr="00CD4C97">
        <w:rPr>
          <w:rStyle w:val="HideTWBExt"/>
          <w:color w:val="auto"/>
        </w:rPr>
        <w:t>&lt;Article&gt;</w:t>
      </w:r>
      <w:r w:rsidRPr="00CD4C97">
        <w:t>Artikel 1 – stycke 1 – led 2</w:t>
      </w:r>
      <w:r w:rsidRPr="00CD4C97">
        <w:rPr>
          <w:rStyle w:val="HideTWBExt"/>
          <w:color w:val="auto"/>
        </w:rPr>
        <w:t>&lt;/Article&gt;</w:t>
      </w:r>
    </w:p>
    <w:p w:rsidR="002F59C7" w:rsidRPr="00CD4C97" w:rsidRDefault="002F59C7" w:rsidP="002F59C7">
      <w:r w:rsidRPr="00CD4C97">
        <w:rPr>
          <w:rStyle w:val="HideTWBExt"/>
          <w:color w:val="auto"/>
        </w:rPr>
        <w:t>&lt;DocAmend2&gt;</w:t>
      </w:r>
      <w:r w:rsidRPr="00CD4C97">
        <w:t>Förordning (EU) 2018/1806</w:t>
      </w:r>
      <w:r w:rsidRPr="00CD4C97">
        <w:rPr>
          <w:rStyle w:val="HideTWBExt"/>
          <w:color w:val="auto"/>
        </w:rPr>
        <w:t>&lt;/DocAmend2&gt;</w:t>
      </w:r>
    </w:p>
    <w:p w:rsidR="002F59C7" w:rsidRPr="00CD4C97" w:rsidRDefault="002F59C7" w:rsidP="002F59C7">
      <w:r w:rsidRPr="00CD4C97">
        <w:rPr>
          <w:rStyle w:val="HideTWBExt"/>
          <w:color w:val="auto"/>
        </w:rPr>
        <w:t>&lt;Article2&gt;</w:t>
      </w:r>
      <w:r w:rsidRPr="00CD4C97">
        <w:t>Artikel 8f – punkt 1a (ny)</w:t>
      </w:r>
      <w:r w:rsidRPr="00CD4C97">
        <w:rPr>
          <w:rStyle w:val="HideTWBExt"/>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D4C97" w:rsidRPr="00CD4C97" w:rsidTr="00CE174B">
        <w:trPr>
          <w:trHeight w:hRule="exact" w:val="240"/>
          <w:jc w:val="center"/>
        </w:trPr>
        <w:tc>
          <w:tcPr>
            <w:tcW w:w="9752" w:type="dxa"/>
            <w:gridSpan w:val="2"/>
          </w:tcPr>
          <w:p w:rsidR="002F59C7" w:rsidRPr="00CD4C97" w:rsidRDefault="002F59C7" w:rsidP="00CE174B"/>
        </w:tc>
      </w:tr>
      <w:tr w:rsidR="00CD4C97" w:rsidRPr="00CD4C97" w:rsidTr="00CE174B">
        <w:trPr>
          <w:trHeight w:val="240"/>
          <w:jc w:val="center"/>
        </w:trPr>
        <w:tc>
          <w:tcPr>
            <w:tcW w:w="4876" w:type="dxa"/>
          </w:tcPr>
          <w:p w:rsidR="002F59C7" w:rsidRPr="00CD4C97" w:rsidRDefault="002F59C7" w:rsidP="00CE174B">
            <w:pPr>
              <w:pStyle w:val="AmColumnHeading"/>
            </w:pPr>
            <w:r w:rsidRPr="00CD4C97">
              <w:t>Kommissionens förslag</w:t>
            </w:r>
          </w:p>
        </w:tc>
        <w:tc>
          <w:tcPr>
            <w:tcW w:w="4876" w:type="dxa"/>
          </w:tcPr>
          <w:p w:rsidR="002F59C7" w:rsidRPr="00CD4C97" w:rsidRDefault="002F59C7" w:rsidP="00CE174B">
            <w:pPr>
              <w:pStyle w:val="AmColumnHeading"/>
            </w:pPr>
            <w:r w:rsidRPr="00CD4C97">
              <w:t>Ändringsförslag</w:t>
            </w:r>
          </w:p>
        </w:tc>
      </w:tr>
      <w:tr w:rsidR="00CD4C97" w:rsidRPr="00CD4C97" w:rsidTr="00CE174B">
        <w:trPr>
          <w:jc w:val="center"/>
        </w:trPr>
        <w:tc>
          <w:tcPr>
            <w:tcW w:w="4876" w:type="dxa"/>
          </w:tcPr>
          <w:p w:rsidR="002F59C7" w:rsidRPr="00CD4C97" w:rsidRDefault="002F59C7" w:rsidP="00CE174B">
            <w:pPr>
              <w:pStyle w:val="Normal6a"/>
            </w:pPr>
          </w:p>
        </w:tc>
        <w:tc>
          <w:tcPr>
            <w:tcW w:w="4876" w:type="dxa"/>
          </w:tcPr>
          <w:p w:rsidR="002F59C7" w:rsidRPr="00CD4C97" w:rsidRDefault="002F59C7" w:rsidP="00CE174B">
            <w:pPr>
              <w:pStyle w:val="Normal6a"/>
            </w:pPr>
            <w:r w:rsidRPr="00CD4C97">
              <w:rPr>
                <w:b/>
                <w:i/>
              </w:rPr>
              <w:t>1a.</w:t>
            </w:r>
            <w:r w:rsidRPr="00CD4C97">
              <w:tab/>
            </w:r>
            <w:r w:rsidRPr="00CD4C97">
              <w:rPr>
                <w:b/>
                <w:i/>
              </w:rPr>
              <w:t>Den delegerade akten ska åtföljas av en rapport till Europaparlamentet och rådet som beskriver resultaten av den förstärkta dialogen med det berörda tredjelandet, de åtgärder som har antagits av det tredjelandet och av de berörda medlemsstaterna, samt skälen för att anse att de omständigheter som ledde fram till det tillfälliga upphävandet inte har avhjälpts. </w:t>
            </w:r>
          </w:p>
        </w:tc>
      </w:tr>
    </w:tbl>
    <w:p w:rsidR="002F59C7" w:rsidRPr="00CD4C97" w:rsidRDefault="002F59C7" w:rsidP="002F59C7">
      <w:pPr>
        <w:pStyle w:val="AmOrLang"/>
      </w:pPr>
      <w:r w:rsidRPr="00CD4C97">
        <w:t xml:space="preserve">Or. </w:t>
      </w:r>
      <w:r w:rsidRPr="00CD4C97">
        <w:rPr>
          <w:rStyle w:val="HideTWBExt"/>
          <w:color w:val="auto"/>
        </w:rPr>
        <w:t>&lt;Original&gt;</w:t>
      </w:r>
      <w:r w:rsidRPr="00CD4C97">
        <w:rPr>
          <w:rStyle w:val="HideTWBInt"/>
          <w:color w:val="auto"/>
        </w:rPr>
        <w:t>{EN}</w:t>
      </w:r>
      <w:r w:rsidRPr="00CD4C97">
        <w:t>en</w:t>
      </w:r>
      <w:r w:rsidRPr="00CD4C97">
        <w:rPr>
          <w:rStyle w:val="HideTWBExt"/>
          <w:color w:val="auto"/>
        </w:rPr>
        <w:t>&lt;/Original&gt;</w:t>
      </w:r>
    </w:p>
    <w:p w:rsidR="002F59C7" w:rsidRPr="00CD4C97" w:rsidRDefault="002F59C7" w:rsidP="002F59C7">
      <w:r w:rsidRPr="00CD4C97">
        <w:rPr>
          <w:rStyle w:val="HideTWBExt"/>
          <w:color w:val="auto"/>
        </w:rPr>
        <w:t>&lt;/Amend&gt;&lt;/RepeatBlock-Amend&gt;</w:t>
      </w:r>
    </w:p>
    <w:p w:rsidR="00305486" w:rsidRPr="00CD4C97" w:rsidRDefault="00305486" w:rsidP="002F59C7"/>
    <w:sectPr w:rsidR="00305486" w:rsidRPr="00CD4C97" w:rsidSect="009A7899">
      <w:headerReference w:type="even" r:id="rId10"/>
      <w:headerReference w:type="default" r:id="rId11"/>
      <w:footerReference w:type="even" r:id="rId12"/>
      <w:footerReference w:type="default" r:id="rId13"/>
      <w:headerReference w:type="first" r:id="rId14"/>
      <w:footerReference w:type="first" r:id="rId15"/>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700A" w:rsidRPr="00800CA9" w:rsidRDefault="00DF2E01">
      <w:r w:rsidRPr="00800CA9">
        <w:separator/>
      </w:r>
    </w:p>
  </w:endnote>
  <w:endnote w:type="continuationSeparator" w:id="0">
    <w:p w:rsidR="00BB700A" w:rsidRPr="00800CA9" w:rsidRDefault="00DF2E01">
      <w:r w:rsidRPr="00800CA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899" w:rsidRPr="00800CA9" w:rsidRDefault="009A7899" w:rsidP="009A7899">
    <w:pPr>
      <w:pStyle w:val="EPFooter"/>
    </w:pPr>
    <w:r w:rsidRPr="00800CA9">
      <w:t>PE</w:t>
    </w:r>
    <w:r w:rsidRPr="00800CA9">
      <w:rPr>
        <w:rStyle w:val="HideTWBExt"/>
      </w:rPr>
      <w:t>&lt;NoPE&gt;</w:t>
    </w:r>
    <w:r w:rsidRPr="00800CA9">
      <w:t>759.969</w:t>
    </w:r>
    <w:r w:rsidRPr="00800CA9">
      <w:rPr>
        <w:rStyle w:val="HideTWBExt"/>
      </w:rPr>
      <w:t>&lt;/NoPE&gt;&lt;Version&gt;</w:t>
    </w:r>
    <w:r w:rsidRPr="00800CA9">
      <w:t>v01-00</w:t>
    </w:r>
    <w:r w:rsidRPr="00800CA9">
      <w:rPr>
        <w:rStyle w:val="HideTWBExt"/>
      </w:rPr>
      <w:t>&lt;/Version&gt;</w:t>
    </w:r>
    <w:r w:rsidRPr="00800CA9">
      <w:tab/>
    </w:r>
    <w:r w:rsidRPr="00800CA9">
      <w:fldChar w:fldCharType="begin"/>
    </w:r>
    <w:r w:rsidRPr="00800CA9">
      <w:instrText xml:space="preserve"> PAGE  \* MERGEFORMAT </w:instrText>
    </w:r>
    <w:r w:rsidRPr="00800CA9">
      <w:fldChar w:fldCharType="separate"/>
    </w:r>
    <w:r w:rsidR="008E7DFF">
      <w:rPr>
        <w:noProof/>
      </w:rPr>
      <w:t>71</w:t>
    </w:r>
    <w:r w:rsidRPr="00800CA9">
      <w:fldChar w:fldCharType="end"/>
    </w:r>
    <w:r w:rsidRPr="00800CA9">
      <w:t>/</w:t>
    </w:r>
    <w:fldSimple w:instr=" NUMPAGES  \* MERGEFORMAT ">
      <w:r w:rsidR="008E7DFF">
        <w:rPr>
          <w:noProof/>
        </w:rPr>
        <w:t>71</w:t>
      </w:r>
    </w:fldSimple>
    <w:r w:rsidRPr="00800CA9">
      <w:tab/>
    </w:r>
    <w:r w:rsidRPr="00800CA9">
      <w:rPr>
        <w:rStyle w:val="HideTWBExt"/>
      </w:rPr>
      <w:t>&lt;PathFdR&gt;</w:t>
    </w:r>
    <w:r w:rsidR="00800CA9" w:rsidRPr="00800CA9">
      <w:t>AM\1299078SV.docx</w:t>
    </w:r>
    <w:r w:rsidRPr="00800CA9">
      <w:rPr>
        <w:rStyle w:val="HideTWBExt"/>
      </w:rPr>
      <w:t>&lt;/PathFdR&gt;</w:t>
    </w:r>
  </w:p>
  <w:p w:rsidR="00305486" w:rsidRPr="00800CA9" w:rsidRDefault="009A7899" w:rsidP="009A7899">
    <w:pPr>
      <w:pStyle w:val="EPFooter2"/>
    </w:pPr>
    <w:r w:rsidRPr="00800CA9">
      <w:t>SV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899" w:rsidRPr="00800CA9" w:rsidRDefault="009A7899" w:rsidP="009A7899">
    <w:pPr>
      <w:pStyle w:val="EPFooter"/>
    </w:pPr>
    <w:r w:rsidRPr="00800CA9">
      <w:rPr>
        <w:rStyle w:val="HideTWBExt"/>
      </w:rPr>
      <w:t>&lt;PathFdR&gt;</w:t>
    </w:r>
    <w:r w:rsidR="00800CA9" w:rsidRPr="00800CA9">
      <w:t>AM\1299078SV.docx</w:t>
    </w:r>
    <w:r w:rsidRPr="00800CA9">
      <w:rPr>
        <w:rStyle w:val="HideTWBExt"/>
      </w:rPr>
      <w:t>&lt;/PathFdR&gt;</w:t>
    </w:r>
    <w:r w:rsidRPr="00800CA9">
      <w:tab/>
    </w:r>
    <w:r w:rsidRPr="00800CA9">
      <w:fldChar w:fldCharType="begin"/>
    </w:r>
    <w:r w:rsidRPr="00800CA9">
      <w:instrText xml:space="preserve"> PAGE  \* MERGEFORMAT </w:instrText>
    </w:r>
    <w:r w:rsidRPr="00800CA9">
      <w:fldChar w:fldCharType="separate"/>
    </w:r>
    <w:r w:rsidR="008E7DFF">
      <w:rPr>
        <w:noProof/>
      </w:rPr>
      <w:t>71</w:t>
    </w:r>
    <w:r w:rsidRPr="00800CA9">
      <w:fldChar w:fldCharType="end"/>
    </w:r>
    <w:r w:rsidRPr="00800CA9">
      <w:t>/</w:t>
    </w:r>
    <w:fldSimple w:instr=" NUMPAGES  \* MERGEFORMAT ">
      <w:r w:rsidR="008E7DFF">
        <w:rPr>
          <w:noProof/>
        </w:rPr>
        <w:t>71</w:t>
      </w:r>
    </w:fldSimple>
    <w:r w:rsidRPr="00800CA9">
      <w:tab/>
      <w:t>PE</w:t>
    </w:r>
    <w:r w:rsidRPr="00800CA9">
      <w:rPr>
        <w:rStyle w:val="HideTWBExt"/>
      </w:rPr>
      <w:t>&lt;NoPE&gt;</w:t>
    </w:r>
    <w:r w:rsidRPr="00800CA9">
      <w:t>759.969</w:t>
    </w:r>
    <w:r w:rsidRPr="00800CA9">
      <w:rPr>
        <w:rStyle w:val="HideTWBExt"/>
      </w:rPr>
      <w:t>&lt;/NoPE&gt;&lt;Version&gt;</w:t>
    </w:r>
    <w:r w:rsidRPr="00800CA9">
      <w:t>v01-00</w:t>
    </w:r>
    <w:r w:rsidRPr="00800CA9">
      <w:rPr>
        <w:rStyle w:val="HideTWBExt"/>
      </w:rPr>
      <w:t>&lt;/Version&gt;</w:t>
    </w:r>
  </w:p>
  <w:p w:rsidR="00305486" w:rsidRPr="00800CA9" w:rsidRDefault="009A7899" w:rsidP="009A7899">
    <w:pPr>
      <w:pStyle w:val="EPFooter2"/>
    </w:pPr>
    <w:r w:rsidRPr="00800CA9">
      <w:tab/>
    </w:r>
    <w:r w:rsidRPr="00800CA9">
      <w:tab/>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899" w:rsidRPr="00800CA9" w:rsidRDefault="009A7899" w:rsidP="009A7899">
    <w:pPr>
      <w:pStyle w:val="EPFooter"/>
    </w:pPr>
    <w:r w:rsidRPr="00800CA9">
      <w:rPr>
        <w:rStyle w:val="HideTWBExt"/>
      </w:rPr>
      <w:t>&lt;PathFdR&gt;</w:t>
    </w:r>
    <w:r w:rsidR="00800CA9" w:rsidRPr="00800CA9">
      <w:t>AM\1299078SV.docx</w:t>
    </w:r>
    <w:r w:rsidRPr="00800CA9">
      <w:rPr>
        <w:rStyle w:val="HideTWBExt"/>
      </w:rPr>
      <w:t>&lt;/PathFdR&gt;</w:t>
    </w:r>
    <w:r w:rsidRPr="00800CA9">
      <w:tab/>
    </w:r>
    <w:r w:rsidRPr="00800CA9">
      <w:tab/>
      <w:t>PE</w:t>
    </w:r>
    <w:r w:rsidRPr="00800CA9">
      <w:rPr>
        <w:rStyle w:val="HideTWBExt"/>
      </w:rPr>
      <w:t>&lt;NoPE&gt;</w:t>
    </w:r>
    <w:r w:rsidRPr="00800CA9">
      <w:t>759.969</w:t>
    </w:r>
    <w:r w:rsidRPr="00800CA9">
      <w:rPr>
        <w:rStyle w:val="HideTWBExt"/>
      </w:rPr>
      <w:t>&lt;/NoPE&gt;&lt;Version&gt;</w:t>
    </w:r>
    <w:r w:rsidRPr="00800CA9">
      <w:t>v01-00</w:t>
    </w:r>
    <w:r w:rsidRPr="00800CA9">
      <w:rPr>
        <w:rStyle w:val="HideTWBExt"/>
      </w:rPr>
      <w:t>&lt;/Version&gt;</w:t>
    </w:r>
  </w:p>
  <w:p w:rsidR="00305486" w:rsidRPr="00800CA9" w:rsidRDefault="009A7899" w:rsidP="009A7899">
    <w:pPr>
      <w:pStyle w:val="EPFooter2"/>
    </w:pPr>
    <w:r w:rsidRPr="00800CA9">
      <w:t>SV</w:t>
    </w:r>
    <w:r w:rsidRPr="00800CA9">
      <w:tab/>
    </w:r>
    <w:r w:rsidRPr="00800CA9">
      <w:rPr>
        <w:b w:val="0"/>
        <w:i/>
        <w:color w:val="C0C0C0"/>
        <w:sz w:val="22"/>
      </w:rPr>
      <w:t>Förenade i mångfalden</w:t>
    </w:r>
    <w:r w:rsidRPr="00800CA9">
      <w:tab/>
      <w:t>SV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700A" w:rsidRPr="00800CA9" w:rsidRDefault="00DF2E01">
      <w:r w:rsidRPr="00800CA9">
        <w:separator/>
      </w:r>
    </w:p>
  </w:footnote>
  <w:footnote w:type="continuationSeparator" w:id="0">
    <w:p w:rsidR="00BB700A" w:rsidRPr="00800CA9" w:rsidRDefault="00DF2E01">
      <w:r w:rsidRPr="00800CA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F28" w:rsidRDefault="000C4F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F28" w:rsidRDefault="000C4F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F28" w:rsidRDefault="000C4F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99"/>
    <w:docVar w:name="TXTLANGUE" w:val="SV"/>
    <w:docVar w:name="TXTLANGUEMIN" w:val="sv"/>
    <w:docVar w:name="TXTNRPE" w:val="759.969"/>
    <w:docVar w:name="TXTPEorAP" w:val="PE"/>
    <w:docVar w:name="TXTROUTE" w:val="AM\1299078SV.docx"/>
    <w:docVar w:name="TXTVERSION" w:val="01-00"/>
  </w:docVars>
  <w:rsids>
    <w:rsidRoot w:val="00A77B3E"/>
    <w:rsid w:val="000C4F28"/>
    <w:rsid w:val="002F59C7"/>
    <w:rsid w:val="00305486"/>
    <w:rsid w:val="00611FB2"/>
    <w:rsid w:val="00800CA9"/>
    <w:rsid w:val="008E7DFF"/>
    <w:rsid w:val="009A7899"/>
    <w:rsid w:val="009B7DAD"/>
    <w:rsid w:val="00A77B3E"/>
    <w:rsid w:val="00B71BD2"/>
    <w:rsid w:val="00BB700A"/>
    <w:rsid w:val="00CA2A55"/>
    <w:rsid w:val="00CD4C97"/>
    <w:rsid w:val="00DF2E01"/>
    <w:rsid w:val="00F71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6E217390-F390-4C80-A5FD-9777EB321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rossRef">
    <w:name w:val="AmCrossRef"/>
    <w:basedOn w:val="Normal"/>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B71BD2"/>
    <w:pPr>
      <w:tabs>
        <w:tab w:val="center" w:pos="4680"/>
        <w:tab w:val="right" w:pos="9360"/>
      </w:tabs>
    </w:pPr>
  </w:style>
  <w:style w:type="character" w:customStyle="1" w:styleId="HeaderChar">
    <w:name w:val="Header Char"/>
    <w:basedOn w:val="DefaultParagraphFont"/>
    <w:link w:val="Header"/>
    <w:rsid w:val="00B71BD2"/>
    <w:rPr>
      <w:sz w:val="24"/>
      <w:szCs w:val="24"/>
    </w:rPr>
  </w:style>
  <w:style w:type="paragraph" w:styleId="Footer">
    <w:name w:val="footer"/>
    <w:basedOn w:val="Normal"/>
    <w:link w:val="FooterChar"/>
    <w:semiHidden/>
    <w:unhideWhenUsed/>
    <w:rsid w:val="002F59C7"/>
    <w:pPr>
      <w:tabs>
        <w:tab w:val="center" w:pos="4680"/>
        <w:tab w:val="right" w:pos="9360"/>
      </w:tabs>
    </w:pPr>
  </w:style>
  <w:style w:type="character" w:customStyle="1" w:styleId="FooterChar">
    <w:name w:val="Footer Char"/>
    <w:basedOn w:val="DefaultParagraphFont"/>
    <w:link w:val="Footer"/>
    <w:semiHidden/>
    <w:rsid w:val="002F59C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AEBA7A2068AC4A90698230F69EF8CA" ma:contentTypeVersion="0" ma:contentTypeDescription="Create a new document." ma:contentTypeScope="" ma:versionID="39c7a8d14fa6452631ba0c83f09c6cb5">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868BC0DF-C685-4D73-8EDB-30717C706022}">
  <ds:schemaRefs>
    <ds:schemaRef ds:uri="http://schemas.microsoft.com/sharepoint/v3/contenttype/forms"/>
  </ds:schemaRefs>
</ds:datastoreItem>
</file>

<file path=customXml/itemProps2.xml><?xml version="1.0" encoding="utf-8"?>
<ds:datastoreItem xmlns:ds="http://schemas.openxmlformats.org/officeDocument/2006/customXml" ds:itemID="{9A0B27DD-4889-4ECD-A2EC-6461F7F690CD}">
  <ds:schemaRefs>
    <ds:schemaRef ds:uri="http://schemas.microsoft.com/office/2006/metadata/properties"/>
  </ds:schemaRefs>
</ds:datastoreItem>
</file>

<file path=customXml/itemProps3.xml><?xml version="1.0" encoding="utf-8"?>
<ds:datastoreItem xmlns:ds="http://schemas.openxmlformats.org/officeDocument/2006/customXml" ds:itemID="{7ABF3FDC-3B25-4468-9150-D48A30279B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71</Pages>
  <Words>15116</Words>
  <Characters>115010</Characters>
  <Application>Microsoft Office Word</Application>
  <DocSecurity>0</DocSecurity>
  <Lines>5000</Lines>
  <Paragraphs>1913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2024-04-02T07:34:00Z</dcterms:created>
  <dcterms:modified xsi:type="dcterms:W3CDTF">2024-04-02T07:34:00Z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1299078</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54925</vt:lpwstr>
  </property>
  <property fmtid="{D5CDD505-2E9C-101B-9397-08002B2CF9AE}" pid="7" name="dmxml.render.traceId">
    <vt:lpwstr>65f870855e19d4db5731cd5ce04254ba</vt:lpwstr>
  </property>
  <property fmtid="{D5CDD505-2E9C-101B-9397-08002B2CF9AE}" pid="8" name="FooterPath">
    <vt:lpwstr>AM\1299078SV.docx</vt:lpwstr>
  </property>
  <property fmtid="{D5CDD505-2E9C-101B-9397-08002B2CF9AE}" pid="9" name="PE Number">
    <vt:lpwstr>759.969</vt:lpwstr>
  </property>
  <property fmtid="{D5CDD505-2E9C-101B-9397-08002B2CF9AE}" pid="10" name="UID">
    <vt:lpwstr>eu.europa.europarl-DIN1-2024-0000017064_02.00-xm-01.00_text-xml</vt:lpwstr>
  </property>
  <property fmtid="{D5CDD505-2E9C-101B-9397-08002B2CF9AE}" pid="11" name="LastEdited with">
    <vt:lpwstr>9.17.2 Build [20240301]</vt:lpwstr>
  </property>
  <property fmtid="{D5CDD505-2E9C-101B-9397-08002B2CF9AE}" pid="12" name="ContentTypeId">
    <vt:lpwstr>0x01010088AEBA7A2068AC4A90698230F69EF8CA</vt:lpwstr>
  </property>
  <property fmtid="{D5CDD505-2E9C-101B-9397-08002B2CF9AE}" pid="13" name="Bookout">
    <vt:lpwstr>OK - 2024/04/02 09:31</vt:lpwstr>
  </property>
</Properties>
</file>