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24105" w:rsidTr="00F21BA6">
        <w:trPr>
          <w:trHeight w:hRule="exact" w:val="1418"/>
        </w:trPr>
        <w:tc>
          <w:tcPr>
            <w:tcW w:w="6804" w:type="dxa"/>
            <w:shd w:val="clear" w:color="auto" w:fill="auto"/>
            <w:vAlign w:val="center"/>
          </w:tcPr>
          <w:p w:rsidR="00BE5062" w:rsidRPr="009E1C11" w:rsidRDefault="004A4677" w:rsidP="00F21BA6">
            <w:pPr>
              <w:pStyle w:val="EPName"/>
            </w:pPr>
            <w:bookmarkStart w:id="0" w:name="_GoBack"/>
            <w:bookmarkEnd w:id="0"/>
            <w:r>
              <w:t>Evropský parlament</w:t>
            </w:r>
          </w:p>
          <w:p w:rsidR="00BE5062" w:rsidRPr="00F21BA6" w:rsidRDefault="004A4677" w:rsidP="00F21BA6">
            <w:pPr>
              <w:pStyle w:val="EPTerm"/>
            </w:pPr>
            <w:r>
              <w:t>2024-2029</w:t>
            </w:r>
          </w:p>
        </w:tc>
        <w:tc>
          <w:tcPr>
            <w:tcW w:w="2268" w:type="dxa"/>
            <w:shd w:val="clear" w:color="auto" w:fill="auto"/>
          </w:tcPr>
          <w:p w:rsidR="00BE5062" w:rsidRPr="009E1C11" w:rsidRDefault="004A4677" w:rsidP="00F21BA6">
            <w:pPr>
              <w:pStyle w:val="EPLogo"/>
            </w:pPr>
            <w:r w:rsidRPr="009E1C1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9E1C11" w:rsidRDefault="000E7234" w:rsidP="000E7234">
      <w:pPr>
        <w:pStyle w:val="LineTop"/>
      </w:pPr>
    </w:p>
    <w:p w:rsidR="000E7234" w:rsidRPr="009E1C11" w:rsidRDefault="004A4677" w:rsidP="000E7234">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w:t>
      </w:r>
      <w:r w:rsidR="0081461F">
        <w:t xml:space="preserve"> a </w:t>
      </w:r>
      <w:r>
        <w:t>vnitřní věci</w:t>
      </w:r>
      <w:r>
        <w:rPr>
          <w:rStyle w:val="HideTWBExt"/>
        </w:rPr>
        <w:t>&lt;/</w:t>
      </w:r>
      <w:r>
        <w:rPr>
          <w:rStyle w:val="HideTWBExt"/>
          <w:i w:val="0"/>
        </w:rPr>
        <w:t>Commission</w:t>
      </w:r>
      <w:r>
        <w:rPr>
          <w:rStyle w:val="HideTWBExt"/>
        </w:rPr>
        <w:t>&gt;</w:t>
      </w:r>
    </w:p>
    <w:p w:rsidR="000E7234" w:rsidRPr="009E1C11" w:rsidRDefault="000E7234" w:rsidP="000E7234">
      <w:pPr>
        <w:pStyle w:val="LineBottom"/>
      </w:pPr>
    </w:p>
    <w:p w:rsidR="00B85286" w:rsidRPr="009E1C11" w:rsidRDefault="004A4677">
      <w:pPr>
        <w:pStyle w:val="CoverReference"/>
      </w:pPr>
      <w:r>
        <w:rPr>
          <w:rStyle w:val="HideTWBExt"/>
          <w:b w:val="0"/>
        </w:rPr>
        <w:t>&lt;RefProc&gt;</w:t>
      </w:r>
      <w:r>
        <w:t>2024/0187</w:t>
      </w:r>
      <w:r>
        <w:rPr>
          <w:rStyle w:val="HideTWBExt"/>
          <w:b w:val="0"/>
        </w:rPr>
        <w:t>&lt;/RefProc&gt;&lt;RefTypeProc&gt;</w:t>
      </w:r>
      <w:r>
        <w:t>(CNS)</w:t>
      </w:r>
      <w:r>
        <w:rPr>
          <w:rStyle w:val="HideTWBExt"/>
          <w:b w:val="0"/>
        </w:rPr>
        <w:t>&lt;/RefTypeProc&gt;</w:t>
      </w:r>
    </w:p>
    <w:p w:rsidR="00B85286" w:rsidRPr="009E1C11" w:rsidRDefault="004A4677">
      <w:pPr>
        <w:pStyle w:val="CoverDate"/>
      </w:pPr>
      <w:r>
        <w:rPr>
          <w:rStyle w:val="HideTWBExt"/>
        </w:rPr>
        <w:t>&lt;Date&gt;</w:t>
      </w:r>
      <w:r>
        <w:rPr>
          <w:rStyle w:val="HideTWBInt"/>
          <w:color w:val="auto"/>
        </w:rPr>
        <w:t>{31/01/2025}</w:t>
      </w:r>
      <w:r>
        <w:t>31.1.2025</w:t>
      </w:r>
      <w:r>
        <w:rPr>
          <w:rStyle w:val="HideTWBExt"/>
        </w:rPr>
        <w:t>&lt;/Date&gt;</w:t>
      </w:r>
    </w:p>
    <w:p w:rsidR="009B0305" w:rsidRPr="009E1C11" w:rsidRDefault="004A4677" w:rsidP="009B0305">
      <w:pPr>
        <w:pStyle w:val="CoverDocType"/>
      </w:pPr>
      <w:r>
        <w:rPr>
          <w:rStyle w:val="HideTWBExt"/>
          <w:b w:val="0"/>
        </w:rPr>
        <w:t>&lt;TypeAM&gt;</w:t>
      </w:r>
      <w:r>
        <w:t>POZMĚŇOVACÍ NÁVRHY</w:t>
      </w:r>
      <w:r>
        <w:rPr>
          <w:rStyle w:val="HideTWBExt"/>
          <w:b w:val="0"/>
        </w:rPr>
        <w:t>&lt;/TypeAM&gt;</w:t>
      </w:r>
    </w:p>
    <w:p w:rsidR="00B85286" w:rsidRPr="009E1C11" w:rsidRDefault="004A4677" w:rsidP="001C2054">
      <w:pPr>
        <w:pStyle w:val="CoverDocType24a"/>
      </w:pPr>
      <w:r>
        <w:rPr>
          <w:rStyle w:val="HideTWBExt"/>
          <w:b w:val="0"/>
        </w:rPr>
        <w:t>&lt;RangeAM&gt;</w:t>
      </w:r>
      <w:r>
        <w:t>1 - 47</w:t>
      </w:r>
      <w:r>
        <w:rPr>
          <w:rStyle w:val="HideTWBExt"/>
          <w:b w:val="0"/>
        </w:rPr>
        <w:t>&lt;/RangeAM&gt;</w:t>
      </w:r>
    </w:p>
    <w:p w:rsidR="001C2054" w:rsidRPr="009E1C11" w:rsidRDefault="004A4677" w:rsidP="00A93F8C">
      <w:pPr>
        <w:pStyle w:val="CoverBold"/>
      </w:pPr>
      <w:r>
        <w:rPr>
          <w:rStyle w:val="HideTWBExt"/>
          <w:b w:val="0"/>
        </w:rPr>
        <w:t>&lt;TitreType&gt;</w:t>
      </w:r>
      <w:r>
        <w:t>Návrh zprávy</w:t>
      </w:r>
      <w:r>
        <w:rPr>
          <w:rStyle w:val="HideTWBExt"/>
          <w:b w:val="0"/>
        </w:rPr>
        <w:t>&lt;/TitreType&gt;</w:t>
      </w:r>
    </w:p>
    <w:p w:rsidR="00B85286" w:rsidRPr="009E1C11" w:rsidRDefault="004A4677" w:rsidP="00A93F8C">
      <w:pPr>
        <w:pStyle w:val="CoverBold"/>
      </w:pPr>
      <w:r>
        <w:rPr>
          <w:rStyle w:val="HideTWBExt"/>
          <w:b w:val="0"/>
        </w:rPr>
        <w:t>&lt;Rapporteur&gt;</w:t>
      </w:r>
      <w:r>
        <w:t>Malik Azmani</w:t>
      </w:r>
      <w:r>
        <w:rPr>
          <w:rStyle w:val="HideTWBExt"/>
          <w:b w:val="0"/>
        </w:rPr>
        <w:t>&lt;/Rapporteur&gt;</w:t>
      </w:r>
    </w:p>
    <w:p w:rsidR="00B85286" w:rsidRPr="009E1C11" w:rsidRDefault="004A4677">
      <w:pPr>
        <w:pStyle w:val="CoverNormal24a"/>
      </w:pPr>
      <w:r>
        <w:rPr>
          <w:rStyle w:val="HideTWBExt"/>
        </w:rPr>
        <w:t>&lt;DocRefPE&gt;</w:t>
      </w:r>
      <w:r>
        <w:t>(PE766.606v01-00)</w:t>
      </w:r>
      <w:r>
        <w:rPr>
          <w:rStyle w:val="HideTWBExt"/>
        </w:rPr>
        <w:t>&lt;/DocRefPE&gt;</w:t>
      </w:r>
    </w:p>
    <w:p w:rsidR="00B85286" w:rsidRPr="009E1C11" w:rsidRDefault="004A4677">
      <w:pPr>
        <w:pStyle w:val="CoverNormal24a"/>
      </w:pPr>
      <w:r>
        <w:rPr>
          <w:rStyle w:val="HideTWBExt"/>
        </w:rPr>
        <w:t>&lt;Titre&gt;</w:t>
      </w:r>
      <w:r>
        <w:t>Posílení zabezpečení průkazů totožnosti občanů Unie</w:t>
      </w:r>
      <w:r w:rsidR="0081461F">
        <w:t xml:space="preserve"> a </w:t>
      </w:r>
      <w:r>
        <w:t>povolení</w:t>
      </w:r>
      <w:r w:rsidR="0081461F">
        <w:t xml:space="preserve"> k </w:t>
      </w:r>
      <w:r>
        <w:t>pobytu vydávaných občanům Unie</w:t>
      </w:r>
      <w:r w:rsidR="0081461F">
        <w:t xml:space="preserve"> a </w:t>
      </w:r>
      <w:r>
        <w:t>jejich rodinným příslušníkům, kteří vykonávají své právo volného pohybu</w:t>
      </w:r>
      <w:r>
        <w:rPr>
          <w:rStyle w:val="HideTWBExt"/>
        </w:rPr>
        <w:t>&lt;/Titre&gt;</w:t>
      </w:r>
    </w:p>
    <w:p w:rsidR="006337D4" w:rsidRPr="009E1C11" w:rsidRDefault="004A4677" w:rsidP="006337D4">
      <w:pPr>
        <w:pStyle w:val="CoverNormal"/>
      </w:pPr>
      <w:r>
        <w:rPr>
          <w:rStyle w:val="HideTWBExt"/>
        </w:rPr>
        <w:t>&lt;DocAmend&gt;</w:t>
      </w:r>
      <w:r>
        <w:t>Návrh nařízení</w:t>
      </w:r>
      <w:r>
        <w:rPr>
          <w:rStyle w:val="HideTWBExt"/>
        </w:rPr>
        <w:t>&lt;/DocAmend&gt;</w:t>
      </w:r>
    </w:p>
    <w:p w:rsidR="00B85286" w:rsidRPr="009E1C11" w:rsidRDefault="004A4677">
      <w:pPr>
        <w:pStyle w:val="CoverNormal24a"/>
      </w:pPr>
      <w:r>
        <w:rPr>
          <w:rStyle w:val="HideTWBExt"/>
        </w:rPr>
        <w:t>&lt;DocRef&gt;</w:t>
      </w:r>
      <w:r>
        <w:t>(COM(2024)0316 – 2024/0187(CNS))</w:t>
      </w:r>
      <w:r>
        <w:rPr>
          <w:rStyle w:val="HideTWBExt"/>
        </w:rPr>
        <w:t>&lt;/DocRef&gt;</w:t>
      </w:r>
    </w:p>
    <w:p w:rsidR="00B85286" w:rsidRPr="009E1C11" w:rsidRDefault="004A4677" w:rsidP="00E660E2">
      <w:pPr>
        <w:widowControl/>
        <w:tabs>
          <w:tab w:val="center" w:pos="4677"/>
        </w:tabs>
      </w:pPr>
      <w:r>
        <w:br w:type="page"/>
      </w:r>
      <w:r>
        <w:lastRenderedPageBreak/>
        <w:t>AM_Com_LegReport</w:t>
      </w:r>
    </w:p>
    <w:p w:rsidR="00F21BA6" w:rsidRPr="009E1C11" w:rsidRDefault="004A4677" w:rsidP="00F21BA6">
      <w:pPr>
        <w:pStyle w:val="AmNumberTabs"/>
        <w:keepNext/>
      </w:pPr>
      <w:r>
        <w:br w:type="page"/>
      </w:r>
      <w:bookmarkStart w:id="1" w:name="EndA"/>
    </w:p>
    <w:p w:rsidR="00F21BA6" w:rsidRPr="000E0C4C" w:rsidRDefault="004A4677" w:rsidP="00F21BA6">
      <w:pPr>
        <w:pStyle w:val="AmNumberTabs"/>
      </w:pPr>
      <w:r>
        <w:rPr>
          <w:rStyle w:val="HideTWBExt"/>
        </w:rPr>
        <w:t>&lt;RepeatBlock-Amend&gt;&lt;Amend&gt;</w:t>
      </w:r>
      <w:r>
        <w:t>Pozměňovací návrh</w:t>
      </w:r>
      <w:r>
        <w:tab/>
      </w:r>
      <w:r>
        <w:tab/>
      </w:r>
      <w:r>
        <w:rPr>
          <w:rStyle w:val="HideTWBExt"/>
        </w:rPr>
        <w:t>&lt;NumAm&gt;</w:t>
      </w:r>
      <w:r>
        <w:t>1</w:t>
      </w:r>
      <w:r>
        <w:rPr>
          <w:rStyle w:val="HideTWBExt"/>
        </w:rPr>
        <w:t>&lt;/NumAm&gt;</w:t>
      </w:r>
    </w:p>
    <w:p w:rsidR="00F21BA6" w:rsidRPr="000E0C4C" w:rsidRDefault="004A4677" w:rsidP="00F21BA6">
      <w:pPr>
        <w:pStyle w:val="NormalBold"/>
      </w:pPr>
      <w:r>
        <w:rPr>
          <w:rStyle w:val="HideTWBExt"/>
          <w:b w:val="0"/>
        </w:rPr>
        <w:t>&lt;RepeatBlock-By&gt;&lt;Members&gt;</w:t>
      </w:r>
      <w:r>
        <w:t>Malik Azmani</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legislativního usnesení</w:t>
      </w:r>
      <w:r>
        <w:rPr>
          <w:rStyle w:val="HideTWBExt"/>
        </w:rPr>
        <w:t>&lt;/DocAmend&gt;</w:t>
      </w:r>
    </w:p>
    <w:p w:rsidR="00F21BA6" w:rsidRPr="000E0C4C" w:rsidRDefault="004A4677" w:rsidP="00F21BA6">
      <w:pPr>
        <w:pStyle w:val="NormalBold"/>
      </w:pPr>
      <w:r>
        <w:rPr>
          <w:rStyle w:val="HideTWBExt"/>
        </w:rPr>
        <w:t>&lt;Article&gt;</w:t>
      </w:r>
      <w:r>
        <w:t>Právní východisko 1</w:t>
      </w:r>
      <w:r w:rsidR="0081461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Návrh legislativního usnesení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ind w:left="720" w:hanging="360"/>
            </w:pPr>
            <w:r>
              <w:t>.̶</w:t>
            </w:r>
            <w:r>
              <w:tab/>
              <w:t>s ohledem na návrh Rady (16877/24),</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w:t>
      </w:r>
      <w:r>
        <w:rPr>
          <w:rStyle w:val="HideTWBExt"/>
        </w:rPr>
        <w:t>&lt;/NumAm&gt;</w:t>
      </w:r>
    </w:p>
    <w:p w:rsidR="00F21BA6" w:rsidRPr="000E0C4C" w:rsidRDefault="004A4677" w:rsidP="00F21BA6">
      <w:pPr>
        <w:pStyle w:val="NormalBold"/>
      </w:pPr>
      <w:r>
        <w:rPr>
          <w:rStyle w:val="HideTWBExt"/>
          <w:b w:val="0"/>
        </w:rPr>
        <w:t>&lt;RepeatBlock-By&gt;&lt;Members&gt;</w:t>
      </w:r>
      <w:r>
        <w:t>Milan Uhrík, Ewa Zajączkowska-Hernik, Mary Khan</w:t>
      </w:r>
      <w:r>
        <w:rPr>
          <w:rStyle w:val="HideTWBExt"/>
          <w:b w:val="0"/>
        </w:rPr>
        <w:t>&lt;/Members&gt;</w:t>
      </w:r>
    </w:p>
    <w:p w:rsidR="00F21BA6" w:rsidRPr="000E0C4C" w:rsidRDefault="004A4677" w:rsidP="00F21BA6">
      <w:r>
        <w:rPr>
          <w:rStyle w:val="HideTWBExt"/>
        </w:rPr>
        <w:t>&lt;AuNomDe&gt;</w:t>
      </w:r>
      <w:r>
        <w:rPr>
          <w:rStyle w:val="HideTWBInt"/>
          <w:color w:val="auto"/>
        </w:rPr>
        <w:t>{ESN}</w:t>
      </w:r>
      <w:r>
        <w:t>za skupinu ESN</w:t>
      </w:r>
      <w:r>
        <w:rPr>
          <w:rStyle w:val="HideTWBExt"/>
        </w:rPr>
        <w:t>&lt;/AuNomDe&gt;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(16)</w:t>
            </w:r>
            <w:r>
              <w:tab/>
              <w:t>Uchovávání zobrazení obličeje</w:t>
            </w:r>
            <w:r w:rsidR="0081461F">
              <w:t xml:space="preserve"> a </w:t>
            </w:r>
            <w:r>
              <w:t>dvou otisků prstů (dále jen „biometrické údaje“)</w:t>
            </w:r>
            <w:r w:rsidR="0081461F">
              <w:t xml:space="preserve"> v </w:t>
            </w:r>
            <w:r>
              <w:t>průkazech totožnosti</w:t>
            </w:r>
            <w:r w:rsidR="0081461F">
              <w:t xml:space="preserve"> a </w:t>
            </w:r>
            <w:r>
              <w:t>pobytových kartách</w:t>
            </w:r>
            <w:r>
              <w:rPr>
                <w:b/>
                <w:i/>
              </w:rPr>
              <w:t>, jak je již stanoveno</w:t>
            </w:r>
            <w:r w:rsidR="0081461F">
              <w:rPr>
                <w:b/>
                <w:i/>
              </w:rPr>
              <w:t xml:space="preserve"> u </w:t>
            </w:r>
            <w:r>
              <w:rPr>
                <w:b/>
                <w:i/>
              </w:rPr>
              <w:t>biometrických pasů občanů Unie</w:t>
            </w:r>
            <w:r w:rsidR="0081461F">
              <w:rPr>
                <w:b/>
                <w:i/>
              </w:rPr>
              <w:t xml:space="preserve"> a </w:t>
            </w:r>
            <w:r>
              <w:rPr>
                <w:b/>
                <w:i/>
              </w:rPr>
              <w:t>povolení</w:t>
            </w:r>
            <w:r w:rsidR="0081461F">
              <w:rPr>
                <w:b/>
                <w:i/>
              </w:rPr>
              <w:t xml:space="preserve"> k </w:t>
            </w:r>
            <w:r>
              <w:rPr>
                <w:b/>
                <w:i/>
              </w:rPr>
              <w:t>pobytu státních příslušníků třetích zemí, představuje</w:t>
            </w:r>
            <w:r>
              <w:t xml:space="preserve"> vhodnou kombinaci spolehlivé identifikace</w:t>
            </w:r>
            <w:r w:rsidR="0081461F">
              <w:t xml:space="preserve"> a </w:t>
            </w:r>
            <w:r>
              <w:t>ověření pravosti</w:t>
            </w:r>
            <w:r w:rsidR="0081461F">
              <w:t xml:space="preserve"> s </w:t>
            </w:r>
            <w:r>
              <w:t>nižším rizikem podvodu</w:t>
            </w:r>
            <w:r w:rsidR="0081461F">
              <w:t xml:space="preserve"> v </w:t>
            </w:r>
            <w:r>
              <w:t>zájmu lepšího zabezpečení průkazů totožnosti</w:t>
            </w:r>
            <w:r w:rsidR="0081461F">
              <w:t xml:space="preserve"> a </w:t>
            </w:r>
            <w:r>
              <w:t xml:space="preserve">pobytových karet. </w:t>
            </w:r>
            <w:r>
              <w:rPr>
                <w:b/>
                <w:i/>
              </w:rPr>
              <w:t>Jak potvrdil</w:t>
            </w:r>
            <w:r>
              <w:t xml:space="preserve"> Soudní dvůr, povinné zaznamenávání otisků prstů do paměťového média je slučitelné se základními právy na respektování soukromého života</w:t>
            </w:r>
            <w:r w:rsidR="0081461F">
              <w:t xml:space="preserve"> a </w:t>
            </w:r>
            <w:r>
              <w:t>na ochranu osobních údajů zaručenými</w:t>
            </w:r>
            <w:r w:rsidR="0081461F">
              <w:t xml:space="preserve"> v </w:t>
            </w:r>
            <w:r>
              <w:t>článcích 7</w:t>
            </w:r>
            <w:r w:rsidR="0081461F">
              <w:t xml:space="preserve"> a </w:t>
            </w:r>
            <w:r>
              <w:t>8 Listiny.</w:t>
            </w:r>
          </w:p>
        </w:tc>
        <w:tc>
          <w:tcPr>
            <w:tcW w:w="4876" w:type="dxa"/>
            <w:tcBorders>
              <w:top w:val="nil"/>
              <w:left w:val="nil"/>
              <w:bottom w:val="nil"/>
              <w:right w:val="nil"/>
            </w:tcBorders>
          </w:tcPr>
          <w:p w:rsidR="00F21BA6" w:rsidRPr="000E0C4C" w:rsidRDefault="004A4677" w:rsidP="00F21BA6">
            <w:pPr>
              <w:pStyle w:val="Normal6a"/>
            </w:pPr>
            <w:r>
              <w:t>(16)</w:t>
            </w:r>
            <w:r>
              <w:tab/>
              <w:t>Uchovávání zobrazení obličeje</w:t>
            </w:r>
            <w:r w:rsidR="0081461F">
              <w:t xml:space="preserve"> a </w:t>
            </w:r>
            <w:r>
              <w:t>dvou otisků prstů (dále jen „biometrické údaje“)</w:t>
            </w:r>
            <w:r w:rsidR="0081461F">
              <w:t xml:space="preserve"> v </w:t>
            </w:r>
            <w:r>
              <w:t>průkazech totožnosti</w:t>
            </w:r>
            <w:r w:rsidR="0081461F">
              <w:t xml:space="preserve"> a </w:t>
            </w:r>
            <w:r>
              <w:t>pobytových kartách</w:t>
            </w:r>
            <w:r>
              <w:rPr>
                <w:b/>
                <w:i/>
              </w:rPr>
              <w:t xml:space="preserve"> nepředstavuje</w:t>
            </w:r>
            <w:r>
              <w:t xml:space="preserve"> vhodnou kombinaci spolehlivé identifikace</w:t>
            </w:r>
            <w:r w:rsidR="0081461F">
              <w:t xml:space="preserve"> a </w:t>
            </w:r>
            <w:r>
              <w:t>ověření pravosti</w:t>
            </w:r>
            <w:r w:rsidR="0081461F">
              <w:t xml:space="preserve"> s </w:t>
            </w:r>
            <w:r>
              <w:t>nižším rizikem podvodu</w:t>
            </w:r>
            <w:r w:rsidR="0081461F">
              <w:t xml:space="preserve"> v </w:t>
            </w:r>
            <w:r>
              <w:t>zájmu lepšího zabezpečení průkazů totožnosti</w:t>
            </w:r>
            <w:r w:rsidR="0081461F">
              <w:t xml:space="preserve"> a </w:t>
            </w:r>
            <w:r>
              <w:t xml:space="preserve">pobytových karet. </w:t>
            </w:r>
            <w:r>
              <w:rPr>
                <w:b/>
                <w:i/>
              </w:rPr>
              <w:t>Jedná se</w:t>
            </w:r>
            <w:r w:rsidR="0081461F">
              <w:rPr>
                <w:b/>
                <w:i/>
              </w:rPr>
              <w:t xml:space="preserve"> o </w:t>
            </w:r>
            <w:r>
              <w:rPr>
                <w:b/>
                <w:i/>
              </w:rPr>
              <w:t>příliš závažné porušení práva na soukromí občanů ve prospěch stále větších možností státní kontroly. Je to také příliš velké riziko</w:t>
            </w:r>
            <w:r w:rsidR="0081461F">
              <w:rPr>
                <w:b/>
                <w:i/>
              </w:rPr>
              <w:t xml:space="preserve"> z </w:t>
            </w:r>
            <w:r>
              <w:rPr>
                <w:b/>
                <w:i/>
              </w:rPr>
              <w:t>hlediska kybernetické kriminality: pokud budou tyto otisky prstů</w:t>
            </w:r>
            <w:r w:rsidR="0081461F">
              <w:rPr>
                <w:b/>
                <w:i/>
              </w:rPr>
              <w:t xml:space="preserve"> z </w:t>
            </w:r>
            <w:r>
              <w:rPr>
                <w:b/>
                <w:i/>
              </w:rPr>
              <w:t>paměťového média na průkazu totožnosti odcizeny, mohou být použity po celém světě pro všechny druhy podvodů</w:t>
            </w:r>
            <w:r w:rsidR="0081461F">
              <w:rPr>
                <w:b/>
                <w:i/>
              </w:rPr>
              <w:t xml:space="preserve"> a </w:t>
            </w:r>
            <w:r>
              <w:rPr>
                <w:b/>
                <w:i/>
              </w:rPr>
              <w:t>krádeží souvisejících</w:t>
            </w:r>
            <w:r w:rsidR="0081461F">
              <w:rPr>
                <w:b/>
                <w:i/>
              </w:rPr>
              <w:t xml:space="preserve"> s </w:t>
            </w:r>
            <w:r>
              <w:rPr>
                <w:b/>
                <w:i/>
              </w:rPr>
              <w:t>identitou. Vzhledem</w:t>
            </w:r>
            <w:r w:rsidR="0081461F">
              <w:rPr>
                <w:b/>
                <w:i/>
              </w:rPr>
              <w:t xml:space="preserve"> k </w:t>
            </w:r>
            <w:r>
              <w:rPr>
                <w:b/>
                <w:i/>
              </w:rPr>
              <w:t>tomu, že otisky prstů jsou jedinečné</w:t>
            </w:r>
            <w:r w:rsidR="0081461F">
              <w:rPr>
                <w:b/>
                <w:i/>
              </w:rPr>
              <w:t xml:space="preserve"> a </w:t>
            </w:r>
            <w:r>
              <w:rPr>
                <w:b/>
                <w:i/>
              </w:rPr>
              <w:t>nelze je změnit, představuje jejich krádež pro občana, který je její obětí, celoživotní riziko.</w:t>
            </w:r>
            <w:r w:rsidR="0081461F">
              <w:rPr>
                <w:b/>
                <w:i/>
              </w:rPr>
              <w:t xml:space="preserve"> I </w:t>
            </w:r>
            <w:r>
              <w:rPr>
                <w:b/>
                <w:i/>
              </w:rPr>
              <w:t>když</w:t>
            </w:r>
            <w:r>
              <w:t xml:space="preserve"> Soudní dvůr</w:t>
            </w:r>
            <w:r>
              <w:rPr>
                <w:b/>
                <w:i/>
              </w:rPr>
              <w:t xml:space="preserve"> ze striktně právního hlediska potvrdil</w:t>
            </w:r>
            <w:r>
              <w:t>,</w:t>
            </w:r>
            <w:r>
              <w:rPr>
                <w:b/>
                <w:i/>
              </w:rPr>
              <w:t xml:space="preserve"> že</w:t>
            </w:r>
            <w:r>
              <w:t xml:space="preserve"> povinné zaznamenávání otisků prstů do paměťového média je slučitelné se základními právy na respektování soukromého života</w:t>
            </w:r>
            <w:r w:rsidR="0081461F">
              <w:t xml:space="preserve"> a </w:t>
            </w:r>
            <w:r>
              <w:t>na ochranu osobních údajů zaručenými</w:t>
            </w:r>
            <w:r w:rsidR="0081461F">
              <w:t xml:space="preserve"> v </w:t>
            </w:r>
            <w:r>
              <w:t>článcích 7</w:t>
            </w:r>
            <w:r w:rsidR="0081461F">
              <w:t xml:space="preserve"> a </w:t>
            </w:r>
            <w:r>
              <w:t>8 Listiny</w:t>
            </w:r>
            <w:r>
              <w:rPr>
                <w:b/>
                <w:i/>
              </w:rPr>
              <w:t>, jsou</w:t>
            </w:r>
            <w:r w:rsidR="0081461F">
              <w:rPr>
                <w:b/>
                <w:i/>
              </w:rPr>
              <w:t xml:space="preserve"> v </w:t>
            </w:r>
            <w:r>
              <w:rPr>
                <w:b/>
                <w:i/>
              </w:rPr>
              <w:t>sázce</w:t>
            </w:r>
            <w:r w:rsidR="0081461F">
              <w:rPr>
                <w:b/>
                <w:i/>
              </w:rPr>
              <w:t xml:space="preserve"> i </w:t>
            </w:r>
            <w:r>
              <w:rPr>
                <w:b/>
                <w:i/>
              </w:rPr>
              <w:t>další hodnoty, jako je principiální ochrana soukromí občanů před neustále rostoucími možnostmi státní kontroly nebo důsledné předcházení novým formám kybernetické kriminality</w:t>
            </w:r>
            <w:r>
              <w:t>.</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3</w:t>
      </w:r>
      <w:r>
        <w:rPr>
          <w:rStyle w:val="HideTWBExt"/>
        </w:rPr>
        <w:t>&lt;/NumAm&gt;</w:t>
      </w:r>
    </w:p>
    <w:p w:rsidR="00F21BA6" w:rsidRPr="000E0C4C" w:rsidRDefault="004A4677" w:rsidP="00F21BA6">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členských státech</w:t>
            </w:r>
            <w:r>
              <w:rPr>
                <w:b/>
                <w:i/>
              </w:rPr>
              <w:t>, což je záležitost vnitrostátního práva, jež musí být</w:t>
            </w:r>
            <w:r w:rsidR="0081461F">
              <w:rPr>
                <w:b/>
                <w:i/>
              </w:rPr>
              <w:t xml:space="preserve"> v </w:t>
            </w:r>
            <w:r>
              <w:rPr>
                <w:b/>
                <w:i/>
              </w:rPr>
              <w:t>souladu</w:t>
            </w:r>
            <w:r w:rsidR="0081461F">
              <w:rPr>
                <w:b/>
                <w:i/>
              </w:rPr>
              <w:t xml:space="preserve"> s </w:t>
            </w:r>
            <w:r>
              <w:rPr>
                <w:b/>
                <w:i/>
              </w:rPr>
              <w:t>právem Unie</w:t>
            </w:r>
            <w:r w:rsidR="0081461F">
              <w:rPr>
                <w:b/>
                <w:i/>
              </w:rPr>
              <w:t xml:space="preserve"> v </w:t>
            </w:r>
            <w:r>
              <w:rPr>
                <w:b/>
                <w:i/>
              </w:rPr>
              <w:t>oblasti ochrany údajů, včetně požadavků na nezbytnost</w:t>
            </w:r>
            <w:r w:rsidR="0081461F">
              <w:rPr>
                <w:b/>
                <w:i/>
              </w:rPr>
              <w:t xml:space="preserve"> a </w:t>
            </w:r>
            <w:r>
              <w:rPr>
                <w:b/>
                <w:i/>
              </w:rPr>
              <w:t>přiměřenost.</w:t>
            </w:r>
            <w:r>
              <w:t xml:space="preserve"> Toto nařízení rovněž neposkytuje právní základ pro zřízení či provoz centralizované databáze na úrovni Unie.</w:t>
            </w:r>
          </w:p>
        </w:tc>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členských státech</w:t>
            </w:r>
            <w:r>
              <w:rPr>
                <w:b/>
                <w:i/>
              </w:rPr>
              <w:t>.</w:t>
            </w:r>
            <w:r>
              <w:t xml:space="preserve"> Toto nařízení rovněž neposkytuje právní základ pro zřízení či provoz centralizované databáze na úrovni Unie. </w:t>
            </w:r>
            <w:r>
              <w:rPr>
                <w:b/>
                <w:i/>
              </w:rPr>
              <w:t>Biometrické údaje zpracovávané pro účely tohoto nařízení by neměly být zpracovávány pro žádné jiné účely</w:t>
            </w:r>
            <w:r w:rsidR="0081461F">
              <w:rPr>
                <w:b/>
                <w:i/>
              </w:rPr>
              <w:t xml:space="preserve"> a </w:t>
            </w:r>
            <w:r>
              <w:rPr>
                <w:b/>
                <w:i/>
              </w:rPr>
              <w:t>neměly by být uchovávány ve vnitrostátních databázích ani</w:t>
            </w:r>
            <w:r w:rsidR="0081461F">
              <w:rPr>
                <w:b/>
                <w:i/>
              </w:rPr>
              <w:t xml:space="preserve"> v </w:t>
            </w:r>
            <w:r>
              <w:rPr>
                <w:b/>
                <w:i/>
              </w:rPr>
              <w:t>databázích na úrovni Unie.</w:t>
            </w:r>
          </w:p>
        </w:tc>
      </w:tr>
    </w:tbl>
    <w:p w:rsidR="00F21BA6" w:rsidRPr="000E0C4C" w:rsidRDefault="004A4677" w:rsidP="00F21BA6">
      <w:pPr>
        <w:pStyle w:val="AmOrLang"/>
        <w:rPr>
          <w:lang w:val="sv-SE"/>
        </w:rPr>
      </w:pPr>
      <w:r w:rsidRPr="000E0C4C">
        <w:rPr>
          <w:lang w:val="sv-SE"/>
        </w:rPr>
        <w:t xml:space="preserve">Or. </w:t>
      </w:r>
      <w:r w:rsidRPr="000E0C4C">
        <w:rPr>
          <w:rStyle w:val="HideTWBExt"/>
          <w:lang w:val="sv-SE"/>
        </w:rPr>
        <w:t>&lt;Original&gt;</w:t>
      </w:r>
      <w:r w:rsidRPr="000E0C4C">
        <w:rPr>
          <w:rStyle w:val="HideTWBInt"/>
          <w:lang w:val="sv-SE"/>
        </w:rPr>
        <w:t>{EN}</w:t>
      </w:r>
      <w:r w:rsidRPr="000E0C4C">
        <w:rPr>
          <w:lang w:val="sv-SE"/>
        </w:rPr>
        <w:t>en</w:t>
      </w:r>
      <w:r w:rsidRPr="000E0C4C">
        <w:rPr>
          <w:rStyle w:val="HideTWBExt"/>
          <w:lang w:val="sv-SE"/>
        </w:rPr>
        <w:t>&lt;/Original&gt;</w:t>
      </w:r>
    </w:p>
    <w:p w:rsidR="00F21BA6" w:rsidRPr="000E0C4C" w:rsidRDefault="004A4677" w:rsidP="00F21BA6">
      <w:r>
        <w:rPr>
          <w:rStyle w:val="HideTWBExt"/>
          <w:lang w:val="sv-SE"/>
        </w:rPr>
        <w:t>&lt;/Amend&gt;</w:t>
      </w:r>
    </w:p>
    <w:p w:rsidR="00F21BA6" w:rsidRPr="000E0C4C" w:rsidRDefault="004A4677" w:rsidP="00F21BA6">
      <w:pPr>
        <w:pStyle w:val="AmNumberTabs"/>
      </w:pPr>
      <w:r>
        <w:rPr>
          <w:rStyle w:val="HideTWBExt"/>
          <w:lang w:val="sv-SE"/>
        </w:rPr>
        <w:t>&lt;Amend&gt;</w:t>
      </w:r>
      <w:r>
        <w:t>Pozměňovací návrh</w:t>
      </w:r>
      <w:r>
        <w:tab/>
      </w:r>
      <w:r>
        <w:tab/>
      </w:r>
      <w:r>
        <w:rPr>
          <w:rStyle w:val="HideTWBExt"/>
          <w:lang w:val="sv-SE"/>
        </w:rPr>
        <w:t>&lt;NumAm&gt;</w:t>
      </w:r>
      <w:r>
        <w:t>4</w:t>
      </w:r>
      <w:r>
        <w:rPr>
          <w:rStyle w:val="HideTWBExt"/>
          <w:lang w:val="sv-SE"/>
        </w:rPr>
        <w:t>&lt;/NumAm&gt;</w:t>
      </w:r>
    </w:p>
    <w:p w:rsidR="00F21BA6" w:rsidRPr="000E0C4C" w:rsidRDefault="004A4677" w:rsidP="00F21BA6">
      <w:pPr>
        <w:pStyle w:val="NormalBold"/>
      </w:pPr>
      <w:r>
        <w:rPr>
          <w:rStyle w:val="HideTWBExt"/>
          <w:b w:val="0"/>
          <w:lang w:val="sv-SE"/>
        </w:rPr>
        <w:t>&lt;RepeatBlock-By&gt;&lt;Members&gt;</w:t>
      </w:r>
      <w:r>
        <w:t>Anna Strolenberg</w:t>
      </w:r>
      <w:r>
        <w:rPr>
          <w:rStyle w:val="HideTWBExt"/>
          <w:b w:val="0"/>
          <w:lang w:val="sv-SE"/>
        </w:rPr>
        <w:t>&lt;/Members&gt;</w:t>
      </w:r>
    </w:p>
    <w:p w:rsidR="00F21BA6" w:rsidRPr="000E0C4C" w:rsidRDefault="004A4677" w:rsidP="00F21BA6">
      <w:r>
        <w:rPr>
          <w:rStyle w:val="HideTWBExt"/>
        </w:rPr>
        <w:t>&lt;AuNomDe&gt;</w:t>
      </w:r>
      <w:r>
        <w:rPr>
          <w:rStyle w:val="HideTWBInt"/>
          <w:color w:val="auto"/>
        </w:rPr>
        <w:t>{Greens/EFA}</w:t>
      </w:r>
      <w:r>
        <w:t>za skupinu Verts/ALE</w:t>
      </w:r>
      <w:r>
        <w:rPr>
          <w:rStyle w:val="HideTWBExt"/>
        </w:rPr>
        <w:t>&lt;/AuNomDe&gt;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 xml:space="preserve">členských státech, </w:t>
            </w:r>
            <w:r>
              <w:rPr>
                <w:b/>
                <w:i/>
              </w:rPr>
              <w:t>což je záležitost vnitrostátního práva, jež musí být</w:t>
            </w:r>
            <w:r w:rsidR="0081461F">
              <w:rPr>
                <w:b/>
                <w:i/>
              </w:rPr>
              <w:t xml:space="preserve"> v </w:t>
            </w:r>
            <w:r>
              <w:rPr>
                <w:b/>
                <w:i/>
              </w:rPr>
              <w:t>souladu</w:t>
            </w:r>
            <w:r w:rsidR="0081461F">
              <w:rPr>
                <w:b/>
                <w:i/>
              </w:rPr>
              <w:t xml:space="preserve"> s </w:t>
            </w:r>
            <w:r>
              <w:rPr>
                <w:b/>
                <w:i/>
              </w:rPr>
              <w:t>právem Unie</w:t>
            </w:r>
            <w:r w:rsidR="0081461F">
              <w:rPr>
                <w:b/>
                <w:i/>
              </w:rPr>
              <w:t xml:space="preserve"> v </w:t>
            </w:r>
            <w:r>
              <w:rPr>
                <w:b/>
                <w:i/>
              </w:rPr>
              <w:t>oblasti ochrany údajů, včetně požadavků na nezbytnost</w:t>
            </w:r>
            <w:r w:rsidR="0081461F">
              <w:rPr>
                <w:b/>
                <w:i/>
              </w:rPr>
              <w:t xml:space="preserve"> a </w:t>
            </w:r>
            <w:r>
              <w:rPr>
                <w:b/>
                <w:i/>
              </w:rPr>
              <w:t>přiměřenost</w:t>
            </w:r>
            <w:r>
              <w:t>. Toto nařízení rovněž neposkytuje právní základ pro zřízení či provoz centralizované databáze na úrovni Unie.</w:t>
            </w:r>
          </w:p>
        </w:tc>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 xml:space="preserve">členských státech. Toto nařízení rovněž neposkytuje právní základ pro zřízení či provoz centralizované databáze na úrovni Unie. </w:t>
            </w:r>
            <w:r>
              <w:rPr>
                <w:b/>
                <w:i/>
              </w:rPr>
              <w:t>Biometrické údaje zpracovávané pro účely tohoto nařízení by neměly být zpracovávány pro žádné jiné účely</w:t>
            </w:r>
            <w:r w:rsidR="0081461F">
              <w:rPr>
                <w:b/>
                <w:i/>
              </w:rPr>
              <w:t xml:space="preserve"> a </w:t>
            </w:r>
            <w:r>
              <w:rPr>
                <w:b/>
                <w:i/>
              </w:rPr>
              <w:t>neměly by být uchovávány ve vnitrostátních databázích ani</w:t>
            </w:r>
            <w:r w:rsidR="0081461F">
              <w:rPr>
                <w:b/>
                <w:i/>
              </w:rPr>
              <w:t xml:space="preserve"> v </w:t>
            </w:r>
            <w:r>
              <w:rPr>
                <w:b/>
                <w:i/>
              </w:rPr>
              <w:t>databázích na úrovni Unie.</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5</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 xml:space="preserve">členských státech, </w:t>
            </w:r>
            <w:r>
              <w:rPr>
                <w:b/>
                <w:i/>
              </w:rPr>
              <w:t>což je záležitost vnitrostátního práva, jež musí být</w:t>
            </w:r>
            <w:r w:rsidR="0081461F">
              <w:rPr>
                <w:b/>
                <w:i/>
              </w:rPr>
              <w:t xml:space="preserve"> v </w:t>
            </w:r>
            <w:r>
              <w:rPr>
                <w:b/>
                <w:i/>
              </w:rPr>
              <w:t>souladu</w:t>
            </w:r>
            <w:r w:rsidR="0081461F">
              <w:rPr>
                <w:b/>
                <w:i/>
              </w:rPr>
              <w:t xml:space="preserve"> s </w:t>
            </w:r>
            <w:r>
              <w:rPr>
                <w:b/>
                <w:i/>
              </w:rPr>
              <w:t>právem Unie</w:t>
            </w:r>
            <w:r w:rsidR="0081461F">
              <w:rPr>
                <w:b/>
                <w:i/>
              </w:rPr>
              <w:t xml:space="preserve"> v </w:t>
            </w:r>
            <w:r>
              <w:rPr>
                <w:b/>
                <w:i/>
              </w:rPr>
              <w:t>oblasti ochrany údajů, včetně požadavků na nezbytnost</w:t>
            </w:r>
            <w:r w:rsidR="0081461F">
              <w:rPr>
                <w:b/>
                <w:i/>
              </w:rPr>
              <w:t xml:space="preserve"> a </w:t>
            </w:r>
            <w:r>
              <w:rPr>
                <w:b/>
                <w:i/>
              </w:rPr>
              <w:t>přiměřenost</w:t>
            </w:r>
            <w:r>
              <w:t>. Toto nařízení rovněž neposkytuje právní základ pro zřízení či provoz centralizované databáze na úrovni Unie.</w:t>
            </w:r>
          </w:p>
        </w:tc>
        <w:tc>
          <w:tcPr>
            <w:tcW w:w="4876" w:type="dxa"/>
            <w:tcBorders>
              <w:top w:val="nil"/>
              <w:left w:val="nil"/>
              <w:bottom w:val="nil"/>
              <w:right w:val="nil"/>
            </w:tcBorders>
          </w:tcPr>
          <w:p w:rsidR="00F21BA6" w:rsidRPr="000E0C4C" w:rsidRDefault="004A4677" w:rsidP="00F21BA6">
            <w:pPr>
              <w:pStyle w:val="Normal6a"/>
            </w:pPr>
            <w:r>
              <w:t>(19)</w:t>
            </w:r>
            <w:r>
              <w:tab/>
              <w:t>Toto nařízení nevytváří právní základ pro zřízení či provoz databází na vnitrostátní úrovni pro uchovávání biometrických údajů</w:t>
            </w:r>
            <w:r w:rsidR="0081461F">
              <w:t xml:space="preserve"> v </w:t>
            </w:r>
            <w:r>
              <w:t xml:space="preserve">členských státech. Toto nařízení rovněž neposkytuje právní základ pro zřízení či provoz centralizované databáze na úrovni Unie. </w:t>
            </w:r>
            <w:r>
              <w:rPr>
                <w:b/>
                <w:i/>
              </w:rPr>
              <w:t>Biometrické údaje zpracovávané pro účely tohoto nařízení by neměly být zpracovávány pro žádné jiné účely</w:t>
            </w:r>
            <w:r w:rsidR="0081461F">
              <w:rPr>
                <w:b/>
                <w:i/>
              </w:rPr>
              <w:t xml:space="preserve"> a </w:t>
            </w:r>
            <w:r>
              <w:rPr>
                <w:b/>
                <w:i/>
              </w:rPr>
              <w:t>neměly by být uchovávány ve vnitrostátních databázích ani</w:t>
            </w:r>
            <w:r w:rsidR="0081461F">
              <w:rPr>
                <w:b/>
                <w:i/>
              </w:rPr>
              <w:t xml:space="preserve"> v </w:t>
            </w:r>
            <w:r>
              <w:rPr>
                <w:b/>
                <w:i/>
              </w:rPr>
              <w:t>databázích na úrovni Unie.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6</w:t>
      </w:r>
      <w:r w:rsidRPr="004A4677">
        <w:rPr>
          <w:rStyle w:val="HideTWBExt"/>
          <w:b w:val="0"/>
        </w:rPr>
        <w:t>&lt;/NumAm&gt;</w:t>
      </w:r>
    </w:p>
    <w:p w:rsidR="00F21BA6" w:rsidRPr="000E0C4C" w:rsidRDefault="004A4677" w:rsidP="00F21BA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Bod odůvodnění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4A4677" w:rsidP="00F21BA6">
            <w:pPr>
              <w:pStyle w:val="Normal6"/>
            </w:pPr>
            <w:r>
              <w:t>(20)</w:t>
            </w:r>
            <w:r>
              <w:tab/>
            </w:r>
            <w:r>
              <w:rPr>
                <w:b/>
                <w:i/>
              </w:rPr>
              <w:t>Biometrické identifikátory by měly být shromažďovány</w:t>
            </w:r>
            <w:r w:rsidR="0081461F">
              <w:rPr>
                <w:b/>
                <w:i/>
              </w:rPr>
              <w:t xml:space="preserve"> a </w:t>
            </w:r>
            <w:r>
              <w:rPr>
                <w:b/>
                <w:i/>
              </w:rPr>
              <w:t>uchovávány</w:t>
            </w:r>
            <w:r>
              <w:t xml:space="preserve"> na</w:t>
            </w:r>
            <w:r>
              <w:rPr>
                <w:b/>
                <w:i/>
              </w:rPr>
              <w:t> </w:t>
            </w:r>
            <w:r>
              <w:t>paměťovém médiu průkazů totožnosti</w:t>
            </w:r>
            <w:r w:rsidR="0081461F">
              <w:t xml:space="preserve"> a </w:t>
            </w:r>
            <w:r>
              <w:t>povolení</w:t>
            </w:r>
            <w:r w:rsidR="0081461F">
              <w:t xml:space="preserve"> k </w:t>
            </w:r>
            <w:r>
              <w:t>pobytu pro účely ověřování pravosti dokladů</w:t>
            </w:r>
            <w:r w:rsidR="0081461F">
              <w:t xml:space="preserve"> a </w:t>
            </w:r>
            <w:r>
              <w:t xml:space="preserve">totožnosti jejich držitele. </w:t>
            </w:r>
            <w:r>
              <w:rPr>
                <w:b/>
                <w:i/>
              </w:rPr>
              <w:t>Vzhledem</w:t>
            </w:r>
            <w:r w:rsidR="0081461F">
              <w:rPr>
                <w:b/>
                <w:i/>
              </w:rPr>
              <w:t xml:space="preserve"> k </w:t>
            </w:r>
            <w:r>
              <w:rPr>
                <w:b/>
                <w:i/>
              </w:rPr>
              <w:t>elektronickému podpisu na paměťovém médiu průkazů totožnosti je prokázání totožnosti držitele pomocí paměťového média, které obsahuje stejné biografické údaje, jaké jsou vytištěny na dokladu, spolehlivější než vizuální kontrola dokladu.</w:t>
            </w:r>
            <w:r>
              <w:t xml:space="preserve"> </w:t>
            </w:r>
            <w:r>
              <w:rPr>
                <w:b/>
                <w:i/>
              </w:rPr>
              <w:t>Občanům Unie by tak mělo</w:t>
            </w:r>
            <w:r>
              <w:t xml:space="preserve"> být </w:t>
            </w:r>
            <w:r>
              <w:rPr>
                <w:b/>
                <w:i/>
              </w:rPr>
              <w:t>umožněno používat údaje uložené na paměťovém médiu jejich průkazu totožnosti</w:t>
            </w:r>
            <w:r w:rsidR="0081461F">
              <w:rPr>
                <w:b/>
                <w:i/>
              </w:rPr>
              <w:t xml:space="preserve"> k </w:t>
            </w:r>
            <w:r>
              <w:rPr>
                <w:b/>
                <w:i/>
              </w:rPr>
              <w:t>prokázání totožnosti vůči soukromým subjektům. Ověřování otisků prstů uložených na paměťovém médiu by však měl provádět pouze řádně zmocněný pracovník</w:t>
            </w:r>
            <w:r w:rsidR="0081461F">
              <w:rPr>
                <w:b/>
                <w:i/>
              </w:rPr>
              <w:t xml:space="preserve"> v </w:t>
            </w:r>
            <w:r>
              <w:rPr>
                <w:b/>
                <w:i/>
              </w:rPr>
              <w:t>případech, kdy právní předpis stanoví povinnost předložit doklad totožnosti</w:t>
            </w:r>
            <w:r>
              <w:t>.</w:t>
            </w:r>
          </w:p>
        </w:tc>
        <w:tc>
          <w:tcPr>
            <w:tcW w:w="4876" w:type="dxa"/>
          </w:tcPr>
          <w:p w:rsidR="00F21BA6" w:rsidRPr="000E0C4C" w:rsidRDefault="004A4677" w:rsidP="004A4677">
            <w:pPr>
              <w:pStyle w:val="Normal6"/>
              <w:rPr>
                <w:szCs w:val="24"/>
              </w:rPr>
            </w:pPr>
            <w:r>
              <w:t>(20)</w:t>
            </w:r>
            <w:r>
              <w:tab/>
            </w:r>
            <w:r>
              <w:rPr>
                <w:b/>
                <w:i/>
              </w:rPr>
              <w:t>K zobrazení obličeje uchovanému</w:t>
            </w:r>
            <w:r>
              <w:t xml:space="preserve"> na</w:t>
            </w:r>
            <w:r>
              <w:rPr>
                <w:b/>
                <w:i/>
              </w:rPr>
              <w:t xml:space="preserve"> </w:t>
            </w:r>
            <w:r>
              <w:t>paměťovém médiu průkazů totožnosti</w:t>
            </w:r>
            <w:r w:rsidR="0081461F">
              <w:t xml:space="preserve"> a </w:t>
            </w:r>
            <w:r>
              <w:t>povolení</w:t>
            </w:r>
            <w:r w:rsidR="0081461F">
              <w:t xml:space="preserve"> k </w:t>
            </w:r>
            <w:r>
              <w:t xml:space="preserve">pobytu </w:t>
            </w:r>
            <w:r>
              <w:rPr>
                <w:b/>
                <w:i/>
              </w:rPr>
              <w:t>by měli mít přístup pouze řádně zmocnění pracovníci příslušných vnitrostátních orgánů, agentur Unie</w:t>
            </w:r>
            <w:r w:rsidR="0081461F">
              <w:rPr>
                <w:b/>
                <w:i/>
              </w:rPr>
              <w:t xml:space="preserve"> a </w:t>
            </w:r>
            <w:r>
              <w:rPr>
                <w:b/>
                <w:i/>
              </w:rPr>
              <w:t xml:space="preserve">soukromých subjektů </w:t>
            </w:r>
            <w:r>
              <w:t>pro účely ověřování pravosti dokladů</w:t>
            </w:r>
            <w:r w:rsidR="0081461F">
              <w:t xml:space="preserve"> a </w:t>
            </w:r>
            <w:r>
              <w:t xml:space="preserve">totožnosti jejich držitele. </w:t>
            </w:r>
            <w:r>
              <w:rPr>
                <w:b/>
                <w:i/>
              </w:rPr>
              <w:t>Tento přístup by měl být</w:t>
            </w:r>
            <w:r w:rsidR="0081461F">
              <w:rPr>
                <w:b/>
                <w:i/>
              </w:rPr>
              <w:t xml:space="preserve"> v </w:t>
            </w:r>
            <w:r>
              <w:rPr>
                <w:b/>
                <w:i/>
              </w:rPr>
              <w:t>souladu</w:t>
            </w:r>
            <w:r w:rsidR="0081461F">
              <w:rPr>
                <w:b/>
                <w:i/>
              </w:rPr>
              <w:t xml:space="preserve"> s </w:t>
            </w:r>
            <w:r>
              <w:rPr>
                <w:b/>
                <w:i/>
              </w:rPr>
              <w:t>právními předpisy Unie</w:t>
            </w:r>
            <w:r w:rsidR="0081461F">
              <w:rPr>
                <w:b/>
                <w:i/>
              </w:rPr>
              <w:t xml:space="preserve"> v </w:t>
            </w:r>
            <w:r>
              <w:rPr>
                <w:b/>
                <w:i/>
              </w:rPr>
              <w:t>oblasti ochrany údajů. Zobrazení obličeje by nemělo být uchováváno déle</w:t>
            </w:r>
            <w:r>
              <w:t xml:space="preserve">, než </w:t>
            </w:r>
            <w:r>
              <w:rPr>
                <w:b/>
                <w:i/>
              </w:rPr>
              <w:t>je pro tyto účely nezbytné, mělo by</w:t>
            </w:r>
            <w:r>
              <w:t xml:space="preserve"> být </w:t>
            </w:r>
            <w:r>
              <w:rPr>
                <w:b/>
                <w:i/>
              </w:rPr>
              <w:t>vymazáno, jakmile je těchto účelů dosaženo,</w:t>
            </w:r>
            <w:r w:rsidR="0081461F">
              <w:rPr>
                <w:b/>
                <w:i/>
              </w:rPr>
              <w:t xml:space="preserve"> a </w:t>
            </w:r>
            <w:r>
              <w:rPr>
                <w:b/>
                <w:i/>
              </w:rPr>
              <w:t>nemělo by být předáváno třetím zemím ani mezinárodním organizacím, pokud to právní předpisy Unie</w:t>
            </w:r>
            <w:r w:rsidR="0081461F">
              <w:rPr>
                <w:b/>
                <w:i/>
              </w:rPr>
              <w:t xml:space="preserve"> o </w:t>
            </w:r>
            <w:r>
              <w:rPr>
                <w:b/>
                <w:i/>
              </w:rPr>
              <w:t>ochraně údajů nepovolují. Cílem těchto záruk je zajistit odpovídající ochranu zobrazení obličeje, aniž by bylo zakázáno jeho používání</w:t>
            </w:r>
            <w:r>
              <w:t>.</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7</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(20)</w:t>
            </w:r>
            <w:r>
              <w:tab/>
              <w:t>Biometrické identifikátory by měly být shromažďovány</w:t>
            </w:r>
            <w:r w:rsidR="0081461F">
              <w:t xml:space="preserve"> a </w:t>
            </w:r>
            <w:r>
              <w:t>uchovávány na paměťovém médiu průkazů totožnosti</w:t>
            </w:r>
            <w:r w:rsidR="0081461F">
              <w:t xml:space="preserve"> a </w:t>
            </w:r>
            <w:r>
              <w:t>povolení</w:t>
            </w:r>
            <w:r w:rsidR="0081461F">
              <w:t xml:space="preserve"> k </w:t>
            </w:r>
            <w:r>
              <w:t>pobytu pro účely ověřování pravosti dokladů</w:t>
            </w:r>
            <w:r w:rsidR="0081461F">
              <w:t xml:space="preserve"> a </w:t>
            </w:r>
            <w:r>
              <w:t xml:space="preserve">totožnosti jejich držitele. </w:t>
            </w:r>
            <w:r>
              <w:rPr>
                <w:b/>
                <w:i/>
              </w:rPr>
              <w:t>Vzhledem</w:t>
            </w:r>
            <w:r w:rsidR="0081461F">
              <w:rPr>
                <w:b/>
                <w:i/>
              </w:rPr>
              <w:t xml:space="preserve"> k </w:t>
            </w:r>
            <w:r>
              <w:rPr>
                <w:b/>
                <w:i/>
              </w:rPr>
              <w:t>elektronickému podpisu na paměťovém médiu průkazů totožnosti je prokázání totožnosti držitele pomocí paměťového média, které obsahuje stejné biografické údaje, jaké jsou vytištěny na dokladu, spolehlivější než vizuální kontrola dokladu. Občanům Unie by tak mělo být umožněno používat údaje uložené na paměťovém médiu jejich průkazu totožnosti</w:t>
            </w:r>
            <w:r w:rsidR="0081461F">
              <w:rPr>
                <w:b/>
                <w:i/>
              </w:rPr>
              <w:t xml:space="preserve"> k </w:t>
            </w:r>
            <w:r>
              <w:rPr>
                <w:b/>
                <w:i/>
              </w:rPr>
              <w:t>prokázání totožnosti vůči soukromým subjektům. Ověřování otisků prstů uložených na paměťovém médiu</w:t>
            </w:r>
            <w:r>
              <w:t xml:space="preserve"> by </w:t>
            </w:r>
            <w:r>
              <w:rPr>
                <w:b/>
                <w:i/>
              </w:rPr>
              <w:t xml:space="preserve">však </w:t>
            </w:r>
            <w:r>
              <w:t>měl provádět pouze řádně zmocněný pracovník</w:t>
            </w:r>
            <w:r w:rsidR="0081461F">
              <w:t xml:space="preserve"> v </w:t>
            </w:r>
            <w:r>
              <w:t>případech, kdy právní předpis stanoví povinnost předložit doklad totožnosti.</w:t>
            </w:r>
          </w:p>
        </w:tc>
        <w:tc>
          <w:tcPr>
            <w:tcW w:w="4876" w:type="dxa"/>
            <w:tcBorders>
              <w:top w:val="nil"/>
              <w:left w:val="nil"/>
              <w:bottom w:val="nil"/>
              <w:right w:val="nil"/>
            </w:tcBorders>
          </w:tcPr>
          <w:p w:rsidR="00F21BA6" w:rsidRPr="000E0C4C" w:rsidRDefault="004A4677" w:rsidP="00F21BA6">
            <w:pPr>
              <w:pStyle w:val="Normal6a"/>
            </w:pPr>
            <w:r>
              <w:t>(20)</w:t>
            </w:r>
            <w:r>
              <w:tab/>
              <w:t>Biometrické identifikátory by měly být shromažďovány</w:t>
            </w:r>
            <w:r w:rsidR="0081461F">
              <w:t xml:space="preserve"> a </w:t>
            </w:r>
            <w:r>
              <w:t>uchovávány na paměťovém médiu průkazů totožnosti</w:t>
            </w:r>
            <w:r w:rsidR="0081461F">
              <w:t xml:space="preserve"> a </w:t>
            </w:r>
            <w:r>
              <w:t>povolení</w:t>
            </w:r>
            <w:r w:rsidR="0081461F">
              <w:t xml:space="preserve"> k </w:t>
            </w:r>
            <w:r>
              <w:t>pobytu pro účely ověřování pravosti dokladů</w:t>
            </w:r>
            <w:r w:rsidR="0081461F">
              <w:t xml:space="preserve"> a </w:t>
            </w:r>
            <w:r>
              <w:t xml:space="preserve">totožnosti jejich držitele. </w:t>
            </w:r>
            <w:r>
              <w:rPr>
                <w:b/>
                <w:i/>
              </w:rPr>
              <w:t xml:space="preserve">Toto ověřování by </w:t>
            </w:r>
            <w:r>
              <w:t>měl provádět pouze řádně zmocněný pracovník</w:t>
            </w:r>
            <w:r w:rsidR="0081461F">
              <w:t xml:space="preserve"> v </w:t>
            </w:r>
            <w:r>
              <w:t>případech, kdy právní předpis stanoví povinnost předložit doklad totožnosti</w:t>
            </w:r>
            <w:r>
              <w:rPr>
                <w:b/>
                <w:i/>
              </w:rPr>
              <w:t>.</w:t>
            </w:r>
            <w:r>
              <w:t xml:space="preserve"> </w:t>
            </w:r>
            <w:r>
              <w:rPr>
                <w:b/>
                <w:i/>
              </w:rPr>
              <w:t>Biometrické údaje uchovávané pro účely personalizace průkazů totožnosti nebo povolení</w:t>
            </w:r>
            <w:r w:rsidR="0081461F">
              <w:rPr>
                <w:b/>
                <w:i/>
              </w:rPr>
              <w:t xml:space="preserve"> k </w:t>
            </w:r>
            <w:r>
              <w:rPr>
                <w:b/>
                <w:i/>
              </w:rPr>
              <w:t>pobytu by měly být uchovávány vysoce zabezpečeným způsobem</w:t>
            </w:r>
            <w:r w:rsidR="0081461F">
              <w:rPr>
                <w:b/>
                <w:i/>
              </w:rPr>
              <w:t xml:space="preserve"> a </w:t>
            </w:r>
            <w:r>
              <w:rPr>
                <w:b/>
                <w:i/>
              </w:rPr>
              <w:t>pouze do dne převzetí dokladu, nejdéle však do 90 dnů ode dne jeho vydání. Po uplynutí této lhůty by měly být biometrické údaje okamžitě vymazány nebo zničeny. Tím by nemělo být dotčeno další zpracování těchto údajů</w:t>
            </w:r>
            <w:r w:rsidR="0081461F">
              <w:rPr>
                <w:b/>
                <w:i/>
              </w:rPr>
              <w:t xml:space="preserve"> v </w:t>
            </w:r>
            <w:r>
              <w:rPr>
                <w:b/>
                <w:i/>
              </w:rPr>
              <w:t>souladu</w:t>
            </w:r>
            <w:r w:rsidR="0081461F">
              <w:rPr>
                <w:b/>
                <w:i/>
              </w:rPr>
              <w:t xml:space="preserve"> s </w:t>
            </w:r>
            <w:r>
              <w:rPr>
                <w:b/>
                <w:i/>
              </w:rPr>
              <w:t>unijními</w:t>
            </w:r>
            <w:r w:rsidR="0081461F">
              <w:rPr>
                <w:b/>
                <w:i/>
              </w:rPr>
              <w:t xml:space="preserve"> a </w:t>
            </w:r>
            <w:r>
              <w:rPr>
                <w:b/>
                <w:i/>
              </w:rPr>
              <w:t>vnitrostátními právními předpisy</w:t>
            </w:r>
            <w:r w:rsidR="0081461F">
              <w:rPr>
                <w:b/>
                <w:i/>
              </w:rPr>
              <w:t xml:space="preserve"> o </w:t>
            </w:r>
            <w:r>
              <w:rPr>
                <w:b/>
                <w:i/>
              </w:rPr>
              <w:t>ochraně údajů.</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8</w:t>
      </w:r>
      <w:r w:rsidRPr="004A4677">
        <w:rPr>
          <w:rStyle w:val="HideTWBExt"/>
          <w:b w:val="0"/>
        </w:rPr>
        <w:t>&lt;/NumAm&gt;</w:t>
      </w:r>
    </w:p>
    <w:p w:rsidR="00F21BA6" w:rsidRPr="000E0C4C" w:rsidRDefault="004A4677" w:rsidP="00F21BA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Bod odůvodnění 20</w:t>
      </w:r>
      <w:r w:rsidR="0081461F">
        <w:t xml:space="preserve"> a </w:t>
      </w:r>
      <w:r>
        <w:t>(nový)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F21BA6" w:rsidP="00F21BA6">
            <w:pPr>
              <w:pStyle w:val="Normal6"/>
              <w:rPr>
                <w:lang w:val="en-GB"/>
              </w:rPr>
            </w:pPr>
          </w:p>
        </w:tc>
        <w:tc>
          <w:tcPr>
            <w:tcW w:w="4876" w:type="dxa"/>
          </w:tcPr>
          <w:p w:rsidR="00F21BA6" w:rsidRPr="000E0C4C" w:rsidRDefault="004A4677" w:rsidP="00F21BA6">
            <w:pPr>
              <w:pStyle w:val="Normal6"/>
              <w:rPr>
                <w:szCs w:val="24"/>
              </w:rPr>
            </w:pPr>
            <w:r>
              <w:rPr>
                <w:b/>
                <w:i/>
              </w:rPr>
              <w:t>(20a)</w:t>
            </w:r>
            <w:r>
              <w:rPr>
                <w:b/>
                <w:i/>
              </w:rPr>
              <w:tab/>
              <w:t>Ověřování otisků prstů uložených na paměťovém médiu by však měl provádět pouze řádně zmocněný pracovník příslušných vnitrostátních orgánů</w:t>
            </w:r>
            <w:r w:rsidR="0081461F">
              <w:rPr>
                <w:b/>
                <w:i/>
              </w:rPr>
              <w:t xml:space="preserve"> a </w:t>
            </w:r>
            <w:r>
              <w:rPr>
                <w:b/>
                <w:i/>
              </w:rPr>
              <w:t>agentur Unie</w:t>
            </w:r>
            <w:r w:rsidR="0081461F">
              <w:rPr>
                <w:b/>
                <w:i/>
              </w:rPr>
              <w:t xml:space="preserve"> a </w:t>
            </w:r>
            <w:r>
              <w:rPr>
                <w:b/>
                <w:i/>
              </w:rPr>
              <w:t>pouze</w:t>
            </w:r>
            <w:r w:rsidR="0081461F">
              <w:rPr>
                <w:b/>
                <w:i/>
              </w:rPr>
              <w:t xml:space="preserve"> v </w:t>
            </w:r>
            <w:r>
              <w:rPr>
                <w:b/>
                <w:i/>
              </w:rPr>
              <w:t>případech, kdy unijní nebo vnitrostátní právo stanoví povinnost doklad předložit.</w:t>
            </w:r>
          </w:p>
        </w:tc>
      </w:tr>
    </w:tbl>
    <w:p w:rsidR="00F21BA6" w:rsidRPr="004A4677" w:rsidRDefault="004A4677" w:rsidP="00F21BA6">
      <w:pPr>
        <w:pStyle w:val="Olang"/>
        <w:rPr>
          <w:sz w:val="24"/>
          <w:szCs w:val="24"/>
        </w:rPr>
      </w:pPr>
      <w:r w:rsidRPr="004A4677">
        <w:rPr>
          <w:sz w:val="24"/>
          <w:szCs w:val="24"/>
        </w:rPr>
        <w:t xml:space="preserve">Or. </w:t>
      </w:r>
      <w:r w:rsidRPr="004A4677">
        <w:rPr>
          <w:rStyle w:val="HideTWBExt"/>
        </w:rPr>
        <w:t>&lt;Original&gt;</w:t>
      </w:r>
      <w:r w:rsidRPr="004A4677">
        <w:rPr>
          <w:rStyle w:val="HideTWBInt"/>
          <w:sz w:val="24"/>
          <w:szCs w:val="24"/>
        </w:rPr>
        <w:t>{EN}</w:t>
      </w:r>
      <w:r w:rsidRPr="004A4677">
        <w:rPr>
          <w:sz w:val="24"/>
          <w:szCs w:val="24"/>
        </w:rPr>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0"/>
        <w:keepNext/>
      </w:pPr>
      <w:r>
        <w:rPr>
          <w:rStyle w:val="HideTWBExt"/>
          <w:b w:val="0"/>
        </w:rPr>
        <w:t>&lt;Amend&gt;</w:t>
      </w:r>
      <w:r>
        <w:t>Pozměňovací návrh</w:t>
      </w:r>
      <w:r>
        <w:tab/>
      </w:r>
      <w:r>
        <w:tab/>
      </w:r>
      <w:r>
        <w:rPr>
          <w:rStyle w:val="HideTWBExt"/>
          <w:b w:val="0"/>
        </w:rPr>
        <w:t>&lt;NumAm&gt;</w:t>
      </w:r>
      <w:r>
        <w:t>9</w:t>
      </w:r>
      <w:r>
        <w:rPr>
          <w:rStyle w:val="HideTWBExt"/>
          <w:b w:val="0"/>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r w:rsidRPr="004A4677">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Bod odůvodnění 20</w:t>
      </w:r>
      <w:r w:rsidR="0081461F">
        <w:t xml:space="preserve"> a </w:t>
      </w:r>
      <w:r>
        <w:t>(nový)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F21BA6" w:rsidP="00F21BA6">
            <w:pPr>
              <w:pStyle w:val="Normal6"/>
              <w:rPr>
                <w:lang w:val="en-GB"/>
              </w:rPr>
            </w:pPr>
          </w:p>
        </w:tc>
        <w:tc>
          <w:tcPr>
            <w:tcW w:w="4876" w:type="dxa"/>
          </w:tcPr>
          <w:p w:rsidR="00F21BA6" w:rsidRPr="000E0C4C" w:rsidRDefault="004A4677" w:rsidP="004A4677">
            <w:pPr>
              <w:pStyle w:val="Normal6"/>
              <w:rPr>
                <w:szCs w:val="24"/>
              </w:rPr>
            </w:pPr>
            <w:r>
              <w:rPr>
                <w:b/>
                <w:i/>
              </w:rPr>
              <w:t>(20a)</w:t>
            </w:r>
            <w:r>
              <w:rPr>
                <w:b/>
                <w:i/>
              </w:rPr>
              <w:tab/>
              <w:t>Soukromé subjekty by měly mít povinnost získat souhlas držitele</w:t>
            </w:r>
            <w:r w:rsidR="0081461F">
              <w:rPr>
                <w:b/>
                <w:i/>
              </w:rPr>
              <w:t xml:space="preserve"> s </w:t>
            </w:r>
            <w:r>
              <w:rPr>
                <w:b/>
                <w:i/>
              </w:rPr>
              <w:t>přístupem</w:t>
            </w:r>
            <w:r w:rsidR="0081461F">
              <w:rPr>
                <w:b/>
                <w:i/>
              </w:rPr>
              <w:t xml:space="preserve"> k </w:t>
            </w:r>
            <w:r>
              <w:rPr>
                <w:b/>
                <w:i/>
              </w:rPr>
              <w:t>zobrazení obličeje. Souhlas subjektu údajů by proto měl být chápán jako dodatečné ochranné opatření</w:t>
            </w:r>
            <w:r w:rsidR="0081461F">
              <w:rPr>
                <w:b/>
                <w:i/>
              </w:rPr>
              <w:t xml:space="preserve"> a </w:t>
            </w:r>
            <w:r>
              <w:rPr>
                <w:b/>
                <w:i/>
              </w:rPr>
              <w:t>neměl by sám</w:t>
            </w:r>
            <w:r w:rsidR="0081461F">
              <w:rPr>
                <w:b/>
                <w:i/>
              </w:rPr>
              <w:t xml:space="preserve"> o </w:t>
            </w:r>
            <w:r>
              <w:rPr>
                <w:b/>
                <w:i/>
              </w:rPr>
              <w:t>sobě představovat právní základ pro zpracování soukromými subjekty.</w:t>
            </w:r>
          </w:p>
        </w:tc>
      </w:tr>
    </w:tbl>
    <w:p w:rsidR="00F21BA6" w:rsidRPr="000E0C4C" w:rsidRDefault="004A4677" w:rsidP="00F21BA6">
      <w:pPr>
        <w:pStyle w:val="Olang"/>
        <w:rPr>
          <w:sz w:val="24"/>
          <w:szCs w:val="24"/>
        </w:rPr>
      </w:pPr>
      <w:r w:rsidRPr="000E0C4C">
        <w:rPr>
          <w:sz w:val="24"/>
          <w:szCs w:val="24"/>
        </w:rPr>
        <w:t xml:space="preserve">Or. </w:t>
      </w:r>
      <w:r w:rsidRPr="000E0C4C">
        <w:rPr>
          <w:rStyle w:val="HideTWBExt"/>
        </w:rPr>
        <w:t>&lt;Original&gt;</w:t>
      </w:r>
      <w:r w:rsidRPr="000E0C4C">
        <w:rPr>
          <w:rStyle w:val="HideTWBInt"/>
          <w:sz w:val="24"/>
          <w:szCs w:val="24"/>
        </w:rPr>
        <w:t>{EN}</w:t>
      </w:r>
      <w:r w:rsidRPr="000E0C4C">
        <w:rPr>
          <w:sz w:val="24"/>
          <w:szCs w:val="24"/>
        </w:rPr>
        <w:t>en</w:t>
      </w:r>
      <w:r w:rsidRPr="000E0C4C">
        <w:rPr>
          <w:rStyle w:val="HideTWBExt"/>
        </w:rPr>
        <w:t>&lt;/Original&gt;</w:t>
      </w:r>
    </w:p>
    <w:p w:rsidR="00F21BA6" w:rsidRPr="000E0C4C" w:rsidRDefault="004A4677" w:rsidP="00F21BA6">
      <w:pPr>
        <w:pStyle w:val="JustificationTitle"/>
        <w:rPr>
          <w:noProof w:val="0"/>
        </w:rPr>
      </w:pPr>
      <w:r w:rsidRPr="004A4677">
        <w:rPr>
          <w:rStyle w:val="HideTWBExt"/>
          <w:i w:val="0"/>
        </w:rPr>
        <w:t>&lt;TitreJust&gt;</w:t>
      </w:r>
      <w:r>
        <w:t>Odůvodnění</w:t>
      </w:r>
      <w:r w:rsidRPr="004A4677">
        <w:rPr>
          <w:rStyle w:val="HideTWBExt"/>
          <w:i w:val="0"/>
        </w:rPr>
        <w:t>&lt;/TitreJust&gt;</w:t>
      </w:r>
    </w:p>
    <w:p w:rsidR="00F21BA6" w:rsidRPr="000E0C4C" w:rsidRDefault="004A4677" w:rsidP="00F21BA6">
      <w:pPr>
        <w:pStyle w:val="Normal12Italic"/>
        <w:rPr>
          <w:noProof w:val="0"/>
        </w:rPr>
      </w:pPr>
      <w:r>
        <w:t>Skupina LEFT nadále odmítá možnost přístupu ke zobrazení obličeje držitele dokladu poskytnuté soukromým subjektům. Vzhledem</w:t>
      </w:r>
      <w:r w:rsidR="0081461F">
        <w:t xml:space="preserve"> k </w:t>
      </w:r>
      <w:r>
        <w:t>pozměňovacím návrhům Rady však předkládáme „náhradní“ pozměňovací návrh</w:t>
      </w:r>
      <w:r w:rsidR="0081461F">
        <w:t xml:space="preserve"> s </w:t>
      </w:r>
      <w:r>
        <w:t>cílem co nejvíce omezit postoj Rady. Cílem tohoto konkrétního pozměňovacího návrhu je prosadit pozitivní části znění Rady</w:t>
      </w:r>
      <w:r w:rsidR="0081461F">
        <w:t xml:space="preserve"> a </w:t>
      </w:r>
      <w:r>
        <w:t>posílit práva subjektů údajů</w:t>
      </w:r>
      <w:r w:rsidR="0081461F">
        <w:t xml:space="preserve"> v </w:t>
      </w:r>
      <w:r>
        <w:t>případě, že je přístup ke zobrazení obličeje umožněn soukromým subjektům.</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10</w:t>
      </w:r>
      <w:r w:rsidRPr="004A4677">
        <w:rPr>
          <w:rStyle w:val="HideTWBExt"/>
          <w:b w:val="0"/>
        </w:rPr>
        <w:t>&lt;/NumAm&gt;</w:t>
      </w:r>
    </w:p>
    <w:p w:rsidR="00F21BA6" w:rsidRPr="000E0C4C" w:rsidRDefault="004A4677" w:rsidP="00F21BA6">
      <w:pPr>
        <w:pStyle w:val="NormalBold"/>
      </w:pPr>
      <w:r>
        <w:rPr>
          <w:rStyle w:val="HideTWBExt"/>
          <w:b w:val="0"/>
        </w:rPr>
        <w:t>&lt;RepeatBlock-By&gt;&lt;Members&gt;</w:t>
      </w:r>
      <w:r>
        <w:t>Estrella Galán</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Bod odůvodnění 20 b (nový)</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F21BA6" w:rsidP="00F21BA6">
            <w:pPr>
              <w:pStyle w:val="Normal6"/>
              <w:rPr>
                <w:lang w:val="en-GB"/>
              </w:rPr>
            </w:pPr>
          </w:p>
        </w:tc>
        <w:tc>
          <w:tcPr>
            <w:tcW w:w="4876" w:type="dxa"/>
          </w:tcPr>
          <w:p w:rsidR="00F21BA6" w:rsidRPr="000E0C4C" w:rsidRDefault="004A4677" w:rsidP="004A4677">
            <w:pPr>
              <w:pStyle w:val="Normal6"/>
              <w:rPr>
                <w:szCs w:val="24"/>
              </w:rPr>
            </w:pPr>
            <w:r>
              <w:rPr>
                <w:b/>
                <w:i/>
              </w:rPr>
              <w:t>(20b)</w:t>
            </w:r>
            <w:r>
              <w:rPr>
                <w:b/>
                <w:i/>
              </w:rPr>
              <w:tab/>
              <w:t>Pokud mají být průkazy totožnosti nebo povolení</w:t>
            </w:r>
            <w:r w:rsidR="0081461F">
              <w:rPr>
                <w:b/>
                <w:i/>
              </w:rPr>
              <w:t xml:space="preserve"> k </w:t>
            </w:r>
            <w:r>
              <w:rPr>
                <w:b/>
                <w:i/>
              </w:rPr>
              <w:t>pobytu předloženy ze zákona, měly by mít soukromé subjekty přístup</w:t>
            </w:r>
            <w:r w:rsidR="0081461F">
              <w:rPr>
                <w:b/>
                <w:i/>
              </w:rPr>
              <w:t xml:space="preserve"> k </w:t>
            </w:r>
            <w:r>
              <w:rPr>
                <w:b/>
                <w:i/>
              </w:rPr>
              <w:t>zobrazení obličeje pouze za účelem ověření totožnosti držitele</w:t>
            </w:r>
            <w:r w:rsidR="0081461F">
              <w:rPr>
                <w:b/>
                <w:i/>
              </w:rPr>
              <w:t xml:space="preserve"> a </w:t>
            </w:r>
            <w:r>
              <w:rPr>
                <w:b/>
                <w:i/>
              </w:rPr>
              <w:t>neměly by zobrazení obličeje uchovávat ani předávat.</w:t>
            </w:r>
          </w:p>
        </w:tc>
      </w:tr>
    </w:tbl>
    <w:p w:rsidR="00F21BA6" w:rsidRPr="000E0C4C" w:rsidRDefault="004A4677" w:rsidP="00F21BA6">
      <w:pPr>
        <w:pStyle w:val="Olang"/>
        <w:rPr>
          <w:sz w:val="24"/>
          <w:szCs w:val="24"/>
        </w:rPr>
      </w:pPr>
      <w:r w:rsidRPr="000E0C4C">
        <w:rPr>
          <w:sz w:val="24"/>
          <w:szCs w:val="24"/>
        </w:rPr>
        <w:t xml:space="preserve">Or. </w:t>
      </w:r>
      <w:r w:rsidRPr="000E0C4C">
        <w:rPr>
          <w:rStyle w:val="HideTWBExt"/>
        </w:rPr>
        <w:t>&lt;Original&gt;</w:t>
      </w:r>
      <w:r w:rsidRPr="000E0C4C">
        <w:rPr>
          <w:rStyle w:val="HideTWBInt"/>
          <w:sz w:val="24"/>
          <w:szCs w:val="24"/>
        </w:rPr>
        <w:t>{EN}</w:t>
      </w:r>
      <w:r w:rsidRPr="000E0C4C">
        <w:rPr>
          <w:sz w:val="24"/>
          <w:szCs w:val="24"/>
        </w:rPr>
        <w:t>en</w:t>
      </w:r>
      <w:r w:rsidRPr="000E0C4C">
        <w:rPr>
          <w:rStyle w:val="HideTWBExt"/>
        </w:rPr>
        <w:t>&lt;/Original&gt;</w:t>
      </w:r>
    </w:p>
    <w:p w:rsidR="00F21BA6" w:rsidRPr="000E0C4C" w:rsidRDefault="004A4677" w:rsidP="00F21BA6">
      <w:pPr>
        <w:pStyle w:val="JustificationTitle"/>
        <w:rPr>
          <w:noProof w:val="0"/>
        </w:rPr>
      </w:pPr>
      <w:r w:rsidRPr="004A4677">
        <w:rPr>
          <w:rStyle w:val="HideTWBExt"/>
          <w:i w:val="0"/>
        </w:rPr>
        <w:t>&lt;TitreJust&gt;</w:t>
      </w:r>
      <w:r>
        <w:t>Odůvodnění</w:t>
      </w:r>
      <w:r w:rsidRPr="004A4677">
        <w:rPr>
          <w:rStyle w:val="HideTWBExt"/>
          <w:i w:val="0"/>
        </w:rPr>
        <w:t>&lt;/TitreJust&gt;</w:t>
      </w:r>
    </w:p>
    <w:p w:rsidR="00F21BA6" w:rsidRPr="000E0C4C" w:rsidRDefault="004A4677" w:rsidP="00F21BA6">
      <w:pPr>
        <w:pStyle w:val="Normal12Italic"/>
        <w:rPr>
          <w:noProof w:val="0"/>
        </w:rPr>
      </w:pPr>
      <w:r>
        <w:t>Skupina LEFT nadále odmítá možnost přístupu ke zobrazení obličeje držitele dokladu poskytnuté soukromým subjektům. Vzhledem</w:t>
      </w:r>
      <w:r w:rsidR="0081461F">
        <w:t xml:space="preserve"> k </w:t>
      </w:r>
      <w:r>
        <w:t>pozměňovacím návrhům Rady však předkládáme „náhradní“ pozměňovací návrh</w:t>
      </w:r>
      <w:r w:rsidR="0081461F">
        <w:t xml:space="preserve"> s </w:t>
      </w:r>
      <w:r>
        <w:t>cílem co nejvíce omezit postoj Rady.</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11</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(22)</w:t>
            </w:r>
            <w:r>
              <w:tab/>
              <w:t xml:space="preserve">Pro účely tohoto nařízení by měly být </w:t>
            </w:r>
            <w:r>
              <w:rPr>
                <w:b/>
                <w:i/>
              </w:rPr>
              <w:t xml:space="preserve">zohledněny </w:t>
            </w:r>
            <w:r>
              <w:t>specifikace</w:t>
            </w:r>
            <w:r>
              <w:rPr>
                <w:b/>
                <w:i/>
              </w:rPr>
              <w:t xml:space="preserve"> dokumentu</w:t>
            </w:r>
            <w:r>
              <w:t xml:space="preserve"> ICAO 9303, které zajišťují globální interoperabilitu, mimo jiné pokud jde</w:t>
            </w:r>
            <w:r w:rsidR="0081461F">
              <w:t xml:space="preserve"> o </w:t>
            </w:r>
            <w:r>
              <w:t>strojové čtení</w:t>
            </w:r>
            <w:r w:rsidR="0081461F">
              <w:t xml:space="preserve"> a </w:t>
            </w:r>
            <w:r>
              <w:t>využití vizuální kontroly.</w:t>
            </w:r>
          </w:p>
        </w:tc>
        <w:tc>
          <w:tcPr>
            <w:tcW w:w="4876" w:type="dxa"/>
            <w:tcBorders>
              <w:top w:val="nil"/>
              <w:left w:val="nil"/>
              <w:bottom w:val="nil"/>
              <w:right w:val="nil"/>
            </w:tcBorders>
          </w:tcPr>
          <w:p w:rsidR="00F21BA6" w:rsidRPr="000E0C4C" w:rsidRDefault="004A4677" w:rsidP="00F21BA6">
            <w:pPr>
              <w:pStyle w:val="Normal6a"/>
            </w:pPr>
            <w:r>
              <w:t>(22)</w:t>
            </w:r>
            <w:r>
              <w:tab/>
            </w:r>
            <w:r>
              <w:rPr>
                <w:b/>
                <w:i/>
              </w:rPr>
              <w:t>Referenčním dokumentem</w:t>
            </w:r>
            <w:r>
              <w:t xml:space="preserve"> pro účely tohoto nařízení by měly být specifikace ICAO 9303, které zajišťují globální interoperabilitu, mimo jiné pokud jde</w:t>
            </w:r>
            <w:r w:rsidR="0081461F">
              <w:t xml:space="preserve"> o </w:t>
            </w:r>
            <w:r>
              <w:t>strojové čtení</w:t>
            </w:r>
            <w:r w:rsidR="0081461F">
              <w:t xml:space="preserve"> a </w:t>
            </w:r>
            <w:r>
              <w:t>využití vizuální kontroly.</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12</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Fabrice Leggeri, András László,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(23)</w:t>
            </w:r>
            <w:r>
              <w:tab/>
              <w:t xml:space="preserve">Členské by měly </w:t>
            </w:r>
            <w:r>
              <w:rPr>
                <w:b/>
                <w:i/>
              </w:rPr>
              <w:t>být oprávněny rozhodnout</w:t>
            </w:r>
            <w:r w:rsidR="0081461F">
              <w:rPr>
                <w:b/>
                <w:i/>
              </w:rPr>
              <w:t xml:space="preserve"> o </w:t>
            </w:r>
            <w:r>
              <w:rPr>
                <w:b/>
                <w:i/>
              </w:rPr>
              <w:t>tom, zda by doklad</w:t>
            </w:r>
            <w:r>
              <w:t xml:space="preserve">, na </w:t>
            </w:r>
            <w:r>
              <w:rPr>
                <w:b/>
                <w:i/>
              </w:rPr>
              <w:t>nějž</w:t>
            </w:r>
            <w:r>
              <w:t xml:space="preserve"> se vztahuje toto nařízení, </w:t>
            </w:r>
            <w:r>
              <w:rPr>
                <w:b/>
                <w:i/>
              </w:rPr>
              <w:t>měl uvádět</w:t>
            </w:r>
            <w:r>
              <w:t xml:space="preserve"> pohlaví </w:t>
            </w:r>
            <w:r>
              <w:rPr>
                <w:b/>
                <w:i/>
              </w:rPr>
              <w:t>držitele. Pokud členský stát uvede</w:t>
            </w:r>
            <w:r w:rsidR="0081461F">
              <w:t xml:space="preserve"> v </w:t>
            </w:r>
            <w:r>
              <w:rPr>
                <w:b/>
                <w:i/>
              </w:rPr>
              <w:t>takovém dokladu pohlaví, měly by být používány specifikace</w:t>
            </w:r>
            <w:r>
              <w:t xml:space="preserve"> dokumentu ICAO 9303</w:t>
            </w:r>
            <w:r>
              <w:rPr>
                <w:b/>
                <w:i/>
              </w:rPr>
              <w:t xml:space="preserve"> „F“, „M“ nebo „X“ nebo případně odpovídající písmeno používané</w:t>
            </w:r>
            <w:r w:rsidR="0081461F">
              <w:rPr>
                <w:b/>
                <w:i/>
              </w:rPr>
              <w:t xml:space="preserve"> v </w:t>
            </w:r>
            <w:r>
              <w:rPr>
                <w:b/>
                <w:i/>
              </w:rPr>
              <w:t>jazyce nebo jazycích tohoto členského státu</w:t>
            </w:r>
            <w:r>
              <w:t>.</w:t>
            </w:r>
          </w:p>
        </w:tc>
        <w:tc>
          <w:tcPr>
            <w:tcW w:w="4876" w:type="dxa"/>
            <w:tcBorders>
              <w:top w:val="nil"/>
              <w:left w:val="nil"/>
              <w:bottom w:val="nil"/>
              <w:right w:val="nil"/>
            </w:tcBorders>
          </w:tcPr>
          <w:p w:rsidR="00F21BA6" w:rsidRPr="000E0C4C" w:rsidRDefault="004A4677" w:rsidP="00F21BA6">
            <w:pPr>
              <w:pStyle w:val="Normal6a"/>
            </w:pPr>
            <w:r>
              <w:t>(23)</w:t>
            </w:r>
            <w:r>
              <w:tab/>
              <w:t xml:space="preserve">Členské </w:t>
            </w:r>
            <w:r>
              <w:rPr>
                <w:b/>
                <w:i/>
              </w:rPr>
              <w:t xml:space="preserve">státy </w:t>
            </w:r>
            <w:r>
              <w:t>by měly</w:t>
            </w:r>
            <w:r w:rsidR="0081461F">
              <w:t xml:space="preserve"> v </w:t>
            </w:r>
            <w:r>
              <w:rPr>
                <w:b/>
                <w:i/>
              </w:rPr>
              <w:t>dokumentu</w:t>
            </w:r>
            <w:r>
              <w:t xml:space="preserve">, na </w:t>
            </w:r>
            <w:r>
              <w:rPr>
                <w:b/>
                <w:i/>
              </w:rPr>
              <w:t>který</w:t>
            </w:r>
            <w:r>
              <w:t xml:space="preserve"> se vztahuje toto nařízení, </w:t>
            </w:r>
            <w:r>
              <w:rPr>
                <w:b/>
                <w:i/>
              </w:rPr>
              <w:t>uvést</w:t>
            </w:r>
            <w:r>
              <w:t xml:space="preserve"> pohlaví </w:t>
            </w:r>
            <w:r>
              <w:rPr>
                <w:b/>
                <w:i/>
              </w:rPr>
              <w:t>osoby</w:t>
            </w:r>
            <w:r w:rsidR="0081461F">
              <w:t xml:space="preserve"> v </w:t>
            </w:r>
            <w:r>
              <w:rPr>
                <w:b/>
                <w:i/>
              </w:rPr>
              <w:t>souladu se specifikacemi</w:t>
            </w:r>
            <w:r>
              <w:t xml:space="preserve"> dokumentu ICAO 9303</w:t>
            </w:r>
            <w:r>
              <w:rPr>
                <w:b/>
                <w:i/>
              </w:rPr>
              <w:t>. Zobrazení pohlaví držitele umožňuje účinněji využívat dokumenty</w:t>
            </w:r>
            <w:r w:rsidR="0081461F">
              <w:rPr>
                <w:b/>
                <w:i/>
              </w:rPr>
              <w:t xml:space="preserve"> k </w:t>
            </w:r>
            <w:r>
              <w:rPr>
                <w:b/>
                <w:i/>
              </w:rPr>
              <w:t>identifikaci držitele</w:t>
            </w:r>
            <w:r>
              <w:t>.</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13</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Paolo Inselvini, Alessandro Ciriani</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(23)</w:t>
            </w:r>
            <w:r>
              <w:tab/>
              <w:t>Členské by měly být oprávněny rozhodnout</w:t>
            </w:r>
            <w:r w:rsidR="0081461F">
              <w:t xml:space="preserve"> o </w:t>
            </w:r>
            <w:r>
              <w:t>tom, zda by doklad, na nějž se vztahuje toto nařízení, měl uvádět pohlaví držitele. Pokud členský stát uvede</w:t>
            </w:r>
            <w:r w:rsidR="0081461F">
              <w:t xml:space="preserve"> v </w:t>
            </w:r>
            <w:r>
              <w:t xml:space="preserve">takovém dokladu pohlaví, </w:t>
            </w:r>
            <w:r>
              <w:rPr>
                <w:b/>
                <w:i/>
              </w:rPr>
              <w:t>měly</w:t>
            </w:r>
            <w:r>
              <w:t xml:space="preserve"> by být používány </w:t>
            </w:r>
            <w:r>
              <w:rPr>
                <w:b/>
                <w:i/>
              </w:rPr>
              <w:t>specifikace dokumentu ICAO 9303</w:t>
            </w:r>
            <w:r>
              <w:t xml:space="preserve"> „F“</w:t>
            </w:r>
            <w:r>
              <w:rPr>
                <w:b/>
                <w:i/>
              </w:rPr>
              <w:t>, „M“</w:t>
            </w:r>
            <w:r>
              <w:t xml:space="preserve"> nebo </w:t>
            </w:r>
            <w:r>
              <w:rPr>
                <w:b/>
                <w:i/>
              </w:rPr>
              <w:t>„X“</w:t>
            </w:r>
            <w:r>
              <w:t xml:space="preserve"> nebo případně odpovídající písmeno používané</w:t>
            </w:r>
            <w:r w:rsidR="0081461F">
              <w:t xml:space="preserve"> v </w:t>
            </w:r>
            <w:r>
              <w:t>jazyce nebo jazycích tohoto členského státu.</w:t>
            </w:r>
          </w:p>
        </w:tc>
        <w:tc>
          <w:tcPr>
            <w:tcW w:w="4876" w:type="dxa"/>
            <w:tcBorders>
              <w:top w:val="nil"/>
              <w:left w:val="nil"/>
              <w:bottom w:val="nil"/>
              <w:right w:val="nil"/>
            </w:tcBorders>
          </w:tcPr>
          <w:p w:rsidR="00F21BA6" w:rsidRPr="000E0C4C" w:rsidRDefault="004A4677" w:rsidP="00F21BA6">
            <w:pPr>
              <w:pStyle w:val="Normal6a"/>
            </w:pPr>
            <w:r>
              <w:t>(23)</w:t>
            </w:r>
            <w:r>
              <w:tab/>
              <w:t>Členské by měly být oprávněny rozhodnout</w:t>
            </w:r>
            <w:r w:rsidR="0081461F">
              <w:t xml:space="preserve"> o </w:t>
            </w:r>
            <w:r>
              <w:t>tom, zda by doklad, na nějž se vztahuje toto nařízení, měl uvádět pohlaví držitele. Pokud členský stát uvede</w:t>
            </w:r>
            <w:r w:rsidR="0081461F">
              <w:t xml:space="preserve"> v </w:t>
            </w:r>
            <w:r>
              <w:t xml:space="preserve">takovém dokladu pohlaví, </w:t>
            </w:r>
            <w:r>
              <w:rPr>
                <w:b/>
                <w:i/>
              </w:rPr>
              <w:t>měla</w:t>
            </w:r>
            <w:r>
              <w:t xml:space="preserve"> by být používána </w:t>
            </w:r>
            <w:r>
              <w:rPr>
                <w:b/>
                <w:i/>
              </w:rPr>
              <w:t>písmena</w:t>
            </w:r>
            <w:r>
              <w:t xml:space="preserve"> „F“ nebo </w:t>
            </w:r>
            <w:r>
              <w:rPr>
                <w:b/>
                <w:i/>
              </w:rPr>
              <w:t>„M“</w:t>
            </w:r>
            <w:r>
              <w:t xml:space="preserve"> nebo případně odpovídající písmeno používané</w:t>
            </w:r>
            <w:r w:rsidR="0081461F">
              <w:t xml:space="preserve"> v </w:t>
            </w:r>
            <w:r>
              <w:t>jazyce nebo jazycích tohoto členského státu.</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{IT}</w:t>
      </w:r>
      <w:r w:rsidRPr="000E0C4C">
        <w:t>it</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14</w:t>
      </w:r>
      <w:r>
        <w:rPr>
          <w:rStyle w:val="HideTWBExt"/>
        </w:rPr>
        <w:t>&lt;/NumAm&gt;</w:t>
      </w:r>
    </w:p>
    <w:p w:rsidR="00F21BA6" w:rsidRPr="000E0C4C" w:rsidRDefault="004A4677" w:rsidP="00F21BA6">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(23)</w:t>
            </w:r>
            <w:r>
              <w:tab/>
              <w:t>Členské by měly být oprávněny rozhodnout</w:t>
            </w:r>
            <w:r w:rsidR="0081461F">
              <w:t xml:space="preserve"> o </w:t>
            </w:r>
            <w:r>
              <w:t>tom, zda by doklad, na nějž se vztahuje toto nařízení, měl uvádět pohlaví držitele. Pokud členský stát uvede</w:t>
            </w:r>
            <w:r w:rsidR="0081461F">
              <w:t xml:space="preserve"> v </w:t>
            </w:r>
            <w:r>
              <w:t>takovém dokladu pohlaví, měly by být používány specifikace dokumentu ICAO 9303 „F“, „M“ nebo „X“ nebo případně odpovídající písmeno používané</w:t>
            </w:r>
            <w:r w:rsidR="0081461F">
              <w:t xml:space="preserve"> v </w:t>
            </w:r>
            <w:r>
              <w:t>jazyce nebo jazycích tohoto členského státu.</w:t>
            </w:r>
          </w:p>
        </w:tc>
        <w:tc>
          <w:tcPr>
            <w:tcW w:w="4876" w:type="dxa"/>
            <w:tcBorders>
              <w:top w:val="nil"/>
              <w:left w:val="nil"/>
              <w:bottom w:val="nil"/>
              <w:right w:val="nil"/>
            </w:tcBorders>
          </w:tcPr>
          <w:p w:rsidR="00F21BA6" w:rsidRPr="000E0C4C" w:rsidRDefault="004A4677" w:rsidP="00F21BA6">
            <w:pPr>
              <w:pStyle w:val="Normal6a"/>
            </w:pPr>
            <w:r>
              <w:t>(23)</w:t>
            </w:r>
            <w:r>
              <w:tab/>
              <w:t>Členské by měly být oprávněny rozhodnout</w:t>
            </w:r>
            <w:r w:rsidR="0081461F">
              <w:t xml:space="preserve"> o </w:t>
            </w:r>
            <w:r>
              <w:t>tom, zda by doklad, na nějž se vztahuje toto nařízení, měl uvádět pohlaví držitele. Pokud členský stát uvede</w:t>
            </w:r>
            <w:r w:rsidR="0081461F">
              <w:t xml:space="preserve"> v </w:t>
            </w:r>
            <w:r>
              <w:t>takovém dokladu pohlaví, měly by být používány specifikace dokumentu ICAO 9303 „F“, „M“ nebo „X“ nebo případně odpovídající písmeno používané</w:t>
            </w:r>
            <w:r w:rsidR="0081461F">
              <w:t xml:space="preserve"> v </w:t>
            </w:r>
            <w:r>
              <w:t>jazyce nebo jazycích tohoto členského státu</w:t>
            </w:r>
            <w:r w:rsidR="0081461F">
              <w:rPr>
                <w:b/>
                <w:i/>
              </w:rPr>
              <w:t xml:space="preserve"> v </w:t>
            </w:r>
            <w:r>
              <w:rPr>
                <w:b/>
                <w:i/>
              </w:rPr>
              <w:t>souladu</w:t>
            </w:r>
            <w:r w:rsidR="0081461F">
              <w:rPr>
                <w:b/>
                <w:i/>
              </w:rPr>
              <w:t xml:space="preserve"> s </w:t>
            </w:r>
            <w:r>
              <w:rPr>
                <w:b/>
                <w:i/>
              </w:rPr>
              <w:t>judikaturou Soudního dvora</w:t>
            </w:r>
            <w:r>
              <w:rPr>
                <w:b/>
                <w:i/>
                <w:vertAlign w:val="superscript"/>
              </w:rPr>
              <w:t>1a</w:t>
            </w:r>
            <w:r>
              <w:t>.</w:t>
            </w:r>
          </w:p>
        </w:tc>
      </w:tr>
      <w:tr w:rsidR="00624105" w:rsidTr="00F21BA6">
        <w:trPr>
          <w:jc w:val="center"/>
        </w:trPr>
        <w:tc>
          <w:tcPr>
            <w:tcW w:w="4876" w:type="dxa"/>
            <w:tcBorders>
              <w:top w:val="nil"/>
              <w:left w:val="nil"/>
              <w:bottom w:val="nil"/>
              <w:right w:val="nil"/>
            </w:tcBorders>
          </w:tcPr>
          <w:p w:rsidR="00F21BA6" w:rsidRPr="000E0C4C" w:rsidRDefault="00F21BA6" w:rsidP="00F21BA6"/>
        </w:tc>
        <w:tc>
          <w:tcPr>
            <w:tcW w:w="4876" w:type="dxa"/>
            <w:tcBorders>
              <w:top w:val="nil"/>
              <w:left w:val="nil"/>
              <w:bottom w:val="nil"/>
              <w:right w:val="nil"/>
            </w:tcBorders>
          </w:tcPr>
          <w:p w:rsidR="00F21BA6" w:rsidRPr="000E0C4C" w:rsidRDefault="004A4677" w:rsidP="00F21BA6">
            <w:pPr>
              <w:pStyle w:val="Normal6a"/>
            </w:pPr>
            <w:r>
              <w:rPr>
                <w:b/>
                <w:i/>
              </w:rPr>
              <w:t>_________________</w:t>
            </w:r>
          </w:p>
        </w:tc>
      </w:tr>
      <w:tr w:rsidR="00624105" w:rsidTr="00F21BA6">
        <w:trPr>
          <w:jc w:val="center"/>
        </w:trPr>
        <w:tc>
          <w:tcPr>
            <w:tcW w:w="4876" w:type="dxa"/>
            <w:tcBorders>
              <w:top w:val="nil"/>
              <w:left w:val="nil"/>
              <w:bottom w:val="nil"/>
              <w:right w:val="nil"/>
            </w:tcBorders>
          </w:tcPr>
          <w:p w:rsidR="00F21BA6" w:rsidRPr="000E0C4C" w:rsidRDefault="00F21BA6" w:rsidP="00F21BA6"/>
        </w:tc>
        <w:tc>
          <w:tcPr>
            <w:tcW w:w="4876" w:type="dxa"/>
            <w:tcBorders>
              <w:top w:val="nil"/>
              <w:left w:val="nil"/>
              <w:bottom w:val="nil"/>
              <w:right w:val="nil"/>
            </w:tcBorders>
          </w:tcPr>
          <w:p w:rsidR="00F21BA6" w:rsidRPr="000E0C4C" w:rsidRDefault="004A4677" w:rsidP="00F21BA6">
            <w:pPr>
              <w:pStyle w:val="Normal6a"/>
            </w:pPr>
            <w:r>
              <w:rPr>
                <w:b/>
                <w:i/>
              </w:rPr>
              <w:t>1a Rozsudek Soudního dvora ze dne 4. října 2024, Mirin, C-4/23, ECLI:EU:C:2024:845</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15</w:t>
      </w:r>
      <w:r>
        <w:rPr>
          <w:rStyle w:val="HideTWBExt"/>
        </w:rPr>
        <w:t>&lt;/NumAm&gt;</w:t>
      </w:r>
    </w:p>
    <w:p w:rsidR="00F21BA6" w:rsidRPr="000E0C4C" w:rsidRDefault="004A4677" w:rsidP="00F21BA6">
      <w:pPr>
        <w:pStyle w:val="NormalBold"/>
      </w:pPr>
      <w:r>
        <w:rPr>
          <w:rStyle w:val="HideTWBExt"/>
          <w:b w:val="0"/>
        </w:rPr>
        <w:t>&lt;RepeatBlock-By&gt;&lt;Members&gt;</w:t>
      </w:r>
      <w:r>
        <w:t>Tomáš Zdechovský</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25</w:t>
      </w:r>
      <w:r w:rsidR="0081461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(25a)</w:t>
            </w:r>
            <w:r>
              <w:tab/>
            </w:r>
            <w:r>
              <w:rPr>
                <w:b/>
                <w:i/>
              </w:rPr>
              <w:t>Kvalifikovaní pracovníci by měli absolvovat povinné školení</w:t>
            </w:r>
            <w:r w:rsidR="0081461F">
              <w:rPr>
                <w:b/>
                <w:i/>
              </w:rPr>
              <w:t xml:space="preserve"> o </w:t>
            </w:r>
            <w:r>
              <w:rPr>
                <w:b/>
                <w:i/>
              </w:rPr>
              <w:t>osvědčených postupech pro shromažďování biometrických identifikátorů od dětí</w:t>
            </w:r>
            <w:r w:rsidR="0081461F">
              <w:rPr>
                <w:b/>
                <w:i/>
              </w:rPr>
              <w:t xml:space="preserve"> a </w:t>
            </w:r>
            <w:r>
              <w:rPr>
                <w:b/>
                <w:i/>
              </w:rPr>
              <w:t>zranitelných osob, přičemž by měl být zajištěn citlivý přístup</w:t>
            </w:r>
            <w:r w:rsidR="0081461F">
              <w:rPr>
                <w:b/>
                <w:i/>
              </w:rPr>
              <w:t xml:space="preserve"> z </w:t>
            </w:r>
            <w:r>
              <w:rPr>
                <w:b/>
                <w:i/>
              </w:rPr>
              <w:t>hlediska genderových</w:t>
            </w:r>
            <w:r w:rsidR="0081461F">
              <w:rPr>
                <w:b/>
                <w:i/>
              </w:rPr>
              <w:t xml:space="preserve"> a </w:t>
            </w:r>
            <w:r>
              <w:rPr>
                <w:b/>
                <w:i/>
              </w:rPr>
              <w:t>věkových potřeb, při současném respektování důstojnosti všech osob.</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16</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(26)</w:t>
            </w:r>
            <w:r>
              <w:tab/>
              <w:t>Pokud se členské státy při odebírání biometrických identifikátorů setkají</w:t>
            </w:r>
            <w:r w:rsidR="0081461F">
              <w:t xml:space="preserve"> s </w:t>
            </w:r>
            <w:r>
              <w:t xml:space="preserve">obtížemi, zajistí, aby existovaly vhodné postupy respektující důstojnost dotčené osoby. Proto je třeba zohlednit </w:t>
            </w:r>
            <w:r>
              <w:rPr>
                <w:b/>
                <w:i/>
              </w:rPr>
              <w:t>genderové aspekty</w:t>
            </w:r>
            <w:r w:rsidR="0081461F">
              <w:rPr>
                <w:b/>
                <w:i/>
              </w:rPr>
              <w:t xml:space="preserve"> a </w:t>
            </w:r>
            <w:r>
              <w:t>specifické potřeby dětí</w:t>
            </w:r>
            <w:r w:rsidR="0081461F">
              <w:t xml:space="preserve"> a </w:t>
            </w:r>
            <w:r>
              <w:t>zranitelných osob.</w:t>
            </w:r>
          </w:p>
        </w:tc>
        <w:tc>
          <w:tcPr>
            <w:tcW w:w="4876" w:type="dxa"/>
            <w:tcBorders>
              <w:top w:val="nil"/>
              <w:left w:val="nil"/>
              <w:bottom w:val="nil"/>
              <w:right w:val="nil"/>
            </w:tcBorders>
          </w:tcPr>
          <w:p w:rsidR="00F21BA6" w:rsidRPr="000E0C4C" w:rsidRDefault="004A4677" w:rsidP="00F21BA6">
            <w:pPr>
              <w:pStyle w:val="Normal6a"/>
            </w:pPr>
            <w:r>
              <w:t>(26)</w:t>
            </w:r>
            <w:r>
              <w:tab/>
              <w:t>Pokud se členské státy při odebírání biometrických identifikátorů setkají</w:t>
            </w:r>
            <w:r w:rsidR="0081461F">
              <w:t xml:space="preserve"> s </w:t>
            </w:r>
            <w:r>
              <w:t>obtížemi, zajistí, aby existovaly vhodné postupy respektující důstojnost dotčené osoby. Proto je třeba zohlednit specifické potřeby dětí</w:t>
            </w:r>
            <w:r w:rsidR="0081461F">
              <w:t xml:space="preserve"> a </w:t>
            </w:r>
            <w:r>
              <w:t>zranitelných osob.</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17</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Paolo Inselvini, Alessandro Ciriani</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(26)</w:t>
            </w:r>
            <w:r>
              <w:tab/>
              <w:t>Pokud se členské státy při odebírání biometrických identifikátorů setkají</w:t>
            </w:r>
            <w:r w:rsidR="0081461F">
              <w:t xml:space="preserve"> s </w:t>
            </w:r>
            <w:r>
              <w:t xml:space="preserve">obtížemi, zajistí, aby existovaly vhodné postupy respektující důstojnost dotčené osoby. Proto je třeba zohlednit </w:t>
            </w:r>
            <w:r>
              <w:rPr>
                <w:b/>
                <w:i/>
              </w:rPr>
              <w:t>genderové aspekty</w:t>
            </w:r>
            <w:r w:rsidR="0081461F">
              <w:t xml:space="preserve"> a </w:t>
            </w:r>
            <w:r>
              <w:t>specifické potřeby dětí</w:t>
            </w:r>
            <w:r w:rsidR="0081461F">
              <w:t xml:space="preserve"> a </w:t>
            </w:r>
            <w:r>
              <w:t>zranitelných osob.</w:t>
            </w:r>
          </w:p>
        </w:tc>
        <w:tc>
          <w:tcPr>
            <w:tcW w:w="4876" w:type="dxa"/>
            <w:tcBorders>
              <w:top w:val="nil"/>
              <w:left w:val="nil"/>
              <w:bottom w:val="nil"/>
              <w:right w:val="nil"/>
            </w:tcBorders>
          </w:tcPr>
          <w:p w:rsidR="00F21BA6" w:rsidRPr="000E0C4C" w:rsidRDefault="004A4677" w:rsidP="00F21BA6">
            <w:pPr>
              <w:pStyle w:val="Normal6a"/>
            </w:pPr>
            <w:r>
              <w:t>(26)</w:t>
            </w:r>
            <w:r>
              <w:tab/>
              <w:t>Pokud se členské státy při odebírání biometrických identifikátorů setkají</w:t>
            </w:r>
            <w:r w:rsidR="0081461F">
              <w:t xml:space="preserve"> s </w:t>
            </w:r>
            <w:r>
              <w:t xml:space="preserve">obtížemi, zajistí, aby existovaly vhodné postupy respektující důstojnost dotčené osoby. Proto je třeba zohlednit </w:t>
            </w:r>
            <w:r>
              <w:rPr>
                <w:b/>
                <w:i/>
              </w:rPr>
              <w:t>aspekt pohlaví</w:t>
            </w:r>
            <w:r w:rsidR="0081461F">
              <w:t xml:space="preserve"> a </w:t>
            </w:r>
            <w:r>
              <w:t>specifické potřeby dětí</w:t>
            </w:r>
            <w:r w:rsidR="0081461F">
              <w:t xml:space="preserve"> a </w:t>
            </w:r>
            <w:r>
              <w:t>zranitelných osob.</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{IT}</w:t>
      </w:r>
      <w:r w:rsidRPr="000E0C4C">
        <w:t>it</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18</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(28)</w:t>
            </w:r>
            <w:r>
              <w:tab/>
              <w:t xml:space="preserve">Společný rozlišovací znak, který má podobu kódu země tvořeného dvěma písmeny vydávajícího členského státu, </w:t>
            </w:r>
            <w:r>
              <w:rPr>
                <w:b/>
                <w:i/>
              </w:rPr>
              <w:t>vytištěného inverzně na modrém obdélníku</w:t>
            </w:r>
            <w:r w:rsidR="0081461F">
              <w:rPr>
                <w:b/>
                <w:i/>
              </w:rPr>
              <w:t xml:space="preserve"> v </w:t>
            </w:r>
            <w:r>
              <w:rPr>
                <w:b/>
                <w:i/>
              </w:rPr>
              <w:t>kruhu tvořeném dvanácti žlutými hvězdami</w:t>
            </w:r>
            <w:r>
              <w:t>, usnadní vizuální kontrolu dokladu, zejména pokud jeho držitel vykonává své právo na volný pohyb.</w:t>
            </w:r>
          </w:p>
        </w:tc>
        <w:tc>
          <w:tcPr>
            <w:tcW w:w="4876" w:type="dxa"/>
            <w:tcBorders>
              <w:top w:val="nil"/>
              <w:left w:val="nil"/>
              <w:bottom w:val="nil"/>
              <w:right w:val="nil"/>
            </w:tcBorders>
          </w:tcPr>
          <w:p w:rsidR="00F21BA6" w:rsidRPr="000E0C4C" w:rsidRDefault="004A4677" w:rsidP="00F21BA6">
            <w:pPr>
              <w:pStyle w:val="Normal6a"/>
            </w:pPr>
            <w:r>
              <w:t>(28)</w:t>
            </w:r>
            <w:r>
              <w:tab/>
              <w:t>Společný rozlišovací znak, který má podobu kódu země tvořeného dvěma písmeny vydávajícího členského státu, usnadní vizuální kontrolu dokladu, zejména pokud jeho držitel vykonává své právo na volný pohyb.</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19</w:t>
      </w:r>
      <w:r>
        <w:rPr>
          <w:rStyle w:val="HideTWBExt"/>
        </w:rPr>
        <w:t>&lt;/NumAm&gt;</w:t>
      </w:r>
    </w:p>
    <w:p w:rsidR="00F21BA6" w:rsidRPr="000E0C4C" w:rsidRDefault="004A4677" w:rsidP="00F21BA6">
      <w:pPr>
        <w:pStyle w:val="NormalBold"/>
      </w:pPr>
      <w:r>
        <w:rPr>
          <w:rStyle w:val="HideTWBExt"/>
          <w:b w:val="0"/>
        </w:rPr>
        <w:t>&lt;RepeatBlock-By&gt;&lt;Members&gt;</w:t>
      </w:r>
      <w:r>
        <w:t>Tomáš Zdechovský</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32</w:t>
      </w:r>
      <w:r w:rsidR="0081461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(32a)</w:t>
            </w:r>
            <w:r>
              <w:tab/>
            </w:r>
            <w:r>
              <w:rPr>
                <w:b/>
                <w:i/>
              </w:rPr>
              <w:t>Na podporu tohoto cíle by Komise měla ve spolupráci</w:t>
            </w:r>
            <w:r w:rsidR="0081461F">
              <w:rPr>
                <w:b/>
                <w:i/>
              </w:rPr>
              <w:t xml:space="preserve"> s </w:t>
            </w:r>
            <w:r>
              <w:rPr>
                <w:b/>
                <w:i/>
              </w:rPr>
              <w:t>členskými státy zajistit harmonizaci systémů elektronické identifikace</w:t>
            </w:r>
            <w:r w:rsidR="0081461F">
              <w:rPr>
                <w:b/>
                <w:i/>
              </w:rPr>
              <w:t xml:space="preserve"> a </w:t>
            </w:r>
            <w:r>
              <w:rPr>
                <w:b/>
                <w:i/>
              </w:rPr>
              <w:t>integraci přeshraničních služeb elektronické veřejné správy. Tato opatření by měla zlepšit použitelnost</w:t>
            </w:r>
            <w:r w:rsidR="0081461F">
              <w:rPr>
                <w:b/>
                <w:i/>
              </w:rPr>
              <w:t xml:space="preserve"> a </w:t>
            </w:r>
            <w:r>
              <w:rPr>
                <w:b/>
                <w:i/>
              </w:rPr>
              <w:t>dostupnost průkazů totožnosti pro všechny občany Unie</w:t>
            </w:r>
            <w:r w:rsidR="0081461F">
              <w:rPr>
                <w:b/>
                <w:i/>
              </w:rPr>
              <w:t xml:space="preserve"> a </w:t>
            </w:r>
            <w:r>
              <w:rPr>
                <w:b/>
                <w:i/>
              </w:rPr>
              <w:t>zároveň zachovat bezproblémovou funkčnost</w:t>
            </w:r>
            <w:r w:rsidR="0081461F">
              <w:rPr>
                <w:b/>
                <w:i/>
              </w:rPr>
              <w:t xml:space="preserve"> a </w:t>
            </w:r>
            <w:r>
              <w:rPr>
                <w:b/>
                <w:i/>
              </w:rPr>
              <w:t>plnou interoperabilitu ve všech členských státech.</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20</w:t>
      </w:r>
      <w:r>
        <w:rPr>
          <w:rStyle w:val="HideTWBExt"/>
        </w:rPr>
        <w:t>&lt;/NumAm&gt;</w:t>
      </w:r>
    </w:p>
    <w:p w:rsidR="00F21BA6" w:rsidRPr="000E0C4C" w:rsidRDefault="004A4677" w:rsidP="00F21BA6">
      <w:pPr>
        <w:pStyle w:val="NormalBold"/>
      </w:pPr>
      <w:r>
        <w:rPr>
          <w:rStyle w:val="HideTWBExt"/>
          <w:b w:val="0"/>
        </w:rPr>
        <w:t>&lt;RepeatBlock-By&gt;&lt;Members&gt;</w:t>
      </w:r>
      <w:r>
        <w:t>Malik Azmani</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Bod odůvodnění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(43)</w:t>
            </w:r>
            <w:r>
              <w:tab/>
              <w:t>V souladu</w:t>
            </w:r>
            <w:r w:rsidR="0081461F">
              <w:t xml:space="preserve"> s </w:t>
            </w:r>
            <w:r>
              <w:t>interinstitucionální dohodou ze dne 13.</w:t>
            </w:r>
            <w:r>
              <w:rPr>
                <w:b/>
                <w:i/>
              </w:rPr>
              <w:t> </w:t>
            </w:r>
            <w:r>
              <w:t>dubna 2016</w:t>
            </w:r>
            <w:r w:rsidR="0081461F">
              <w:t xml:space="preserve"> o </w:t>
            </w:r>
            <w:r>
              <w:t>zdokonalení tvorby právních předpisů</w:t>
            </w:r>
            <w:r>
              <w:rPr>
                <w:vertAlign w:val="superscript"/>
              </w:rPr>
              <w:t>9</w:t>
            </w:r>
            <w:r w:rsidR="0081461F">
              <w:t xml:space="preserve"> b</w:t>
            </w:r>
            <w:r>
              <w:t xml:space="preserve">y Komise měla </w:t>
            </w:r>
            <w:r>
              <w:rPr>
                <w:b/>
                <w:i/>
              </w:rPr>
              <w:t xml:space="preserve">nejdříve za </w:t>
            </w:r>
            <w:r>
              <w:t>šest let ode dne použitelnosti tohoto nařízení provést hodnocení tohoto nařízení,</w:t>
            </w:r>
            <w:r w:rsidR="0081461F">
              <w:t xml:space="preserve"> a </w:t>
            </w:r>
            <w:r>
              <w:t>to</w:t>
            </w:r>
            <w:r w:rsidR="0081461F">
              <w:t xml:space="preserve"> i </w:t>
            </w:r>
            <w:r>
              <w:t>na základě informací shromážděných prostřednictvím zvláštních ujednání týkajících se sledování, aby se tak posoudily skutečné účinky tohoto nařízení, jakož</w:t>
            </w:r>
            <w:r w:rsidR="0081461F">
              <w:t xml:space="preserve"> i </w:t>
            </w:r>
            <w:r>
              <w:t>potřeba dalších opatření. Pro účely sledování by členské státy měly shromažďovat statistiky</w:t>
            </w:r>
            <w:r w:rsidR="0081461F">
              <w:t xml:space="preserve"> o </w:t>
            </w:r>
            <w:r>
              <w:t>počtu vydaných průkazů totožnosti</w:t>
            </w:r>
            <w:r w:rsidR="0081461F">
              <w:t xml:space="preserve"> a </w:t>
            </w:r>
            <w:r>
              <w:t>povolení</w:t>
            </w:r>
            <w:r w:rsidR="0081461F">
              <w:t xml:space="preserve"> k </w:t>
            </w:r>
            <w:r>
              <w:t>pobytu.</w:t>
            </w:r>
          </w:p>
        </w:tc>
        <w:tc>
          <w:tcPr>
            <w:tcW w:w="4876" w:type="dxa"/>
            <w:tcBorders>
              <w:top w:val="nil"/>
              <w:left w:val="nil"/>
              <w:bottom w:val="nil"/>
              <w:right w:val="nil"/>
            </w:tcBorders>
          </w:tcPr>
          <w:p w:rsidR="00F21BA6" w:rsidRPr="000E0C4C" w:rsidRDefault="004A4677" w:rsidP="00F21BA6">
            <w:pPr>
              <w:pStyle w:val="Normal6a"/>
            </w:pPr>
            <w:r>
              <w:t>(43)</w:t>
            </w:r>
            <w:r>
              <w:tab/>
            </w:r>
            <w:r>
              <w:rPr>
                <w:b/>
                <w:i/>
              </w:rPr>
              <w:t>Po dvou</w:t>
            </w:r>
            <w:r w:rsidR="0081461F">
              <w:rPr>
                <w:b/>
                <w:i/>
              </w:rPr>
              <w:t xml:space="preserve"> a </w:t>
            </w:r>
            <w:r>
              <w:rPr>
                <w:b/>
                <w:i/>
              </w:rPr>
              <w:t>jedenácti letech ode dne použitelnosti tohoto nařízení by měla Komise podat zprávu</w:t>
            </w:r>
            <w:r w:rsidR="0081461F">
              <w:rPr>
                <w:b/>
                <w:i/>
              </w:rPr>
              <w:t xml:space="preserve"> o </w:t>
            </w:r>
            <w:r>
              <w:rPr>
                <w:b/>
                <w:i/>
              </w:rPr>
              <w:t>jeho provádění zahrnující informace</w:t>
            </w:r>
            <w:r w:rsidR="0081461F">
              <w:rPr>
                <w:b/>
                <w:i/>
              </w:rPr>
              <w:t xml:space="preserve"> o </w:t>
            </w:r>
            <w:r>
              <w:rPr>
                <w:b/>
                <w:i/>
              </w:rPr>
              <w:t>vhodnosti úrovně zabezpečení</w:t>
            </w:r>
            <w:r w:rsidR="0081461F">
              <w:rPr>
                <w:b/>
                <w:i/>
              </w:rPr>
              <w:t xml:space="preserve"> s </w:t>
            </w:r>
            <w:r>
              <w:rPr>
                <w:b/>
                <w:i/>
              </w:rPr>
              <w:t>přihlédnutím</w:t>
            </w:r>
            <w:r w:rsidR="0081461F">
              <w:rPr>
                <w:b/>
                <w:i/>
              </w:rPr>
              <w:t xml:space="preserve"> k </w:t>
            </w:r>
            <w:r>
              <w:rPr>
                <w:b/>
                <w:i/>
              </w:rPr>
              <w:t>jeho dopadu na základní práva</w:t>
            </w:r>
            <w:r w:rsidR="0081461F">
              <w:rPr>
                <w:b/>
                <w:i/>
              </w:rPr>
              <w:t xml:space="preserve"> a </w:t>
            </w:r>
            <w:r>
              <w:rPr>
                <w:b/>
                <w:i/>
              </w:rPr>
              <w:t>zásady ochrany údajů.</w:t>
            </w:r>
            <w:r w:rsidR="0081461F">
              <w:t xml:space="preserve"> V </w:t>
            </w:r>
            <w:r>
              <w:t>souladu</w:t>
            </w:r>
            <w:r w:rsidR="0081461F">
              <w:t xml:space="preserve"> s </w:t>
            </w:r>
            <w:r>
              <w:t>interinstitucionální dohodou ze dne 13.</w:t>
            </w:r>
            <w:r>
              <w:rPr>
                <w:b/>
                <w:i/>
              </w:rPr>
              <w:t xml:space="preserve"> </w:t>
            </w:r>
            <w:r>
              <w:t>dubna 2016</w:t>
            </w:r>
            <w:r w:rsidR="0081461F">
              <w:t xml:space="preserve"> o </w:t>
            </w:r>
            <w:r>
              <w:t>zdokonalení tvorby právních předpisů</w:t>
            </w:r>
            <w:r>
              <w:rPr>
                <w:vertAlign w:val="superscript"/>
              </w:rPr>
              <w:t>9</w:t>
            </w:r>
            <w:r>
              <w:t xml:space="preserve"> by Komise měla šest let ode dne použitelnosti tohoto nařízení</w:t>
            </w:r>
            <w:r w:rsidR="0081461F">
              <w:rPr>
                <w:b/>
                <w:i/>
              </w:rPr>
              <w:t xml:space="preserve"> a </w:t>
            </w:r>
            <w:r>
              <w:rPr>
                <w:b/>
                <w:i/>
              </w:rPr>
              <w:t>poté každých šest let</w:t>
            </w:r>
            <w:r>
              <w:t xml:space="preserve"> provést hodnocení tohoto nařízení,</w:t>
            </w:r>
            <w:r w:rsidR="0081461F">
              <w:t xml:space="preserve"> a </w:t>
            </w:r>
            <w:r>
              <w:t>to</w:t>
            </w:r>
            <w:r w:rsidR="0081461F">
              <w:t xml:space="preserve"> i </w:t>
            </w:r>
            <w:r>
              <w:t>na základě informací shromážděných prostřednictvím zvláštních ujednání týkajících se sledování, aby se tak posoudily skutečné účinky tohoto nařízení, jakož</w:t>
            </w:r>
            <w:r w:rsidR="0081461F">
              <w:t xml:space="preserve"> i </w:t>
            </w:r>
            <w:r>
              <w:t>potřeba dalších opatření. Pro účely sledování by členské státy měly shromažďovat statistiky</w:t>
            </w:r>
            <w:r w:rsidR="0081461F">
              <w:t xml:space="preserve"> o </w:t>
            </w:r>
            <w:r>
              <w:t>počtu vydaných průkazů totožnosti</w:t>
            </w:r>
            <w:r w:rsidR="0081461F">
              <w:t xml:space="preserve"> a </w:t>
            </w:r>
            <w:r>
              <w:t>povolení</w:t>
            </w:r>
            <w:r w:rsidR="0081461F">
              <w:t xml:space="preserve"> k </w:t>
            </w:r>
            <w:r>
              <w:t>pobytu.</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_________________</w:t>
            </w:r>
          </w:p>
        </w:tc>
        <w:tc>
          <w:tcPr>
            <w:tcW w:w="4876" w:type="dxa"/>
            <w:tcBorders>
              <w:top w:val="nil"/>
              <w:left w:val="nil"/>
              <w:bottom w:val="nil"/>
              <w:right w:val="nil"/>
            </w:tcBorders>
          </w:tcPr>
          <w:p w:rsidR="00F21BA6" w:rsidRPr="000E0C4C" w:rsidRDefault="004A4677" w:rsidP="00F21BA6">
            <w:pPr>
              <w:pStyle w:val="Normal6a"/>
            </w:pPr>
            <w:r>
              <w:rPr>
                <w:b/>
                <w:i/>
              </w:rPr>
              <w:t>_________________</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vertAlign w:val="superscript"/>
              </w:rPr>
              <w:t>9</w:t>
            </w:r>
            <w:r>
              <w:t xml:space="preserve"> Úř. věst. L 123, 12.5.2016, s. 1, ELI: http://data.europa.eu/eli/agree_interinstit/2016/512/oj.</w:t>
            </w:r>
          </w:p>
        </w:tc>
        <w:tc>
          <w:tcPr>
            <w:tcW w:w="4876" w:type="dxa"/>
            <w:tcBorders>
              <w:top w:val="nil"/>
              <w:left w:val="nil"/>
              <w:bottom w:val="nil"/>
              <w:right w:val="nil"/>
            </w:tcBorders>
          </w:tcPr>
          <w:p w:rsidR="00F21BA6" w:rsidRPr="000E0C4C" w:rsidRDefault="004A4677" w:rsidP="00F21BA6">
            <w:pPr>
              <w:pStyle w:val="Normal6a"/>
            </w:pPr>
            <w:r>
              <w:rPr>
                <w:vertAlign w:val="superscript"/>
              </w:rPr>
              <w:t>9</w:t>
            </w:r>
            <w:r>
              <w:t xml:space="preserve"> Úř. věst. L 123, 12.5.2016, s. 1, ELI: http://data.europa.eu/eli/agree_interinstit/2016/512/oj.</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21</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Roberto Vannacci, António Tânger Corrêa, Susanna Ceccardi, Anna Maria Cisint, Nikola Bartůšek, Fabrice Leggeri, Tom Vandendriessche, Matthieu Valet</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2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Odchylně od prvního pododstavce lze číslo dokladu vložit do zóny</w:t>
            </w:r>
            <w:r w:rsidR="0081461F">
              <w:rPr>
                <w:b/>
                <w:i/>
              </w:rPr>
              <w:t xml:space="preserve"> I a </w:t>
            </w:r>
            <w:r>
              <w:rPr>
                <w:b/>
                <w:i/>
              </w:rPr>
              <w:t>označení pohlaví osoby není povinné.</w:t>
            </w:r>
          </w:p>
        </w:tc>
        <w:tc>
          <w:tcPr>
            <w:tcW w:w="4876" w:type="dxa"/>
            <w:tcBorders>
              <w:top w:val="nil"/>
              <w:left w:val="nil"/>
              <w:bottom w:val="nil"/>
              <w:right w:val="nil"/>
            </w:tcBorders>
          </w:tcPr>
          <w:p w:rsidR="00F21BA6" w:rsidRPr="000E0C4C" w:rsidRDefault="004A4677" w:rsidP="00F21BA6">
            <w:pPr>
              <w:pStyle w:val="Normal6a"/>
            </w:pPr>
            <w:r>
              <w:rPr>
                <w:b/>
                <w:i/>
              </w:rPr>
              <w:t>vypouští se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22</w:t>
      </w:r>
      <w:r>
        <w:rPr>
          <w:rStyle w:val="HideTWBExt"/>
        </w:rPr>
        <w:t>&lt;/NumAm&gt;</w:t>
      </w:r>
    </w:p>
    <w:p w:rsidR="00F21BA6" w:rsidRPr="000E0C4C" w:rsidRDefault="004A4677" w:rsidP="00F21BA6">
      <w:pPr>
        <w:pStyle w:val="NormalBold"/>
      </w:pPr>
      <w:r>
        <w:rPr>
          <w:rStyle w:val="HideTWBExt"/>
          <w:b w:val="0"/>
        </w:rPr>
        <w:t>&lt;RepeatBlock-By&gt;&lt;Members&gt;</w:t>
      </w:r>
      <w:r>
        <w:t>Nadine Morano</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2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Odchylně od</w:t>
            </w:r>
            <w:r>
              <w:rPr>
                <w:b/>
                <w:i/>
              </w:rPr>
              <w:t> </w:t>
            </w:r>
            <w:r>
              <w:t>prvního pododstavce lze číslo dokladu vložit do</w:t>
            </w:r>
            <w:r>
              <w:rPr>
                <w:b/>
                <w:i/>
              </w:rPr>
              <w:t> </w:t>
            </w:r>
            <w:r>
              <w:t>zóny</w:t>
            </w:r>
            <w:r w:rsidR="0081461F">
              <w:t xml:space="preserve"> I </w:t>
            </w:r>
            <w:r w:rsidR="0081461F">
              <w:rPr>
                <w:b/>
                <w:i/>
              </w:rPr>
              <w:t>a </w:t>
            </w:r>
            <w:r>
              <w:rPr>
                <w:b/>
                <w:i/>
              </w:rPr>
              <w:t>označení pohlaví osoby není povinné</w:t>
            </w:r>
            <w:r>
              <w:t>.</w:t>
            </w:r>
          </w:p>
        </w:tc>
        <w:tc>
          <w:tcPr>
            <w:tcW w:w="4876" w:type="dxa"/>
            <w:tcBorders>
              <w:top w:val="nil"/>
              <w:left w:val="nil"/>
              <w:bottom w:val="nil"/>
              <w:right w:val="nil"/>
            </w:tcBorders>
          </w:tcPr>
          <w:p w:rsidR="00F21BA6" w:rsidRPr="000E0C4C" w:rsidRDefault="004A4677" w:rsidP="00F21BA6">
            <w:pPr>
              <w:pStyle w:val="Normal6a"/>
            </w:pPr>
            <w:r>
              <w:t>Odchylně od</w:t>
            </w:r>
            <w:r>
              <w:rPr>
                <w:b/>
                <w:i/>
              </w:rPr>
              <w:t xml:space="preserve"> </w:t>
            </w:r>
            <w:r>
              <w:t>prvního pododstavce lze číslo dokladu vložit do</w:t>
            </w:r>
            <w:r>
              <w:rPr>
                <w:b/>
                <w:i/>
              </w:rPr>
              <w:t xml:space="preserve"> </w:t>
            </w:r>
            <w:r>
              <w:t>zóny I.</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{FR}</w:t>
      </w:r>
      <w:r w:rsidRPr="004A4677">
        <w:t>fr</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23</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Paolo Inselvini, Alessandro Ciriani</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2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Odchylně od prvního pododstavce lze číslo dokladu vložit do zóny</w:t>
            </w:r>
            <w:r w:rsidR="0081461F">
              <w:t xml:space="preserve"> I a </w:t>
            </w:r>
            <w:r>
              <w:t>označení pohlaví osoby není povinné.</w:t>
            </w:r>
          </w:p>
        </w:tc>
        <w:tc>
          <w:tcPr>
            <w:tcW w:w="4876" w:type="dxa"/>
            <w:tcBorders>
              <w:top w:val="nil"/>
              <w:left w:val="nil"/>
              <w:bottom w:val="nil"/>
              <w:right w:val="nil"/>
            </w:tcBorders>
          </w:tcPr>
          <w:p w:rsidR="00F21BA6" w:rsidRPr="000E0C4C" w:rsidRDefault="004A4677" w:rsidP="00F21BA6">
            <w:pPr>
              <w:pStyle w:val="Normal6a"/>
            </w:pPr>
            <w:r>
              <w:rPr>
                <w:i/>
              </w:rPr>
              <w:t>(Netýká se českého znění.)</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{IT}</w:t>
      </w:r>
      <w:r w:rsidRPr="000E0C4C">
        <w:t>it</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24</w:t>
      </w:r>
      <w:r>
        <w:rPr>
          <w:rStyle w:val="HideTWBExt"/>
        </w:rPr>
        <w:t>&lt;/NumAm&gt;</w:t>
      </w:r>
    </w:p>
    <w:p w:rsidR="00F21BA6" w:rsidRPr="000E0C4C" w:rsidRDefault="004A4677" w:rsidP="00F21BA6">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2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Odchylně od prvního pododstavce lze číslo dokladu vložit do zóny</w:t>
            </w:r>
            <w:r w:rsidR="0081461F">
              <w:t xml:space="preserve"> I a </w:t>
            </w:r>
            <w:r>
              <w:t>označení pohlaví osoby není povinné.</w:t>
            </w:r>
          </w:p>
        </w:tc>
        <w:tc>
          <w:tcPr>
            <w:tcW w:w="4876" w:type="dxa"/>
            <w:tcBorders>
              <w:top w:val="nil"/>
              <w:left w:val="nil"/>
              <w:bottom w:val="nil"/>
              <w:right w:val="nil"/>
            </w:tcBorders>
          </w:tcPr>
          <w:p w:rsidR="00F21BA6" w:rsidRPr="000E0C4C" w:rsidRDefault="004A4677" w:rsidP="00F21BA6">
            <w:pPr>
              <w:pStyle w:val="Normal6a"/>
            </w:pPr>
            <w:r>
              <w:t>Odchylně od prvního pododstavce lze číslo dokladu vložit do zóny</w:t>
            </w:r>
            <w:r w:rsidR="0081461F">
              <w:t xml:space="preserve"> I a </w:t>
            </w:r>
            <w:r>
              <w:t xml:space="preserve">označení pohlaví osoby není povinné. </w:t>
            </w:r>
            <w:r>
              <w:rPr>
                <w:b/>
                <w:i/>
              </w:rPr>
              <w:t>Pokud členský stát uvede</w:t>
            </w:r>
            <w:r w:rsidR="0081461F">
              <w:rPr>
                <w:b/>
                <w:i/>
              </w:rPr>
              <w:t xml:space="preserve"> v </w:t>
            </w:r>
            <w:r>
              <w:rPr>
                <w:b/>
                <w:i/>
              </w:rPr>
              <w:t>dokladu, na nějž se vztahuje toto nařízení, pohlaví, měly by být používány specifikace dokumentu ICAO 9303 „F“, „M“ nebo „X“ nebo případně odpovídající písmeno používané</w:t>
            </w:r>
            <w:r w:rsidR="0081461F">
              <w:rPr>
                <w:b/>
                <w:i/>
              </w:rPr>
              <w:t xml:space="preserve"> v </w:t>
            </w:r>
            <w:r>
              <w:rPr>
                <w:b/>
                <w:i/>
              </w:rPr>
              <w:t>úředním jazyce nebo úředních jazycích tohoto členského státu.</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25</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4.</w:t>
            </w:r>
            <w:r>
              <w:tab/>
              <w:t>Na</w:t>
            </w:r>
            <w:r>
              <w:rPr>
                <w:b/>
                <w:i/>
              </w:rPr>
              <w:t> </w:t>
            </w:r>
            <w:r>
              <w:t>přední straně průkazu totožnosti je uveden kód země tvořený dvěma písmeny vydávajícího členského státu</w:t>
            </w:r>
            <w:r>
              <w:rPr>
                <w:b/>
                <w:i/>
              </w:rPr>
              <w:t>, vytištěný inverzně na modrém obdélníku</w:t>
            </w:r>
            <w:r w:rsidR="0081461F">
              <w:rPr>
                <w:b/>
                <w:i/>
              </w:rPr>
              <w:t xml:space="preserve"> v </w:t>
            </w:r>
            <w:r>
              <w:rPr>
                <w:b/>
                <w:i/>
              </w:rPr>
              <w:t>kruhu tvořeném dvanácti žlutými hvězdami</w:t>
            </w:r>
            <w:r>
              <w:t>.</w:t>
            </w:r>
          </w:p>
        </w:tc>
        <w:tc>
          <w:tcPr>
            <w:tcW w:w="4876" w:type="dxa"/>
            <w:tcBorders>
              <w:top w:val="nil"/>
              <w:left w:val="nil"/>
              <w:bottom w:val="nil"/>
              <w:right w:val="nil"/>
            </w:tcBorders>
          </w:tcPr>
          <w:p w:rsidR="00F21BA6" w:rsidRPr="000E0C4C" w:rsidRDefault="004A4677" w:rsidP="00F21BA6">
            <w:pPr>
              <w:pStyle w:val="Normal6a"/>
            </w:pPr>
            <w:r>
              <w:t>4.</w:t>
            </w:r>
            <w:r>
              <w:tab/>
              <w:t>Na</w:t>
            </w:r>
            <w:r>
              <w:rPr>
                <w:b/>
                <w:i/>
              </w:rPr>
              <w:t xml:space="preserve"> </w:t>
            </w:r>
            <w:r>
              <w:t>přední straně průkazu totožnosti je uveden kód země tvořený dvěma písmeny vydávajícího členského státu.</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26</w:t>
      </w:r>
      <w:r>
        <w:rPr>
          <w:rStyle w:val="HideTWBExt"/>
        </w:rPr>
        <w:t>&lt;/NumAm&gt;</w:t>
      </w:r>
    </w:p>
    <w:p w:rsidR="00F21BA6" w:rsidRPr="000E0C4C" w:rsidRDefault="004A4677" w:rsidP="00F21BA6">
      <w:pPr>
        <w:pStyle w:val="NormalBold"/>
      </w:pPr>
      <w:r>
        <w:rPr>
          <w:rStyle w:val="HideTWBExt"/>
          <w:b w:val="0"/>
        </w:rPr>
        <w:t>&lt;RepeatBlock-By&gt;&lt;Members&gt;</w:t>
      </w:r>
      <w:r>
        <w:t>Milan Uhrík, Ewa Zajączkowska-Hernik, Mary Khan</w:t>
      </w:r>
      <w:r>
        <w:rPr>
          <w:rStyle w:val="HideTWBExt"/>
          <w:b w:val="0"/>
        </w:rPr>
        <w:t>&lt;/Members&gt;</w:t>
      </w:r>
    </w:p>
    <w:p w:rsidR="00F21BA6" w:rsidRPr="000E0C4C" w:rsidRDefault="004A4677" w:rsidP="00F21BA6">
      <w:r>
        <w:rPr>
          <w:rStyle w:val="HideTWBExt"/>
        </w:rPr>
        <w:t>&lt;AuNomDe&gt;</w:t>
      </w:r>
      <w:r>
        <w:rPr>
          <w:rStyle w:val="HideTWBInt"/>
          <w:color w:val="auto"/>
        </w:rPr>
        <w:t>{ESN}</w:t>
      </w:r>
      <w:r>
        <w:t>za skupinu ESN</w:t>
      </w:r>
      <w:r>
        <w:rPr>
          <w:rStyle w:val="HideTWBExt"/>
        </w:rPr>
        <w:t>&lt;/AuNomDe&gt;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5.</w:t>
            </w:r>
            <w:r>
              <w:tab/>
              <w:t>Průkazy totožnosti zahrnují vysoce zabezpečené paměťové médium, které obsahuje zobrazení obličeje držitele průkazu</w:t>
            </w:r>
            <w:r w:rsidR="0081461F">
              <w:t xml:space="preserve"> a </w:t>
            </w:r>
            <w:r>
              <w:rPr>
                <w:b/>
                <w:i/>
              </w:rPr>
              <w:t>dva otisky prstů</w:t>
            </w:r>
            <w:r w:rsidR="0081461F">
              <w:rPr>
                <w:b/>
                <w:i/>
              </w:rPr>
              <w:t xml:space="preserve"> v </w:t>
            </w:r>
            <w:r>
              <w:t>interoperabilních digitálních formátech. Pro získání biometrických identifikátorů členské státy použijí technické specifikace stanovené prováděcím rozhodnutím Komise C(2018) 7767</w:t>
            </w:r>
            <w:r>
              <w:rPr>
                <w:vertAlign w:val="superscript"/>
              </w:rPr>
              <w:t>12</w:t>
            </w:r>
            <w:r>
              <w:t xml:space="preserve"> ve znění prováděcího rozhodnutí Komise C(2021) 3726</w:t>
            </w:r>
            <w:r>
              <w:rPr>
                <w:vertAlign w:val="superscript"/>
              </w:rPr>
              <w:t>13</w:t>
            </w:r>
            <w:r>
              <w:t xml:space="preserve"> .</w:t>
            </w:r>
          </w:p>
        </w:tc>
        <w:tc>
          <w:tcPr>
            <w:tcW w:w="4876" w:type="dxa"/>
            <w:tcBorders>
              <w:top w:val="nil"/>
              <w:left w:val="nil"/>
              <w:bottom w:val="nil"/>
              <w:right w:val="nil"/>
            </w:tcBorders>
          </w:tcPr>
          <w:p w:rsidR="00F21BA6" w:rsidRPr="000E0C4C" w:rsidRDefault="004A4677" w:rsidP="00F21BA6">
            <w:pPr>
              <w:pStyle w:val="Normal6a"/>
            </w:pPr>
            <w:r>
              <w:t>5.</w:t>
            </w:r>
            <w:r>
              <w:tab/>
              <w:t>Průkazy totožnosti zahrnují vysoce zabezpečené paměťové médium, které obsahuje zobrazení obličeje držitele průkazu</w:t>
            </w:r>
            <w:r w:rsidR="0081461F">
              <w:t xml:space="preserve"> v </w:t>
            </w:r>
            <w:r>
              <w:t>interoperabilních digitálních formátech. Pro získání biometrických identifikátorů členské státy použijí technické specifikace stanovené prováděcím rozhodnutím Komise C(2018) 7767</w:t>
            </w:r>
            <w:r>
              <w:rPr>
                <w:vertAlign w:val="superscript"/>
              </w:rPr>
              <w:t>12</w:t>
            </w:r>
            <w:r>
              <w:t xml:space="preserve"> ve znění prováděcího rozhodnutí Komise C(2021) 3726</w:t>
            </w:r>
            <w:r>
              <w:rPr>
                <w:vertAlign w:val="superscript"/>
              </w:rPr>
              <w:t>13</w:t>
            </w:r>
            <w:r>
              <w:t xml:space="preserve"> .</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_________________</w:t>
            </w:r>
          </w:p>
        </w:tc>
        <w:tc>
          <w:tcPr>
            <w:tcW w:w="4876" w:type="dxa"/>
            <w:tcBorders>
              <w:top w:val="nil"/>
              <w:left w:val="nil"/>
              <w:bottom w:val="nil"/>
              <w:right w:val="nil"/>
            </w:tcBorders>
          </w:tcPr>
          <w:p w:rsidR="00F21BA6" w:rsidRPr="000E0C4C" w:rsidRDefault="004A4677" w:rsidP="00F21BA6">
            <w:pPr>
              <w:pStyle w:val="Normal6a"/>
            </w:pPr>
            <w:r>
              <w:rPr>
                <w:b/>
                <w:i/>
              </w:rPr>
              <w:t>_________________</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vertAlign w:val="superscript"/>
              </w:rPr>
              <w:t>12</w:t>
            </w:r>
            <w:r>
              <w:t xml:space="preserve"> Prováděcí rozhodnutí Komise C(2018) 7767 ze dne 30. listopadu 2018, kterým se stanoví technické specifikace pro jednotný vzor povolení</w:t>
            </w:r>
            <w:r w:rsidR="0081461F">
              <w:t xml:space="preserve"> k </w:t>
            </w:r>
            <w:r>
              <w:t>pobytu pro státní příslušníky třetích zemí</w:t>
            </w:r>
            <w:r w:rsidR="0081461F">
              <w:t xml:space="preserve"> a </w:t>
            </w:r>
            <w:r>
              <w:t>zrušuje rozhodnutí K(2002) 3069.</w:t>
            </w:r>
          </w:p>
        </w:tc>
        <w:tc>
          <w:tcPr>
            <w:tcW w:w="4876" w:type="dxa"/>
            <w:tcBorders>
              <w:top w:val="nil"/>
              <w:left w:val="nil"/>
              <w:bottom w:val="nil"/>
              <w:right w:val="nil"/>
            </w:tcBorders>
          </w:tcPr>
          <w:p w:rsidR="00F21BA6" w:rsidRPr="000E0C4C" w:rsidRDefault="004A4677" w:rsidP="00F21BA6">
            <w:pPr>
              <w:pStyle w:val="Normal6a"/>
            </w:pPr>
            <w:r>
              <w:rPr>
                <w:vertAlign w:val="superscript"/>
              </w:rPr>
              <w:t>12</w:t>
            </w:r>
            <w:r>
              <w:t xml:space="preserve"> Prováděcí rozhodnutí Komise C(2018) 7767 ze dne 30. listopadu 2018, kterým se stanoví technické specifikace pro jednotný vzor povolení</w:t>
            </w:r>
            <w:r w:rsidR="0081461F">
              <w:t xml:space="preserve"> k </w:t>
            </w:r>
            <w:r>
              <w:t>pobytu pro státní příslušníky třetích zemí</w:t>
            </w:r>
            <w:r w:rsidR="0081461F">
              <w:t xml:space="preserve"> a </w:t>
            </w:r>
            <w:r>
              <w:t>zrušuje rozhodnutí K(2002) 3069.</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vertAlign w:val="superscript"/>
              </w:rPr>
              <w:t>13</w:t>
            </w:r>
            <w:r>
              <w:t xml:space="preserve"> Prováděcí rozhodnutí Komise C(2021) 3726 ze dne 4. června 2021, kterým se mění příloha III prováděcího rozhodnutí C(2018) 7767, pokud jde</w:t>
            </w:r>
            <w:r w:rsidR="0081461F">
              <w:t xml:space="preserve"> o </w:t>
            </w:r>
            <w:r>
              <w:t>seznam normativních odkazů.</w:t>
            </w:r>
          </w:p>
        </w:tc>
        <w:tc>
          <w:tcPr>
            <w:tcW w:w="4876" w:type="dxa"/>
            <w:tcBorders>
              <w:top w:val="nil"/>
              <w:left w:val="nil"/>
              <w:bottom w:val="nil"/>
              <w:right w:val="nil"/>
            </w:tcBorders>
          </w:tcPr>
          <w:p w:rsidR="00F21BA6" w:rsidRPr="000E0C4C" w:rsidRDefault="004A4677" w:rsidP="00F21BA6">
            <w:pPr>
              <w:pStyle w:val="Normal6a"/>
            </w:pPr>
            <w:r>
              <w:rPr>
                <w:vertAlign w:val="superscript"/>
              </w:rPr>
              <w:t>13</w:t>
            </w:r>
            <w:r>
              <w:t xml:space="preserve"> Prováděcí rozhodnutí Komise C(2021) 3726 ze dne 4. června 2021, kterým se mění příloha III prováděcího rozhodnutí C(2018) 7767, pokud jde</w:t>
            </w:r>
            <w:r w:rsidR="0081461F">
              <w:t xml:space="preserve"> o </w:t>
            </w:r>
            <w:r>
              <w:t>seznam normativních odkazů.</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pPr>
        <w:pStyle w:val="AmJustTitle"/>
      </w:pPr>
      <w:r>
        <w:rPr>
          <w:rStyle w:val="HideTWBExt"/>
        </w:rPr>
        <w:t>&lt;TitreJust&gt;</w:t>
      </w:r>
      <w:r>
        <w:t>Odůvodnění</w:t>
      </w:r>
      <w:r>
        <w:rPr>
          <w:rStyle w:val="HideTWBExt"/>
        </w:rPr>
        <w:t>&lt;/TitreJust&gt;</w:t>
      </w:r>
    </w:p>
    <w:p w:rsidR="00F21BA6" w:rsidRPr="000E0C4C" w:rsidRDefault="004A4677" w:rsidP="00F21BA6">
      <w:pPr>
        <w:pStyle w:val="AmJustText"/>
      </w:pPr>
      <w:r>
        <w:t>Tímto pozměňovacím návrhem se ruší povinnost uchovávat dva otisky prstů na průkazech totožnosti.</w:t>
      </w:r>
      <w:r w:rsidR="0081461F">
        <w:t xml:space="preserve"> J</w:t>
      </w:r>
      <w:r>
        <w:t>edná se</w:t>
      </w:r>
      <w:r w:rsidR="0081461F">
        <w:t xml:space="preserve"> o </w:t>
      </w:r>
      <w:r>
        <w:t>příliš závažné porušení práva na soukromí občanů ve prospěch stále větších možností státní kontroly.</w:t>
      </w:r>
      <w:r w:rsidR="0081461F">
        <w:t xml:space="preserve"> J</w:t>
      </w:r>
      <w:r>
        <w:t>e to také příliš velké riziko</w:t>
      </w:r>
      <w:r w:rsidR="0081461F">
        <w:t xml:space="preserve"> z </w:t>
      </w:r>
      <w:r>
        <w:t>hlediska kybernetické kriminality:</w:t>
      </w:r>
      <w:r w:rsidR="0081461F">
        <w:t xml:space="preserve"> p</w:t>
      </w:r>
      <w:r>
        <w:t>okud jsou tyto otisky prstů odcizeny, mohou být použity na celém světě pro veškeré podvody související</w:t>
      </w:r>
      <w:r w:rsidR="0081461F">
        <w:t xml:space="preserve"> s </w:t>
      </w:r>
      <w:r>
        <w:t>totožností.</w:t>
      </w:r>
      <w:r w:rsidR="0081461F">
        <w:t xml:space="preserve"> V</w:t>
      </w:r>
      <w:r>
        <w:t>zhledem</w:t>
      </w:r>
      <w:r w:rsidR="0081461F">
        <w:t xml:space="preserve"> k </w:t>
      </w:r>
      <w:r>
        <w:t>tomu, že otisky prstů jsou jedinečné, představuje jejich krádež pro občana, který je její obětí, celoživotní riziko.</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27</w:t>
      </w:r>
      <w:r w:rsidRPr="004A4677">
        <w:rPr>
          <w:rStyle w:val="HideTWBExt"/>
          <w:b w:val="0"/>
        </w:rPr>
        <w:t>&lt;/NumAm&gt;</w:t>
      </w:r>
    </w:p>
    <w:p w:rsidR="00F21BA6" w:rsidRPr="000E0C4C" w:rsidRDefault="004A4677" w:rsidP="00F21BA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Čl. 3 – odst.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4A4677" w:rsidP="00F21BA6">
            <w:pPr>
              <w:pStyle w:val="Normal6"/>
            </w:pPr>
            <w:r>
              <w:t>5.</w:t>
            </w:r>
            <w:r>
              <w:tab/>
              <w:t>Průkazy totožnosti zahrnují vysoce zabezpečené paměťové médium, které obsahuje zobrazení obličeje držitele průkazu</w:t>
            </w:r>
            <w:r w:rsidR="0081461F">
              <w:t xml:space="preserve"> a </w:t>
            </w:r>
            <w:r>
              <w:t>dva otisky prstů</w:t>
            </w:r>
            <w:r w:rsidR="0081461F">
              <w:t xml:space="preserve"> v </w:t>
            </w:r>
            <w:r>
              <w:t>interoperabilních digitálních formátech. Pro získání biometrických identifikátorů členské státy použijí technické specifikace stanovené prováděcím rozhodnutím Komise C(2018) 7767</w:t>
            </w:r>
            <w:r>
              <w:rPr>
                <w:vertAlign w:val="superscript"/>
              </w:rPr>
              <w:t>12</w:t>
            </w:r>
            <w:r>
              <w:t xml:space="preserve"> ve znění prováděcího rozhodnutí Komise C(2021) 3726</w:t>
            </w:r>
            <w:r>
              <w:rPr>
                <w:vertAlign w:val="superscript"/>
              </w:rPr>
              <w:t>13</w:t>
            </w:r>
            <w:r>
              <w:rPr>
                <w:b/>
                <w:i/>
              </w:rPr>
              <w:t xml:space="preserve"> </w:t>
            </w:r>
            <w:r>
              <w:t>.</w:t>
            </w:r>
          </w:p>
        </w:tc>
        <w:tc>
          <w:tcPr>
            <w:tcW w:w="4876" w:type="dxa"/>
          </w:tcPr>
          <w:p w:rsidR="00F21BA6" w:rsidRPr="000E0C4C" w:rsidRDefault="004A4677" w:rsidP="00F21BA6">
            <w:pPr>
              <w:pStyle w:val="Normal6"/>
              <w:rPr>
                <w:szCs w:val="24"/>
              </w:rPr>
            </w:pPr>
            <w:r>
              <w:t>5.</w:t>
            </w:r>
            <w:r>
              <w:tab/>
              <w:t>Průkazy totožnosti zahrnují vysoce zabezpečené paměťové médium, které obsahuje zobrazení obličeje držitele průkazu</w:t>
            </w:r>
            <w:r w:rsidR="0081461F">
              <w:t xml:space="preserve"> a </w:t>
            </w:r>
            <w:r>
              <w:t>dva otisky prstů</w:t>
            </w:r>
            <w:r w:rsidR="0081461F">
              <w:t xml:space="preserve"> v </w:t>
            </w:r>
            <w:r>
              <w:t xml:space="preserve">interoperabilních digitálních formátech. Pro získání </w:t>
            </w:r>
            <w:r>
              <w:rPr>
                <w:b/>
                <w:i/>
              </w:rPr>
              <w:t xml:space="preserve">těchto dvou druhů </w:t>
            </w:r>
            <w:r>
              <w:t>biometrických identifikátorů členské státy použijí technické specifikace stanovené prováděcím rozhodnutím Komise C(2018) 7767</w:t>
            </w:r>
            <w:r>
              <w:rPr>
                <w:vertAlign w:val="superscript"/>
              </w:rPr>
              <w:t>12</w:t>
            </w:r>
            <w:r>
              <w:t xml:space="preserve"> ve znění prováděcího rozhodnutí Komise C(2021) 3726</w:t>
            </w:r>
            <w:r>
              <w:rPr>
                <w:vertAlign w:val="superscript"/>
              </w:rPr>
              <w:t>13</w:t>
            </w:r>
            <w:r>
              <w:t>.</w:t>
            </w:r>
          </w:p>
        </w:tc>
      </w:tr>
      <w:tr w:rsidR="00624105" w:rsidTr="00F21BA6">
        <w:trPr>
          <w:jc w:val="center"/>
        </w:trPr>
        <w:tc>
          <w:tcPr>
            <w:tcW w:w="4876" w:type="dxa"/>
          </w:tcPr>
          <w:p w:rsidR="00F21BA6" w:rsidRPr="000E0C4C" w:rsidRDefault="004A4677" w:rsidP="00F21BA6">
            <w:pPr>
              <w:pStyle w:val="Normal6"/>
            </w:pPr>
            <w:r>
              <w:t>__________________</w:t>
            </w:r>
          </w:p>
        </w:tc>
        <w:tc>
          <w:tcPr>
            <w:tcW w:w="4876" w:type="dxa"/>
          </w:tcPr>
          <w:p w:rsidR="00F21BA6" w:rsidRPr="000E0C4C" w:rsidRDefault="004A4677" w:rsidP="00F21BA6">
            <w:pPr>
              <w:pStyle w:val="Normal6"/>
              <w:rPr>
                <w:szCs w:val="24"/>
              </w:rPr>
            </w:pPr>
            <w:r>
              <w:t>__________________</w:t>
            </w:r>
          </w:p>
        </w:tc>
      </w:tr>
      <w:tr w:rsidR="00624105" w:rsidTr="00F21BA6">
        <w:trPr>
          <w:jc w:val="center"/>
        </w:trPr>
        <w:tc>
          <w:tcPr>
            <w:tcW w:w="4876" w:type="dxa"/>
          </w:tcPr>
          <w:p w:rsidR="00F21BA6" w:rsidRPr="000E0C4C" w:rsidRDefault="004A4677" w:rsidP="00F21BA6">
            <w:pPr>
              <w:pStyle w:val="Normal6"/>
            </w:pPr>
            <w:r>
              <w:rPr>
                <w:vertAlign w:val="superscript"/>
              </w:rPr>
              <w:t>12</w:t>
            </w:r>
            <w:r>
              <w:t xml:space="preserve"> Prováděcí rozhodnutí Komise C(2018) 7767 ze dne 30. listopadu 2018, kterým se stanoví technické specifikace pro jednotný vzor povolení</w:t>
            </w:r>
            <w:r w:rsidR="0081461F">
              <w:t xml:space="preserve"> k </w:t>
            </w:r>
            <w:r>
              <w:t>pobytu pro státní příslušníky třetích zemí</w:t>
            </w:r>
            <w:r w:rsidR="0081461F">
              <w:t xml:space="preserve"> a </w:t>
            </w:r>
            <w:r>
              <w:t>zrušuje rozhodnutí K(2002) 3069.</w:t>
            </w:r>
          </w:p>
        </w:tc>
        <w:tc>
          <w:tcPr>
            <w:tcW w:w="4876" w:type="dxa"/>
          </w:tcPr>
          <w:p w:rsidR="00F21BA6" w:rsidRPr="000E0C4C" w:rsidRDefault="004A4677" w:rsidP="00F21BA6">
            <w:pPr>
              <w:pStyle w:val="Normal6"/>
              <w:rPr>
                <w:szCs w:val="24"/>
              </w:rPr>
            </w:pPr>
            <w:r>
              <w:rPr>
                <w:vertAlign w:val="superscript"/>
              </w:rPr>
              <w:t>12</w:t>
            </w:r>
            <w:r>
              <w:t xml:space="preserve"> Prováděcí rozhodnutí Komise C(2018) 7767 ze dne 30. listopadu 2018, kterým se stanoví technické specifikace pro jednotný vzor povolení</w:t>
            </w:r>
            <w:r w:rsidR="0081461F">
              <w:t xml:space="preserve"> k </w:t>
            </w:r>
            <w:r>
              <w:t>pobytu pro státní příslušníky třetích zemí</w:t>
            </w:r>
            <w:r w:rsidR="0081461F">
              <w:t xml:space="preserve"> a </w:t>
            </w:r>
            <w:r>
              <w:t>zrušuje rozhodnutí K(2002) 3069.</w:t>
            </w:r>
          </w:p>
        </w:tc>
      </w:tr>
      <w:tr w:rsidR="00624105" w:rsidTr="00F21BA6">
        <w:trPr>
          <w:jc w:val="center"/>
        </w:trPr>
        <w:tc>
          <w:tcPr>
            <w:tcW w:w="4876" w:type="dxa"/>
          </w:tcPr>
          <w:p w:rsidR="00F21BA6" w:rsidRPr="000E0C4C" w:rsidRDefault="004A4677" w:rsidP="00F21BA6">
            <w:pPr>
              <w:pStyle w:val="Normal6"/>
            </w:pPr>
            <w:r>
              <w:rPr>
                <w:vertAlign w:val="superscript"/>
              </w:rPr>
              <w:t>13</w:t>
            </w:r>
            <w:r>
              <w:t xml:space="preserve"> Prováděcí rozhodnutí Komise C(2021) 3726 ze dne 4. června 2021, kterým se mění příloha III prováděcího rozhodnutí C(2018) 7767, pokud jde</w:t>
            </w:r>
            <w:r w:rsidR="0081461F">
              <w:t xml:space="preserve"> o </w:t>
            </w:r>
            <w:r>
              <w:t>seznam normativních odkazů.</w:t>
            </w:r>
          </w:p>
        </w:tc>
        <w:tc>
          <w:tcPr>
            <w:tcW w:w="4876" w:type="dxa"/>
          </w:tcPr>
          <w:p w:rsidR="00F21BA6" w:rsidRPr="000E0C4C" w:rsidRDefault="004A4677" w:rsidP="00F21BA6">
            <w:pPr>
              <w:pStyle w:val="Normal6"/>
              <w:rPr>
                <w:szCs w:val="24"/>
              </w:rPr>
            </w:pPr>
            <w:r>
              <w:rPr>
                <w:vertAlign w:val="superscript"/>
              </w:rPr>
              <w:t>13</w:t>
            </w:r>
            <w:r>
              <w:t xml:space="preserve"> Prováděcí rozhodnutí Komise C(2021) 3726 ze dne 4. června 2021, kterým se mění příloha III prováděcího rozhodnutí C(2018) 7767, pokud jde</w:t>
            </w:r>
            <w:r w:rsidR="0081461F">
              <w:t xml:space="preserve"> o </w:t>
            </w:r>
            <w:r>
              <w:t>seznam normativních odkazů.</w:t>
            </w:r>
          </w:p>
        </w:tc>
      </w:tr>
    </w:tbl>
    <w:p w:rsidR="00F21BA6" w:rsidRPr="004A4677" w:rsidRDefault="004A4677" w:rsidP="00F21BA6">
      <w:pPr>
        <w:pStyle w:val="Olang"/>
        <w:rPr>
          <w:sz w:val="24"/>
          <w:szCs w:val="24"/>
        </w:rPr>
      </w:pPr>
      <w:r w:rsidRPr="004A4677">
        <w:rPr>
          <w:sz w:val="24"/>
          <w:szCs w:val="24"/>
        </w:rPr>
        <w:t xml:space="preserve">Or. </w:t>
      </w:r>
      <w:r w:rsidRPr="004A4677">
        <w:rPr>
          <w:rStyle w:val="HideTWBExt"/>
        </w:rPr>
        <w:t>&lt;Original&gt;</w:t>
      </w:r>
      <w:r w:rsidRPr="004A4677">
        <w:rPr>
          <w:rStyle w:val="HideTWBInt"/>
          <w:sz w:val="24"/>
          <w:szCs w:val="24"/>
        </w:rPr>
        <w:t>{EN}</w:t>
      </w:r>
      <w:r w:rsidRPr="004A4677">
        <w:rPr>
          <w:sz w:val="24"/>
          <w:szCs w:val="24"/>
        </w:rPr>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28</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3 – odst. 7 – pododstavec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 xml:space="preserve">Děti mladší dvanácti let </w:t>
            </w:r>
            <w:r>
              <w:rPr>
                <w:b/>
                <w:i/>
              </w:rPr>
              <w:t>mohou být</w:t>
            </w:r>
            <w:r>
              <w:t xml:space="preserve"> od povinnosti poskytnout otisky prstů osvobozeny.</w:t>
            </w:r>
          </w:p>
        </w:tc>
        <w:tc>
          <w:tcPr>
            <w:tcW w:w="4876" w:type="dxa"/>
            <w:tcBorders>
              <w:top w:val="nil"/>
              <w:left w:val="nil"/>
              <w:bottom w:val="nil"/>
              <w:right w:val="nil"/>
            </w:tcBorders>
          </w:tcPr>
          <w:p w:rsidR="00F21BA6" w:rsidRPr="000E0C4C" w:rsidRDefault="004A4677" w:rsidP="00F21BA6">
            <w:pPr>
              <w:pStyle w:val="Normal6a"/>
            </w:pPr>
            <w:r>
              <w:t xml:space="preserve">Děti mladší dvanácti let </w:t>
            </w:r>
            <w:r>
              <w:rPr>
                <w:b/>
                <w:i/>
              </w:rPr>
              <w:t>jsou</w:t>
            </w:r>
            <w:r>
              <w:t xml:space="preserve"> od povinnosti poskytnout otisky prstů osvobozeny.</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29</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6 – odst. 1 – písm. e</w:t>
      </w:r>
      <w:r w:rsidR="0081461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ea)</w:t>
            </w:r>
            <w:r>
              <w:tab/>
            </w:r>
            <w:r>
              <w:rPr>
                <w:b/>
                <w:i/>
              </w:rPr>
              <w:t>pohlaví držitele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30</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6 – odst. 1 – písm.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h)</w:t>
            </w:r>
            <w:r>
              <w:tab/>
              <w:t>na přední straně kód země tvořený dvěma písmeny vydávajícího členského státu</w:t>
            </w:r>
            <w:r>
              <w:rPr>
                <w:b/>
                <w:i/>
              </w:rPr>
              <w:t>, vytištěný inverzně na modrém obdélníku</w:t>
            </w:r>
            <w:r w:rsidR="0081461F">
              <w:rPr>
                <w:b/>
                <w:i/>
              </w:rPr>
              <w:t xml:space="preserve"> v </w:t>
            </w:r>
            <w:r>
              <w:rPr>
                <w:b/>
                <w:i/>
              </w:rPr>
              <w:t>kruhu tvořeném dvanácti žlutými hvězdami</w:t>
            </w:r>
            <w:r>
              <w:t>.</w:t>
            </w:r>
          </w:p>
        </w:tc>
        <w:tc>
          <w:tcPr>
            <w:tcW w:w="4876" w:type="dxa"/>
            <w:tcBorders>
              <w:top w:val="nil"/>
              <w:left w:val="nil"/>
              <w:bottom w:val="nil"/>
              <w:right w:val="nil"/>
            </w:tcBorders>
          </w:tcPr>
          <w:p w:rsidR="00F21BA6" w:rsidRPr="000E0C4C" w:rsidRDefault="004A4677" w:rsidP="00F21BA6">
            <w:pPr>
              <w:pStyle w:val="Normal6a"/>
            </w:pPr>
            <w:r>
              <w:t>h)</w:t>
            </w:r>
            <w:r>
              <w:tab/>
              <w:t>na přední straně kód země tvořený dvěma písmeny vydávajícího členského státu.</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31</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10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3.</w:t>
            </w:r>
            <w:r>
              <w:tab/>
            </w:r>
            <w:r>
              <w:rPr>
                <w:b/>
                <w:i/>
              </w:rPr>
              <w:t>Pokud to není nutné pro zpracovávání údajů</w:t>
            </w:r>
            <w:r w:rsidR="0081461F">
              <w:rPr>
                <w:b/>
                <w:i/>
              </w:rPr>
              <w:t xml:space="preserve"> v </w:t>
            </w:r>
            <w:r>
              <w:rPr>
                <w:b/>
                <w:i/>
              </w:rPr>
              <w:t>souladu</w:t>
            </w:r>
            <w:r w:rsidR="0081461F">
              <w:rPr>
                <w:b/>
                <w:i/>
              </w:rPr>
              <w:t xml:space="preserve"> s </w:t>
            </w:r>
            <w:r>
              <w:rPr>
                <w:b/>
                <w:i/>
              </w:rPr>
              <w:t>unijním</w:t>
            </w:r>
            <w:r w:rsidR="0081461F">
              <w:rPr>
                <w:b/>
                <w:i/>
              </w:rPr>
              <w:t xml:space="preserve"> a </w:t>
            </w:r>
            <w:r>
              <w:rPr>
                <w:b/>
                <w:i/>
              </w:rPr>
              <w:t>vnitrostátním právem,</w:t>
            </w:r>
            <w:r>
              <w:t xml:space="preserve"> biometrické identifikátory uchovávané pro účely personalizace průkazů totožnosti nebo povolení</w:t>
            </w:r>
            <w:r w:rsidR="0081461F">
              <w:t xml:space="preserve"> k </w:t>
            </w:r>
            <w:r>
              <w:t>pobytu jsou 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c>
          <w:tcPr>
            <w:tcW w:w="4876" w:type="dxa"/>
            <w:tcBorders>
              <w:top w:val="nil"/>
              <w:left w:val="nil"/>
              <w:bottom w:val="nil"/>
              <w:right w:val="nil"/>
            </w:tcBorders>
          </w:tcPr>
          <w:p w:rsidR="00F21BA6" w:rsidRPr="000E0C4C" w:rsidRDefault="004A4677" w:rsidP="00F21BA6">
            <w:pPr>
              <w:pStyle w:val="Normal6a"/>
            </w:pPr>
            <w:r>
              <w:t>3.</w:t>
            </w:r>
            <w:r>
              <w:tab/>
              <w:t>Biometrické identifikátory uchovávané pro účely personalizace průkazů totožnosti nebo povolení</w:t>
            </w:r>
            <w:r w:rsidR="0081461F">
              <w:t xml:space="preserve"> k </w:t>
            </w:r>
            <w:r>
              <w:t xml:space="preserve">pobytu jsou </w:t>
            </w:r>
            <w:r>
              <w:rPr>
                <w:b/>
                <w:i/>
              </w:rPr>
              <w:t>zpracovávány výhradně za tímto účelem</w:t>
            </w:r>
            <w:r w:rsidR="0081461F">
              <w:rPr>
                <w:b/>
                <w:i/>
              </w:rPr>
              <w:t xml:space="preserve"> a </w:t>
            </w:r>
            <w:r>
              <w:rPr>
                <w:b/>
                <w:i/>
              </w:rPr>
              <w:t xml:space="preserve">jsou </w:t>
            </w:r>
            <w:r>
              <w:t>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r>
    </w:tbl>
    <w:p w:rsidR="00F21BA6" w:rsidRPr="000E0C4C" w:rsidRDefault="004A4677" w:rsidP="00F21BA6">
      <w:pPr>
        <w:pStyle w:val="AmOrLang"/>
        <w:rPr>
          <w:lang w:val="sv-SE"/>
        </w:rPr>
      </w:pPr>
      <w:r w:rsidRPr="000E0C4C">
        <w:rPr>
          <w:lang w:val="sv-SE"/>
        </w:rPr>
        <w:t xml:space="preserve">Or. </w:t>
      </w:r>
      <w:r w:rsidRPr="000E0C4C">
        <w:rPr>
          <w:rStyle w:val="HideTWBExt"/>
          <w:lang w:val="sv-SE"/>
        </w:rPr>
        <w:t>&lt;Original&gt;</w:t>
      </w:r>
      <w:r w:rsidRPr="000E0C4C">
        <w:rPr>
          <w:rStyle w:val="HideTWBInt"/>
          <w:lang w:val="sv-SE"/>
        </w:rPr>
        <w:t>{EN}</w:t>
      </w:r>
      <w:r w:rsidRPr="000E0C4C">
        <w:rPr>
          <w:lang w:val="sv-SE"/>
        </w:rPr>
        <w:t>en</w:t>
      </w:r>
      <w:r w:rsidRPr="000E0C4C">
        <w:rPr>
          <w:rStyle w:val="HideTWBExt"/>
          <w:lang w:val="sv-SE"/>
        </w:rPr>
        <w:t>&lt;/Original&gt;</w:t>
      </w:r>
    </w:p>
    <w:p w:rsidR="00F21BA6" w:rsidRPr="000E0C4C" w:rsidRDefault="004A4677" w:rsidP="00F21BA6">
      <w:r>
        <w:rPr>
          <w:rStyle w:val="HideTWBExt"/>
          <w:lang w:val="sv-SE"/>
        </w:rPr>
        <w:t>&lt;/Amend&gt;</w:t>
      </w:r>
    </w:p>
    <w:p w:rsidR="00F21BA6" w:rsidRPr="000E0C4C" w:rsidRDefault="004A4677" w:rsidP="00F21BA6">
      <w:pPr>
        <w:pStyle w:val="AmNumberTabs"/>
      </w:pPr>
      <w:r>
        <w:rPr>
          <w:rStyle w:val="HideTWBExt"/>
          <w:lang w:val="sv-SE"/>
        </w:rPr>
        <w:t>&lt;Amend&gt;</w:t>
      </w:r>
      <w:r>
        <w:t>Pozměňovací návrh</w:t>
      </w:r>
      <w:r>
        <w:tab/>
      </w:r>
      <w:r>
        <w:tab/>
      </w:r>
      <w:r>
        <w:rPr>
          <w:rStyle w:val="HideTWBExt"/>
          <w:lang w:val="sv-SE"/>
        </w:rPr>
        <w:t>&lt;NumAm&gt;</w:t>
      </w:r>
      <w:r>
        <w:t>32</w:t>
      </w:r>
      <w:r>
        <w:rPr>
          <w:rStyle w:val="HideTWBExt"/>
          <w:lang w:val="sv-SE"/>
        </w:rPr>
        <w:t>&lt;/NumAm&gt;</w:t>
      </w:r>
    </w:p>
    <w:p w:rsidR="00F21BA6" w:rsidRPr="000E0C4C" w:rsidRDefault="004A4677" w:rsidP="00F21BA6">
      <w:pPr>
        <w:pStyle w:val="NormalBold"/>
      </w:pPr>
      <w:r>
        <w:rPr>
          <w:rStyle w:val="HideTWBExt"/>
          <w:b w:val="0"/>
          <w:lang w:val="sv-SE"/>
        </w:rPr>
        <w:t>&lt;RepeatBlock-By&gt;&lt;Members&gt;</w:t>
      </w:r>
      <w:r>
        <w:t>Anna Strolenberg</w:t>
      </w:r>
      <w:r>
        <w:rPr>
          <w:rStyle w:val="HideTWBExt"/>
          <w:b w:val="0"/>
          <w:lang w:val="sv-SE"/>
        </w:rPr>
        <w:t>&lt;/Members&gt;</w:t>
      </w:r>
    </w:p>
    <w:p w:rsidR="00F21BA6" w:rsidRPr="000E0C4C" w:rsidRDefault="004A4677" w:rsidP="00F21BA6">
      <w:r>
        <w:rPr>
          <w:rStyle w:val="HideTWBExt"/>
        </w:rPr>
        <w:t>&lt;AuNomDe&gt;</w:t>
      </w:r>
      <w:r>
        <w:rPr>
          <w:rStyle w:val="HideTWBInt"/>
          <w:color w:val="auto"/>
        </w:rPr>
        <w:t>{Greens/EFA}</w:t>
      </w:r>
      <w:r>
        <w:t>za skupinu Verts/ALE</w:t>
      </w:r>
      <w:r>
        <w:rPr>
          <w:rStyle w:val="HideTWBExt"/>
        </w:rPr>
        <w:t>&lt;/AuNomDe&gt;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10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3.</w:t>
            </w:r>
            <w:r>
              <w:tab/>
            </w:r>
            <w:r>
              <w:rPr>
                <w:b/>
                <w:i/>
              </w:rPr>
              <w:t>Pokud to není nutné pro zpracovávání údajů</w:t>
            </w:r>
            <w:r w:rsidR="0081461F">
              <w:rPr>
                <w:b/>
                <w:i/>
              </w:rPr>
              <w:t xml:space="preserve"> v </w:t>
            </w:r>
            <w:r>
              <w:rPr>
                <w:b/>
                <w:i/>
              </w:rPr>
              <w:t>souladu</w:t>
            </w:r>
            <w:r w:rsidR="0081461F">
              <w:rPr>
                <w:b/>
                <w:i/>
              </w:rPr>
              <w:t xml:space="preserve"> s </w:t>
            </w:r>
            <w:r>
              <w:rPr>
                <w:b/>
                <w:i/>
              </w:rPr>
              <w:t>unijním</w:t>
            </w:r>
            <w:r w:rsidR="0081461F">
              <w:rPr>
                <w:b/>
                <w:i/>
              </w:rPr>
              <w:t xml:space="preserve"> a </w:t>
            </w:r>
            <w:r>
              <w:rPr>
                <w:b/>
                <w:i/>
              </w:rPr>
              <w:t>vnitrostátním právem,</w:t>
            </w:r>
            <w:r>
              <w:t xml:space="preserve"> biometrické identifikátory uchovávané pro účely personalizace průkazů totožnosti nebo povolení</w:t>
            </w:r>
            <w:r w:rsidR="0081461F">
              <w:t xml:space="preserve"> k </w:t>
            </w:r>
            <w:r>
              <w:t>pobytu jsou 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c>
          <w:tcPr>
            <w:tcW w:w="4876" w:type="dxa"/>
            <w:tcBorders>
              <w:top w:val="nil"/>
              <w:left w:val="nil"/>
              <w:bottom w:val="nil"/>
              <w:right w:val="nil"/>
            </w:tcBorders>
          </w:tcPr>
          <w:p w:rsidR="00F21BA6" w:rsidRPr="000E0C4C" w:rsidRDefault="004A4677" w:rsidP="00F21BA6">
            <w:pPr>
              <w:pStyle w:val="Normal6a"/>
            </w:pPr>
            <w:r>
              <w:t>3.</w:t>
            </w:r>
            <w:r>
              <w:tab/>
              <w:t>Biometrické identifikátory uchovávané pro účely personalizace průkazů totožnosti nebo povolení</w:t>
            </w:r>
            <w:r w:rsidR="0081461F">
              <w:t xml:space="preserve"> k </w:t>
            </w:r>
            <w:r>
              <w:t xml:space="preserve">pobytu jsou </w:t>
            </w:r>
            <w:r>
              <w:rPr>
                <w:b/>
                <w:i/>
              </w:rPr>
              <w:t xml:space="preserve">zpracovávány výhradně za tímto účelem. Jsou </w:t>
            </w:r>
            <w:r>
              <w:t>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33</w:t>
      </w:r>
      <w:r>
        <w:rPr>
          <w:rStyle w:val="HideTWBExt"/>
        </w:rPr>
        <w:t>&lt;/NumAm&gt;</w:t>
      </w:r>
    </w:p>
    <w:p w:rsidR="00F21BA6" w:rsidRPr="000E0C4C" w:rsidRDefault="004A4677" w:rsidP="00F21BA6">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10 – odst.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3.</w:t>
            </w:r>
            <w:r>
              <w:tab/>
            </w:r>
            <w:r>
              <w:rPr>
                <w:b/>
                <w:i/>
              </w:rPr>
              <w:t>Pokud to není nutné pro zpracovávání údajů</w:t>
            </w:r>
            <w:r w:rsidR="0081461F">
              <w:rPr>
                <w:b/>
                <w:i/>
              </w:rPr>
              <w:t xml:space="preserve"> v </w:t>
            </w:r>
            <w:r>
              <w:rPr>
                <w:b/>
                <w:i/>
              </w:rPr>
              <w:t>souladu</w:t>
            </w:r>
            <w:r w:rsidR="0081461F">
              <w:rPr>
                <w:b/>
                <w:i/>
              </w:rPr>
              <w:t xml:space="preserve"> s </w:t>
            </w:r>
            <w:r>
              <w:rPr>
                <w:b/>
                <w:i/>
              </w:rPr>
              <w:t>unijním</w:t>
            </w:r>
            <w:r w:rsidR="0081461F">
              <w:rPr>
                <w:b/>
                <w:i/>
              </w:rPr>
              <w:t xml:space="preserve"> a </w:t>
            </w:r>
            <w:r>
              <w:rPr>
                <w:b/>
                <w:i/>
              </w:rPr>
              <w:t>vnitrostátním právem,</w:t>
            </w:r>
            <w:r>
              <w:t xml:space="preserve"> biometrické identifikátory uchovávané pro účely personalizace průkazů totožnosti nebo povolení</w:t>
            </w:r>
            <w:r w:rsidR="0081461F">
              <w:t xml:space="preserve"> k </w:t>
            </w:r>
            <w:r>
              <w:t>pobytu jsou 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c>
          <w:tcPr>
            <w:tcW w:w="4876" w:type="dxa"/>
            <w:tcBorders>
              <w:top w:val="nil"/>
              <w:left w:val="nil"/>
              <w:bottom w:val="nil"/>
              <w:right w:val="nil"/>
            </w:tcBorders>
          </w:tcPr>
          <w:p w:rsidR="00F21BA6" w:rsidRPr="000E0C4C" w:rsidRDefault="004A4677" w:rsidP="00F21BA6">
            <w:pPr>
              <w:pStyle w:val="Normal6a"/>
            </w:pPr>
            <w:r>
              <w:t>3.</w:t>
            </w:r>
            <w:r>
              <w:tab/>
              <w:t>Biometrické identifikátory uchovávané pro účely personalizace průkazů totožnosti nebo povolení</w:t>
            </w:r>
            <w:r w:rsidR="0081461F">
              <w:t xml:space="preserve"> k </w:t>
            </w:r>
            <w:r>
              <w:t xml:space="preserve">pobytu jsou </w:t>
            </w:r>
            <w:r>
              <w:rPr>
                <w:b/>
                <w:i/>
              </w:rPr>
              <w:t>zpracovávány výhradně za tímto účelem</w:t>
            </w:r>
            <w:r w:rsidR="0081461F">
              <w:rPr>
                <w:b/>
                <w:i/>
              </w:rPr>
              <w:t xml:space="preserve"> a </w:t>
            </w:r>
            <w:r>
              <w:rPr>
                <w:b/>
                <w:i/>
              </w:rPr>
              <w:t xml:space="preserve">jsou </w:t>
            </w:r>
            <w:r>
              <w:t>uchovávány vysoce zabezpečeným způsobem</w:t>
            </w:r>
            <w:r w:rsidR="0081461F">
              <w:t xml:space="preserve"> a </w:t>
            </w:r>
            <w:r>
              <w:t>pouze do dne převzetí dokladu, nejdéle však do 90 dnů ode dne vydání dokladu. Po uplynutí této lhůty musí být biometrické identifikátory okamžitě vymazány nebo zničeny.</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34</w:t>
      </w:r>
      <w:r>
        <w:rPr>
          <w:rStyle w:val="HideTWBExt"/>
        </w:rPr>
        <w:t>&lt;/NumAm&gt;</w:t>
      </w:r>
    </w:p>
    <w:p w:rsidR="00F21BA6" w:rsidRPr="000E0C4C" w:rsidRDefault="004A4677" w:rsidP="00F21BA6">
      <w:pPr>
        <w:pStyle w:val="NormalBold"/>
      </w:pPr>
      <w:r>
        <w:rPr>
          <w:rStyle w:val="HideTWBExt"/>
          <w:b w:val="0"/>
        </w:rPr>
        <w:t>&lt;RepeatBlock-By&gt;&lt;Members&gt;</w:t>
      </w:r>
      <w:r>
        <w:t>Tomáš Zdechovský</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11 – odst.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4.</w:t>
            </w:r>
            <w:r>
              <w:tab/>
              <w:t>Spolupráce</w:t>
            </w:r>
            <w:r w:rsidR="0081461F">
              <w:t xml:space="preserve"> s </w:t>
            </w:r>
            <w:r>
              <w:t>externími poskytovateli služeb nevylučuje odpovědnost členského státu</w:t>
            </w:r>
            <w:r>
              <w:rPr>
                <w:b/>
                <w:i/>
              </w:rPr>
              <w:t>, která mu může vzniknout podle unijního nebo vnitrostátního práva</w:t>
            </w:r>
            <w:r w:rsidR="0081461F">
              <w:rPr>
                <w:b/>
                <w:i/>
              </w:rPr>
              <w:t xml:space="preserve"> v </w:t>
            </w:r>
            <w:r>
              <w:rPr>
                <w:b/>
                <w:i/>
              </w:rPr>
              <w:t>případě porušení povinností ohledně osobních</w:t>
            </w:r>
            <w:r>
              <w:t xml:space="preserve"> údajů.</w:t>
            </w:r>
          </w:p>
        </w:tc>
        <w:tc>
          <w:tcPr>
            <w:tcW w:w="4876" w:type="dxa"/>
            <w:tcBorders>
              <w:top w:val="nil"/>
              <w:left w:val="nil"/>
              <w:bottom w:val="nil"/>
              <w:right w:val="nil"/>
            </w:tcBorders>
          </w:tcPr>
          <w:p w:rsidR="00F21BA6" w:rsidRPr="000E0C4C" w:rsidRDefault="004A4677" w:rsidP="00F21BA6">
            <w:pPr>
              <w:pStyle w:val="Normal6a"/>
            </w:pPr>
            <w:r>
              <w:t>4.</w:t>
            </w:r>
            <w:r>
              <w:tab/>
              <w:t>Spolupráce</w:t>
            </w:r>
            <w:r w:rsidR="0081461F">
              <w:t xml:space="preserve"> s </w:t>
            </w:r>
            <w:r>
              <w:t>externími poskytovateli služeb nevylučuje odpovědnost členského státu</w:t>
            </w:r>
            <w:r>
              <w:rPr>
                <w:b/>
                <w:i/>
              </w:rPr>
              <w:t>. Členské státy zajistí, aby všichni externí poskytovatelé dodržovali unijní</w:t>
            </w:r>
            <w:r w:rsidR="0081461F">
              <w:rPr>
                <w:b/>
                <w:i/>
              </w:rPr>
              <w:t xml:space="preserve"> a </w:t>
            </w:r>
            <w:r>
              <w:rPr>
                <w:b/>
                <w:i/>
              </w:rPr>
              <w:t>vnitrostátní právní předpisy</w:t>
            </w:r>
            <w:r w:rsidR="0081461F">
              <w:rPr>
                <w:b/>
                <w:i/>
              </w:rPr>
              <w:t xml:space="preserve"> o </w:t>
            </w:r>
            <w:r>
              <w:rPr>
                <w:b/>
                <w:i/>
              </w:rPr>
              <w:t>ochraně</w:t>
            </w:r>
            <w:r>
              <w:t xml:space="preserve"> údajů</w:t>
            </w:r>
            <w:r>
              <w:rPr>
                <w:b/>
                <w:i/>
              </w:rPr>
              <w:t>, přičemž by měla být přijata další opatření</w:t>
            </w:r>
            <w:r w:rsidR="0081461F">
              <w:rPr>
                <w:b/>
                <w:i/>
              </w:rPr>
              <w:t xml:space="preserve"> s </w:t>
            </w:r>
            <w:r>
              <w:rPr>
                <w:b/>
                <w:i/>
              </w:rPr>
              <w:t>cílem zabránit jakémukoli neoprávněnému přístupu</w:t>
            </w:r>
            <w:r w:rsidR="0081461F">
              <w:rPr>
                <w:b/>
                <w:i/>
              </w:rPr>
              <w:t xml:space="preserve"> k </w:t>
            </w:r>
            <w:r>
              <w:rPr>
                <w:b/>
                <w:i/>
              </w:rPr>
              <w:t>osobním údajům nebo jejich zneužití během externě zajišťovaných procesů</w:t>
            </w:r>
            <w:r>
              <w:t>.</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35</w:t>
      </w:r>
      <w:r w:rsidRPr="004A4677">
        <w:rPr>
          <w:rStyle w:val="HideTWBExt"/>
          <w:b w:val="0"/>
        </w:rPr>
        <w:t>&lt;/NumAm&gt;</w:t>
      </w:r>
    </w:p>
    <w:p w:rsidR="00F21BA6" w:rsidRPr="000E0C4C" w:rsidRDefault="004A4677" w:rsidP="00F21BA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Čl. 11 – odst. 6 – pododstavec 1 – návětí</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4A4677" w:rsidP="00F21BA6">
            <w:pPr>
              <w:pStyle w:val="Normal6"/>
            </w:pPr>
            <w:r>
              <w:rPr>
                <w:b/>
                <w:i/>
              </w:rPr>
              <w:t>Biometrické údaje</w:t>
            </w:r>
            <w:r>
              <w:t xml:space="preserve"> uchovávané na paměťovém médiu průkazů totožnosti</w:t>
            </w:r>
            <w:r w:rsidR="0081461F">
              <w:t xml:space="preserve"> a </w:t>
            </w:r>
            <w:r>
              <w:t>povolení</w:t>
            </w:r>
            <w:r w:rsidR="0081461F">
              <w:t xml:space="preserve"> k </w:t>
            </w:r>
            <w:r>
              <w:t xml:space="preserve">pobytu jsou </w:t>
            </w:r>
            <w:r>
              <w:rPr>
                <w:b/>
                <w:i/>
              </w:rPr>
              <w:t>používány</w:t>
            </w:r>
            <w:r>
              <w:t xml:space="preserve"> pouze</w:t>
            </w:r>
            <w:r w:rsidR="0081461F">
              <w:t xml:space="preserve"> v </w:t>
            </w:r>
            <w:r>
              <w:t>souladu</w:t>
            </w:r>
            <w:r w:rsidR="0081461F">
              <w:t xml:space="preserve"> s </w:t>
            </w:r>
            <w:r>
              <w:rPr>
                <w:b/>
                <w:i/>
              </w:rPr>
              <w:t>unijním</w:t>
            </w:r>
            <w:r w:rsidR="0081461F">
              <w:rPr>
                <w:b/>
                <w:i/>
              </w:rPr>
              <w:t xml:space="preserve"> a </w:t>
            </w:r>
            <w:r>
              <w:rPr>
                <w:b/>
                <w:i/>
              </w:rPr>
              <w:t>vnitrostátním právem</w:t>
            </w:r>
            <w:r>
              <w:t xml:space="preserve"> pro účely ověření:</w:t>
            </w:r>
          </w:p>
        </w:tc>
        <w:tc>
          <w:tcPr>
            <w:tcW w:w="4876" w:type="dxa"/>
          </w:tcPr>
          <w:p w:rsidR="00F21BA6" w:rsidRPr="000E0C4C" w:rsidRDefault="004A4677" w:rsidP="00F21BA6">
            <w:pPr>
              <w:pStyle w:val="Normal6"/>
              <w:rPr>
                <w:szCs w:val="24"/>
              </w:rPr>
            </w:pPr>
            <w:r>
              <w:rPr>
                <w:b/>
                <w:i/>
              </w:rPr>
              <w:t>Zobrazení obličeje držitele</w:t>
            </w:r>
            <w:r>
              <w:t xml:space="preserve"> uchovávané na paměťovém médiu průkazů totožnosti</w:t>
            </w:r>
            <w:r w:rsidR="0081461F">
              <w:t xml:space="preserve"> a </w:t>
            </w:r>
            <w:r>
              <w:t>povolení</w:t>
            </w:r>
            <w:r w:rsidR="0081461F">
              <w:t xml:space="preserve"> k </w:t>
            </w:r>
            <w:r>
              <w:t xml:space="preserve">pobytu jsou </w:t>
            </w:r>
            <w:r>
              <w:rPr>
                <w:b/>
                <w:i/>
              </w:rPr>
              <w:t>přístupná</w:t>
            </w:r>
            <w:r>
              <w:t xml:space="preserve"> pouze </w:t>
            </w:r>
            <w:r>
              <w:rPr>
                <w:b/>
                <w:i/>
              </w:rPr>
              <w:t>řádně zmocněným pracovníkům příslušných vnitrostátních orgánů, agentur Unie</w:t>
            </w:r>
            <w:r w:rsidR="0081461F">
              <w:rPr>
                <w:b/>
                <w:i/>
              </w:rPr>
              <w:t xml:space="preserve"> a </w:t>
            </w:r>
            <w:r>
              <w:rPr>
                <w:b/>
                <w:i/>
              </w:rPr>
              <w:t>soukromých subjektů</w:t>
            </w:r>
            <w:r w:rsidR="0081461F">
              <w:rPr>
                <w:b/>
                <w:i/>
              </w:rPr>
              <w:t xml:space="preserve"> v </w:t>
            </w:r>
            <w:r>
              <w:t>souladu</w:t>
            </w:r>
            <w:r w:rsidR="0081461F">
              <w:t xml:space="preserve"> s </w:t>
            </w:r>
            <w:r>
              <w:rPr>
                <w:b/>
                <w:i/>
              </w:rPr>
              <w:t>právními předpisy Unie</w:t>
            </w:r>
            <w:r w:rsidR="0081461F">
              <w:rPr>
                <w:b/>
                <w:i/>
              </w:rPr>
              <w:t xml:space="preserve"> v </w:t>
            </w:r>
            <w:r>
              <w:rPr>
                <w:b/>
                <w:i/>
              </w:rPr>
              <w:t>oblasti ochrany údajů</w:t>
            </w:r>
            <w:r>
              <w:t xml:space="preserve"> pro účely ověření:</w:t>
            </w:r>
          </w:p>
        </w:tc>
      </w:tr>
    </w:tbl>
    <w:p w:rsidR="00F21BA6" w:rsidRPr="004A4677" w:rsidRDefault="004A4677" w:rsidP="00F21BA6">
      <w:pPr>
        <w:pStyle w:val="Olang"/>
        <w:rPr>
          <w:sz w:val="24"/>
          <w:szCs w:val="24"/>
        </w:rPr>
      </w:pPr>
      <w:r w:rsidRPr="004A4677">
        <w:rPr>
          <w:sz w:val="24"/>
          <w:szCs w:val="24"/>
        </w:rPr>
        <w:t xml:space="preserve">Or. </w:t>
      </w:r>
      <w:r w:rsidRPr="004A4677">
        <w:rPr>
          <w:rStyle w:val="HideTWBExt"/>
        </w:rPr>
        <w:t>&lt;Original&gt;</w:t>
      </w:r>
      <w:r w:rsidRPr="004A4677">
        <w:rPr>
          <w:rStyle w:val="HideTWBInt"/>
          <w:sz w:val="24"/>
          <w:szCs w:val="24"/>
        </w:rPr>
        <w:t>{EN}</w:t>
      </w:r>
      <w:r w:rsidRPr="004A4677">
        <w:rPr>
          <w:sz w:val="24"/>
          <w:szCs w:val="24"/>
        </w:rPr>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36</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11 – odst. 6 – pododstavec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Biometrické údaje uchovávané na paměťovém médiu průkazů totožnosti</w:t>
            </w:r>
            <w:r w:rsidR="0081461F">
              <w:t xml:space="preserve"> a </w:t>
            </w:r>
            <w:r>
              <w:t>povolení</w:t>
            </w:r>
            <w:r w:rsidR="0081461F">
              <w:t xml:space="preserve"> k </w:t>
            </w:r>
            <w:r>
              <w:t>pobytu jsou používány pouze</w:t>
            </w:r>
            <w:r w:rsidR="0081461F">
              <w:t xml:space="preserve"> v </w:t>
            </w:r>
            <w:r>
              <w:t>souladu</w:t>
            </w:r>
            <w:r w:rsidR="0081461F">
              <w:t xml:space="preserve"> s </w:t>
            </w:r>
            <w:r>
              <w:t>unijním</w:t>
            </w:r>
            <w:r w:rsidR="0081461F">
              <w:t xml:space="preserve"> a </w:t>
            </w:r>
            <w:r>
              <w:t>vnitrostátním právem pro účely ověření:</w:t>
            </w:r>
          </w:p>
        </w:tc>
        <w:tc>
          <w:tcPr>
            <w:tcW w:w="4876" w:type="dxa"/>
            <w:tcBorders>
              <w:top w:val="nil"/>
              <w:left w:val="nil"/>
              <w:bottom w:val="nil"/>
              <w:right w:val="nil"/>
            </w:tcBorders>
          </w:tcPr>
          <w:p w:rsidR="00F21BA6" w:rsidRPr="000E0C4C" w:rsidRDefault="004A4677" w:rsidP="00F21BA6">
            <w:pPr>
              <w:pStyle w:val="Normal6a"/>
            </w:pPr>
            <w:r>
              <w:t>Biometrické údaje uchovávané na paměťovém médiu průkazů totožnosti</w:t>
            </w:r>
            <w:r w:rsidR="0081461F">
              <w:t xml:space="preserve"> a </w:t>
            </w:r>
            <w:r>
              <w:t>povolení</w:t>
            </w:r>
            <w:r w:rsidR="0081461F">
              <w:t xml:space="preserve"> k </w:t>
            </w:r>
            <w:r>
              <w:t>pobytu jsou používány pouze</w:t>
            </w:r>
            <w:r w:rsidR="0081461F">
              <w:t xml:space="preserve"> v </w:t>
            </w:r>
            <w:r>
              <w:t>souladu</w:t>
            </w:r>
            <w:r w:rsidR="0081461F">
              <w:t xml:space="preserve"> s </w:t>
            </w:r>
            <w:r>
              <w:t>unijním</w:t>
            </w:r>
            <w:r w:rsidR="0081461F">
              <w:t xml:space="preserve"> a </w:t>
            </w:r>
            <w:r>
              <w:t xml:space="preserve">vnitrostátním právem </w:t>
            </w:r>
            <w:r>
              <w:rPr>
                <w:b/>
                <w:i/>
              </w:rPr>
              <w:t>řádně zmocněnými pracovníky příslušných vnitrostátních orgánů</w:t>
            </w:r>
            <w:r w:rsidR="0081461F">
              <w:rPr>
                <w:b/>
                <w:i/>
              </w:rPr>
              <w:t xml:space="preserve"> a </w:t>
            </w:r>
            <w:r>
              <w:rPr>
                <w:b/>
                <w:i/>
              </w:rPr>
              <w:t xml:space="preserve">agentur Unie </w:t>
            </w:r>
            <w:r>
              <w:t>pro účely ověření:</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37</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11 – odst. 6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Ke dvěma otiskům prstů uloženým na paměťovém médiu mají přístup pouze řádně zmocnění pracovníci příslušných vnitrostátních orgánů</w:t>
            </w:r>
            <w:r w:rsidR="0081461F">
              <w:rPr>
                <w:b/>
                <w:i/>
              </w:rPr>
              <w:t xml:space="preserve"> a </w:t>
            </w:r>
            <w:r>
              <w:rPr>
                <w:b/>
                <w:i/>
              </w:rPr>
              <w:t>agentur Unie.</w:t>
            </w:r>
          </w:p>
        </w:tc>
        <w:tc>
          <w:tcPr>
            <w:tcW w:w="4876" w:type="dxa"/>
            <w:tcBorders>
              <w:top w:val="nil"/>
              <w:left w:val="nil"/>
              <w:bottom w:val="nil"/>
              <w:right w:val="nil"/>
            </w:tcBorders>
          </w:tcPr>
          <w:p w:rsidR="00F21BA6" w:rsidRPr="000E0C4C" w:rsidRDefault="004A4677" w:rsidP="00F21BA6">
            <w:pPr>
              <w:pStyle w:val="Normal6a"/>
            </w:pPr>
            <w:r>
              <w:rPr>
                <w:b/>
                <w:i/>
              </w:rPr>
              <w:t>vypouští se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pPr>
        <w:pStyle w:val="AmJustTitle"/>
      </w:pPr>
      <w:r>
        <w:rPr>
          <w:rStyle w:val="HideTWBExt"/>
        </w:rPr>
        <w:t>&lt;TitreJust&gt;</w:t>
      </w:r>
      <w:r>
        <w:t>Odůvodnění</w:t>
      </w:r>
      <w:r>
        <w:rPr>
          <w:rStyle w:val="HideTWBExt"/>
        </w:rPr>
        <w:t>&lt;/TitreJust&gt;</w:t>
      </w:r>
    </w:p>
    <w:p w:rsidR="00F21BA6" w:rsidRPr="000E0C4C" w:rsidRDefault="004A4677" w:rsidP="00F21BA6">
      <w:pPr>
        <w:pStyle w:val="AmJustText"/>
      </w:pPr>
      <w:r>
        <w:t>Oba typy biometrických údajů, otisky prstů</w:t>
      </w:r>
      <w:r w:rsidR="0081461F">
        <w:t xml:space="preserve"> a </w:t>
      </w:r>
      <w:r>
        <w:t>zobrazení obličeje, se použijí pouze pro účely tohoto nařízení</w:t>
      </w:r>
      <w:r w:rsidR="0081461F">
        <w:t xml:space="preserve"> a </w:t>
      </w:r>
      <w:r>
        <w:t>mohou je používat pouze řádně zmocnění pracovníci příslušných vnitrostátních orgánů</w:t>
      </w:r>
      <w:r w:rsidR="0081461F">
        <w:t xml:space="preserve"> a </w:t>
      </w:r>
      <w:r>
        <w:t>agentur Unie. Cílem tohoto vypuštění je zajistit, aby zobrazení obličeje nebyla</w:t>
      </w:r>
      <w:r w:rsidR="0081461F">
        <w:t xml:space="preserve"> z </w:t>
      </w:r>
      <w:r>
        <w:t>ustanovení vyloučena,</w:t>
      </w:r>
      <w:r w:rsidR="0081461F">
        <w:t xml:space="preserve"> a </w:t>
      </w:r>
      <w:r>
        <w:t>tudíž nebylo možné, aby je držitelé průkazů používali pro účely identifikace vůči soukromým subjektům, což by těmto subjektům prostřednictvím tohoto nařízení umožnilo přístup</w:t>
      </w:r>
      <w:r w:rsidR="0081461F">
        <w:t xml:space="preserve"> k </w:t>
      </w:r>
      <w:r>
        <w:t>citlivému biometrickému obsahu.</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38</w:t>
      </w:r>
      <w:r>
        <w:rPr>
          <w:rStyle w:val="HideTWBExt"/>
        </w:rPr>
        <w:t>&lt;/NumAm&gt;</w:t>
      </w:r>
    </w:p>
    <w:p w:rsidR="00F21BA6" w:rsidRPr="000E0C4C" w:rsidRDefault="004A4677" w:rsidP="00F21BA6">
      <w:pPr>
        <w:pStyle w:val="NormalBold"/>
      </w:pPr>
      <w:r>
        <w:rPr>
          <w:rStyle w:val="HideTWBExt"/>
          <w:b w:val="0"/>
        </w:rPr>
        <w:t>&lt;RepeatBlock-By&gt;&lt;Members&gt;</w:t>
      </w:r>
      <w:r>
        <w:t>Anna Strolenberg</w:t>
      </w:r>
      <w:r>
        <w:rPr>
          <w:rStyle w:val="HideTWBExt"/>
          <w:b w:val="0"/>
        </w:rPr>
        <w:t>&lt;/Members&gt;</w:t>
      </w:r>
    </w:p>
    <w:p w:rsidR="00F21BA6" w:rsidRPr="000E0C4C" w:rsidRDefault="004A4677" w:rsidP="00F21BA6">
      <w:r>
        <w:rPr>
          <w:rStyle w:val="HideTWBExt"/>
        </w:rPr>
        <w:t>&lt;AuNomDe&gt;</w:t>
      </w:r>
      <w:r>
        <w:rPr>
          <w:rStyle w:val="HideTWBInt"/>
          <w:color w:val="auto"/>
        </w:rPr>
        <w:t>{Greens/EFA}</w:t>
      </w:r>
      <w:r>
        <w:t>za skupinu Verts/ALE</w:t>
      </w:r>
      <w:r>
        <w:rPr>
          <w:rStyle w:val="HideTWBExt"/>
        </w:rPr>
        <w:t>&lt;/AuNomDe&gt;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11 – odst. 6 – pododstavec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Ke dvěma otiskům prstů</w:t>
            </w:r>
            <w:r>
              <w:t xml:space="preserve"> uloženým na paměťovém médiu mají přístup pouze řádně zmocnění pracovníci příslušných vnitrostátních orgánů</w:t>
            </w:r>
            <w:r w:rsidR="0081461F">
              <w:t xml:space="preserve"> a </w:t>
            </w:r>
            <w:r>
              <w:t>agentur Unie.</w:t>
            </w:r>
          </w:p>
        </w:tc>
        <w:tc>
          <w:tcPr>
            <w:tcW w:w="4876" w:type="dxa"/>
            <w:tcBorders>
              <w:top w:val="nil"/>
              <w:left w:val="nil"/>
              <w:bottom w:val="nil"/>
              <w:right w:val="nil"/>
            </w:tcBorders>
          </w:tcPr>
          <w:p w:rsidR="00F21BA6" w:rsidRPr="000E0C4C" w:rsidRDefault="004A4677" w:rsidP="00F21BA6">
            <w:pPr>
              <w:pStyle w:val="Normal6a"/>
            </w:pPr>
            <w:r>
              <w:rPr>
                <w:b/>
                <w:i/>
              </w:rPr>
              <w:t>K biometrickým údajům</w:t>
            </w:r>
            <w:r>
              <w:t xml:space="preserve"> uloženým na paměťovém médiu mají přístup pouze řádně zmocnění pracovníci příslušných vnitrostátních orgánů</w:t>
            </w:r>
            <w:r w:rsidR="0081461F">
              <w:t xml:space="preserve"> a </w:t>
            </w:r>
            <w:r>
              <w:t>agentur Unie.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0"/>
        <w:keepNext/>
      </w:pPr>
      <w:r w:rsidRPr="004A4677">
        <w:rPr>
          <w:rStyle w:val="HideTWBExt"/>
          <w:b w:val="0"/>
        </w:rPr>
        <w:t>&lt;Amend&gt;</w:t>
      </w:r>
      <w:r>
        <w:t>Pozměňovací návrh</w:t>
      </w:r>
      <w:r>
        <w:tab/>
      </w:r>
      <w:r>
        <w:tab/>
      </w:r>
      <w:r w:rsidRPr="004A4677">
        <w:rPr>
          <w:rStyle w:val="HideTWBExt"/>
          <w:b w:val="0"/>
        </w:rPr>
        <w:t>&lt;NumAm&gt;</w:t>
      </w:r>
      <w:r>
        <w:t>39</w:t>
      </w:r>
      <w:r w:rsidRPr="004A4677">
        <w:rPr>
          <w:rStyle w:val="HideTWBExt"/>
          <w:b w:val="0"/>
        </w:rPr>
        <w:t>&lt;/NumAm&gt;</w:t>
      </w:r>
    </w:p>
    <w:p w:rsidR="00F21BA6" w:rsidRPr="000E0C4C" w:rsidRDefault="004A4677" w:rsidP="00F21BA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F21BA6" w:rsidRPr="000E0C4C" w:rsidRDefault="004A4677" w:rsidP="00F21BA6">
      <w:r>
        <w:rPr>
          <w:rStyle w:val="HideTWBExt"/>
        </w:rPr>
        <w:t>&lt;/RepeatBlock-By&gt;</w:t>
      </w:r>
    </w:p>
    <w:p w:rsidR="00F21BA6" w:rsidRPr="000E0C4C" w:rsidRDefault="004A4677" w:rsidP="00F21BA6">
      <w:pPr>
        <w:pStyle w:val="NormalBold"/>
        <w:keepNext/>
      </w:pPr>
      <w:r>
        <w:rPr>
          <w:rStyle w:val="HideTWBExt"/>
          <w:b w:val="0"/>
        </w:rPr>
        <w:t>&lt;DocAmend&gt;</w:t>
      </w:r>
      <w:r>
        <w:t>Návrh nařízení</w:t>
      </w:r>
      <w:r>
        <w:rPr>
          <w:rStyle w:val="HideTWBExt"/>
          <w:b w:val="0"/>
        </w:rPr>
        <w:t>&lt;/DocAmend&gt;</w:t>
      </w:r>
    </w:p>
    <w:p w:rsidR="00F21BA6" w:rsidRPr="000E0C4C" w:rsidRDefault="004A4677" w:rsidP="00F21BA6">
      <w:pPr>
        <w:pStyle w:val="NormalBold"/>
      </w:pPr>
      <w:r>
        <w:rPr>
          <w:rStyle w:val="HideTWBExt"/>
          <w:b w:val="0"/>
        </w:rPr>
        <w:t>&lt;Article&gt;</w:t>
      </w:r>
      <w:r>
        <w:t>Čl. 11 – odst. 6 – pododstavec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624105" w:rsidTr="00F21BA6">
        <w:trPr>
          <w:jc w:val="center"/>
        </w:trPr>
        <w:tc>
          <w:tcPr>
            <w:tcW w:w="9752" w:type="dxa"/>
            <w:gridSpan w:val="2"/>
          </w:tcPr>
          <w:p w:rsidR="00F21BA6" w:rsidRPr="000E0C4C" w:rsidRDefault="00F21BA6" w:rsidP="00F21BA6">
            <w:pPr>
              <w:keepNext/>
            </w:pPr>
          </w:p>
        </w:tc>
      </w:tr>
      <w:tr w:rsidR="00624105" w:rsidTr="00F21BA6">
        <w:trPr>
          <w:jc w:val="center"/>
        </w:trPr>
        <w:tc>
          <w:tcPr>
            <w:tcW w:w="4876" w:type="dxa"/>
          </w:tcPr>
          <w:p w:rsidR="00F21BA6" w:rsidRPr="000E0C4C" w:rsidRDefault="004A4677" w:rsidP="00F21BA6">
            <w:pPr>
              <w:pStyle w:val="ColumnHeading"/>
              <w:keepNext/>
            </w:pPr>
            <w:r>
              <w:t>Znění navržené Komisí</w:t>
            </w:r>
          </w:p>
        </w:tc>
        <w:tc>
          <w:tcPr>
            <w:tcW w:w="4876" w:type="dxa"/>
          </w:tcPr>
          <w:p w:rsidR="00F21BA6" w:rsidRPr="000E0C4C" w:rsidRDefault="004A4677" w:rsidP="00F21BA6">
            <w:pPr>
              <w:pStyle w:val="ColumnHeading"/>
              <w:keepNext/>
            </w:pPr>
            <w:r>
              <w:t>Pozměňovací návrh</w:t>
            </w:r>
          </w:p>
        </w:tc>
      </w:tr>
      <w:tr w:rsidR="00624105" w:rsidTr="00F21BA6">
        <w:trPr>
          <w:jc w:val="center"/>
        </w:trPr>
        <w:tc>
          <w:tcPr>
            <w:tcW w:w="4876" w:type="dxa"/>
          </w:tcPr>
          <w:p w:rsidR="00F21BA6" w:rsidRPr="000E0C4C" w:rsidRDefault="004A4677" w:rsidP="00F21BA6">
            <w:pPr>
              <w:pStyle w:val="Normal6"/>
            </w:pPr>
            <w:r>
              <w:t>Ke dvěma otiskům prstů uloženým na paměťovém médiu mají přístup pouze řádně zmocnění pracovníci příslušných vnitrostátních orgánů</w:t>
            </w:r>
            <w:r w:rsidR="0081461F">
              <w:t xml:space="preserve"> a </w:t>
            </w:r>
            <w:r>
              <w:t>agentur Unie.</w:t>
            </w:r>
          </w:p>
        </w:tc>
        <w:tc>
          <w:tcPr>
            <w:tcW w:w="4876" w:type="dxa"/>
          </w:tcPr>
          <w:p w:rsidR="00F21BA6" w:rsidRPr="000E0C4C" w:rsidRDefault="004A4677" w:rsidP="00F21BA6">
            <w:pPr>
              <w:pStyle w:val="Normal6"/>
              <w:rPr>
                <w:szCs w:val="24"/>
              </w:rPr>
            </w:pPr>
            <w:r>
              <w:t xml:space="preserve">Ke dvěma otiskům prstů </w:t>
            </w:r>
            <w:r>
              <w:rPr>
                <w:b/>
                <w:i/>
              </w:rPr>
              <w:t xml:space="preserve">držitele </w:t>
            </w:r>
            <w:r>
              <w:t>uloženým na paměťovém médiu mají přístup pouze řádně zmocnění pracovníci příslušných vnitrostátních orgánů</w:t>
            </w:r>
            <w:r w:rsidR="0081461F">
              <w:t xml:space="preserve"> a </w:t>
            </w:r>
            <w:r>
              <w:t>agentur Unie</w:t>
            </w:r>
            <w:r>
              <w:rPr>
                <w:b/>
                <w:i/>
              </w:rPr>
              <w:t xml:space="preserve"> pro účely uvedené</w:t>
            </w:r>
            <w:r w:rsidR="0081461F">
              <w:rPr>
                <w:b/>
                <w:i/>
              </w:rPr>
              <w:t xml:space="preserve"> v </w:t>
            </w:r>
            <w:r>
              <w:rPr>
                <w:b/>
                <w:i/>
              </w:rPr>
              <w:t>prvním pododstavci</w:t>
            </w:r>
            <w:r w:rsidR="0081461F">
              <w:rPr>
                <w:b/>
                <w:i/>
              </w:rPr>
              <w:t xml:space="preserve"> v </w:t>
            </w:r>
            <w:r>
              <w:rPr>
                <w:b/>
                <w:i/>
              </w:rPr>
              <w:t>souladu</w:t>
            </w:r>
            <w:r w:rsidR="0081461F">
              <w:rPr>
                <w:b/>
                <w:i/>
              </w:rPr>
              <w:t xml:space="preserve"> s </w:t>
            </w:r>
            <w:r>
              <w:rPr>
                <w:b/>
                <w:i/>
              </w:rPr>
              <w:t>unijními</w:t>
            </w:r>
            <w:r w:rsidR="0081461F">
              <w:rPr>
                <w:b/>
                <w:i/>
              </w:rPr>
              <w:t xml:space="preserve"> a </w:t>
            </w:r>
            <w:r>
              <w:rPr>
                <w:b/>
                <w:i/>
              </w:rPr>
              <w:t>vnitrostátními právními předpisy</w:t>
            </w:r>
            <w:r w:rsidR="0081461F">
              <w:rPr>
                <w:b/>
                <w:i/>
              </w:rPr>
              <w:t xml:space="preserve"> o </w:t>
            </w:r>
            <w:r>
              <w:rPr>
                <w:b/>
                <w:i/>
              </w:rPr>
              <w:t>ochraně údajů</w:t>
            </w:r>
            <w:r>
              <w:t>.</w:t>
            </w:r>
          </w:p>
        </w:tc>
      </w:tr>
    </w:tbl>
    <w:p w:rsidR="00F21BA6" w:rsidRPr="004A4677" w:rsidRDefault="004A4677" w:rsidP="00F21BA6">
      <w:pPr>
        <w:pStyle w:val="Olang"/>
        <w:rPr>
          <w:sz w:val="24"/>
          <w:szCs w:val="24"/>
        </w:rPr>
      </w:pPr>
      <w:r w:rsidRPr="004A4677">
        <w:rPr>
          <w:sz w:val="24"/>
          <w:szCs w:val="24"/>
        </w:rPr>
        <w:t xml:space="preserve">Or. </w:t>
      </w:r>
      <w:r w:rsidRPr="004A4677">
        <w:rPr>
          <w:rStyle w:val="HideTWBExt"/>
        </w:rPr>
        <w:t>&lt;Original&gt;</w:t>
      </w:r>
      <w:r w:rsidRPr="004A4677">
        <w:rPr>
          <w:rStyle w:val="HideTWBInt"/>
          <w:sz w:val="24"/>
          <w:szCs w:val="24"/>
        </w:rPr>
        <w:t>{EN}</w:t>
      </w:r>
      <w:r w:rsidRPr="004A4677">
        <w:rPr>
          <w:sz w:val="24"/>
          <w:szCs w:val="24"/>
        </w:rPr>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40</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11 – odst. 6 – pododstavec 2</w:t>
      </w:r>
      <w:r w:rsidR="0081461F">
        <w:t xml:space="preserve"> a </w:t>
      </w:r>
      <w:r>
        <w:t>(nový)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Členské státy vedou seznam příslušných vnitrostátních orgánů, které mají přístup</w:t>
            </w:r>
            <w:r w:rsidR="0081461F">
              <w:rPr>
                <w:b/>
                <w:i/>
              </w:rPr>
              <w:t xml:space="preserve"> k </w:t>
            </w:r>
            <w:r>
              <w:rPr>
                <w:b/>
                <w:i/>
              </w:rPr>
              <w:t>biometrickým údajům uloženým na paměťovém médiu uvedeném</w:t>
            </w:r>
            <w:r w:rsidR="0081461F">
              <w:rPr>
                <w:b/>
                <w:i/>
              </w:rPr>
              <w:t xml:space="preserve"> v </w:t>
            </w:r>
            <w:r>
              <w:rPr>
                <w:b/>
                <w:i/>
              </w:rPr>
              <w:t>čl. 3 odst. 5,</w:t>
            </w:r>
            <w:r w:rsidR="0081461F">
              <w:rPr>
                <w:b/>
                <w:i/>
              </w:rPr>
              <w:t xml:space="preserve"> a </w:t>
            </w:r>
            <w:r>
              <w:rPr>
                <w:b/>
                <w:i/>
              </w:rPr>
              <w:t>každoročně jej předkládají Komisi. Komise zveřejňuje souhrn těchto vnitrostátních seznamů na internetu.</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41</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Hodnocení</w:t>
            </w:r>
          </w:p>
        </w:tc>
        <w:tc>
          <w:tcPr>
            <w:tcW w:w="4876" w:type="dxa"/>
            <w:tcBorders>
              <w:top w:val="nil"/>
              <w:left w:val="nil"/>
              <w:bottom w:val="nil"/>
              <w:right w:val="nil"/>
            </w:tcBorders>
          </w:tcPr>
          <w:p w:rsidR="00F21BA6" w:rsidRPr="000E0C4C" w:rsidRDefault="004A4677" w:rsidP="00F21BA6">
            <w:pPr>
              <w:pStyle w:val="Normal6a"/>
            </w:pPr>
            <w:r>
              <w:rPr>
                <w:b/>
                <w:i/>
              </w:rPr>
              <w:t>Podávání zpráv</w:t>
            </w:r>
            <w:r w:rsidR="0081461F">
              <w:rPr>
                <w:b/>
                <w:i/>
              </w:rPr>
              <w:t xml:space="preserve"> a </w:t>
            </w:r>
            <w:r>
              <w:t>hodnocení</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42</w:t>
      </w:r>
      <w:r>
        <w:rPr>
          <w:rStyle w:val="HideTWBExt"/>
        </w:rPr>
        <w:t>&lt;/NumAm&gt;</w:t>
      </w:r>
    </w:p>
    <w:p w:rsidR="00F21BA6" w:rsidRPr="000E0C4C" w:rsidRDefault="004A4677" w:rsidP="00F21BA6">
      <w:pPr>
        <w:pStyle w:val="NormalBold"/>
      </w:pPr>
      <w:r>
        <w:rPr>
          <w:rStyle w:val="HideTWBExt"/>
          <w:b w:val="0"/>
        </w:rPr>
        <w:t>&lt;RepeatBlock-By&gt;&lt;Members&gt;</w:t>
      </w:r>
      <w:r>
        <w:t>Estrella Galán</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w:t>
            </w:r>
            <w:r>
              <w:tab/>
            </w:r>
            <w:r>
              <w:rPr>
                <w:b/>
                <w:i/>
              </w:rPr>
              <w:t>Nejdříve [</w:t>
            </w:r>
            <w:r>
              <w:t>šest let od vstupu tohoto nařízení</w:t>
            </w:r>
            <w:r w:rsidR="0081461F">
              <w:t xml:space="preserve"> v </w:t>
            </w:r>
            <w:r>
              <w:t>platnost</w:t>
            </w:r>
            <w:r>
              <w:rPr>
                <w:b/>
                <w:bCs/>
                <w:i/>
                <w:iCs/>
              </w:rPr>
              <w:t>]</w:t>
            </w:r>
            <w:r>
              <w:t xml:space="preserve">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 xml:space="preserve">sociálnímu výboru. </w:t>
            </w:r>
            <w:r>
              <w:rPr>
                <w:b/>
                <w:i/>
              </w:rPr>
              <w:t>Zpráva se zaměří</w:t>
            </w:r>
            <w:r>
              <w:t xml:space="preserve"> zejména </w:t>
            </w:r>
            <w:r>
              <w:rPr>
                <w:b/>
                <w:i/>
              </w:rPr>
              <w:t>na:</w:t>
            </w:r>
          </w:p>
        </w:tc>
        <w:tc>
          <w:tcPr>
            <w:tcW w:w="4876" w:type="dxa"/>
            <w:tcBorders>
              <w:top w:val="nil"/>
              <w:left w:val="nil"/>
              <w:bottom w:val="nil"/>
              <w:right w:val="nil"/>
            </w:tcBorders>
          </w:tcPr>
          <w:p w:rsidR="00F21BA6" w:rsidRPr="000E0C4C" w:rsidRDefault="004A4677" w:rsidP="00F21BA6">
            <w:pPr>
              <w:pStyle w:val="Normal6a"/>
            </w:pPr>
            <w:r>
              <w:t>1.</w:t>
            </w:r>
            <w:r>
              <w:tab/>
            </w:r>
            <w:r>
              <w:rPr>
                <w:b/>
                <w:i/>
              </w:rPr>
              <w:t>Po dvou</w:t>
            </w:r>
            <w:r w:rsidR="0081461F">
              <w:rPr>
                <w:b/>
                <w:i/>
              </w:rPr>
              <w:t xml:space="preserve"> a </w:t>
            </w:r>
            <w:r>
              <w:rPr>
                <w:b/>
                <w:i/>
              </w:rPr>
              <w:t>jedenácti letech ode dne použitelnosti tohoto nařízení podá Komise Evropskému parlamentu, Radě</w:t>
            </w:r>
            <w:r w:rsidR="0081461F">
              <w:rPr>
                <w:b/>
                <w:i/>
              </w:rPr>
              <w:t xml:space="preserve"> a </w:t>
            </w:r>
            <w:r>
              <w:rPr>
                <w:b/>
                <w:i/>
              </w:rPr>
              <w:t>Evropskému hospodářskému</w:t>
            </w:r>
            <w:r w:rsidR="0081461F">
              <w:rPr>
                <w:b/>
                <w:i/>
              </w:rPr>
              <w:t xml:space="preserve"> a </w:t>
            </w:r>
            <w:r>
              <w:rPr>
                <w:b/>
                <w:i/>
              </w:rPr>
              <w:t>sociálnímu výboru zprávu</w:t>
            </w:r>
            <w:r w:rsidR="0081461F">
              <w:rPr>
                <w:b/>
                <w:i/>
              </w:rPr>
              <w:t xml:space="preserve"> o </w:t>
            </w:r>
            <w:r>
              <w:rPr>
                <w:b/>
                <w:i/>
              </w:rPr>
              <w:t>provádění tohoto nařízení, zejména pokud jde</w:t>
            </w:r>
            <w:r w:rsidR="0081461F">
              <w:rPr>
                <w:b/>
                <w:i/>
              </w:rPr>
              <w:t xml:space="preserve"> o </w:t>
            </w:r>
            <w:r>
              <w:rPr>
                <w:b/>
                <w:i/>
              </w:rPr>
              <w:t>ochranu základních práv</w:t>
            </w:r>
            <w:r w:rsidR="0081461F">
              <w:rPr>
                <w:b/>
                <w:i/>
              </w:rPr>
              <w:t xml:space="preserve"> a </w:t>
            </w:r>
            <w:r>
              <w:rPr>
                <w:b/>
                <w:i/>
              </w:rPr>
              <w:t>osobních údajů.</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t>Šest let od vstupu tohoto nařízení</w:t>
            </w:r>
            <w:r w:rsidR="0081461F">
              <w:t xml:space="preserve"> v </w:t>
            </w:r>
            <w:r>
              <w:t>platnost</w:t>
            </w:r>
            <w:r w:rsidR="0081461F">
              <w:t xml:space="preserve"> a </w:t>
            </w:r>
            <w:r>
              <w:rPr>
                <w:b/>
                <w:bCs/>
                <w:i/>
                <w:iCs/>
              </w:rPr>
              <w:t>poté každých šest let</w:t>
            </w:r>
            <w:r>
              <w:t xml:space="preserve">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 xml:space="preserve">sociálnímu výboru. </w:t>
            </w:r>
            <w:r>
              <w:rPr>
                <w:b/>
                <w:i/>
              </w:rPr>
              <w:t>Zpráva se zaměří zejména na:</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43</w:t>
      </w:r>
      <w:r>
        <w:rPr>
          <w:rStyle w:val="HideTWBExt"/>
        </w:rPr>
        <w:t>&lt;/NumAm&gt;</w:t>
      </w:r>
    </w:p>
    <w:p w:rsidR="00F21BA6" w:rsidRPr="000E0C4C" w:rsidRDefault="004A4677" w:rsidP="00F21BA6">
      <w:pPr>
        <w:pStyle w:val="NormalBold"/>
      </w:pPr>
      <w:r>
        <w:rPr>
          <w:rStyle w:val="HideTWBExt"/>
          <w:b w:val="0"/>
        </w:rPr>
        <w:t>&lt;RepeatBlock-By&gt;&lt;Members&gt;</w:t>
      </w:r>
      <w:r>
        <w:t>Malik Azmani</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w:t>
            </w:r>
            <w:r>
              <w:tab/>
            </w:r>
            <w:r>
              <w:rPr>
                <w:b/>
                <w:i/>
              </w:rPr>
              <w:t>Nejdříve [</w:t>
            </w:r>
            <w:r>
              <w:t>šest let od vstupu tohoto nařízení</w:t>
            </w:r>
            <w:r w:rsidR="0081461F">
              <w:t xml:space="preserve"> v </w:t>
            </w:r>
            <w:r>
              <w:t>platnost</w:t>
            </w:r>
            <w:r>
              <w:rPr>
                <w:b/>
                <w:i/>
              </w:rPr>
              <w:t>]</w:t>
            </w:r>
            <w:r>
              <w:t xml:space="preserve">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sociálnímu výboru. Zpráva se zaměří zejména na:</w:t>
            </w:r>
          </w:p>
        </w:tc>
        <w:tc>
          <w:tcPr>
            <w:tcW w:w="4876" w:type="dxa"/>
            <w:tcBorders>
              <w:top w:val="nil"/>
              <w:left w:val="nil"/>
              <w:bottom w:val="nil"/>
              <w:right w:val="nil"/>
            </w:tcBorders>
          </w:tcPr>
          <w:p w:rsidR="00F21BA6" w:rsidRPr="000E0C4C" w:rsidRDefault="004A4677" w:rsidP="00F21BA6">
            <w:pPr>
              <w:pStyle w:val="Normal6a"/>
            </w:pPr>
            <w:r>
              <w:t>1.</w:t>
            </w:r>
            <w:r>
              <w:tab/>
            </w:r>
            <w:r>
              <w:rPr>
                <w:b/>
                <w:i/>
              </w:rPr>
              <w:t>Po dvou</w:t>
            </w:r>
            <w:r w:rsidR="0081461F">
              <w:rPr>
                <w:b/>
                <w:i/>
              </w:rPr>
              <w:t xml:space="preserve"> a </w:t>
            </w:r>
            <w:r>
              <w:rPr>
                <w:b/>
                <w:i/>
              </w:rPr>
              <w:t>jedenácti letech ode dne použitelnosti tohoto nařízení podá Komise Evropskému parlamentu</w:t>
            </w:r>
            <w:r w:rsidR="0081461F">
              <w:rPr>
                <w:b/>
                <w:i/>
              </w:rPr>
              <w:t xml:space="preserve"> a </w:t>
            </w:r>
            <w:r>
              <w:rPr>
                <w:b/>
                <w:i/>
              </w:rPr>
              <w:t>Radě zprávu</w:t>
            </w:r>
            <w:r w:rsidR="0081461F">
              <w:rPr>
                <w:b/>
                <w:i/>
              </w:rPr>
              <w:t xml:space="preserve"> o </w:t>
            </w:r>
            <w:r>
              <w:rPr>
                <w:b/>
                <w:i/>
              </w:rPr>
              <w:t>provádění tohoto nařízení, zejména pokud jde</w:t>
            </w:r>
            <w:r w:rsidR="0081461F">
              <w:rPr>
                <w:b/>
                <w:i/>
              </w:rPr>
              <w:t xml:space="preserve"> o </w:t>
            </w:r>
            <w:r>
              <w:rPr>
                <w:b/>
                <w:i/>
              </w:rPr>
              <w:t>ochranu základních práv</w:t>
            </w:r>
            <w:r w:rsidR="0081461F">
              <w:rPr>
                <w:b/>
                <w:i/>
              </w:rPr>
              <w:t xml:space="preserve"> a </w:t>
            </w:r>
            <w:r>
              <w:rPr>
                <w:b/>
                <w:i/>
              </w:rPr>
              <w:t>osobních údajů.</w:t>
            </w:r>
            <w:r>
              <w:t xml:space="preserve"> Šest let od vstupu tohoto nařízení</w:t>
            </w:r>
            <w:r w:rsidR="0081461F">
              <w:t xml:space="preserve"> v </w:t>
            </w:r>
            <w:r>
              <w:t>platnost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sociálnímu výboru. Zpráva se zaměří zejména na:</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44</w:t>
      </w:r>
      <w:r>
        <w:rPr>
          <w:rStyle w:val="HideTWBExt"/>
        </w:rPr>
        <w:t>&lt;/NumAm&gt;</w:t>
      </w:r>
    </w:p>
    <w:p w:rsidR="00F21BA6" w:rsidRPr="000E0C4C" w:rsidRDefault="004A4677" w:rsidP="00F21BA6">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odst. 1 – návětí</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t>1.</w:t>
            </w:r>
            <w:r>
              <w:tab/>
            </w:r>
            <w:r>
              <w:rPr>
                <w:b/>
                <w:i/>
              </w:rPr>
              <w:t>Nejdříve</w:t>
            </w:r>
            <w:r>
              <w:t xml:space="preserve"> [šest let od vstupu tohoto nařízení</w:t>
            </w:r>
            <w:r w:rsidR="0081461F">
              <w:t xml:space="preserve"> v </w:t>
            </w:r>
            <w:r>
              <w:t>platnost]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sociálnímu výboru. Zpráva se zaměří zejména na:</w:t>
            </w:r>
          </w:p>
        </w:tc>
        <w:tc>
          <w:tcPr>
            <w:tcW w:w="4876" w:type="dxa"/>
            <w:tcBorders>
              <w:top w:val="nil"/>
              <w:left w:val="nil"/>
              <w:bottom w:val="nil"/>
              <w:right w:val="nil"/>
            </w:tcBorders>
          </w:tcPr>
          <w:p w:rsidR="00F21BA6" w:rsidRPr="000E0C4C" w:rsidRDefault="004A4677" w:rsidP="00F21BA6">
            <w:pPr>
              <w:pStyle w:val="Normal6a"/>
            </w:pPr>
            <w:r>
              <w:t>1.</w:t>
            </w:r>
            <w:r>
              <w:tab/>
            </w:r>
            <w:r>
              <w:rPr>
                <w:b/>
                <w:i/>
              </w:rPr>
              <w:t>Do</w:t>
            </w:r>
            <w:r>
              <w:t xml:space="preserve"> [šest let od vstupu tohoto nařízení</w:t>
            </w:r>
            <w:r w:rsidR="0081461F">
              <w:t xml:space="preserve"> v </w:t>
            </w:r>
            <w:r>
              <w:t>platnost] provede Komise hodnocení tohoto nařízení</w:t>
            </w:r>
            <w:r w:rsidR="0081461F">
              <w:t xml:space="preserve"> a </w:t>
            </w:r>
            <w:r>
              <w:t>předloží zprávu</w:t>
            </w:r>
            <w:r w:rsidR="0081461F">
              <w:t xml:space="preserve"> o </w:t>
            </w:r>
            <w:r>
              <w:t>hlavních zjištěních Evropskému parlamentu, Radě</w:t>
            </w:r>
            <w:r w:rsidR="0081461F">
              <w:t xml:space="preserve"> a </w:t>
            </w:r>
            <w:r>
              <w:t>Evropskému hospodářskému</w:t>
            </w:r>
            <w:r w:rsidR="0081461F">
              <w:t xml:space="preserve"> a </w:t>
            </w:r>
            <w:r>
              <w:t>sociálnímu výboru. Zpráva se zaměří zejména na:</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45</w:t>
      </w:r>
      <w:r>
        <w:rPr>
          <w:rStyle w:val="HideTWBExt"/>
        </w:rPr>
        <w:t>&lt;/NumAm&gt;</w:t>
      </w:r>
    </w:p>
    <w:p w:rsidR="00F21BA6" w:rsidRPr="000E0C4C" w:rsidRDefault="004A4677" w:rsidP="00F21BA6">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odst. 1 – písm.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4A4677" w:rsidP="00F21BA6">
            <w:pPr>
              <w:pStyle w:val="Normal6a"/>
            </w:pPr>
            <w:r>
              <w:rPr>
                <w:b/>
                <w:i/>
              </w:rPr>
              <w:t>a)</w:t>
            </w:r>
            <w:r>
              <w:tab/>
            </w:r>
            <w:r>
              <w:rPr>
                <w:b/>
                <w:i/>
              </w:rPr>
              <w:t>dopad tohoto nařízení na základní práva;</w:t>
            </w:r>
          </w:p>
        </w:tc>
        <w:tc>
          <w:tcPr>
            <w:tcW w:w="4876" w:type="dxa"/>
            <w:tcBorders>
              <w:top w:val="nil"/>
              <w:left w:val="nil"/>
              <w:bottom w:val="nil"/>
              <w:right w:val="nil"/>
            </w:tcBorders>
          </w:tcPr>
          <w:p w:rsidR="00F21BA6" w:rsidRPr="000E0C4C" w:rsidRDefault="004A4677" w:rsidP="00F21BA6">
            <w:pPr>
              <w:pStyle w:val="Normal6a"/>
            </w:pPr>
            <w:r>
              <w:rPr>
                <w:b/>
                <w:i/>
              </w:rPr>
              <w:t>vypouští se</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21BA6" w:rsidRPr="000E0C4C" w:rsidRDefault="004A4677" w:rsidP="00F21BA6">
      <w:pPr>
        <w:pStyle w:val="AmNumberTabs"/>
      </w:pPr>
      <w:r>
        <w:rPr>
          <w:rStyle w:val="HideTWBExt"/>
        </w:rPr>
        <w:t>&lt;Amend&gt;</w:t>
      </w:r>
      <w:r>
        <w:t>Pozměňovací návrh</w:t>
      </w:r>
      <w:r>
        <w:tab/>
      </w:r>
      <w:r>
        <w:tab/>
      </w:r>
      <w:r>
        <w:rPr>
          <w:rStyle w:val="HideTWBExt"/>
        </w:rPr>
        <w:t>&lt;NumAm&gt;</w:t>
      </w:r>
      <w:r>
        <w:t>46</w:t>
      </w:r>
      <w:r>
        <w:rPr>
          <w:rStyle w:val="HideTWBExt"/>
        </w:rPr>
        <w:t>&lt;/NumAm&gt;</w:t>
      </w:r>
    </w:p>
    <w:p w:rsidR="00F21BA6" w:rsidRPr="000E0C4C" w:rsidRDefault="004A4677" w:rsidP="00F21BA6">
      <w:pPr>
        <w:pStyle w:val="NormalBold"/>
      </w:pPr>
      <w:r>
        <w:rPr>
          <w:rStyle w:val="HideTWBExt"/>
          <w:b w:val="0"/>
        </w:rPr>
        <w:t>&lt;RepeatBlock-By&gt;&lt;Members&gt;</w:t>
      </w:r>
      <w:r>
        <w:t>Malik Azmani</w:t>
      </w:r>
      <w:r>
        <w:rPr>
          <w:rStyle w:val="HideTWBExt"/>
          <w:b w:val="0"/>
        </w:rPr>
        <w:t>&lt;/Members&gt;</w:t>
      </w:r>
    </w:p>
    <w:p w:rsidR="00F21BA6" w:rsidRPr="000E0C4C" w:rsidRDefault="004A4677" w:rsidP="00F21BA6">
      <w:pPr>
        <w:pStyle w:val="NormalBold"/>
      </w:pPr>
      <w:r>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lang w:val="fr-FR"/>
        </w:rPr>
        <w:t>&lt;Article&gt;</w:t>
      </w:r>
      <w:r>
        <w:t>Čl. 13 – odst. 1 – písm. d</w:t>
      </w:r>
      <w:r w:rsidR="0081461F">
        <w:t xml:space="preserve"> a </w:t>
      </w:r>
      <w:r>
        <w:t>(nové)</w:t>
      </w:r>
      <w:r>
        <w:rPr>
          <w:rStyle w:val="HideTWBExt"/>
          <w:lang w:val="fr-FR"/>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pPr>
              <w:rPr>
                <w:lang w:val="fr-FR"/>
              </w:rPr>
            </w:pPr>
          </w:p>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da)</w:t>
            </w:r>
            <w:r>
              <w:tab/>
            </w:r>
            <w:r>
              <w:rPr>
                <w:b/>
                <w:i/>
              </w:rPr>
              <w:t>nutnost zavést společné bezpečnostní prvky pro přechodně vydávané identifikační doklady, aby je bylo možné lépe rozpoznávat.</w:t>
            </w:r>
          </w:p>
        </w:tc>
      </w:tr>
    </w:tbl>
    <w:p w:rsidR="00F21BA6" w:rsidRPr="004A4677" w:rsidRDefault="004A4677" w:rsidP="00F21BA6">
      <w:pPr>
        <w:pStyle w:val="AmOrLang"/>
      </w:pPr>
      <w:r w:rsidRPr="004A4677">
        <w:t xml:space="preserve">Or. </w:t>
      </w:r>
      <w:r w:rsidRPr="004A4677">
        <w:rPr>
          <w:rStyle w:val="HideTWBExt"/>
        </w:rPr>
        <w:t>&lt;Original&gt;</w:t>
      </w:r>
      <w:r w:rsidRPr="004A4677">
        <w:rPr>
          <w:rStyle w:val="HideTWBInt"/>
        </w:rPr>
        <w:t>{EN}</w:t>
      </w:r>
      <w:r w:rsidRPr="004A4677">
        <w:t>en</w:t>
      </w:r>
      <w:r w:rsidRPr="004A4677">
        <w:rPr>
          <w:rStyle w:val="HideTWBExt"/>
        </w:rPr>
        <w:t>&lt;/Original&gt;</w:t>
      </w:r>
    </w:p>
    <w:p w:rsidR="00F21BA6" w:rsidRPr="000E0C4C" w:rsidRDefault="004A4677" w:rsidP="00F21BA6">
      <w:r w:rsidRPr="004A4677">
        <w:rPr>
          <w:rStyle w:val="HideTWBExt"/>
        </w:rPr>
        <w:t>&lt;/Amend&gt;</w:t>
      </w:r>
    </w:p>
    <w:p w:rsidR="00F21BA6" w:rsidRPr="000E0C4C" w:rsidRDefault="004A4677" w:rsidP="00F21BA6">
      <w:pPr>
        <w:pStyle w:val="AmNumberTabs"/>
      </w:pPr>
      <w:r w:rsidRPr="004A4677">
        <w:rPr>
          <w:rStyle w:val="HideTWBExt"/>
        </w:rPr>
        <w:t>&lt;Amend&gt;</w:t>
      </w:r>
      <w:r>
        <w:t>Pozměňovací návrh</w:t>
      </w:r>
      <w:r>
        <w:tab/>
      </w:r>
      <w:r>
        <w:tab/>
      </w:r>
      <w:r w:rsidRPr="004A4677">
        <w:rPr>
          <w:rStyle w:val="HideTWBExt"/>
        </w:rPr>
        <w:t>&lt;NumAm&gt;</w:t>
      </w:r>
      <w:r>
        <w:t>47</w:t>
      </w:r>
      <w:r w:rsidRPr="004A4677">
        <w:rPr>
          <w:rStyle w:val="HideTWBExt"/>
        </w:rPr>
        <w:t>&lt;/NumAm&gt;</w:t>
      </w:r>
    </w:p>
    <w:p w:rsidR="00F21BA6" w:rsidRPr="000E0C4C" w:rsidRDefault="004A4677" w:rsidP="00F21BA6">
      <w:pPr>
        <w:pStyle w:val="NormalBold"/>
      </w:pPr>
      <w:r w:rsidRPr="004A4677">
        <w:rPr>
          <w:rStyle w:val="HideTWBExt"/>
          <w:b w:val="0"/>
        </w:rPr>
        <w:t>&lt;RepeatBlock-By&gt;&lt;Members&gt;</w:t>
      </w:r>
      <w:r>
        <w:t>Estrella Galán</w:t>
      </w:r>
      <w:r w:rsidRPr="004A4677">
        <w:rPr>
          <w:rStyle w:val="HideTWBExt"/>
          <w:b w:val="0"/>
        </w:rPr>
        <w:t>&lt;/Members&gt;</w:t>
      </w:r>
    </w:p>
    <w:p w:rsidR="00F21BA6" w:rsidRPr="000E0C4C" w:rsidRDefault="004A4677" w:rsidP="00F21BA6">
      <w:pPr>
        <w:pStyle w:val="NormalBold"/>
      </w:pPr>
      <w:r w:rsidRPr="004A4677">
        <w:rPr>
          <w:rStyle w:val="HideTWBExt"/>
          <w:b w:val="0"/>
        </w:rPr>
        <w:t>&lt;/RepeatBlock-By&gt;</w:t>
      </w:r>
    </w:p>
    <w:p w:rsidR="00F21BA6" w:rsidRPr="000E0C4C" w:rsidRDefault="004A4677" w:rsidP="00F21BA6">
      <w:pPr>
        <w:pStyle w:val="NormalBold"/>
      </w:pPr>
      <w:r>
        <w:rPr>
          <w:rStyle w:val="HideTWBExt"/>
        </w:rPr>
        <w:t>&lt;DocAmend&gt;</w:t>
      </w:r>
      <w:r>
        <w:t>Návrh nařízení</w:t>
      </w:r>
      <w:r>
        <w:rPr>
          <w:rStyle w:val="HideTWBExt"/>
        </w:rPr>
        <w:t>&lt;/DocAmend&gt;</w:t>
      </w:r>
    </w:p>
    <w:p w:rsidR="00F21BA6" w:rsidRPr="000E0C4C" w:rsidRDefault="004A4677" w:rsidP="00F21BA6">
      <w:pPr>
        <w:pStyle w:val="NormalBold"/>
      </w:pPr>
      <w:r>
        <w:rPr>
          <w:rStyle w:val="HideTWBExt"/>
        </w:rPr>
        <w:t>&lt;Article&gt;</w:t>
      </w:r>
      <w:r>
        <w:t>Čl. 13 – odst. 1 – písm. d</w:t>
      </w:r>
      <w:r w:rsidR="0081461F">
        <w:t xml:space="preserve"> a </w:t>
      </w:r>
      <w:r>
        <w:t>(nové)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24105" w:rsidTr="00F21BA6">
        <w:trPr>
          <w:trHeight w:hRule="exact" w:val="240"/>
          <w:jc w:val="center"/>
        </w:trPr>
        <w:tc>
          <w:tcPr>
            <w:tcW w:w="9752" w:type="dxa"/>
            <w:gridSpan w:val="2"/>
            <w:tcBorders>
              <w:top w:val="nil"/>
              <w:left w:val="nil"/>
              <w:bottom w:val="nil"/>
              <w:right w:val="nil"/>
            </w:tcBorders>
          </w:tcPr>
          <w:p w:rsidR="00F21BA6" w:rsidRPr="000E0C4C" w:rsidRDefault="00F21BA6" w:rsidP="00F21BA6"/>
        </w:tc>
      </w:tr>
      <w:tr w:rsidR="00624105" w:rsidTr="00F21BA6">
        <w:trPr>
          <w:trHeight w:val="240"/>
          <w:jc w:val="center"/>
        </w:trPr>
        <w:tc>
          <w:tcPr>
            <w:tcW w:w="4876" w:type="dxa"/>
            <w:tcBorders>
              <w:top w:val="nil"/>
              <w:left w:val="nil"/>
              <w:bottom w:val="nil"/>
              <w:right w:val="nil"/>
            </w:tcBorders>
          </w:tcPr>
          <w:p w:rsidR="00F21BA6" w:rsidRPr="000E0C4C" w:rsidRDefault="004A4677" w:rsidP="00F21BA6">
            <w:pPr>
              <w:pStyle w:val="AmColumnHeading"/>
            </w:pPr>
            <w:r>
              <w:t>Znění navržené Komisí</w:t>
            </w:r>
          </w:p>
        </w:tc>
        <w:tc>
          <w:tcPr>
            <w:tcW w:w="4876" w:type="dxa"/>
            <w:tcBorders>
              <w:top w:val="nil"/>
              <w:left w:val="nil"/>
              <w:bottom w:val="nil"/>
              <w:right w:val="nil"/>
            </w:tcBorders>
          </w:tcPr>
          <w:p w:rsidR="00F21BA6" w:rsidRPr="000E0C4C" w:rsidRDefault="004A4677" w:rsidP="00F21BA6">
            <w:pPr>
              <w:pStyle w:val="AmColumnHeading"/>
            </w:pPr>
            <w:r>
              <w:t>Pozměňovací návrh</w:t>
            </w:r>
          </w:p>
        </w:tc>
      </w:tr>
      <w:tr w:rsidR="00624105" w:rsidTr="00F21BA6">
        <w:trPr>
          <w:jc w:val="center"/>
        </w:trPr>
        <w:tc>
          <w:tcPr>
            <w:tcW w:w="4876" w:type="dxa"/>
            <w:tcBorders>
              <w:top w:val="nil"/>
              <w:left w:val="nil"/>
              <w:bottom w:val="nil"/>
              <w:right w:val="nil"/>
            </w:tcBorders>
          </w:tcPr>
          <w:p w:rsidR="00F21BA6" w:rsidRPr="000E0C4C" w:rsidRDefault="00F21BA6" w:rsidP="00F21BA6">
            <w:pPr>
              <w:pStyle w:val="Normal6a"/>
            </w:pPr>
          </w:p>
        </w:tc>
        <w:tc>
          <w:tcPr>
            <w:tcW w:w="4876" w:type="dxa"/>
            <w:tcBorders>
              <w:top w:val="nil"/>
              <w:left w:val="nil"/>
              <w:bottom w:val="nil"/>
              <w:right w:val="nil"/>
            </w:tcBorders>
          </w:tcPr>
          <w:p w:rsidR="00F21BA6" w:rsidRPr="000E0C4C" w:rsidRDefault="004A4677" w:rsidP="00F21BA6">
            <w:pPr>
              <w:pStyle w:val="Normal6a"/>
            </w:pPr>
            <w:r>
              <w:rPr>
                <w:b/>
                <w:i/>
              </w:rPr>
              <w:t>da)</w:t>
            </w:r>
            <w:r>
              <w:tab/>
            </w:r>
            <w:r>
              <w:rPr>
                <w:b/>
                <w:i/>
              </w:rPr>
              <w:t>možnost použít pobytovou kartu jako cestovní doklad.</w:t>
            </w:r>
          </w:p>
        </w:tc>
      </w:tr>
    </w:tbl>
    <w:p w:rsidR="00F21BA6" w:rsidRPr="000E0C4C" w:rsidRDefault="004A4677" w:rsidP="00F21BA6">
      <w:pPr>
        <w:pStyle w:val="AmOrLang"/>
      </w:pPr>
      <w:r w:rsidRPr="000E0C4C">
        <w:t xml:space="preserve">Or. </w:t>
      </w:r>
      <w:r w:rsidRPr="000E0C4C">
        <w:rPr>
          <w:rStyle w:val="HideTWBExt"/>
        </w:rPr>
        <w:t>&lt;Original&gt;</w:t>
      </w:r>
      <w:r w:rsidRPr="000E0C4C">
        <w:rPr>
          <w:rStyle w:val="HideTWBInt"/>
        </w:rPr>
        <w:t>{EN}</w:t>
      </w:r>
      <w:r w:rsidRPr="000E0C4C">
        <w:t>en</w:t>
      </w:r>
      <w:r w:rsidRPr="000E0C4C">
        <w:rPr>
          <w:rStyle w:val="HideTWBExt"/>
        </w:rPr>
        <w:t>&lt;/Original&gt;</w:t>
      </w:r>
    </w:p>
    <w:p w:rsidR="00F21BA6" w:rsidRPr="000E0C4C" w:rsidRDefault="004A4677" w:rsidP="00F21BA6">
      <w:r>
        <w:rPr>
          <w:rStyle w:val="HideTWBExt"/>
        </w:rPr>
        <w:t>&lt;/Amend&gt;</w:t>
      </w:r>
    </w:p>
    <w:p w:rsidR="00FA192C" w:rsidRPr="009E1C11" w:rsidRDefault="004A4677" w:rsidP="00F21BA6">
      <w:r>
        <w:rPr>
          <w:rStyle w:val="HideTWBExt"/>
        </w:rPr>
        <w:t>&lt;/RepeatBlock-Amend&gt;</w:t>
      </w:r>
    </w:p>
    <w:bookmarkEnd w:id="1"/>
    <w:p w:rsidR="00FA192C" w:rsidRPr="009E1C11" w:rsidRDefault="00FA192C" w:rsidP="00FA192C"/>
    <w:p w:rsidR="008363E4" w:rsidRPr="009E1C11" w:rsidRDefault="008363E4" w:rsidP="00FA192C"/>
    <w:sectPr w:rsidR="008363E4" w:rsidRPr="009E1C11"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1377" w:rsidRDefault="004A4677">
      <w:r>
        <w:separator/>
      </w:r>
    </w:p>
  </w:endnote>
  <w:endnote w:type="continuationSeparator" w:id="0">
    <w:p w:rsidR="00F81377" w:rsidRDefault="004A4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BA6" w:rsidRPr="009E1C11" w:rsidRDefault="004A4677" w:rsidP="00EA25AE">
    <w:pPr>
      <w:pStyle w:val="EPFooter"/>
    </w:pPr>
    <w:r w:rsidRPr="009E1C11">
      <w:t>PE</w:t>
    </w:r>
    <w:r w:rsidRPr="009E1C11">
      <w:rPr>
        <w:rStyle w:val="HideTWBExt"/>
      </w:rPr>
      <w:t>&lt;NoPE&gt;</w:t>
    </w:r>
    <w:r w:rsidRPr="00F21BA6">
      <w:t>766.918</w:t>
    </w:r>
    <w:r w:rsidRPr="009E1C11">
      <w:rPr>
        <w:rStyle w:val="HideTWBExt"/>
      </w:rPr>
      <w:t>&lt;/NoPE&gt;&lt;Version&gt;</w:t>
    </w:r>
    <w:r w:rsidRPr="009E1C11">
      <w:t>v</w:t>
    </w:r>
    <w:r w:rsidRPr="00F21BA6">
      <w:t>02-00</w:t>
    </w:r>
    <w:r w:rsidRPr="009E1C11">
      <w:rPr>
        <w:rStyle w:val="HideTWBExt"/>
      </w:rPr>
      <w:t>&lt;/Version&gt;</w:t>
    </w:r>
    <w:r w:rsidRPr="009E1C11">
      <w:tab/>
    </w:r>
    <w:r w:rsidRPr="009E1C11">
      <w:fldChar w:fldCharType="begin"/>
    </w:r>
    <w:r w:rsidRPr="009E1C11">
      <w:instrText xml:space="preserve"> PAGE </w:instrText>
    </w:r>
    <w:r w:rsidRPr="009E1C11">
      <w:fldChar w:fldCharType="separate"/>
    </w:r>
    <w:r w:rsidR="00AB0AE9">
      <w:rPr>
        <w:noProof/>
      </w:rPr>
      <w:t>2</w:t>
    </w:r>
    <w:r w:rsidRPr="009E1C11">
      <w:fldChar w:fldCharType="end"/>
    </w:r>
    <w:r w:rsidRPr="009E1C11">
      <w:t>/</w:t>
    </w:r>
    <w:fldSimple w:instr=" NUMPAGES ">
      <w:r w:rsidR="00AB0AE9">
        <w:rPr>
          <w:noProof/>
        </w:rPr>
        <w:t>25</w:t>
      </w:r>
    </w:fldSimple>
    <w:r w:rsidRPr="009E1C11">
      <w:tab/>
    </w:r>
    <w:r w:rsidRPr="009E1C11">
      <w:rPr>
        <w:rStyle w:val="HideTWBExt"/>
      </w:rPr>
      <w:t>&lt;PathFdR&gt;</w:t>
    </w:r>
    <w:r w:rsidRPr="00F21BA6">
      <w:t>AM\1314148CS.docx</w:t>
    </w:r>
    <w:r w:rsidRPr="009E1C11">
      <w:rPr>
        <w:rStyle w:val="HideTWBExt"/>
      </w:rPr>
      <w:t>&lt;/PathFdR&gt;</w:t>
    </w:r>
  </w:p>
  <w:p w:rsidR="00F21BA6" w:rsidRPr="009E1C11" w:rsidRDefault="004A4677">
    <w:pPr>
      <w:pStyle w:val="EPFooter2"/>
    </w:pPr>
    <w:fldSimple w:instr=" DOCPROPERTY &quot;&lt;Extension&gt;&quot; ">
      <w:r w:rsidR="00AB0AE9">
        <w:t>CS</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BA6" w:rsidRPr="009E1C11" w:rsidRDefault="004A4677" w:rsidP="00EA25AE">
    <w:pPr>
      <w:pStyle w:val="EPFooter"/>
    </w:pPr>
    <w:r w:rsidRPr="009E1C11">
      <w:rPr>
        <w:rStyle w:val="HideTWBExt"/>
      </w:rPr>
      <w:t>&lt;PathFdR&gt;</w:t>
    </w:r>
    <w:r w:rsidRPr="00F21BA6">
      <w:t>AM\1314148CS.docx</w:t>
    </w:r>
    <w:r w:rsidRPr="009E1C11">
      <w:rPr>
        <w:rStyle w:val="HideTWBExt"/>
      </w:rPr>
      <w:t>&lt;/PathFdR&gt;</w:t>
    </w:r>
    <w:r w:rsidRPr="009E1C11">
      <w:tab/>
    </w:r>
    <w:r w:rsidRPr="009E1C11">
      <w:fldChar w:fldCharType="begin"/>
    </w:r>
    <w:r w:rsidRPr="009E1C11">
      <w:instrText xml:space="preserve"> PAGE </w:instrText>
    </w:r>
    <w:r w:rsidRPr="009E1C11">
      <w:fldChar w:fldCharType="separate"/>
    </w:r>
    <w:r w:rsidR="00AB0AE9">
      <w:rPr>
        <w:noProof/>
      </w:rPr>
      <w:t>25</w:t>
    </w:r>
    <w:r w:rsidRPr="009E1C11">
      <w:fldChar w:fldCharType="end"/>
    </w:r>
    <w:r w:rsidRPr="009E1C11">
      <w:t>/</w:t>
    </w:r>
    <w:fldSimple w:instr=" NUMPAGES ">
      <w:r w:rsidR="00AB0AE9">
        <w:rPr>
          <w:noProof/>
        </w:rPr>
        <w:t>25</w:t>
      </w:r>
    </w:fldSimple>
    <w:r w:rsidRPr="009E1C11">
      <w:tab/>
      <w:t>PE</w:t>
    </w:r>
    <w:r w:rsidRPr="009E1C11">
      <w:rPr>
        <w:rStyle w:val="HideTWBExt"/>
      </w:rPr>
      <w:t>&lt;NoPE&gt;</w:t>
    </w:r>
    <w:r w:rsidRPr="00F21BA6">
      <w:t>766.918</w:t>
    </w:r>
    <w:r w:rsidRPr="009E1C11">
      <w:rPr>
        <w:rStyle w:val="HideTWBExt"/>
      </w:rPr>
      <w:t>&lt;/NoPE&gt;&lt;Version&gt;</w:t>
    </w:r>
    <w:r w:rsidRPr="009E1C11">
      <w:t>v</w:t>
    </w:r>
    <w:r w:rsidRPr="00F21BA6">
      <w:t>02-00</w:t>
    </w:r>
    <w:r w:rsidRPr="009E1C11">
      <w:rPr>
        <w:rStyle w:val="HideTWBExt"/>
      </w:rPr>
      <w:t>&lt;/Version&gt;</w:t>
    </w:r>
  </w:p>
  <w:p w:rsidR="00F21BA6" w:rsidRPr="009E1C11" w:rsidRDefault="004A4677">
    <w:pPr>
      <w:pStyle w:val="EPFooter2"/>
    </w:pPr>
    <w:r w:rsidRPr="009E1C11">
      <w:tab/>
    </w:r>
    <w:r w:rsidRPr="009E1C11">
      <w:tab/>
    </w:r>
    <w:fldSimple w:instr=" DOCPROPERTY &quot;&lt;Extension&gt;&quot; ">
      <w:r w:rsidR="00AB0AE9">
        <w:t>CS</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1BA6" w:rsidRPr="009E1C11" w:rsidRDefault="004A4677" w:rsidP="00EA25AE">
    <w:pPr>
      <w:pStyle w:val="EPFooter"/>
    </w:pPr>
    <w:r w:rsidRPr="009E1C11">
      <w:rPr>
        <w:rStyle w:val="HideTWBExt"/>
      </w:rPr>
      <w:t>&lt;PathFdR&gt;</w:t>
    </w:r>
    <w:r w:rsidRPr="00F21BA6">
      <w:t>AM\1314148CS.docx</w:t>
    </w:r>
    <w:r w:rsidRPr="009E1C11">
      <w:rPr>
        <w:rStyle w:val="HideTWBExt"/>
      </w:rPr>
      <w:t>&lt;/PathFdR&gt;</w:t>
    </w:r>
    <w:r w:rsidRPr="009E1C11">
      <w:tab/>
    </w:r>
    <w:r w:rsidRPr="009E1C11">
      <w:tab/>
      <w:t>PE</w:t>
    </w:r>
    <w:r w:rsidRPr="009E1C11">
      <w:rPr>
        <w:rStyle w:val="HideTWBExt"/>
      </w:rPr>
      <w:t>&lt;NoPE&gt;</w:t>
    </w:r>
    <w:r w:rsidRPr="00F21BA6">
      <w:t>766.918</w:t>
    </w:r>
    <w:r w:rsidRPr="009E1C11">
      <w:rPr>
        <w:rStyle w:val="HideTWBExt"/>
      </w:rPr>
      <w:t>&lt;/NoPE&gt;&lt;Version&gt;</w:t>
    </w:r>
    <w:r w:rsidRPr="009E1C11">
      <w:t>v</w:t>
    </w:r>
    <w:r w:rsidRPr="00F21BA6">
      <w:t>02-00</w:t>
    </w:r>
    <w:r w:rsidRPr="009E1C11">
      <w:rPr>
        <w:rStyle w:val="HideTWBExt"/>
      </w:rPr>
      <w:t>&lt;/Version&gt;</w:t>
    </w:r>
  </w:p>
  <w:p w:rsidR="00F21BA6" w:rsidRPr="009E1C11" w:rsidRDefault="004A4677" w:rsidP="00CC3983">
    <w:pPr>
      <w:pStyle w:val="EPFooter2"/>
      <w:tabs>
        <w:tab w:val="clear" w:pos="4535"/>
        <w:tab w:val="center" w:pos="4536"/>
      </w:tabs>
    </w:pPr>
    <w:fldSimple w:instr=" DOCPROPERTY &quot;&lt;Extension&gt;&quot; ">
      <w:r w:rsidR="00AB0AE9">
        <w:t>CS</w:t>
      </w:r>
    </w:fldSimple>
    <w:r w:rsidRPr="009E1C11">
      <w:tab/>
    </w:r>
    <w:r>
      <w:rPr>
        <w:b w:val="0"/>
        <w:i/>
        <w:color w:val="C0C0C0"/>
        <w:sz w:val="22"/>
        <w:szCs w:val="22"/>
      </w:rPr>
      <w:t>Jednotná v rozmanitosti</w:t>
    </w:r>
    <w:r w:rsidRPr="009E1C11">
      <w:tab/>
    </w:r>
    <w:fldSimple w:instr=" DOCPROPERTY &quot;&lt;Extension&gt;&quot; ">
      <w:r w:rsidR="00AB0AE9">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1377" w:rsidRDefault="004A4677">
      <w:r>
        <w:separator/>
      </w:r>
    </w:p>
  </w:footnote>
  <w:footnote w:type="continuationSeparator" w:id="0">
    <w:p w:rsidR="00F81377" w:rsidRDefault="004A46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AE9" w:rsidRDefault="00AB0A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AE9" w:rsidRDefault="00AB0A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AE9" w:rsidRDefault="00AB0A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670F6E"/>
    <w:multiLevelType w:val="hybridMultilevel"/>
    <w:tmpl w:val="D982D3F0"/>
    <w:lvl w:ilvl="0" w:tplc="4106CF50">
      <w:numFmt w:val="bullet"/>
      <w:lvlText w:val="-"/>
      <w:lvlJc w:val="left"/>
      <w:pPr>
        <w:ind w:left="720" w:hanging="360"/>
      </w:pPr>
      <w:rPr>
        <w:rFonts w:ascii="Times New Roman" w:eastAsia="Times New Roman" w:hAnsi="Times New Roman" w:cs="Times New Roman" w:hint="default"/>
      </w:rPr>
    </w:lvl>
    <w:lvl w:ilvl="1" w:tplc="D6E2207A" w:tentative="1">
      <w:start w:val="1"/>
      <w:numFmt w:val="bullet"/>
      <w:lvlText w:val="o"/>
      <w:lvlJc w:val="left"/>
      <w:pPr>
        <w:ind w:left="1440" w:hanging="360"/>
      </w:pPr>
      <w:rPr>
        <w:rFonts w:ascii="Courier New" w:hAnsi="Courier New" w:cs="Courier New" w:hint="default"/>
      </w:rPr>
    </w:lvl>
    <w:lvl w:ilvl="2" w:tplc="703E7F4A" w:tentative="1">
      <w:start w:val="1"/>
      <w:numFmt w:val="bullet"/>
      <w:lvlText w:val=""/>
      <w:lvlJc w:val="left"/>
      <w:pPr>
        <w:ind w:left="2160" w:hanging="360"/>
      </w:pPr>
      <w:rPr>
        <w:rFonts w:ascii="Wingdings" w:hAnsi="Wingdings" w:hint="default"/>
      </w:rPr>
    </w:lvl>
    <w:lvl w:ilvl="3" w:tplc="BC42B0E2" w:tentative="1">
      <w:start w:val="1"/>
      <w:numFmt w:val="bullet"/>
      <w:lvlText w:val=""/>
      <w:lvlJc w:val="left"/>
      <w:pPr>
        <w:ind w:left="2880" w:hanging="360"/>
      </w:pPr>
      <w:rPr>
        <w:rFonts w:ascii="Symbol" w:hAnsi="Symbol" w:hint="default"/>
      </w:rPr>
    </w:lvl>
    <w:lvl w:ilvl="4" w:tplc="66FE9660" w:tentative="1">
      <w:start w:val="1"/>
      <w:numFmt w:val="bullet"/>
      <w:lvlText w:val="o"/>
      <w:lvlJc w:val="left"/>
      <w:pPr>
        <w:ind w:left="3600" w:hanging="360"/>
      </w:pPr>
      <w:rPr>
        <w:rFonts w:ascii="Courier New" w:hAnsi="Courier New" w:cs="Courier New" w:hint="default"/>
      </w:rPr>
    </w:lvl>
    <w:lvl w:ilvl="5" w:tplc="5D5A9E08" w:tentative="1">
      <w:start w:val="1"/>
      <w:numFmt w:val="bullet"/>
      <w:lvlText w:val=""/>
      <w:lvlJc w:val="left"/>
      <w:pPr>
        <w:ind w:left="4320" w:hanging="360"/>
      </w:pPr>
      <w:rPr>
        <w:rFonts w:ascii="Wingdings" w:hAnsi="Wingdings" w:hint="default"/>
      </w:rPr>
    </w:lvl>
    <w:lvl w:ilvl="6" w:tplc="0E7274A4" w:tentative="1">
      <w:start w:val="1"/>
      <w:numFmt w:val="bullet"/>
      <w:lvlText w:val=""/>
      <w:lvlJc w:val="left"/>
      <w:pPr>
        <w:ind w:left="5040" w:hanging="360"/>
      </w:pPr>
      <w:rPr>
        <w:rFonts w:ascii="Symbol" w:hAnsi="Symbol" w:hint="default"/>
      </w:rPr>
    </w:lvl>
    <w:lvl w:ilvl="7" w:tplc="1BC23B3A" w:tentative="1">
      <w:start w:val="1"/>
      <w:numFmt w:val="bullet"/>
      <w:lvlText w:val="o"/>
      <w:lvlJc w:val="left"/>
      <w:pPr>
        <w:ind w:left="5760" w:hanging="360"/>
      </w:pPr>
      <w:rPr>
        <w:rFonts w:ascii="Courier New" w:hAnsi="Courier New" w:cs="Courier New" w:hint="default"/>
      </w:rPr>
    </w:lvl>
    <w:lvl w:ilvl="8" w:tplc="ADAAC676"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2"/>
    <w:docVar w:name="COMMKEY" w:val="LIBE"/>
    <w:docVar w:name="DOCDT" w:val="31/01/2025"/>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093274 HideTWBExt;}{\*\cs18 \additive \v\f1\fs20\cf15 _x000d__x000a_\spriority0 \styrsid15093274 HideTWBInt;}{\s19\ql \li0\ri0\sa120\nowidctlpar\wrapdefault\aspalpha\aspnum\faauto\adjustright\rin0\lin0\itap0 \rtlch\fcs1 \af0\afs20\alang1025 \ltrch\fcs0 \fs24\lang1029\langfe2057\cgrid\langnp1029\langfenp2057 _x000d__x000a_\sbasedon0 \snext19 \spriority0 \styrsid15093274 Normal6a;}{\s20\ql \li0\ri0\nowidctlpar\wrapdefault\aspalpha\aspnum\faauto\adjustright\rin0\lin0\itap0 \rtlch\fcs1 \af0\afs20\alang1025 \ltrch\fcs0 \b\fs24\lang1029\langfe2057\cgrid\langnp1029\langfenp2057 _x000d__x000a_\sbasedon0 \snext20 \spriority0 \styrsid15093274 NormalBold;}{\s21\qr \li0\ri0\sb240\sa240\nowidctlpar\wrapdefault\aspalpha\aspnum\faauto\adjustright\rin0\lin0\itap0 \rtlch\fcs1 \af0\afs20\alang1025 \ltrch\fcs0 _x000d__x000a_\fs24\lang1029\langfe2057\cgrid\langnp1029\langfenp2057 \sbasedon0 \snext21 \spriority0 \styrsid15093274 AmOrLang;}{\s22\qc \li0\ri0\sa240\nowidctlpar\wrapdefault\aspalpha\aspnum\faauto\adjustright\rin0\lin0\itap0 \rtlch\fcs1 \af0\afs20\alang1025 _x000d__x000a_\ltrch\fcs0 \i\fs24\lang1029\langfe2057\cgrid\langnp1029\langfenp2057 \sbasedon0 \snext22 \spriority0 \styrsid1509327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3 \spriority0 \styrsid15093274 AmNumberTabs;}}{\*\rsidtbl \rsid24658\rsid223860\rsid735077\rsid1718133\rsid2892074\rsid3565327\rsid4666813\rsid6641733\rsid7823322_x000d__x000a_\rsid9636012\rsid10377208\rsid11215221\rsid11549030\rsid12154954\rsid14382809\rsid14424199\rsid14942370\rsid15093274\rsid15204470\rsid15285974\rsid15950462\rsid16324206\rsid16662270}{\mmathPr\mmathFont34\mbrkBin0\mbrkBinSub0\msmallFrac0\mdispDef1_x000d__x000a_\mlMargin0\mrMargin0\mdefJc1\mwrapIndent1440\mintLim0\mnaryLim1}{\info{\author SOCHOROVA Lenka}{\operator SOCHOROVA Lenka}{\creatim\yr2025\mo2\dy7\hr17\min11}{\revtim\yr2025\mo2\dy7\hr17\min11}{\version1}{\edmins0}{\nofpages1}{\nofwords70}{\nofchars422}_x000d__x000a_{\nofcharsws488}{\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093274\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14942370 \chftnsep _x000d__x000a_\par }}{\*\ftnsepc \ltrpar \pard\plain \ltrpar\ql \li0\ri0\widctlpar\wrapdefault\aspalpha\aspnum\faauto\adjustright\rin0\lin0\itap0 \rtlch\fcs1 \af0\afs20\alang1025 \ltrch\fcs0 \fs24\lang2057\langfe2057\cgrid\langnp2057\langfenp2057 {\rtlch\fcs1 \af0 _x000d__x000a_\ltrch\fcs0 \insrsid14942370 \chftnsepc _x000d__x000a_\par }}{\*\aftnsep \ltrpar \pard\plain \ltrpar\ql \li0\ri0\widctlpar\wrapdefault\aspalpha\aspnum\faauto\adjustright\rin0\lin0\itap0 \rtlch\fcs1 \af0\afs20\alang1025 \ltrch\fcs0 \fs24\lang2057\langfe2057\cgrid\langnp2057\langfenp2057 {\rtlch\fcs1 \af0 _x000d__x000a_\ltrch\fcs0 \insrsid14942370 \chftnsep _x000d__x000a_\par }}{\*\aftnsepc \ltrpar \pard\plain \ltrpar\ql \li0\ri0\widctlpar\wrapdefault\aspalpha\aspnum\faauto\adjustright\rin0\lin0\itap0 \rtlch\fcs1 \af0\afs20\alang1025 \ltrch\fcs0 \fs24\lang2057\langfe2057\cgrid\langnp2057\langfenp2057 {\rtlch\fcs1 \af0 _x000d__x000a_\ltrch\fcs0 \insrsid149423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093274 \rtlch\fcs1 _x000d__x000a_\af0\afs20\alang1025 \ltrch\fcs0 \b\fs24\lang1029\langfe2057\cgrid\langnp1029\langfenp2057 {\rtlch\fcs1 \af0 \ltrch\fcs0 \cs17\b0\v\fs20\cf9\lang1024\langfe1024\loch\af1\hich\af1\dbch\af31501\noproof\insrsid15093274\charrsid10361873 {\*\bkmkstart restartA_x000d__x000a_}\hich\af1\dbch\af31501\loch\f1 &lt;AmendA&gt;}{\rtlch\fcs1 \af339 \ltrch\fcs0 \f339\insrsid15093274\charrsid10361873 Pozm\'ec\'f2ovac\'ed n\'e1vrh}{\rtlch\fcs1 \af0 \ltrch\fcs0 \insrsid15093274\charrsid10361873 \tab \tab }{\rtlch\fcs1 \af0 \ltrch\fcs0 _x000d__x000a_\cs17\b0\v\fs20\cf9\lang1024\langfe1024\loch\af1\hich\af1\dbch\af31501\noproof\insrsid15093274\charrsid10361873 \hich\af1\dbch\af31501\loch\f1 &lt;NumAmA&gt;}{\rtlch\fcs1 \af0 \ltrch\fcs0 \insrsid15093274\charrsid10361873 #}{\rtlch\fcs1 \af1 \ltrch\fcs0 _x000d__x000a_\cs18\v\f1\fs20\cf15\insrsid15093274\charrsid10361873 ENMIENDA@NRAM@}{\rtlch\fcs1 \af0 \ltrch\fcs0 \insrsid15093274\charrsid10361873 #}{\rtlch\fcs1 \af0 \ltrch\fcs0 _x000d__x000a_\cs17\b0\v\fs20\cf9\lang1024\langfe1024\loch\af1\hich\af1\dbch\af31501\noproof\insrsid15093274\charrsid10361873 \hich\af1\dbch\af31501\loch\f1 &lt;/NumAmA&gt;}{\rtlch\fcs1 \af0 \ltrch\fcs0 \insrsid15093274\charrsid10361873 _x000d__x000a_\par }\pard\plain \ltrpar\s20\ql \li0\ri0\nowidctlpar\wrapdefault\aspalpha\aspnum\faauto\adjustright\rin0\lin0\itap0\pararsid15093274 \rtlch\fcs1 \af0\afs20\alang1025 \ltrch\fcs0 \b\fs24\lang1029\langfe2057\cgrid\langnp1029\langfenp2057 {\rtlch\fcs1 \af0 _x000d__x000a_\ltrch\fcs0 \cs17\b0\v\fs20\cf9\lang1024\langfe1024\loch\af1\hich\af1\dbch\af31501\noproof\insrsid15093274\charrsid10361873 \hich\af1\dbch\af31501\loch\f1 &lt;RepeatBlock-By&gt;}{\rtlch\fcs1 \af0 \ltrch\fcs0 \insrsid15093274\charrsid10361873 #}{\rtlch\fcs1 _x000d__x000a_\af1 \ltrch\fcs0 \cs18\v\f1\fs20\cf15\insrsid15093274\charrsid10361873 (MOD@InsideLoop()}{\rtlch\fcs1 \af0 \ltrch\fcs0 \insrsid15093274\charrsid10361873 ##}{\rtlch\fcs1 \af1 \ltrch\fcs0 \cs18\v\f1\fs20\cf15\insrsid15093274\charrsid10361873 _x000d__x000a_&gt;&gt;&gt;@[ZMEMBERSMSG]@}{\rtlch\fcs1 \af0 \ltrch\fcs0 \insrsid15093274\charrsid10361873 #}{\rtlch\fcs1 \af0 \ltrch\fcs0 \cs17\b0\v\fs20\cf9\lang1024\langfe1024\loch\af1\hich\af1\dbch\af31501\noproof\insrsid15093274\charrsid10361873 _x000d__x000a_\hich\af1\dbch\af31501\loch\f1 &lt;Members&gt;}{\rtlch\fcs1 \af0 \ltrch\fcs0 \insrsid15093274\charrsid10361873 #}{\rtlch\fcs1 \af1 \ltrch\fcs0 \cs18\v\f1\fs20\cf15\insrsid15093274\charrsid10361873 (MOD@InsideLoop(\'a7)}{\rtlch\fcs1 \af0 \ltrch\fcs0 _x000d__x000a_\insrsid15093274\charrsid10361873 #}{\rtlch\fcs1 \af0 \ltrch\fcs0 \cf10\insrsid15093274\charrsid10361873 \u9668\'3f}{\rtlch\fcs1 \af0 \ltrch\fcs0 \insrsid15093274\charrsid10361873 #}{\rtlch\fcs1 \af1 \ltrch\fcs0 _x000d__x000a_\cs18\v\f1\fs20\cf15\insrsid15093274\charrsid10361873 TVTMEMBERS\'a7@MEMBERS@}{\rtlch\fcs1 \af0 \ltrch\fcs0 \insrsid15093274\charrsid10361873 #}{\rtlch\fcs1 \af0 \ltrch\fcs0 \cf10\insrsid15093274\charrsid10361873 \u9658\'3f}{\rtlch\fcs1 \af0 \ltrch\fcs0 _x000d__x000a_\cs17\b0\v\fs20\cf9\lang1024\langfe1024\loch\af1\hich\af1\dbch\af31501\noproof\insrsid15093274\charrsid10361873 \hich\af1\dbch\af31501\loch\f1 &lt;/Members&gt;}{\rtlch\fcs1 \af0 \ltrch\fcs0 \insrsid15093274\charrsid10361873 _x000d__x000a_\par }\pard\plain \ltrpar\ql \li0\ri0\widctlpar\wrapdefault\aspalpha\aspnum\faauto\adjustright\rin0\lin0\itap0\pararsid15093274 \rtlch\fcs1 \af0\afs20\alang1025 \ltrch\fcs0 \fs24\lang2057\langfe2057\cgrid\langnp2057\langfenp2057 {\rtlch\fcs1 \af0 \ltrch\fcs0 _x000d__x000a_\cs17\v\fs20\cf9\lang1024\langfe1024\loch\af1\hich\af1\dbch\af31501\noproof\langnp1029\insrsid15093274\charrsid10361873 \hich\af1\dbch\af31501\loch\f1 &lt;AuNomDe&gt;&lt;OptDel&gt;}{\rtlch\fcs1 \af0 \ltrch\fcs0 _x000d__x000a_\lang1029\langfe2057\langnp1029\insrsid15093274\charrsid10361873 #}{\rtlch\fcs1 \af1 \ltrch\fcs0 \cs18\v\f1\fs20\cf15\lang1029\langfe2057\langnp1029\insrsid15093274\charrsid10361873 MNU[ONBEHALFYES][NOTAPP]@CHOICE@}{\rtlch\fcs1 \af0 \ltrch\fcs0 _x000d__x000a_\lang1029\langfe2057\langnp1029\insrsid15093274\charrsid10361873 #}{\rtlch\fcs1 \af0 \ltrch\fcs0 \cs17\v\fs20\cf9\lang1024\langfe1024\loch\af1\hich\af1\dbch\af31501\noproof\langnp1029\insrsid15093274\charrsid10361873 \hich\af1\dbch\af31501\loch\f1 _x000d__x000a_&lt;/OptDel&gt;&lt;/AuNomDe&gt;}{\rtlch\fcs1 \af0 \ltrch\fcs0 \lang1029\langfe2057\langnp1029\insrsid15093274\charrsid10361873 _x000d__x000a_\par &lt;&lt;&lt;}{\rtlch\fcs1 \af0 \ltrch\fcs0 \cs17\v\fs20\cf9\lang1024\langfe1024\loch\af1\hich\af1\dbch\af31501\noproof\langnp1029\insrsid15093274\charrsid10361873 \hich\af1\dbch\af31501\loch\f1 &lt;/RepeatBlock-By&gt;}{\rtlch\fcs1 \af0 \ltrch\fcs0 _x000d__x000a_\lang1029\langfe2057\langnp1029\insrsid15093274\charrsid10361873 _x000d__x000a_\par }\pard\plain \ltrpar\s20\ql \li0\ri0\nowidctlpar\wrapdefault\aspalpha\aspnum\faauto\adjustright\rin0\lin0\itap0\pararsid15093274 \rtlch\fcs1 \af0\afs20\alang1025 \ltrch\fcs0 \b\fs24\lang1029\langfe2057\cgrid\langnp1029\langfenp2057 {\rtlch\fcs1 \af0 _x000d__x000a_\ltrch\fcs0 \cs17\b0\v\fs20\cf9\lang1024\langfe1024\loch\af1\hich\af1\dbch\af31501\noproof\insrsid15093274\charrsid10361873 \hich\af1\dbch\af31501\loch\f1 &lt;DocAmend&gt;}{\rtlch\fcs1 \af0 \ltrch\fcs0 \insrsid15093274\charrsid10361873 N\'e1vrh legislativn\'ed_x000d__x000a_ho usnesen\'ed}{\rtlch\fcs1 \af0 \ltrch\fcs0 \cs17\b0\v\fs20\cf9\lang1024\langfe1024\loch\af1\hich\af1\dbch\af31501\noproof\insrsid15093274\charrsid10361873 \hich\af1\dbch\af31501\loch\f1 &lt;/DocAmend&gt;}{\rtlch\fcs1 \af0 \ltrch\fcs0 _x000d__x000a_\insrsid15093274\charrsid10361873 _x000d__x000a_\par }{\rtlch\fcs1 \af0 \ltrch\fcs0 \cs17\b0\v\fs20\cf9\lang1024\langfe1024\loch\af1\hich\af1\dbch\af31501\noproof\insrsid15093274\charrsid10361873 \hich\af1\dbch\af31501\loch\f1 &lt;Article&gt;}{\rtlch\fcs1 \af0 \ltrch\fcs0 \cf10\insrsid15093274\charrsid10361873 _x000d__x000a_\u9668\'3f}{\rtlch\fcs1 \af0 \ltrch\fcs0 \insrsid15093274\charrsid10361873 #}{\rtlch\fcs1 \af1 \ltrch\fcs0 \cs18\v\f1\fs20\cf15\insrsid15093274\charrsid10361873 TVTRESPART@RESPART@}{\rtlch\fcs1 \af0 \ltrch\fcs0 \insrsid15093274\charrsid10361873 #}{_x000d__x000a_\rtlch\fcs1 \af0 \ltrch\fcs0 \cf10\insrsid15093274\charrsid10361873 \u9658\'3f}{\rtlch\fcs1 \af0 \ltrch\fcs0 \cs17\b0\v\fs20\cf9\lang1024\langfe1024\loch\af1\hich\af1\dbch\af31501\noproof\insrsid15093274\charrsid10361873 \hich\af1\dbch\af31501\loch\f1 _x000d__x000a_&lt;/Article&gt;}{\rtlch\fcs1 \af0 \ltrch\fcs0 \insrsid15093274\charrsid10361873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15093274\charrsid10361873 \cell }\pard\plain \ltrpar_x000d__x000a_\ql \li0\ri0\widctlpar\intbl\wrapdefault\aspalpha\aspnum\faauto\adjustright\rin0\lin0 \rtlch\fcs1 \af0\afs20\alang1025 \ltrch\fcs0 \fs24\lang2057\langfe2057\cgrid\langnp2057\langfenp2057 {\rtlch\fcs1 \af0 \ltrch\fcs0 _x000d__x000a_\lang1029\langfe2057\langnp1029\insrsid15093274\charrsid10361873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29\langfe2057\cgrid\langnp1029\langfenp2057 {\rtlch\fcs1 \af0 \ltrch\fcs0 _x000d__x000a_\insrsid15093274\charrsid10361873 N\'e1vrh legislativn\'edho usnesen\'ed\cell }{\rtlch\fcs1 \af339 \ltrch\fcs0 \f339\insrsid15093274\charrsid10361873 Pozm\'ec\'f2ovac\'ed n\'e1vrh}{\rtlch\fcs1 \af0 \ltrch\fcs0 \insrsid15093274\charrsid10361873 \cell _x000d__x000a_}\pard\plain \ltrpar\ql \li0\ri0\widctlpar\intbl\wrapdefault\aspalpha\aspnum\faauto\adjustright\rin0\lin0 \rtlch\fcs1 \af0\afs20\alang1025 \ltrch\fcs0 \fs24\lang2057\langfe2057\cgrid\langnp2057\langfenp2057 {\rtlch\fcs1 \af0 \ltrch\fcs0 _x000d__x000a_\lang1029\langfe2057\langnp1029\insrsid15093274\charrsid10361873 \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row \ltrrow}\pard\plain \ltrpar\s19\ql \li0\ri0\sa120\nowidctlpar\intbl\wrapdefault\aspalpha\aspnum\faauto\adjustright\rin0\lin0\pararsid12024389 \rtlch\fcs1 \af0\afs20\alang1025 \ltrch\fcs0 \fs24\lang1029\langfe2057\cgrid\langnp1029\langfenp2057 {_x000d__x000a_\rtlch\fcs1 \af0 \ltrch\fcs0 \insrsid15093274\charrsid10361873 ##\cell ##}{\rtlch\fcs1 \af0\afs24 \ltrch\fcs0 \insrsid15093274\charrsid10361873 \cell }\pard\plain \ltrpar_x000d__x000a_\ql \li0\ri0\widctlpar\intbl\wrapdefault\aspalpha\aspnum\faauto\adjustright\rin0\lin0 \rtlch\fcs1 \af0\afs20\alang1025 \ltrch\fcs0 \fs24\lang2057\langfe2057\cgrid\langnp2057\langfenp2057 {\rtlch\fcs1 \af0 \ltrch\fcs0 _x000d__x000a_\lang1029\langfe2057\langnp1029\insrsid15093274\charrsid10361873 \trowd \irow2\irowband2\lastrow \ltrrow\ts11\trqc\trgaph340\trleft0\trftsWidth1\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pard\plain \ltrpar\s21\qr \li0\ri0\sb240\sa240\nowidctlpar\wrapdefault\aspalpha\aspnum\faauto\adjustright\rin0\lin0\itap0\pararsid15093274 \rtlch\fcs1 \af0\afs20\alang1025 \ltrch\fcs0 _x000d__x000a_\fs24\lang1029\langfe2057\cgrid\langnp1029\langfenp2057 {\rtlch\fcs1 \af0 \ltrch\fcs0 \insrsid15093274\charrsid10361873 Or. }{\rtlch\fcs1 \af0 \ltrch\fcs0 _x000d__x000a_\cs17\v\fs20\cf9\lang1024\langfe1024\loch\af1\hich\af1\dbch\af31501\noproof\insrsid15093274\charrsid10361873 \hich\af1\dbch\af31501\loch\f1 &lt;Original&gt;}{\rtlch\fcs1 \af0 \ltrch\fcs0 \insrsid15093274\charrsid10361873 #}{\rtlch\fcs1 \af1 \ltrch\fcs0 _x000d__x000a_\cs18\v\f1\fs20\cf15\insrsid15093274\charrsid10361873 KEY(MAIN/LANGMIN)sh@ORLANGMSG@}{\rtlch\fcs1 \af0 \ltrch\fcs0 \insrsid15093274\charrsid10361873 #}{\rtlch\fcs1 \af0 \ltrch\fcs0 _x000d__x000a_\cs17\v\fs20\cf9\lang1024\langfe1024\loch\af1\hich\af1\dbch\af31501\noproof\insrsid15093274\charrsid10361873 \hich\af1\dbch\af31501\loch\f1 &lt;/Original&gt;}{\rtlch\fcs1 \af0 \ltrch\fcs0 \insrsid15093274\charrsid10361873 _x000d__x000a_\par }\pard\plain \ltrpar\ql \li0\ri0\widctlpar\wrapdefault\aspalpha\aspnum\faauto\adjustright\rin0\lin0\itap0\pararsid15093274 \rtlch\fcs1 \af0\afs20\alang1025 \ltrch\fcs0 \fs24\lang2057\langfe2057\cgrid\langnp2057\langfenp2057 {\rtlch\fcs1 \af0 \ltrch\fcs0 _x000d__x000a_\cs17\v\fs20\cf9\lang1024\langfe1024\loch\af1\hich\af1\dbch\af31501\noproof\langnp1029\insrsid15093274\charrsid103618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e_x000d__x000a_70017b7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CS" w:val="{\rtf1\adeflang1025\ansi\ansicpg1250\uc1\adeff0\deff0\stshfdbch0\stshfloch0\stshfhich0\stshfbi0\deflang1029\deflangfe1029\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9\fbidi \froman\fcharset238\fprq2 Times New Roman CE;}{\f340\fbidi \froman\fcharset204\fprq2 Times New Roman Cyr;}_x000d__x000a_{\f342\fbidi \froman\fcharset161\fprq2 Times New Roman Greek;}{\f343\fbidi \froman\fcharset162\fprq2 Times New Roman Tur;}{\f344\fbidi \froman\fcharset177\fprq2 Times New Roman (Hebrew);}{\f345\fbidi \froman\fcharset178\fprq2 Times New Roman (Arabic);}_x000d__x000a_{\f346\fbidi \froman\fcharset186\fprq2 Times New Roman Baltic;}{\f347\fbidi \froman\fcharset163\fprq2 Times New Roman (Vietnamese);}{\f349\fbidi \fswiss\fcharset238\fprq2 Arial CE;}{\f350\fbidi \fswiss\fcharset204\fprq2 Arial Cyr;}_x000d__x000a_{\f352\fbidi \fswiss\fcharset161\fprq2 Arial Greek;}{\f353\fbidi \fswiss\fcharset162\fprq2 Arial Tur;}{\f354\fbidi \fswiss\fcharset177\fprq2 Arial (Hebrew);}{\f355\fbidi \fswiss\fcharset178\fprq2 Arial (Arabic);}_x000d__x000a_{\f356\fbidi \fswiss\fcharset186\fprq2 Arial Baltic;}{\f357\fbidi \fswiss\fcharset163\fprq2 Arial (Vietnamese);}{\f679\fbidi \froman\fcharset238\fprq2 Cambria Math CE;}{\f680\fbidi \froman\fcharset204\fprq2 Cambria Math Cyr;}_x000d__x000a_{\f682\fbidi \froman\fcharset161\fprq2 Cambria Math Greek;}{\f683\fbidi \froman\fcharset162\fprq2 Cambria Math Tur;}{\f686\fbidi \froman\fcharset186\fprq2 Cambria Math Baltic;}{\f68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754072 HideTWBExt;}{\*\cs18 \additive \v\f1\fs20\cf15 _x000d__x000a_\spriority0 \styrsid7754072 HideTWBInt;}{\s19\ql \li0\ri0\sa120\nowidctlpar\wrapdefault\aspalpha\aspnum\faauto\adjustright\rin0\lin0\itap0 \rtlch\fcs1 \af0\afs20\alang1025 \ltrch\fcs0 \fs24\lang1029\langfe2057\cgrid\langnp1029\langfenp2057 _x000d__x000a_\sbasedon0 \snext19 \spriority0 \styrsid7754072 Normal6a;}{\s20\ql \li0\ri0\nowidctlpar\wrapdefault\aspalpha\aspnum\faauto\adjustright\rin0\lin0\itap0 \rtlch\fcs1 \af0\afs20\alang1025 \ltrch\fcs0 \b\fs24\lang1029\langfe2057\cgrid\langnp1029\langfenp2057 _x000d__x000a_\sbasedon0 \snext20 \spriority0 \styrsid7754072 NormalBold;}{\s21\ql \li0\ri0\sa240\nowidctlpar\wrapdefault\aspalpha\aspnum\faauto\adjustright\rin0\lin0\itap0 \rtlch\fcs1 \af0\afs20\alang1025 \ltrch\fcs0 _x000d__x000a_\i\fs24\lang1029\langfe2057\cgrid\langnp1029\langfenp2057 \sbasedon0 \snext21 \spriority0 \styrsid7754072 AmJustText;}{\s22\qc \li0\ri0\sb240\sa240\nowidctlpar\wrapdefault\aspalpha\aspnum\faauto\adjustright\rin0\lin0\itap0 \rtlch\fcs1 _x000d__x000a_\af0\afs20\alang1025 \ltrch\fcs0 \i\fs24\lang1029\langfe2057\cgrid\langnp1029\langfenp2057 \sbasedon0 \snext22 \spriority0 \styrsid7754072 AmCrossRef;}{_x000d__x000a_\s23\qc \li0\ri0\sb240\sa240\keepn\nowidctlpar\wrapdefault\aspalpha\aspnum\faauto\adjustright\rin0\lin0\itap0 \rtlch\fcs1 \af0\afs20\alang1025 \ltrch\fcs0 \i\fs24\lang1029\langfe2057\cgrid\langnp1029\langfenp2057 _x000d__x000a_\sbasedon0 \snext21 \spriority0 \styrsid7754072 AmJustTitle;}{\s24\qr \li0\ri0\sb240\sa240\nowidctlpar\wrapdefault\aspalpha\aspnum\faauto\adjustright\rin0\lin0\itap0 \rtlch\fcs1 \af0\afs20\alang1025 \ltrch\fcs0 _x000d__x000a_\fs24\lang1029\langfe2057\cgrid\langnp1029\langfenp2057 \sbasedon0 \snext24 \spriority0 \styrsid7754072 AmOrLang;}{\s25\qc \li0\ri0\sa240\nowidctlpar\wrapdefault\aspalpha\aspnum\faauto\adjustright\rin0\lin0\itap0 \rtlch\fcs1 \af0\afs20\alang1025 _x000d__x000a_\ltrch\fcs0 \i\fs24\lang1029\langfe2057\cgrid\langnp1029\langfenp2057 \sbasedon0 \snext25 \spriority0 \styrsid77540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7754072 AmNumberTabs;}}{\*\rsidtbl \rsid24658\rsid223860\rsid735077\rsid1718133\rsid2892074\rsid3565327\rsid4666813\rsid5141738\rsid6641733_x000d__x000a_\rsid7754072\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SOCHOROVA Lenka}{\operator SOCHOROVA Lenka}{\creatim\yr2025\mo2\dy7\hr17\min11}{\revtim\yr2025\mo2\dy7\hr17\min11}{\version1}{\edmins0}{\nofpages1}{\nofwords128}{\nofchars764}_x000d__x000a_{\nofcharsws884}{\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754072\newtblstyruls\nogrowautofit\usenormstyforlist\noindnmbrts\felnbrelev\nocxsptable\indrlsweleven\noafcnsttbl\afelev\utinl\hwelev\spltpgpar\notcvasp\notbrkcnstfrctbl\notvatxbx\krnprsnet\cachedcolbal _x000d__x000a_\nouicompat \fet0{\*\wgrffmtfilter 013f}\nofeaturethrottle1\ilfomacatclnup0{\*\template C:\\Users\\LSOCHO~1\\AppData\\Local\\Temp\\Blank1.dotx}{\*\ftnsep \ltrpar \pard\plain \ltrpar_x000d__x000a_\ql \li0\ri0\widctlpar\wrapdefault\aspalpha\aspnum\faauto\adjustright\rin0\lin0\itap0 \rtlch\fcs1 \af0\afs20\alang1025 \ltrch\fcs0 \fs24\lang2057\langfe2057\cgrid\langnp2057\langfenp2057 {\rtlch\fcs1 \af0 \ltrch\fcs0 \insrsid5141738 \chftnsep _x000d__x000a_\par }}{\*\ftnsepc \ltrpar \pard\plain \ltrpar\ql \li0\ri0\widctlpar\wrapdefault\aspalpha\aspnum\faauto\adjustright\rin0\lin0\itap0 \rtlch\fcs1 \af0\afs20\alang1025 \ltrch\fcs0 \fs24\lang2057\langfe2057\cgrid\langnp2057\langfenp2057 {\rtlch\fcs1 \af0 _x000d__x000a_\ltrch\fcs0 \insrsid5141738 \chftnsepc _x000d__x000a_\par }}{\*\aftnsep \ltrpar \pard\plain \ltrpar\ql \li0\ri0\widctlpar\wrapdefault\aspalpha\aspnum\faauto\adjustright\rin0\lin0\itap0 \rtlch\fcs1 \af0\afs20\alang1025 \ltrch\fcs0 \fs24\lang2057\langfe2057\cgrid\langnp2057\langfenp2057 {\rtlch\fcs1 \af0 _x000d__x000a_\ltrch\fcs0 \insrsid5141738 \chftnsep _x000d__x000a_\par }}{\*\aftnsepc \ltrpar \pard\plain \ltrpar\ql \li0\ri0\widctlpar\wrapdefault\aspalpha\aspnum\faauto\adjustright\rin0\lin0\itap0 \rtlch\fcs1 \af0\afs20\alang1025 \ltrch\fcs0 \fs24\lang2057\langfe2057\cgrid\langnp2057\langfenp2057 {\rtlch\fcs1 \af0 _x000d__x000a_\ltrch\fcs0 \insrsid51417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754072 \rtlch\fcs1 _x000d__x000a_\af0\afs20\alang1025 \ltrch\fcs0 \b\fs24\lang1029\langfe2057\cgrid\langnp1029\langfenp2057 {\rtlch\fcs1 \af0 \ltrch\fcs0 \cs17\b0\v\fs20\cf9\lang1024\langfe1024\loch\af1\hich\af1\dbch\af31501\noproof\insrsid7754072\charrsid10361873 {\*\bkmkstart restartB}_x000d__x000a_\hich\af1\dbch\af31501\loch\f1 &lt;AmendB&gt;}{\rtlch\fcs1 \af339 \ltrch\fcs0 \f339\insrsid7754072\charrsid10361873 Pozm\'ec\'f2ovac\'ed n\'e1vrh}{\rtlch\fcs1 \af0 \ltrch\fcs0 \insrsid7754072\charrsid10361873 \tab \tab }{\rtlch\fcs1 \af0 \ltrch\fcs0 _x000d__x000a_\cs17\b0\v\fs20\cf9\lang1024\langfe1024\loch\af1\hich\af1\dbch\af31501\noproof\insrsid7754072\charrsid10361873 \hich\af1\dbch\af31501\loch\f1 &lt;NumAmB&gt;}{\rtlch\fcs1 \af0 \ltrch\fcs0 \insrsid7754072\charrsid10361873 #}{\rtlch\fcs1 \af1 \ltrch\fcs0 _x000d__x000a_\cs18\v\f1\fs20\cf15\insrsid7754072\charrsid10361873 ENMIENDA@NRAM@}{\rtlch\fcs1 \af0 \ltrch\fcs0 \insrsid7754072\charrsid10361873 #}{\rtlch\fcs1 \af0 \ltrch\fcs0 _x000d__x000a_\cs17\b0\v\fs20\cf9\lang1024\langfe1024\loch\af1\hich\af1\dbch\af31501\noproof\insrsid7754072\charrsid10361873 \hich\af1\dbch\af31501\loch\f1 &lt;/NumAmB&gt;}{\rtlch\fcs1 \af0 \ltrch\fcs0 \insrsid7754072\charrsid10361873 _x000d__x000a_\par }\pard\plain \ltrpar\s20\ql \li0\ri0\nowidctlpar\wrapdefault\aspalpha\aspnum\faauto\adjustright\rin0\lin0\itap0\pararsid7754072 \rtlch\fcs1 \af0\afs20\alang1025 \ltrch\fcs0 \b\fs24\lang1029\langfe2057\cgrid\langnp1029\langfenp2057 {\rtlch\fcs1 \af0 _x000d__x000a_\ltrch\fcs0 \cs17\b0\v\fs20\cf9\lang1024\langfe1024\loch\af1\hich\af1\dbch\af31501\noproof\insrsid7754072\charrsid10361873 \hich\af1\dbch\af31501\loch\f1 &lt;RepeatBlock-By&gt;}{\rtlch\fcs1 \af0 \ltrch\fcs0 \insrsid7754072\charrsid10361873 #}{\rtlch\fcs1 \af1 _x000d__x000a_\ltrch\fcs0 \cs18\v\f1\fs20\cf15\insrsid7754072\charrsid10361873 (MOD@InsideLoop()}{\rtlch\fcs1 \af0 \ltrch\fcs0 \insrsid7754072\charrsid10361873 ##}{\rtlch\fcs1 \af1 \ltrch\fcs0 \cs18\v\f1\fs20\cf15\insrsid7754072\charrsid10361873 &gt;&gt;&gt;@[ZMEMBERSMSG]@}{_x000d__x000a_\rtlch\fcs1 \af0 \ltrch\fcs0 \insrsid7754072\charrsid10361873 #}{\rtlch\fcs1 \af0 \ltrch\fcs0 \cs17\b0\v\fs20\cf9\lang1024\langfe1024\loch\af1\hich\af1\dbch\af31501\noproof\insrsid7754072\charrsid10361873 \hich\af1\dbch\af31501\loch\f1 &lt;Members&gt;}{_x000d__x000a_\rtlch\fcs1 \af0 \ltrch\fcs0 \insrsid7754072\charrsid10361873 #}{\rtlch\fcs1 \af1 \ltrch\fcs0 \cs18\v\f1\fs20\cf15\insrsid7754072\charrsid10361873 (MOD@InsideLoop(\'a7)}{\rtlch\fcs1 \af0 \ltrch\fcs0 \insrsid7754072\charrsid10361873 #}{\rtlch\fcs1 \af0 _x000d__x000a_\ltrch\fcs0 \cf10\insrsid7754072\charrsid10361873 \u9668\'3f}{\rtlch\fcs1 \af0 \ltrch\fcs0 \insrsid7754072\charrsid10361873 #}{\rtlch\fcs1 \af1 \ltrch\fcs0 \cs18\v\f1\fs20\cf15\insrsid7754072\charrsid10361873 TVTMEMBERS\'a7@MEMBERS@}{\rtlch\fcs1 \af0 _x000d__x000a_\ltrch\fcs0 \insrsid7754072\charrsid10361873 #}{\rtlch\fcs1 \af0 \ltrch\fcs0 \cf10\insrsid7754072\charrsid10361873 \u9658\'3f}{\rtlch\fcs1 \af0 \ltrch\fcs0 _x000d__x000a_\cs17\b0\v\fs20\cf9\lang1024\langfe1024\loch\af1\hich\af1\dbch\af31501\noproof\insrsid7754072\charrsid10361873 \hich\af1\dbch\af31501\loch\f1 &lt;/Members&gt;}{\rtlch\fcs1 \af0 \ltrch\fcs0 \insrsid7754072\charrsid10361873 _x000d__x000a_\par }\pard\plain \ltrpar\ql \li0\ri0\widctlpar\wrapdefault\aspalpha\aspnum\faauto\adjustright\rin0\lin0\itap0\pararsid7754072 \rtlch\fcs1 \af0\afs20\alang1025 \ltrch\fcs0 \fs24\lang2057\langfe2057\cgrid\langnp2057\langfenp2057 {\rtlch\fcs1 \af0 \ltrch\fcs0 _x000d__x000a_\cs17\v\fs20\cf9\lang1024\langfe1024\loch\af1\hich\af1\dbch\af31501\noproof\langnp1029\insrsid7754072\charrsid10361873 \hich\af1\dbch\af31501\loch\f1 &lt;AuNomDe&gt;&lt;OptDel&gt;}{\rtlch\fcs1 \af0 \ltrch\fcs0 _x000d__x000a_\lang1029\langfe2057\langnp1029\insrsid7754072\charrsid10361873 #}{\rtlch\fcs1 \af1 \ltrch\fcs0 \cs18\v\f1\fs20\cf15\lang1029\langfe2057\langnp1029\insrsid7754072\charrsid10361873 MNU[ONBEHALFYES][NOTAPP]@CHOICE@}{\rtlch\fcs1 \af0 \ltrch\fcs0 _x000d__x000a_\lang1029\langfe2057\langnp1029\insrsid7754072\charrsid10361873 #}{\rtlch\fcs1 \af0 \ltrch\fcs0 \cs17\v\fs20\cf9\lang1024\langfe1024\loch\af1\hich\af1\dbch\af31501\noproof\langnp1029\insrsid7754072\charrsid10361873 \hich\af1\dbch\af31501\loch\f1 _x000d__x000a_&lt;/OptDel&gt;&lt;/AuNomDe&gt;}{\rtlch\fcs1 \af0 \ltrch\fcs0 \lang1029\langfe2057\langnp1029\insrsid7754072\charrsid10361873 _x000d__x000a_\par &lt;&lt;&lt;}{\rtlch\fcs1 \af0 \ltrch\fcs0 \cs17\v\fs20\cf9\lang1024\langfe1024\loch\af1\hich\af1\dbch\af31501\noproof\langnp1029\insrsid7754072\charrsid10361873 \hich\af1\dbch\af31501\loch\f1 &lt;/RepeatBlock-By&gt;}{\rtlch\fcs1 \af0 \ltrch\fcs0 _x000d__x000a_\lang1029\langfe2057\langnp1029\insrsid7754072\charrsid10361873 _x000d__x000a_\par }\pard\plain \ltrpar\s20\ql \li0\ri0\nowidctlpar\wrapdefault\aspalpha\aspnum\faauto\adjustright\rin0\lin0\itap0\pararsid7754072 \rtlch\fcs1 \af0\afs20\alang1025 \ltrch\fcs0 \b\fs24\lang1029\langfe2057\cgrid\langnp1029\langfenp2057 {\rtlch\fcs1 \af0 _x000d__x000a_\ltrch\fcs0 \cs17\b0\v\fs20\cf9\lang1024\langfe1024\loch\af1\hich\af1\dbch\af31501\noproof\insrsid7754072\charrsid10361873 \hich\af1\dbch\af31501\loch\f1 &lt;DocAmend&gt;}{\rtlch\fcs1 \af0 \ltrch\fcs0 \insrsid7754072\charrsid10361873 #}{\rtlch\fcs1 \af1 _x000d__x000a_\ltrch\fcs0 \cs18\v\f1\fs20\cf15\insrsid7754072\charrsid10361873 MNU[OPTPROPOSALCOD][OPTPROPOSALCNS][OPTPROPOSALNLE]@CHOICE@CODEMNU}{\rtlch\fcs1 \af0 \ltrch\fcs0 \insrsid7754072\charrsid10361873 #}{\rtlch\fcs1 \af0 \ltrch\fcs0 _x000d__x000a_\cs17\b0\v\fs20\cf9\lang1024\langfe1024\loch\af1\hich\af1\dbch\af31501\noproof\insrsid7754072\charrsid10361873 \hich\af1\dbch\af31501\loch\f1 &lt;/DocAmend&gt;}{\rtlch\fcs1 \af0 \ltrch\fcs0 \insrsid7754072\charrsid10361873 _x000d__x000a_\par }\pard \ltrpar\s20\ql \li0\ri0\keepn\nowidctlpar\wrapdefault\aspalpha\aspnum\faauto\adjustright\rin0\lin0\itap0\pararsid7754072 {\rtlch\fcs1 \af0 \ltrch\fcs0 _x000d__x000a_\cs17\b0\v\fs20\cf9\lang1024\langfe1024\loch\af1\hich\af1\dbch\af31501\noproof\insrsid7754072\charrsid10361873 \hich\af1\dbch\af31501\loch\f1 &lt;Article&gt;}{\rtlch\fcs1 \af0 \ltrch\fcs0 \insrsid7754072\charrsid10361873 #}{\rtlch\fcs1 \af1 \ltrch\fcs0 _x000d__x000a_\cs18\v\f1\fs20\cf15\insrsid7754072\charrsid10361873 MNU[AMACTPARTYES][AMACTPARTNO]@CHOICE@AMACTMNU}{\rtlch\fcs1 \af0 \ltrch\fcs0 \insrsid7754072\charrsid10361873 #}{\rtlch\fcs1 \af0 \ltrch\fcs0 _x000d__x000a_\cs17\b0\v\fs20\cf9\lang1024\langfe1024\loch\af1\hich\af1\dbch\af31501\noproof\insrsid7754072\charrsid10361873 \hich\af1\dbch\af31501\loch\f1 &lt;/Article&gt;}{\rtlch\fcs1 \af0 \ltrch\fcs0 \insrsid7754072\charrsid10361873 _x000d__x000a_\par }\pard\plain \ltrpar\ql \li0\ri0\keepn\widctlpar\wrapdefault\aspalpha\aspnum\faauto\adjustright\rin0\lin0\itap0\pararsid7754072 \rtlch\fcs1 \af0\afs20\alang1025 \ltrch\fcs0 \fs24\lang2057\langfe2057\cgrid\langnp2057\langfenp2057 {\rtlch\fcs1 \af0 _x000d__x000a_\ltrch\fcs0 \cs17\v\fs20\cf9\lang1024\langfe1024\loch\af1\hich\af1\dbch\af31501\noproof\langnp1029\insrsid7754072\charrsid10361873 \hich\af1\dbch\af31501\loch\f1 &lt;DocAmend2&gt;&lt;OptDel&gt;}{\rtlch\fcs1 \af0 \ltrch\fcs0 _x000d__x000a_\lang1029\langfe2057\langnp1029\insrsid7754072\charrsid10361873 #}{\rtlch\fcs1 \af1 \ltrch\fcs0 \cs18\v\f1\fs20\cf15\lang1029\langfe2057\langnp1029\insrsid7754072\charrsid10361873 MNU[OPTNRACTYES][NOTAPP]@CHOICE@AMACTMNU}{\rtlch\fcs1 \af0 \ltrch\fcs0 _x000d__x000a_\lang1029\langfe2057\langnp1029\insrsid7754072\charrsid10361873 #}{\rtlch\fcs1 \af0 \ltrch\fcs0 \cs17\v\fs20\cf9\lang1024\langfe1024\loch\af1\hich\af1\dbch\af31501\noproof\langnp1029\insrsid7754072\charrsid10361873 \hich\af1\dbch\af31501\loch\f1 _x000d__x000a_&lt;/OptDel&gt;&lt;/DocAmend2&gt;}{\rtlch\fcs1 \af0 \ltrch\fcs0 \lang1029\langfe2057\langnp1029\insrsid7754072\charrsid10361873 _x000d__x000a_\par }\pard \ltrpar\ql \li0\ri0\widctlpar\wrapdefault\aspalpha\aspnum\faauto\adjustright\rin0\lin0\itap0\pararsid7754072 {\rtlch\fcs1 \af0 \ltrch\fcs0 _x000d__x000a_\cs17\v\fs20\cf9\lang1024\langfe1024\loch\af1\hich\af1\dbch\af31501\noproof\langnp1029\insrsid7754072\charrsid10361873 \hich\af1\dbch\af31501\loch\f1 &lt;Article2&gt;&lt;OptDel&gt;}{\rtlch\fcs1 \af0 \ltrch\fcs0 _x000d__x000a_\lang1029\langfe2057\langnp1029\insrsid7754072\charrsid10361873 #}{\rtlch\fcs1 \af1 \ltrch\fcs0 \cs18\v\f1\fs20\cf15\lang1029\langfe2057\langnp1029\insrsid7754072\charrsid10361873 MNU[OPTACTPARTYES][NOTAPP]@CHOICE@AMACTMNU}{\rtlch\fcs1 \af0 \ltrch\fcs0 _x000d__x000a_\lang1029\langfe2057\langnp1029\insrsid7754072\charrsid10361873 #}{\rtlch\fcs1 \af0 \ltrch\fcs0 \cs17\v\fs20\cf9\lang1024\langfe1024\loch\af1\hich\af1\dbch\af31501\noproof\langnp1029\insrsid7754072\charrsid10361873 \hich\af1\dbch\af31501\loch\f1 _x000d__x000a_&lt;/OptDel&gt;&lt;/Article2&gt;}{\rtlch\fcs1 \af0 \ltrch\fcs0 \lang1029\langfe2057\langnp1029\insrsid7754072\charrsid10361873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29\langfe2057\langnp1029\insrsid7754072\charrsid10361873 \cell }\pard\plain \ltrpar_x000d__x000a_\ql \li0\ri0\widctlpar\intbl\wrapdefault\aspalpha\aspnum\faauto\adjustright\rin0\lin0 \rtlch\fcs1 \af0\afs20\alang1025 \ltrch\fcs0 \fs24\lang2057\langfe2057\cgrid\langnp2057\langfenp2057 {\rtlch\fcs1 \af0 \ltrch\fcs0 _x000d__x000a_\lang1029\langfe2057\langnp1029\insrsid7754072\charrsid10361873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29\langfe2057\cgrid\langnp1029\langfenp2057 {\rtlch\fcs1 \af0 \ltrch\fcs0 _x000d__x000a_\insrsid7754072\charrsid10361873 #}{\rtlch\fcs1 \af1 \ltrch\fcs0 \cs18\v\f1\fs20\cf15\insrsid7754072\charrsid10361873 MNU[OPTLEFTAMACT][LEFTPROP]@CHOICE@AMACTMNU}{\rtlch\fcs1 \af0 \ltrch\fcs0 \insrsid7754072\charrsid10361873 #\cell }{\rtlch\fcs1 \af339 _x000d__x000a_\ltrch\fcs0 \f339\insrsid7754072\charrsid10361873 Pozm\'ec\'f2ovac\'ed n\'e1vrh}{\rtlch\fcs1 \af0 \ltrch\fcs0 \insrsid7754072\charrsid10361873 \cell }\pard\plain \ltrpar\ql \li0\ri0\widctlpar\intbl\wrapdefault\aspalpha\aspnum\faauto\adjustright\rin0\lin0 _x000d__x000a_\rtlch\fcs1 \af0\afs20\alang1025 \ltrch\fcs0 \fs24\lang2057\langfe2057\cgrid\langnp2057\langfenp2057 {\rtlch\fcs1 \af0 \ltrch\fcs0 \lang1029\langfe2057\langnp1029\insrsid7754072\charrsid10361873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29\langfe2057\cgrid\langnp1029\langfenp2057 {\rtlch\fcs1 \af0 \ltrch\fcs0 _x000d__x000a_\insrsid7754072\charrsid10361873 ##\cell ##}{\rtlch\fcs1 \af0\afs24 \ltrch\fcs0 \insrsid7754072\charrsid10361873 \cell }\pard\plain \ltrpar\ql \li0\ri0\widctlpar\intbl\wrapdefault\aspalpha\aspnum\faauto\adjustright\rin0\lin0 \rtlch\fcs1 _x000d__x000a_\af0\afs20\alang1025 \ltrch\fcs0 \fs24\lang2057\langfe2057\cgrid\langnp2057\langfenp2057 {\rtlch\fcs1 \af0 \ltrch\fcs0 \lang1029\langfe2057\langnp1029\insrsid7754072\charrsid10361873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754072 \rtlch\fcs1 \af0\afs20\alang1025 \ltrch\fcs0 \fs24\lang1029\langfe2057\cgrid\langnp1029\langfenp2057 {\rtlch\fcs1 \af0 \ltrch\fcs0 _x000d__x000a_\insrsid7754072\charrsid10361873 Or. }{\rtlch\fcs1 \af0 \ltrch\fcs0 \cs17\v\fs20\cf9\lang1024\langfe1024\loch\af1\hich\af1\dbch\af31501\noproof\insrsid7754072\charrsid10361873 \hich\af1\dbch\af31501\loch\f1 &lt;Original&gt;}{\rtlch\fcs1 \af0 \ltrch\fcs0 _x000d__x000a_\insrsid7754072\charrsid10361873 #}{\rtlch\fcs1 \af1 \ltrch\fcs0 \cs18\v\f1\fs20\cf15\insrsid7754072\charrsid10361873 KEY(MAIN/LANGMIN)sh@ORLANGMSG@}{\rtlch\fcs1 \af0 \ltrch\fcs0 \insrsid7754072\charrsid10361873 #}{\rtlch\fcs1 \af0 \ltrch\fcs0 _x000d__x000a_\cs17\v\fs20\cf9\lang1024\langfe1024\loch\af1\hich\af1\dbch\af31501\noproof\insrsid7754072\charrsid10361873 \hich\af1\dbch\af31501\loch\f1 &lt;/Original&gt;}{\rtlch\fcs1 \af0 \ltrch\fcs0 \insrsid7754072\charrsid10361873 _x000d__x000a_\par }\pard\plain \ltrpar\s22\qc \li0\ri0\sb240\sa240\nowidctlpar\wrapdefault\aspalpha\aspnum\faauto\adjustright\rin0\lin0\itap0\pararsid7754072 \rtlch\fcs1 \af0\afs20\alang1025 \ltrch\fcs0 \i\fs24\lang1029\langfe2057\cgrid\langnp1029\langfenp2057 {_x000d__x000a_\rtlch\fcs1 \af0 \ltrch\fcs0 \cs17\i0\v\fs20\cf9\lang1024\langfe1024\loch\af1\hich\af1\dbch\af31501\noproof\insrsid7754072\charrsid10361873 \hich\af1\dbch\af31501\loch\f1 &lt;OptDel&gt;}{\rtlch\fcs1 \af0 \ltrch\fcs0 \insrsid7754072\charrsid10361873 #}{_x000d__x000a_\rtlch\fcs1 \af1 \ltrch\fcs0 \cs18\v\f1\fs20\cf15\insrsid7754072\charrsid10361873 MNU[CROSSREFNO][CROSSREFYES]@CHOICE@}{\rtlch\fcs1 \af0 \ltrch\fcs0 \insrsid7754072\charrsid10361873 #}{\rtlch\fcs1 \af0 \ltrch\fcs0 _x000d__x000a_\cs17\i0\v\fs20\cf9\lang1024\langfe1024\loch\af1\hich\af1\dbch\af31501\noproof\insrsid7754072\charrsid10361873 \hich\af1\dbch\af31501\loch\f1 &lt;/OptDel&gt;}{\rtlch\fcs1 \af0 \ltrch\fcs0 \insrsid7754072\charrsid10361873 _x000d__x000a_\par }\pard\plain \ltrpar\s23\qc \li0\ri0\sb240\sa240\keepn\nowidctlpar\wrapdefault\aspalpha\aspnum\faauto\adjustright\rin0\lin0\itap0\pararsid7754072 \rtlch\fcs1 \af0\afs20\alang1025 \ltrch\fcs0 \i\fs24\lang1029\langfe2057\cgrid\langnp1029\langfenp2057 {_x000d__x000a_\rtlch\fcs1 \af0 \ltrch\fcs0 \cs17\i0\v\fs20\cf9\lang1024\langfe1024\loch\af1\hich\af1\dbch\af31501\noproof\insrsid7754072\charrsid10361873 \hich\af1\dbch\af31501\loch\f1 &lt;TitreJust&gt;}{\rtlch\fcs1 \af339 \ltrch\fcs0 \f339\insrsid7754072\charrsid10361873 Od_x000d__x000a_\'f9vodn\'ecn\'ed}{\rtlch\fcs1 \af0 \ltrch\fcs0 \cs17\i0\v\fs20\cf9\lang1024\langfe1024\loch\af1\hich\af1\dbch\af31501\noproof\insrsid7754072\charrsid10361873 \hich\af1\dbch\af31501\loch\f1 &lt;/TitreJust&gt;}{\rtlch\fcs1 \af0 \ltrch\fcs0 _x000d__x000a_\insrsid7754072\charrsid10361873 _x000d__x000a_\par }\pard\plain \ltrpar\s21\ql \li0\ri0\sa240\nowidctlpar\wrapdefault\aspalpha\aspnum\faauto\adjustright\rin0\lin0\itap0\pararsid7754072 \rtlch\fcs1 \af0\afs20\alang1025 \ltrch\fcs0 \i\fs24\lang1029\langfe2057\cgrid\langnp1029\langfenp2057 {\rtlch\fcs1 \af0 _x000d__x000a_\ltrch\fcs0 \cs17\i0\v\fs20\cf9\lang1024\langfe1024\loch\af1\hich\af1\dbch\af31501\noproof\insrsid7754072\charrsid10361873 \hich\af1\dbch\af31501\loch\f1 &lt;OptDelPrev&gt;}{\rtlch\fcs1 \af0 \ltrch\fcs0 \insrsid7754072\charrsid10361873 #}{\rtlch\fcs1 \af1 _x000d__x000a_\ltrch\fcs0 \cs18\v\f1\fs20\cf15\insrsid7754072\charrsid10361873 MNU[TEXTJUSTYES][TEXTJUSTNO]@CHOICE@}{\rtlch\fcs1 \af0 \ltrch\fcs0 \insrsid7754072\charrsid10361873 #}{\rtlch\fcs1 \af0 \ltrch\fcs0 _x000d__x000a_\cs17\i0\v\fs20\cf9\lang1024\langfe1024\loch\af1\hich\af1\dbch\af31501\noproof\insrsid7754072\charrsid10361873 \hich\af1\dbch\af31501\loch\f1 &lt;/OptDelPrev&gt;}{\rtlch\fcs1 \af0 \ltrch\fcs0 \insrsid7754072\charrsid10361873 _x000d__x000a_\par }\pard\plain \ltrpar\ql \li0\ri0\widctlpar\wrapdefault\aspalpha\aspnum\faauto\adjustright\rin0\lin0\itap0\pararsid7754072 \rtlch\fcs1 \af0\afs20\alang1025 \ltrch\fcs0 \fs24\lang2057\langfe2057\cgrid\langnp2057\langfenp2057 {\rtlch\fcs1 \af0 \ltrch\fcs0 _x000d__x000a_\cs17\v\fs20\cf9\lang1024\langfe1024\loch\af1\hich\af1\dbch\af31501\noproof\langnp1029\insrsid7754072\charrsid103618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5_x000d__x000a_6a027b7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AUTHOR" w:val="Malik Azmani"/>
    <w:docVar w:name="TXTLANGUE" w:val="CS"/>
    <w:docVar w:name="TXTLANGUEMIN" w:val="cs"/>
    <w:docVar w:name="TXTNRFIRSTAM" w:val="1"/>
    <w:docVar w:name="TXTNRLASTAM" w:val="47"/>
    <w:docVar w:name="TXTNRPE" w:val="766.918"/>
    <w:docVar w:name="TXTNRPROC" w:val="2024/0187"/>
    <w:docVar w:name="TXTPEorAP" w:val="PE"/>
    <w:docVar w:name="TXTROUTE" w:val="AM\1314148CS.docx"/>
    <w:docVar w:name="TXTTITLE" w:val="Strengthening the security of identity cards of Union citizens and of residence documents issued to Union citizens and their family members exercising their right of free movement"/>
    <w:docVar w:name="TXTVERSION" w:val="02-00"/>
  </w:docVars>
  <w:rsids>
    <w:rsidRoot w:val="009E1C11"/>
    <w:rsid w:val="000111BD"/>
    <w:rsid w:val="00073830"/>
    <w:rsid w:val="00075DBE"/>
    <w:rsid w:val="000B0781"/>
    <w:rsid w:val="000B672D"/>
    <w:rsid w:val="000D446F"/>
    <w:rsid w:val="000E0C4C"/>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A4677"/>
    <w:rsid w:val="004D2B96"/>
    <w:rsid w:val="004E0AAC"/>
    <w:rsid w:val="004E1C4C"/>
    <w:rsid w:val="004F03F0"/>
    <w:rsid w:val="004F2903"/>
    <w:rsid w:val="005246D8"/>
    <w:rsid w:val="00547F73"/>
    <w:rsid w:val="00557617"/>
    <w:rsid w:val="00571479"/>
    <w:rsid w:val="005A7205"/>
    <w:rsid w:val="005A7EB4"/>
    <w:rsid w:val="005B32E3"/>
    <w:rsid w:val="005E50C2"/>
    <w:rsid w:val="00607ABE"/>
    <w:rsid w:val="00624105"/>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1461F"/>
    <w:rsid w:val="00822C94"/>
    <w:rsid w:val="008363E4"/>
    <w:rsid w:val="00851460"/>
    <w:rsid w:val="0087052C"/>
    <w:rsid w:val="00870CF2"/>
    <w:rsid w:val="00874862"/>
    <w:rsid w:val="00875A9C"/>
    <w:rsid w:val="00887FDC"/>
    <w:rsid w:val="008935EB"/>
    <w:rsid w:val="008B251A"/>
    <w:rsid w:val="008D6D06"/>
    <w:rsid w:val="008F0DDD"/>
    <w:rsid w:val="00900CAE"/>
    <w:rsid w:val="00904AD5"/>
    <w:rsid w:val="00907CCA"/>
    <w:rsid w:val="009154FF"/>
    <w:rsid w:val="00917A85"/>
    <w:rsid w:val="00966038"/>
    <w:rsid w:val="009A65D8"/>
    <w:rsid w:val="009B0305"/>
    <w:rsid w:val="009E1C11"/>
    <w:rsid w:val="009F230F"/>
    <w:rsid w:val="00A15973"/>
    <w:rsid w:val="00A233E9"/>
    <w:rsid w:val="00A46736"/>
    <w:rsid w:val="00A507FC"/>
    <w:rsid w:val="00A5426B"/>
    <w:rsid w:val="00A845EF"/>
    <w:rsid w:val="00A84E16"/>
    <w:rsid w:val="00A93389"/>
    <w:rsid w:val="00A93F8C"/>
    <w:rsid w:val="00AA0426"/>
    <w:rsid w:val="00AB0AE9"/>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1BA6"/>
    <w:rsid w:val="00F27170"/>
    <w:rsid w:val="00F459F7"/>
    <w:rsid w:val="00F81377"/>
    <w:rsid w:val="00F92B49"/>
    <w:rsid w:val="00FA192C"/>
    <w:rsid w:val="00FC1B08"/>
    <w:rsid w:val="00FD05BD"/>
    <w:rsid w:val="00FD675F"/>
    <w:rsid w:val="00FE03B4"/>
    <w:rsid w:val="00FF5767"/>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5647C7"/>
  <w15:chartTrackingRefBased/>
  <w15:docId w15:val="{DB5252AC-7ECC-4CA1-9408-4980C3F9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F21BA6"/>
    <w:rPr>
      <w:rFonts w:ascii="Arial" w:hAnsi="Arial"/>
      <w:b/>
      <w:i/>
      <w:color w:val="C0C0C0"/>
      <w:sz w:val="22"/>
    </w:rPr>
  </w:style>
  <w:style w:type="paragraph" w:customStyle="1" w:styleId="EPFooterLandscape">
    <w:name w:val="EPFooterLandscape"/>
    <w:rsid w:val="00F21BA6"/>
    <w:pPr>
      <w:widowControl w:val="0"/>
      <w:tabs>
        <w:tab w:val="center" w:pos="6800"/>
        <w:tab w:val="right" w:pos="15020"/>
      </w:tabs>
    </w:pPr>
    <w:rPr>
      <w:sz w:val="22"/>
      <w:lang w:eastAsia="en-US"/>
    </w:rPr>
  </w:style>
  <w:style w:type="paragraph" w:customStyle="1" w:styleId="Normal0">
    <w:name w:val="Normal0"/>
    <w:basedOn w:val="Normal"/>
    <w:rsid w:val="00F21BA6"/>
    <w:rPr>
      <w:sz w:val="0"/>
      <w:szCs w:val="24"/>
      <w:lang w:eastAsia="en-US"/>
    </w:rPr>
  </w:style>
  <w:style w:type="paragraph" w:customStyle="1" w:styleId="EPFooter2Landscape">
    <w:name w:val="EPFooter2Landscape"/>
    <w:rsid w:val="00F21BA6"/>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F21BA6"/>
    <w:rPr>
      <w:rFonts w:ascii="Arial" w:hAnsi="Arial"/>
      <w:b w:val="0"/>
      <w:i/>
      <w:color w:val="AEAAAA"/>
      <w:sz w:val="22"/>
      <w:shd w:val="pct50" w:color="auto" w:fill="auto"/>
    </w:rPr>
  </w:style>
  <w:style w:type="paragraph" w:customStyle="1" w:styleId="PMissingStyle">
    <w:name w:val="P_MissingStyle"/>
    <w:basedOn w:val="Normal"/>
    <w:rsid w:val="00F21BA6"/>
    <w:rPr>
      <w:color w:val="FFFFFF"/>
      <w:szCs w:val="24"/>
      <w:shd w:val="clear" w:color="000000" w:fill="000000"/>
      <w:lang w:eastAsia="en-US"/>
    </w:rPr>
  </w:style>
  <w:style w:type="character" w:customStyle="1" w:styleId="CMissingStyle">
    <w:name w:val="C_MissingStyle"/>
    <w:rsid w:val="00F21BA6"/>
    <w:rPr>
      <w:color w:val="FFFFFF"/>
      <w:sz w:val="22"/>
      <w:shd w:val="clear" w:color="000000" w:fill="000000"/>
    </w:rPr>
  </w:style>
  <w:style w:type="paragraph" w:customStyle="1" w:styleId="Normal12a">
    <w:name w:val="Normal12a"/>
    <w:basedOn w:val="Normal"/>
    <w:rsid w:val="00F21BA6"/>
    <w:pPr>
      <w:spacing w:after="240"/>
    </w:pPr>
    <w:rPr>
      <w:szCs w:val="24"/>
      <w:lang w:eastAsia="en-US"/>
    </w:rPr>
  </w:style>
  <w:style w:type="paragraph" w:customStyle="1" w:styleId="Normal6">
    <w:name w:val="Normal6"/>
    <w:basedOn w:val="Normal"/>
    <w:link w:val="Normal6Char"/>
    <w:rsid w:val="00F21BA6"/>
    <w:pPr>
      <w:spacing w:after="120"/>
    </w:pPr>
  </w:style>
  <w:style w:type="paragraph" w:customStyle="1" w:styleId="Normal12Italic">
    <w:name w:val="Normal12Italic"/>
    <w:basedOn w:val="Normal"/>
    <w:rsid w:val="00F21BA6"/>
    <w:pPr>
      <w:spacing w:after="240"/>
    </w:pPr>
    <w:rPr>
      <w:i/>
      <w:noProof/>
    </w:rPr>
  </w:style>
  <w:style w:type="character" w:customStyle="1" w:styleId="NormalBoldChar">
    <w:name w:val="NormalBold Char"/>
    <w:basedOn w:val="DefaultParagraphFont"/>
    <w:link w:val="NormalBold"/>
    <w:rsid w:val="00F21BA6"/>
    <w:rPr>
      <w:b/>
      <w:sz w:val="24"/>
      <w:lang w:val="cs-CZ"/>
    </w:rPr>
  </w:style>
  <w:style w:type="character" w:customStyle="1" w:styleId="Normal6Char">
    <w:name w:val="Normal6 Char"/>
    <w:basedOn w:val="DefaultParagraphFont"/>
    <w:link w:val="Normal6"/>
    <w:rsid w:val="00F21BA6"/>
    <w:rPr>
      <w:sz w:val="24"/>
      <w:lang w:val="cs-CZ"/>
    </w:rPr>
  </w:style>
  <w:style w:type="paragraph" w:customStyle="1" w:styleId="ColumnHeading">
    <w:name w:val="ColumnHeading"/>
    <w:basedOn w:val="Normal"/>
    <w:rsid w:val="00F21BA6"/>
    <w:pPr>
      <w:spacing w:after="240"/>
      <w:jc w:val="center"/>
    </w:pPr>
    <w:rPr>
      <w:i/>
    </w:rPr>
  </w:style>
  <w:style w:type="paragraph" w:customStyle="1" w:styleId="AMNumberTabs0">
    <w:name w:val="AMNumberTabs"/>
    <w:basedOn w:val="Normal"/>
    <w:rsid w:val="00F21BA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21BA6"/>
    <w:pPr>
      <w:jc w:val="right"/>
    </w:pPr>
  </w:style>
  <w:style w:type="paragraph" w:customStyle="1" w:styleId="JustificationTitle">
    <w:name w:val="JustificationTitle"/>
    <w:basedOn w:val="Normal"/>
    <w:next w:val="Normal"/>
    <w:rsid w:val="00F21BA6"/>
    <w:pPr>
      <w:keepNext/>
      <w:spacing w:before="240" w:after="240"/>
      <w:jc w:val="center"/>
    </w:pPr>
    <w:rPr>
      <w:i/>
      <w:noProof/>
    </w:rPr>
  </w:style>
  <w:style w:type="paragraph" w:styleId="BalloonText">
    <w:name w:val="Balloon Text"/>
    <w:basedOn w:val="Normal"/>
    <w:link w:val="BalloonTextChar"/>
    <w:semiHidden/>
    <w:unhideWhenUsed/>
    <w:rsid w:val="00F21BA6"/>
    <w:rPr>
      <w:rFonts w:ascii="Segoe UI" w:hAnsi="Segoe UI" w:cs="Segoe UI"/>
      <w:sz w:val="18"/>
      <w:szCs w:val="18"/>
      <w:lang w:eastAsia="en-US"/>
    </w:rPr>
  </w:style>
  <w:style w:type="character" w:customStyle="1" w:styleId="BalloonTextChar">
    <w:name w:val="Balloon Text Char"/>
    <w:basedOn w:val="DefaultParagraphFont"/>
    <w:link w:val="BalloonText"/>
    <w:semiHidden/>
    <w:rsid w:val="00F21BA6"/>
    <w:rPr>
      <w:rFonts w:ascii="Segoe UI" w:hAnsi="Segoe UI" w:cs="Segoe UI"/>
      <w:sz w:val="18"/>
      <w:szCs w:val="18"/>
      <w:lang w:eastAsia="en-US"/>
    </w:rPr>
  </w:style>
  <w:style w:type="paragraph" w:styleId="Footer">
    <w:name w:val="footer"/>
    <w:basedOn w:val="Normal"/>
    <w:link w:val="FooterChar"/>
    <w:semiHidden/>
    <w:unhideWhenUsed/>
    <w:rsid w:val="00F21BA6"/>
    <w:pPr>
      <w:tabs>
        <w:tab w:val="center" w:pos="4513"/>
        <w:tab w:val="right" w:pos="9026"/>
      </w:tabs>
    </w:pPr>
    <w:rPr>
      <w:szCs w:val="24"/>
      <w:lang w:eastAsia="en-US"/>
    </w:rPr>
  </w:style>
  <w:style w:type="character" w:customStyle="1" w:styleId="FooterChar">
    <w:name w:val="Footer Char"/>
    <w:basedOn w:val="DefaultParagraphFont"/>
    <w:link w:val="Footer"/>
    <w:semiHidden/>
    <w:rsid w:val="00F21BA6"/>
    <w:rPr>
      <w:sz w:val="24"/>
      <w:szCs w:val="24"/>
      <w:lang w:eastAsia="en-US"/>
    </w:rPr>
  </w:style>
  <w:style w:type="character" w:styleId="CommentReference">
    <w:name w:val="annotation reference"/>
    <w:basedOn w:val="DefaultParagraphFont"/>
    <w:unhideWhenUsed/>
    <w:rsid w:val="00F21BA6"/>
    <w:rPr>
      <w:sz w:val="16"/>
      <w:szCs w:val="16"/>
    </w:rPr>
  </w:style>
  <w:style w:type="paragraph" w:styleId="CommentText">
    <w:name w:val="annotation text"/>
    <w:basedOn w:val="Normal"/>
    <w:link w:val="CommentTextChar"/>
    <w:unhideWhenUsed/>
    <w:rsid w:val="00F21BA6"/>
    <w:rPr>
      <w:sz w:val="20"/>
      <w:lang w:eastAsia="en-US"/>
    </w:rPr>
  </w:style>
  <w:style w:type="character" w:customStyle="1" w:styleId="CommentTextChar">
    <w:name w:val="Comment Text Char"/>
    <w:basedOn w:val="DefaultParagraphFont"/>
    <w:link w:val="CommentText"/>
    <w:rsid w:val="00F21BA6"/>
    <w:rPr>
      <w:lang w:eastAsia="en-US"/>
    </w:rPr>
  </w:style>
  <w:style w:type="paragraph" w:styleId="CommentSubject">
    <w:name w:val="annotation subject"/>
    <w:basedOn w:val="CommentText"/>
    <w:next w:val="CommentText"/>
    <w:link w:val="CommentSubjectChar"/>
    <w:semiHidden/>
    <w:unhideWhenUsed/>
    <w:rsid w:val="00F21BA6"/>
    <w:rPr>
      <w:b/>
      <w:bCs/>
    </w:rPr>
  </w:style>
  <w:style w:type="character" w:customStyle="1" w:styleId="CommentSubjectChar">
    <w:name w:val="Comment Subject Char"/>
    <w:basedOn w:val="CommentTextChar"/>
    <w:link w:val="CommentSubject"/>
    <w:semiHidden/>
    <w:rsid w:val="00F21BA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5172</Words>
  <Characters>31301</Characters>
  <Application>Microsoft Office Word</Application>
  <DocSecurity>0</DocSecurity>
  <Lines>1290</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SOCHOROVA Lenka</dc:creator>
  <cp:lastModifiedBy>OSLADILOVA Jana</cp:lastModifiedBy>
  <cp:revision>2</cp:revision>
  <cp:lastPrinted>2007-06-22T14:02:00Z</cp:lastPrinted>
  <dcterms:created xsi:type="dcterms:W3CDTF">2025-02-14T09:34:00Z</dcterms:created>
  <dcterms:modified xsi:type="dcterms:W3CDTF">2025-02-14T09:34:00Z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\\eiciLUXpr1\pdocep$\DocEP\TRANSFIL\CS\AM_Com_LegReport.CS(16/08/2024 15:58:01)</vt:lpwstr>
  </property>
  <property fmtid="{D5CDD505-2E9C-101B-9397-08002B2CF9AE}" pid="7" name="&lt;Type&gt;">
    <vt:lpwstr>AM</vt:lpwstr>
  </property>
  <property fmtid="{D5CDD505-2E9C-101B-9397-08002B2CF9AE}" pid="8" name="Bookout">
    <vt:lpwstr>OK - 2025/02/14 10:34</vt:lpwstr>
  </property>
  <property fmtid="{D5CDD505-2E9C-101B-9397-08002B2CF9AE}" pid="9" name="Created with">
    <vt:lpwstr>10.0.1 Build [20250114]</vt:lpwstr>
  </property>
  <property fmtid="{D5CDD505-2E9C-101B-9397-08002B2CF9AE}" pid="10" name="FooterPath">
    <vt:lpwstr>AM\1314148CS.docx</vt:lpwstr>
  </property>
  <property fmtid="{D5CDD505-2E9C-101B-9397-08002B2CF9AE}" pid="11" name="LastEdited with">
    <vt:lpwstr>10.0.1 Build [20250114]</vt:lpwstr>
  </property>
  <property fmtid="{D5CDD505-2E9C-101B-9397-08002B2CF9AE}" pid="12" name="PE number">
    <vt:lpwstr>766.918</vt:lpwstr>
  </property>
  <property fmtid="{D5CDD505-2E9C-101B-9397-08002B2CF9AE}" pid="13" name="SDLStudio">
    <vt:lpwstr/>
  </property>
</Properties>
</file>