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359A3" w:rsidRPr="00704302">
        <w:trPr>
          <w:trHeight w:hRule="exact" w:val="1417"/>
          <w:jc w:val="center"/>
        </w:trPr>
        <w:tc>
          <w:tcPr>
            <w:tcW w:w="6804" w:type="dxa"/>
            <w:tcBorders>
              <w:top w:val="nil"/>
              <w:left w:val="nil"/>
              <w:bottom w:val="nil"/>
              <w:right w:val="nil"/>
            </w:tcBorders>
            <w:vAlign w:val="center"/>
          </w:tcPr>
          <w:p w:rsidR="00387D70" w:rsidRPr="00704302" w:rsidRDefault="00543E4A" w:rsidP="00543E4A">
            <w:pPr>
              <w:pStyle w:val="EPName"/>
              <w:widowControl/>
            </w:pPr>
            <w:r w:rsidRPr="00704302">
              <w:t>Parlamento Europeo</w:t>
            </w:r>
          </w:p>
          <w:p w:rsidR="00387D70" w:rsidRPr="00704302" w:rsidRDefault="00543E4A" w:rsidP="00543E4A">
            <w:pPr>
              <w:pStyle w:val="EPTerm"/>
              <w:widowControl/>
            </w:pPr>
            <w:r w:rsidRPr="00704302">
              <w:t>2024-2029</w:t>
            </w:r>
          </w:p>
        </w:tc>
        <w:tc>
          <w:tcPr>
            <w:tcW w:w="2268" w:type="dxa"/>
            <w:tcBorders>
              <w:top w:val="nil"/>
              <w:left w:val="nil"/>
              <w:bottom w:val="nil"/>
              <w:right w:val="nil"/>
            </w:tcBorders>
          </w:tcPr>
          <w:p w:rsidR="00387D70" w:rsidRPr="00704302" w:rsidRDefault="000B1DB4" w:rsidP="00543E4A">
            <w:pPr>
              <w:pStyle w:val="EPLogo"/>
              <w:widowControl/>
            </w:pPr>
            <w:r w:rsidRPr="0070430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5pt;height:50.25pt">
                  <v:imagedata r:id="rId8" o:title=""/>
                </v:shape>
              </w:pict>
            </w:r>
          </w:p>
        </w:tc>
      </w:tr>
    </w:tbl>
    <w:p w:rsidR="00387D70" w:rsidRPr="00704302" w:rsidRDefault="00543E4A" w:rsidP="00543E4A">
      <w:pPr>
        <w:pStyle w:val="LineTop"/>
        <w:widowControl/>
      </w:pPr>
      <w:r w:rsidRPr="00704302">
        <w:t xml:space="preserve"> </w:t>
      </w:r>
    </w:p>
    <w:p w:rsidR="00387D70" w:rsidRPr="00704302" w:rsidRDefault="00543E4A" w:rsidP="00543E4A">
      <w:pPr>
        <w:pStyle w:val="EPBody"/>
        <w:widowControl/>
      </w:pPr>
      <w:r w:rsidRPr="00704302">
        <w:rPr>
          <w:rStyle w:val="HideTWBExt"/>
        </w:rPr>
        <w:t>&lt;Commission&gt;</w:t>
      </w:r>
      <w:r w:rsidRPr="00704302">
        <w:rPr>
          <w:rStyle w:val="HideTWBInt"/>
          <w:color w:val="auto"/>
        </w:rPr>
        <w:t>{LIBE}</w:t>
      </w:r>
      <w:r w:rsidRPr="00704302">
        <w:t>Comisión de Libertades Civiles, Justicia y Asuntos de Interior</w:t>
      </w:r>
      <w:r w:rsidRPr="00704302">
        <w:rPr>
          <w:rStyle w:val="HideTWBExt"/>
        </w:rPr>
        <w:t>&lt;/Commission&gt;</w:t>
      </w:r>
    </w:p>
    <w:p w:rsidR="00387D70" w:rsidRPr="00704302" w:rsidRDefault="00543E4A" w:rsidP="00543E4A">
      <w:pPr>
        <w:pStyle w:val="LineBottom"/>
        <w:widowControl/>
      </w:pPr>
      <w:r w:rsidRPr="00704302">
        <w:t xml:space="preserve"> </w:t>
      </w:r>
    </w:p>
    <w:p w:rsidR="00E33FD9" w:rsidRPr="00704302" w:rsidRDefault="00543E4A" w:rsidP="00543E4A">
      <w:pPr>
        <w:pStyle w:val="CoverReference"/>
        <w:widowControl/>
      </w:pPr>
      <w:r w:rsidRPr="00704302">
        <w:rPr>
          <w:rStyle w:val="HideTWBExt"/>
        </w:rPr>
        <w:t>&lt;RefProc&gt;</w:t>
      </w:r>
      <w:r w:rsidRPr="00704302">
        <w:t>2024/0187</w:t>
      </w:r>
      <w:r w:rsidRPr="00704302">
        <w:rPr>
          <w:rStyle w:val="HideTWBExt"/>
        </w:rPr>
        <w:t>&lt;/RefProc&gt;&lt;RefTypeProc&gt;</w:t>
      </w:r>
      <w:r w:rsidRPr="00704302">
        <w:t>(CNS)</w:t>
      </w:r>
      <w:r w:rsidRPr="00704302">
        <w:rPr>
          <w:rStyle w:val="HideTWBExt"/>
        </w:rPr>
        <w:t>&lt;/RefTypeProc&gt;</w:t>
      </w:r>
    </w:p>
    <w:p w:rsidR="00E33FD9" w:rsidRPr="00704302" w:rsidRDefault="00543E4A" w:rsidP="00543E4A">
      <w:pPr>
        <w:pStyle w:val="CoverDate"/>
        <w:widowControl/>
      </w:pPr>
      <w:r w:rsidRPr="00704302">
        <w:rPr>
          <w:rStyle w:val="HideTWBExt"/>
        </w:rPr>
        <w:t>&lt;Date&gt;</w:t>
      </w:r>
      <w:r w:rsidRPr="00704302">
        <w:rPr>
          <w:rStyle w:val="HideTWBInt"/>
          <w:color w:val="auto"/>
        </w:rPr>
        <w:t>{31/01/2025}</w:t>
      </w:r>
      <w:r w:rsidRPr="00704302">
        <w:t>31.01.2025</w:t>
      </w:r>
      <w:r w:rsidRPr="00704302">
        <w:rPr>
          <w:rStyle w:val="HideTWBExt"/>
        </w:rPr>
        <w:t>&lt;/Date&gt;</w:t>
      </w:r>
    </w:p>
    <w:p w:rsidR="00E33FD9" w:rsidRPr="00704302" w:rsidRDefault="00543E4A" w:rsidP="00543E4A">
      <w:pPr>
        <w:pStyle w:val="CoverDocType"/>
        <w:widowControl/>
      </w:pPr>
      <w:r w:rsidRPr="00704302">
        <w:rPr>
          <w:rStyle w:val="HideTWBExt"/>
        </w:rPr>
        <w:t>&lt;TypeAM&gt;</w:t>
      </w:r>
      <w:r w:rsidRPr="00704302">
        <w:t>ENMIENDAS</w:t>
      </w:r>
      <w:r w:rsidRPr="00704302">
        <w:rPr>
          <w:rStyle w:val="HideTWBExt"/>
        </w:rPr>
        <w:t>&lt;/TypeAM&gt;</w:t>
      </w:r>
    </w:p>
    <w:p w:rsidR="00E33FD9" w:rsidRPr="00704302" w:rsidRDefault="00543E4A" w:rsidP="00543E4A">
      <w:pPr>
        <w:pStyle w:val="CoverDocType24a"/>
        <w:widowControl/>
      </w:pPr>
      <w:r w:rsidRPr="00704302">
        <w:rPr>
          <w:rStyle w:val="HideTWBExt"/>
        </w:rPr>
        <w:t>&lt;RangeAM&gt;</w:t>
      </w:r>
      <w:r w:rsidRPr="00704302">
        <w:t>1 - 47</w:t>
      </w:r>
      <w:r w:rsidRPr="00704302">
        <w:rPr>
          <w:rStyle w:val="HideTWBExt"/>
        </w:rPr>
        <w:t>&lt;/RangeAM&gt;</w:t>
      </w:r>
    </w:p>
    <w:p w:rsidR="00E33FD9" w:rsidRPr="00704302" w:rsidRDefault="00543E4A" w:rsidP="00543E4A">
      <w:pPr>
        <w:pStyle w:val="CoverBold"/>
        <w:widowControl/>
      </w:pPr>
      <w:r w:rsidRPr="00704302">
        <w:rPr>
          <w:rStyle w:val="HideTWBExt"/>
        </w:rPr>
        <w:t>&lt;TitreType&gt;</w:t>
      </w:r>
      <w:r w:rsidRPr="00704302">
        <w:t>Proyecto de informe</w:t>
      </w:r>
      <w:r w:rsidRPr="00704302">
        <w:rPr>
          <w:rStyle w:val="HideTWBExt"/>
        </w:rPr>
        <w:t>&lt;/TitreType&gt;</w:t>
      </w:r>
    </w:p>
    <w:p w:rsidR="00E33FD9" w:rsidRPr="00704302" w:rsidRDefault="00543E4A" w:rsidP="00543E4A">
      <w:pPr>
        <w:pStyle w:val="CoverBold"/>
        <w:widowControl/>
      </w:pPr>
      <w:r w:rsidRPr="00704302">
        <w:rPr>
          <w:rStyle w:val="HideTWBExt"/>
        </w:rPr>
        <w:t>&lt;Rapporteur&gt;</w:t>
      </w:r>
      <w:r w:rsidRPr="00704302">
        <w:t>Malik Azmani</w:t>
      </w:r>
      <w:r w:rsidRPr="00704302">
        <w:rPr>
          <w:rStyle w:val="HideTWBExt"/>
        </w:rPr>
        <w:t>&lt;/Rapporteur&gt;</w:t>
      </w:r>
    </w:p>
    <w:p w:rsidR="00E33FD9" w:rsidRPr="00704302" w:rsidRDefault="00543E4A" w:rsidP="00543E4A">
      <w:pPr>
        <w:pStyle w:val="CoverNormal24a"/>
        <w:widowControl/>
      </w:pPr>
      <w:r w:rsidRPr="00704302">
        <w:rPr>
          <w:rStyle w:val="HideTWBExt"/>
        </w:rPr>
        <w:t>&lt;DocRefPE&gt;</w:t>
      </w:r>
      <w:r w:rsidRPr="00704302">
        <w:t>(PE766.606v01-00)</w:t>
      </w:r>
      <w:r w:rsidRPr="00704302">
        <w:rPr>
          <w:rStyle w:val="HideTWBExt"/>
        </w:rPr>
        <w:t>&lt;/DocRefPE&gt;</w:t>
      </w:r>
    </w:p>
    <w:p w:rsidR="00E33FD9" w:rsidRPr="00704302" w:rsidRDefault="00543E4A" w:rsidP="00543E4A">
      <w:pPr>
        <w:pStyle w:val="CoverNormal24a"/>
        <w:widowControl/>
      </w:pPr>
      <w:r w:rsidRPr="00704302">
        <w:rPr>
          <w:rStyle w:val="HideTWBExt"/>
        </w:rPr>
        <w:t>&lt;Titre&gt;</w:t>
      </w:r>
      <w:r w:rsidRPr="00704302">
        <w:t>Refuerzo de la seguridad de los documentos de identidad de los ciudadanos de la Unión y de los documentos de residencia expedidos a ciudadanos de la Unión y a los miembros de sus familias que ejerzan su derecho a la libre circulación</w:t>
      </w:r>
      <w:r w:rsidRPr="00704302">
        <w:rPr>
          <w:rStyle w:val="HideTWBExt"/>
        </w:rPr>
        <w:t>&lt;/Titre&gt;</w:t>
      </w:r>
    </w:p>
    <w:p w:rsidR="00E33FD9" w:rsidRPr="00704302" w:rsidRDefault="00543E4A" w:rsidP="00543E4A">
      <w:pPr>
        <w:pStyle w:val="CoverNormal"/>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CoverNormal24a"/>
        <w:widowControl/>
      </w:pPr>
      <w:r w:rsidRPr="00704302">
        <w:rPr>
          <w:rStyle w:val="HideTWBExt"/>
        </w:rPr>
        <w:t>&lt;DocRef&gt;</w:t>
      </w:r>
      <w:r w:rsidRPr="00704302">
        <w:t>(COM(2024)0316 – 2024/0187(CNS))</w:t>
      </w:r>
      <w:r w:rsidRPr="00704302">
        <w:rPr>
          <w:rStyle w:val="HideTWBExt"/>
        </w:rPr>
        <w:t>&lt;/DocRef&gt;</w:t>
      </w:r>
    </w:p>
    <w:p w:rsidR="00E33FD9" w:rsidRPr="00704302" w:rsidRDefault="00543E4A" w:rsidP="00543E4A">
      <w:pPr>
        <w:widowControl/>
        <w:ind w:left="567"/>
      </w:pPr>
      <w:r w:rsidRPr="00704302">
        <w:br w:type="page"/>
      </w:r>
      <w:r w:rsidRPr="00704302">
        <w:lastRenderedPageBreak/>
        <w:t>AM_Com_LegReport</w:t>
      </w:r>
    </w:p>
    <w:p w:rsidR="00E33FD9" w:rsidRPr="00704302" w:rsidRDefault="00543E4A" w:rsidP="00543E4A">
      <w:pPr>
        <w:pStyle w:val="AmNumberTabs"/>
        <w:widowControl/>
      </w:pPr>
      <w:r w:rsidRPr="00704302">
        <w:br w:type="page"/>
      </w:r>
      <w:r w:rsidRPr="00704302">
        <w:rPr>
          <w:rStyle w:val="HideTWBExt"/>
        </w:rPr>
        <w:lastRenderedPageBreak/>
        <w:t>&lt;RepeatBlock-Amend&gt;&lt;Amend&gt;</w:t>
      </w:r>
      <w:r w:rsidRPr="00704302">
        <w:t>Enmienda</w:t>
      </w:r>
      <w:r w:rsidRPr="00704302">
        <w:tab/>
      </w:r>
      <w:r w:rsidRPr="00704302">
        <w:tab/>
      </w:r>
      <w:r w:rsidRPr="00704302">
        <w:rPr>
          <w:rStyle w:val="HideTWBExt"/>
        </w:rPr>
        <w:t>&lt;NumAm&gt;</w:t>
      </w:r>
      <w:r w:rsidRPr="00704302">
        <w:t>1</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Malik Azmani</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Proyecto de Resolución legislativa</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Visto 1 bis (nuevo)</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Proyecto de Resolución legislativa</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E33FD9" w:rsidP="00543E4A">
            <w:pPr>
              <w:pStyle w:val="Normal6a"/>
              <w:widowControl/>
            </w:pPr>
          </w:p>
        </w:tc>
        <w:tc>
          <w:tcPr>
            <w:tcW w:w="4876" w:type="dxa"/>
            <w:tcBorders>
              <w:top w:val="nil"/>
              <w:left w:val="nil"/>
              <w:bottom w:val="nil"/>
              <w:right w:val="nil"/>
            </w:tcBorders>
          </w:tcPr>
          <w:p w:rsidR="00E33FD9" w:rsidRPr="00704302" w:rsidRDefault="00543E4A" w:rsidP="00543E4A">
            <w:pPr>
              <w:pStyle w:val="Normal6a"/>
              <w:widowControl/>
              <w:ind w:left="720" w:hanging="360"/>
            </w:pPr>
            <w:r w:rsidRPr="00704302">
              <w:t>-</w:t>
            </w:r>
            <w:r w:rsidRPr="00704302">
              <w:tab/>
              <w:t>Visto el proyecto del Consejo (16877/24),</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2</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Milan Uhrík, Ewa Zajączkowska-Hernik, Mary Khan</w:t>
      </w:r>
      <w:r w:rsidRPr="00704302">
        <w:rPr>
          <w:rStyle w:val="HideTWBExt"/>
          <w:b w:val="0"/>
        </w:rPr>
        <w:t>&lt;/Members&gt;</w:t>
      </w:r>
    </w:p>
    <w:p w:rsidR="00E33FD9" w:rsidRPr="00704302" w:rsidRDefault="00543E4A" w:rsidP="00543E4A">
      <w:pPr>
        <w:widowControl/>
      </w:pPr>
      <w:r w:rsidRPr="00704302">
        <w:rPr>
          <w:rStyle w:val="HideTWBExt"/>
        </w:rPr>
        <w:t>&lt;AuNomDe&gt;</w:t>
      </w:r>
      <w:r w:rsidRPr="00704302">
        <w:rPr>
          <w:rStyle w:val="HideTWBInt"/>
          <w:color w:val="auto"/>
        </w:rPr>
        <w:t>{ESN}</w:t>
      </w:r>
      <w:r w:rsidRPr="00704302">
        <w:t>en nombre del Grupo ESN</w:t>
      </w:r>
      <w:r w:rsidRPr="00704302">
        <w:rPr>
          <w:rStyle w:val="HideTWBExt"/>
        </w:rPr>
        <w:t>&lt;/AuNomDe&gt;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Considerando 16</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(16)</w:t>
            </w:r>
            <w:r w:rsidRPr="00704302">
              <w:tab/>
              <w:t>El almacenamiento de una imagen facial y dos impresiones dactilares (en lo sucesivo, «datos biométricos») en los documentos de identidad y tarjetas de residencia</w:t>
            </w:r>
            <w:r w:rsidRPr="00704302">
              <w:rPr>
                <w:b/>
                <w:i/>
              </w:rPr>
              <w:t>, como ya se contempla para los pasaportes biométricos para ciudadanos de la Unión y los permisos de residencia para ciudadanos de terceros países, es</w:t>
            </w:r>
            <w:r w:rsidRPr="00704302">
              <w:t xml:space="preserve"> un método apropiado para combinar una identificación y una autenticación fiables con un riesgo reducido de fraude, con el fin de abordar adecuadamente el objetivo de reforzar la seguridad de los documentos de identidad y las tarjetas de residencia. </w:t>
            </w:r>
            <w:r w:rsidRPr="00704302">
              <w:rPr>
                <w:b/>
                <w:i/>
              </w:rPr>
              <w:t>El</w:t>
            </w:r>
            <w:r w:rsidRPr="00704302">
              <w:t xml:space="preserve"> Tribunal de Justicia confirmó que la inclusión obligatoria de las impresiones dactilares en el soporte de almacenamiento es compatible con los derechos fundamentales al respeto de la vida privada y a la protección de los datos personales garantizados en los artículos 7 y 8 de la Carta.</w:t>
            </w:r>
          </w:p>
        </w:tc>
        <w:tc>
          <w:tcPr>
            <w:tcW w:w="4876" w:type="dxa"/>
            <w:tcBorders>
              <w:top w:val="nil"/>
              <w:left w:val="nil"/>
              <w:bottom w:val="nil"/>
              <w:right w:val="nil"/>
            </w:tcBorders>
          </w:tcPr>
          <w:p w:rsidR="00E33FD9" w:rsidRPr="00704302" w:rsidRDefault="00543E4A" w:rsidP="00543E4A">
            <w:pPr>
              <w:pStyle w:val="Normal6a"/>
              <w:widowControl/>
            </w:pPr>
            <w:r w:rsidRPr="00704302">
              <w:t>(16)</w:t>
            </w:r>
            <w:r w:rsidRPr="00704302">
              <w:tab/>
              <w:t>El almacenamiento de una imagen facial y dos impresiones dactilares (en lo sucesivo, «datos biométricos») en los documentos de identidad y tarjetas de residencia</w:t>
            </w:r>
            <w:r w:rsidRPr="00704302">
              <w:rPr>
                <w:b/>
                <w:i/>
              </w:rPr>
              <w:t xml:space="preserve"> no representa</w:t>
            </w:r>
            <w:r w:rsidRPr="00704302">
              <w:t xml:space="preserve"> un método apropiado para combinar una identificación y una autenticación fiables con un riesgo reducido de fraude, con el fin de abordar adecuadamente el objetivo de reforzar la seguridad de los documentos de identidad y las tarjetas de residencia. </w:t>
            </w:r>
            <w:r w:rsidRPr="00704302">
              <w:rPr>
                <w:b/>
                <w:i/>
              </w:rPr>
              <w:t xml:space="preserve">Se trata de una violación demasiado grave del derecho a la intimidad de los ciudadanos en favor de un aumento cada vez mayor de las posibilidades de control estatal. También existe un grave riesgo de ciberdelincuencia: si estas impresiones dactilares son robadas del medio de almacenamiento del documento de identidad, pueden utilizarse en todo el mundo para todo tipo de fraude y robo relacionados con la identidad. Dado que son únicas y no pueden cambiarse, el robo de estas impresiones dactilares </w:t>
            </w:r>
            <w:r w:rsidRPr="00704302">
              <w:rPr>
                <w:b/>
                <w:i/>
              </w:rPr>
              <w:lastRenderedPageBreak/>
              <w:t>supondría un riesgo a lo largo de toda la vida para el ciudadano que sea víctima del robo. Aunque el</w:t>
            </w:r>
            <w:r w:rsidRPr="00704302">
              <w:t xml:space="preserve"> Tribunal de Justicia confirmó</w:t>
            </w:r>
            <w:r w:rsidRPr="00704302">
              <w:rPr>
                <w:b/>
                <w:i/>
              </w:rPr>
              <w:t>, de manera estrictamente jurídica,</w:t>
            </w:r>
            <w:r w:rsidRPr="00704302">
              <w:t xml:space="preserve"> que la inclusión obligatoria de las impresiones dactilares en el soporte de almacenamiento es compatible con los derechos fundamentales al respeto de la vida privada y a la protección de los datos personales garantizados en los artículos 7 y 8 de la Carta</w:t>
            </w:r>
            <w:r w:rsidRPr="00704302">
              <w:rPr>
                <w:b/>
                <w:i/>
              </w:rPr>
              <w:t>, existen otros valores en juego, como una opción fundamental para la intimidad de los ciudadanos sobre las posibilidades cada vez mayores de control estatal y la estricta prevención de nuevas formas de ciberdelincuencia</w:t>
            </w:r>
            <w:r w:rsidRPr="00704302">
              <w:t>.</w:t>
            </w:r>
          </w:p>
        </w:tc>
      </w:tr>
    </w:tbl>
    <w:p w:rsidR="00E33FD9" w:rsidRPr="00704302" w:rsidRDefault="00543E4A" w:rsidP="00543E4A">
      <w:pPr>
        <w:pStyle w:val="AmOrLang"/>
        <w:widowControl/>
      </w:pPr>
      <w:r w:rsidRPr="00704302">
        <w:lastRenderedPageBreak/>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3</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Francisco Assis, Krzysztof Śmiszek, Ana Catarina Mendes, Marco Tarquinio, Emma Rafowicz, Alessandro Zan</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Considerando 19</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(19)</w:t>
            </w:r>
            <w:r w:rsidRPr="00704302">
              <w:tab/>
              <w:t>El presente Reglamento no establece una base jurídica para crear o mantener bases de datos a nivel nacional para el almacenamiento de datos biométricos en los Estados miembros,</w:t>
            </w:r>
            <w:r w:rsidRPr="00704302">
              <w:rPr>
                <w:b/>
                <w:i/>
              </w:rPr>
              <w:t xml:space="preserve"> pues se trata de una cuestión de Derecho nacional que tiene que cumplir con el Derecho de la Unión en materia de protección de datos, incluidos los requisitos de necesidad y proporcionalidad.</w:t>
            </w:r>
            <w:r w:rsidRPr="00704302">
              <w:t xml:space="preserve"> Asimismo, el presente Reglamento no establece una base jurídica para la creación o el mantenimiento de una base de datos centralizada a nivel de la Unión.</w:t>
            </w:r>
          </w:p>
        </w:tc>
        <w:tc>
          <w:tcPr>
            <w:tcW w:w="4876" w:type="dxa"/>
            <w:tcBorders>
              <w:top w:val="nil"/>
              <w:left w:val="nil"/>
              <w:bottom w:val="nil"/>
              <w:right w:val="nil"/>
            </w:tcBorders>
          </w:tcPr>
          <w:p w:rsidR="00E33FD9" w:rsidRPr="00704302" w:rsidRDefault="00543E4A" w:rsidP="00543E4A">
            <w:pPr>
              <w:pStyle w:val="Normal6a"/>
              <w:widowControl/>
            </w:pPr>
            <w:r w:rsidRPr="00704302">
              <w:t>(19)</w:t>
            </w:r>
            <w:r w:rsidRPr="00704302">
              <w:tab/>
              <w:t xml:space="preserve">El presente Reglamento no establece una base jurídica para crear o mantener bases de datos a nivel nacional para el almacenamiento de datos biométricos en los Estados miembros. Asimismo, el presente Reglamento no establece una base jurídica para la creación o el mantenimiento de una base de datos centralizada a nivel de la Unión. </w:t>
            </w:r>
            <w:r w:rsidRPr="00704302">
              <w:rPr>
                <w:b/>
                <w:i/>
              </w:rPr>
              <w:t>Los datos biométricos tratados a efectos del presente Reglamento no deben tratarse para ningún otro fin y no deben almacenarse en bases de datos nacionales o de la Unión.</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keepNext/>
        <w:widowControl/>
      </w:pPr>
      <w:r w:rsidRPr="00704302">
        <w:rPr>
          <w:rStyle w:val="HideTWBExt"/>
        </w:rPr>
        <w:lastRenderedPageBreak/>
        <w:t>&lt;Amend&gt;</w:t>
      </w:r>
      <w:r w:rsidRPr="00704302">
        <w:t>Enmienda</w:t>
      </w:r>
      <w:r w:rsidRPr="00704302">
        <w:tab/>
      </w:r>
      <w:r w:rsidRPr="00704302">
        <w:tab/>
      </w:r>
      <w:r w:rsidRPr="00704302">
        <w:rPr>
          <w:rStyle w:val="HideTWBExt"/>
        </w:rPr>
        <w:t>&lt;NumAm&gt;</w:t>
      </w:r>
      <w:r w:rsidRPr="00704302">
        <w:t>4</w:t>
      </w:r>
      <w:r w:rsidRPr="00704302">
        <w:rPr>
          <w:rStyle w:val="HideTWBExt"/>
        </w:rPr>
        <w:t>&lt;/NumAm&gt;</w:t>
      </w:r>
    </w:p>
    <w:p w:rsidR="00E33FD9" w:rsidRPr="00704302" w:rsidRDefault="00543E4A" w:rsidP="00543E4A">
      <w:pPr>
        <w:pStyle w:val="NormalBold"/>
        <w:keepNext/>
        <w:widowControl/>
      </w:pPr>
      <w:r w:rsidRPr="00704302">
        <w:rPr>
          <w:rStyle w:val="HideTWBExt"/>
          <w:b w:val="0"/>
        </w:rPr>
        <w:t>&lt;RepeatBlock-By&gt;&lt;Members&gt;</w:t>
      </w:r>
      <w:r w:rsidRPr="00704302">
        <w:t>Anna Strolenberg</w:t>
      </w:r>
      <w:r w:rsidRPr="00704302">
        <w:rPr>
          <w:rStyle w:val="HideTWBExt"/>
          <w:b w:val="0"/>
        </w:rPr>
        <w:t>&lt;/Members&gt;</w:t>
      </w:r>
    </w:p>
    <w:p w:rsidR="00E33FD9" w:rsidRPr="00704302" w:rsidRDefault="00543E4A" w:rsidP="00543E4A">
      <w:pPr>
        <w:keepNext/>
        <w:widowControl/>
      </w:pPr>
      <w:r w:rsidRPr="00704302">
        <w:rPr>
          <w:rStyle w:val="HideTWBExt"/>
        </w:rPr>
        <w:t>&lt;AuNomDe&gt;</w:t>
      </w:r>
      <w:r w:rsidRPr="00704302">
        <w:rPr>
          <w:rStyle w:val="HideTWBInt"/>
          <w:color w:val="auto"/>
        </w:rPr>
        <w:t>{Greens/EFA}</w:t>
      </w:r>
      <w:r w:rsidRPr="00704302">
        <w:t>en nombre del Grupo Verts/ALE</w:t>
      </w:r>
      <w:r w:rsidRPr="00704302">
        <w:rPr>
          <w:rStyle w:val="HideTWBExt"/>
        </w:rPr>
        <w:t>&lt;/AuNomDe&gt;</w:t>
      </w:r>
    </w:p>
    <w:p w:rsidR="00E33FD9" w:rsidRPr="00704302" w:rsidRDefault="00543E4A" w:rsidP="00543E4A">
      <w:pPr>
        <w:pStyle w:val="NormalBold"/>
        <w:keepNext/>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Considerando 19</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(19)</w:t>
            </w:r>
            <w:r w:rsidRPr="00704302">
              <w:tab/>
              <w:t>El presente Reglamento no establece una base jurídica para crear o mantener bases de datos a nivel nacional para el almacenamiento de datos biométricos en los Estados miembros</w:t>
            </w:r>
            <w:r w:rsidRPr="00704302">
              <w:rPr>
                <w:b/>
                <w:i/>
              </w:rPr>
              <w:t>, pues se trata de una cuestión de Derecho nacional que tiene que cumplir con el Derecho de la Unión en materia de protección de datos, incluidos los requisitos de necesidad y proporcionalidad.</w:t>
            </w:r>
            <w:r w:rsidRPr="00704302">
              <w:t xml:space="preserve"> Asimismo, el presente Reglamento no establece una base jurídica para la creación o el mantenimiento de una base de datos centralizada a nivel de la Unión.</w:t>
            </w:r>
          </w:p>
        </w:tc>
        <w:tc>
          <w:tcPr>
            <w:tcW w:w="4876" w:type="dxa"/>
            <w:tcBorders>
              <w:top w:val="nil"/>
              <w:left w:val="nil"/>
              <w:bottom w:val="nil"/>
              <w:right w:val="nil"/>
            </w:tcBorders>
          </w:tcPr>
          <w:p w:rsidR="00E33FD9" w:rsidRPr="00704302" w:rsidRDefault="00543E4A" w:rsidP="00543E4A">
            <w:pPr>
              <w:pStyle w:val="Normal6a"/>
              <w:widowControl/>
            </w:pPr>
            <w:r w:rsidRPr="00704302">
              <w:t>(19)</w:t>
            </w:r>
            <w:r w:rsidRPr="00704302">
              <w:tab/>
              <w:t xml:space="preserve">El presente Reglamento no establece una base jurídica para crear o mantener bases de datos a nivel nacional para el almacenamiento de datos biométricos en los Estados miembros. Asimismo, el presente Reglamento no establece una base jurídica para la creación o el mantenimiento de una base de datos centralizada a nivel de la Unión. </w:t>
            </w:r>
            <w:r w:rsidRPr="00704302">
              <w:rPr>
                <w:b/>
                <w:i/>
              </w:rPr>
              <w:t>Los datos biométricos tratados a efectos del presente Reglamento no deben tratarse para ningún otro fin y no deben almacenarse en bases de datos nacionales o de la Unión.</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5</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Estrella Galán</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Considerando 19</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(19)</w:t>
            </w:r>
            <w:r w:rsidRPr="00704302">
              <w:tab/>
              <w:t>El presente Reglamento no establece una base jurídica para crear o mantener bases de datos a nivel nacional para el almacenamiento de datos biométricos en los Estados miembros</w:t>
            </w:r>
            <w:r w:rsidRPr="00704302">
              <w:rPr>
                <w:b/>
                <w:i/>
              </w:rPr>
              <w:t>, pues se trata de una cuestión de Derecho nacional que tiene que cumplir con el Derecho de la Unión en materia de protección de datos, incluidos los requisitos de necesidad y proporcionalidad</w:t>
            </w:r>
            <w:r w:rsidRPr="00704302">
              <w:t xml:space="preserve">. Asimismo, el presente Reglamento no establece una base jurídica </w:t>
            </w:r>
            <w:r w:rsidRPr="00704302">
              <w:lastRenderedPageBreak/>
              <w:t>para la creación o el mantenimiento de una base de datos centralizada a nivel de la Unión.</w:t>
            </w:r>
          </w:p>
        </w:tc>
        <w:tc>
          <w:tcPr>
            <w:tcW w:w="4876" w:type="dxa"/>
            <w:tcBorders>
              <w:top w:val="nil"/>
              <w:left w:val="nil"/>
              <w:bottom w:val="nil"/>
              <w:right w:val="nil"/>
            </w:tcBorders>
          </w:tcPr>
          <w:p w:rsidR="00E33FD9" w:rsidRPr="00704302" w:rsidRDefault="00543E4A" w:rsidP="00543E4A">
            <w:pPr>
              <w:pStyle w:val="Normal6a"/>
              <w:widowControl/>
            </w:pPr>
            <w:r w:rsidRPr="00704302">
              <w:lastRenderedPageBreak/>
              <w:t>(19)</w:t>
            </w:r>
            <w:r w:rsidRPr="00704302">
              <w:tab/>
              <w:t xml:space="preserve">El presente Reglamento no establece una base jurídica para crear o mantener bases de datos a nivel nacional para el almacenamiento de datos biométricos en los Estados miembros. Asimismo, el presente Reglamento no establece una base jurídica para la creación o el mantenimiento de una base de datos centralizada a nivel de la Unión. </w:t>
            </w:r>
            <w:r w:rsidRPr="00704302">
              <w:rPr>
                <w:b/>
                <w:i/>
              </w:rPr>
              <w:t xml:space="preserve">Los datos biométricos tratados a efectos del presente Reglamento no deben tratarse para ningún otro fin y no deben almacenarse </w:t>
            </w:r>
            <w:r w:rsidRPr="00704302">
              <w:rPr>
                <w:b/>
                <w:i/>
              </w:rPr>
              <w:lastRenderedPageBreak/>
              <w:t>en bases de datos nacionales o de la Unión.</w:t>
            </w:r>
          </w:p>
        </w:tc>
      </w:tr>
    </w:tbl>
    <w:p w:rsidR="00E33FD9" w:rsidRPr="00704302" w:rsidRDefault="00543E4A" w:rsidP="00543E4A">
      <w:pPr>
        <w:pStyle w:val="AmOrLang"/>
        <w:widowControl/>
      </w:pPr>
      <w:r w:rsidRPr="00704302">
        <w:lastRenderedPageBreak/>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0"/>
        <w:keepNext/>
        <w:widowControl/>
        <w:rPr>
          <w:lang w:val="es-ES_tradnl"/>
        </w:rPr>
      </w:pPr>
      <w:r w:rsidRPr="00704302">
        <w:rPr>
          <w:rStyle w:val="HideTWBExt"/>
          <w:b w:val="0"/>
          <w:lang w:val="es-ES_tradnl"/>
        </w:rPr>
        <w:t>&lt;Amend&gt;</w:t>
      </w:r>
      <w:r w:rsidRPr="00704302">
        <w:rPr>
          <w:lang w:val="es-ES_tradnl"/>
        </w:rPr>
        <w:t>Enmienda</w:t>
      </w:r>
      <w:r w:rsidRPr="00704302">
        <w:rPr>
          <w:lang w:val="es-ES_tradnl"/>
        </w:rPr>
        <w:tab/>
      </w:r>
      <w:r w:rsidRPr="00704302">
        <w:rPr>
          <w:lang w:val="es-ES_tradnl"/>
        </w:rPr>
        <w:tab/>
      </w:r>
      <w:r w:rsidRPr="00704302">
        <w:rPr>
          <w:rStyle w:val="HideTWBExt"/>
          <w:b w:val="0"/>
          <w:lang w:val="es-ES_tradnl"/>
        </w:rPr>
        <w:t>&lt;NumAm&gt;</w:t>
      </w:r>
      <w:r w:rsidRPr="00704302">
        <w:rPr>
          <w:lang w:val="es-ES_tradnl"/>
        </w:rPr>
        <w:t>6</w:t>
      </w:r>
      <w:r w:rsidRPr="00704302">
        <w:rPr>
          <w:rStyle w:val="HideTWBExt"/>
          <w:b w:val="0"/>
          <w:lang w:val="es-ES_tradnl"/>
        </w:rPr>
        <w:t>&lt;/NumAm&gt;</w:t>
      </w:r>
    </w:p>
    <w:p w:rsidR="00E33FD9" w:rsidRPr="00704302" w:rsidRDefault="00543E4A" w:rsidP="00543E4A">
      <w:pPr>
        <w:pStyle w:val="NormalBold"/>
        <w:widowControl/>
      </w:pPr>
      <w:r w:rsidRPr="00704302">
        <w:rPr>
          <w:rStyle w:val="HideTWBExt"/>
          <w:b w:val="0"/>
        </w:rPr>
        <w:t>&lt;RepeatBlock-By&gt;&lt;Members&gt;</w:t>
      </w:r>
      <w:r w:rsidRPr="00704302">
        <w:t>Malik Azmani, Jeannette Baljeu, Lucia Yar, Raquel García Hermida-Van Der Walle</w:t>
      </w:r>
      <w:r w:rsidRPr="00704302">
        <w:rPr>
          <w:rStyle w:val="HideTWBExt"/>
          <w:b w:val="0"/>
        </w:rPr>
        <w:t>&lt;/Members&gt;</w:t>
      </w:r>
    </w:p>
    <w:p w:rsidR="00E33FD9" w:rsidRPr="00704302" w:rsidRDefault="00543E4A" w:rsidP="00543E4A">
      <w:pPr>
        <w:widowControl/>
      </w:pPr>
      <w:r w:rsidRPr="00704302">
        <w:rPr>
          <w:rStyle w:val="HideTWBExt"/>
        </w:rPr>
        <w:t>&lt;/RepeatBlock-By&gt;</w:t>
      </w:r>
    </w:p>
    <w:p w:rsidR="00E33FD9" w:rsidRPr="00704302" w:rsidRDefault="00543E4A" w:rsidP="00543E4A">
      <w:pPr>
        <w:pStyle w:val="NormalBold"/>
        <w:keepNext/>
        <w:widowControl/>
      </w:pPr>
      <w:r w:rsidRPr="00704302">
        <w:rPr>
          <w:rStyle w:val="HideTWBExt"/>
          <w:b w:val="0"/>
        </w:rPr>
        <w:t>&lt;DocAmend&gt;</w:t>
      </w:r>
      <w:r w:rsidRPr="00704302">
        <w:t>Propuesta de Reglamento</w:t>
      </w:r>
      <w:r w:rsidRPr="00704302">
        <w:rPr>
          <w:rStyle w:val="HideTWBExt"/>
          <w:b w:val="0"/>
        </w:rPr>
        <w:t>&lt;/DocAmend&gt;</w:t>
      </w:r>
    </w:p>
    <w:p w:rsidR="00E33FD9" w:rsidRPr="00704302" w:rsidRDefault="00543E4A" w:rsidP="00543E4A">
      <w:pPr>
        <w:pStyle w:val="NormalBold"/>
        <w:widowControl/>
      </w:pPr>
      <w:r w:rsidRPr="00704302">
        <w:rPr>
          <w:rStyle w:val="HideTWBExt"/>
          <w:b w:val="0"/>
        </w:rPr>
        <w:t>&lt;Article&gt;</w:t>
      </w:r>
      <w:r w:rsidRPr="00704302">
        <w:t>Considerando 20</w:t>
      </w:r>
      <w:r w:rsidRPr="007043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59A3" w:rsidRPr="00704302" w:rsidTr="00E275B2">
        <w:trPr>
          <w:jc w:val="center"/>
        </w:trPr>
        <w:tc>
          <w:tcPr>
            <w:tcW w:w="9752" w:type="dxa"/>
            <w:gridSpan w:val="2"/>
          </w:tcPr>
          <w:p w:rsidR="00E33FD9" w:rsidRPr="00704302" w:rsidRDefault="00E33FD9" w:rsidP="00543E4A">
            <w:pPr>
              <w:keepNext/>
              <w:widowControl/>
            </w:pPr>
          </w:p>
        </w:tc>
      </w:tr>
      <w:tr w:rsidR="002359A3" w:rsidRPr="00704302" w:rsidTr="00E275B2">
        <w:trPr>
          <w:jc w:val="center"/>
        </w:trPr>
        <w:tc>
          <w:tcPr>
            <w:tcW w:w="4876" w:type="dxa"/>
          </w:tcPr>
          <w:p w:rsidR="00E33FD9" w:rsidRPr="00704302" w:rsidRDefault="00543E4A" w:rsidP="00543E4A">
            <w:pPr>
              <w:pStyle w:val="ColumnHeading"/>
              <w:keepNext/>
              <w:widowControl/>
              <w:rPr>
                <w:lang w:val="es-ES_tradnl"/>
              </w:rPr>
            </w:pPr>
            <w:r w:rsidRPr="00704302">
              <w:rPr>
                <w:lang w:val="es-ES_tradnl"/>
              </w:rPr>
              <w:t>Texto de la Comisión</w:t>
            </w:r>
          </w:p>
        </w:tc>
        <w:tc>
          <w:tcPr>
            <w:tcW w:w="4876" w:type="dxa"/>
          </w:tcPr>
          <w:p w:rsidR="00E33FD9" w:rsidRPr="00704302" w:rsidRDefault="00543E4A" w:rsidP="00543E4A">
            <w:pPr>
              <w:pStyle w:val="ColumnHeading"/>
              <w:keepNext/>
              <w:widowControl/>
              <w:rPr>
                <w:lang w:val="es-ES_tradnl"/>
              </w:rPr>
            </w:pPr>
            <w:r w:rsidRPr="00704302">
              <w:rPr>
                <w:lang w:val="es-ES_tradnl"/>
              </w:rPr>
              <w:t>Enmienda</w:t>
            </w:r>
          </w:p>
        </w:tc>
      </w:tr>
      <w:tr w:rsidR="002359A3" w:rsidRPr="00704302" w:rsidTr="00E275B2">
        <w:trPr>
          <w:jc w:val="center"/>
        </w:trPr>
        <w:tc>
          <w:tcPr>
            <w:tcW w:w="4876" w:type="dxa"/>
          </w:tcPr>
          <w:p w:rsidR="00E33FD9" w:rsidRPr="00704302" w:rsidRDefault="00543E4A" w:rsidP="00543E4A">
            <w:pPr>
              <w:pStyle w:val="Normal6"/>
              <w:widowControl/>
              <w:rPr>
                <w:lang w:val="es-ES_tradnl"/>
              </w:rPr>
            </w:pPr>
            <w:r w:rsidRPr="00704302">
              <w:rPr>
                <w:lang w:val="es-ES_tradnl"/>
              </w:rPr>
              <w:t>(20)</w:t>
            </w:r>
            <w:r w:rsidRPr="00704302">
              <w:rPr>
                <w:lang w:val="es-ES_tradnl"/>
              </w:rPr>
              <w:tab/>
            </w:r>
            <w:r w:rsidRPr="00704302">
              <w:rPr>
                <w:b/>
                <w:i/>
                <w:lang w:val="es-ES_tradnl"/>
              </w:rPr>
              <w:t>Los identificadores biométricos deben recogerse y almacenarse</w:t>
            </w:r>
            <w:r w:rsidRPr="00704302">
              <w:rPr>
                <w:lang w:val="es-ES_tradnl"/>
              </w:rPr>
              <w:t xml:space="preserve"> en el medio de almacenamiento de documentos de identidad y documentos de residencia, a efectos de comprobar la autenticidad del documento y la identidad del titular. </w:t>
            </w:r>
            <w:r w:rsidRPr="00704302">
              <w:rPr>
                <w:b/>
                <w:i/>
                <w:lang w:val="es-ES_tradnl"/>
              </w:rPr>
              <w:t>Dada la firma electrónica en el medio de almacenamiento de los documentos de identidad, la identificación del titular mediante el medio de almacenamiento, que contiene los mismos datos biográficos que los impresos en el documento, es más fiable que un control visual del documento.</w:t>
            </w:r>
            <w:r w:rsidRPr="00704302">
              <w:rPr>
                <w:lang w:val="es-ES_tradnl"/>
              </w:rPr>
              <w:t xml:space="preserve"> </w:t>
            </w:r>
            <w:r w:rsidRPr="00704302">
              <w:rPr>
                <w:b/>
                <w:i/>
                <w:lang w:val="es-ES_tradnl"/>
              </w:rPr>
              <w:t>Por lo tanto</w:t>
            </w:r>
            <w:r w:rsidRPr="00704302">
              <w:rPr>
                <w:lang w:val="es-ES_tradnl"/>
              </w:rPr>
              <w:t xml:space="preserve">, debe </w:t>
            </w:r>
            <w:r w:rsidRPr="00704302">
              <w:rPr>
                <w:b/>
                <w:i/>
                <w:lang w:val="es-ES_tradnl"/>
              </w:rPr>
              <w:t>permitirse a los ciudadanos de la Unión utilizar los datos almacenados en el medio de almacenamiento de su documento de identidad para identificarse ante entidades privadas. No obstante, la comprobación</w:t>
            </w:r>
            <w:r w:rsidRPr="00704302">
              <w:rPr>
                <w:lang w:val="es-ES_tradnl"/>
              </w:rPr>
              <w:t xml:space="preserve"> de </w:t>
            </w:r>
            <w:r w:rsidRPr="00704302">
              <w:rPr>
                <w:b/>
                <w:i/>
                <w:lang w:val="es-ES_tradnl"/>
              </w:rPr>
              <w:t>las impresiones dactilares almacenadas</w:t>
            </w:r>
            <w:r w:rsidRPr="00704302">
              <w:rPr>
                <w:lang w:val="es-ES_tradnl"/>
              </w:rPr>
              <w:t xml:space="preserve"> en </w:t>
            </w:r>
            <w:r w:rsidRPr="00704302">
              <w:rPr>
                <w:b/>
                <w:i/>
                <w:lang w:val="es-ES_tradnl"/>
              </w:rPr>
              <w:t>el medio</w:t>
            </w:r>
            <w:r w:rsidRPr="00704302">
              <w:rPr>
                <w:lang w:val="es-ES_tradnl"/>
              </w:rPr>
              <w:t xml:space="preserve"> de </w:t>
            </w:r>
            <w:r w:rsidRPr="00704302">
              <w:rPr>
                <w:b/>
                <w:i/>
                <w:lang w:val="es-ES_tradnl"/>
              </w:rPr>
              <w:t>almacenamiento solo debe ser realizada</w:t>
            </w:r>
            <w:r w:rsidRPr="00704302">
              <w:rPr>
                <w:lang w:val="es-ES_tradnl"/>
              </w:rPr>
              <w:t xml:space="preserve"> por </w:t>
            </w:r>
            <w:r w:rsidRPr="00704302">
              <w:rPr>
                <w:b/>
                <w:i/>
                <w:lang w:val="es-ES_tradnl"/>
              </w:rPr>
              <w:t>personal debidamente autorizado, y solo cuando, por ley, deba presentarse el documento</w:t>
            </w:r>
            <w:r w:rsidRPr="00704302">
              <w:rPr>
                <w:lang w:val="es-ES_tradnl"/>
              </w:rPr>
              <w:t>.</w:t>
            </w:r>
          </w:p>
        </w:tc>
        <w:tc>
          <w:tcPr>
            <w:tcW w:w="4876" w:type="dxa"/>
          </w:tcPr>
          <w:p w:rsidR="00E33FD9" w:rsidRPr="00704302" w:rsidRDefault="00543E4A" w:rsidP="00543E4A">
            <w:pPr>
              <w:pStyle w:val="Normal6"/>
              <w:widowControl/>
              <w:rPr>
                <w:szCs w:val="24"/>
                <w:lang w:val="es-ES_tradnl"/>
              </w:rPr>
            </w:pPr>
            <w:r w:rsidRPr="00704302">
              <w:rPr>
                <w:lang w:val="es-ES_tradnl"/>
              </w:rPr>
              <w:t>(20)</w:t>
            </w:r>
            <w:r w:rsidRPr="00704302">
              <w:rPr>
                <w:lang w:val="es-ES_tradnl"/>
              </w:rPr>
              <w:tab/>
            </w:r>
            <w:r w:rsidRPr="00704302">
              <w:rPr>
                <w:b/>
                <w:i/>
                <w:lang w:val="es-ES_tradnl"/>
              </w:rPr>
              <w:t>A la imagen facial almacenada</w:t>
            </w:r>
            <w:r w:rsidRPr="00704302">
              <w:rPr>
                <w:lang w:val="es-ES_tradnl"/>
              </w:rPr>
              <w:t xml:space="preserve"> en el medio de almacenamiento de documentos de identidad y documentos de residencia</w:t>
            </w:r>
            <w:r w:rsidRPr="00704302">
              <w:rPr>
                <w:b/>
                <w:i/>
                <w:lang w:val="es-ES_tradnl"/>
              </w:rPr>
              <w:t xml:space="preserve"> solo deben acceder el personal debidamente autorizado de las autoridades nacionales competentes, las agencias de la Unión y las entidades privadas</w:t>
            </w:r>
            <w:r w:rsidRPr="00704302">
              <w:rPr>
                <w:lang w:val="es-ES_tradnl"/>
              </w:rPr>
              <w:t xml:space="preserve"> a efectos de comprobar la autenticidad del documento y la identidad del titular. </w:t>
            </w:r>
            <w:r w:rsidRPr="00704302">
              <w:rPr>
                <w:b/>
                <w:i/>
                <w:lang w:val="es-ES_tradnl"/>
              </w:rPr>
              <w:t>Dicho acceso debe cumplir</w:t>
            </w:r>
            <w:r w:rsidRPr="00704302">
              <w:rPr>
                <w:lang w:val="es-ES_tradnl"/>
              </w:rPr>
              <w:t xml:space="preserve"> el </w:t>
            </w:r>
            <w:r w:rsidRPr="00704302">
              <w:rPr>
                <w:b/>
                <w:i/>
                <w:lang w:val="es-ES_tradnl"/>
              </w:rPr>
              <w:t>Derecho</w:t>
            </w:r>
            <w:r w:rsidRPr="00704302">
              <w:rPr>
                <w:lang w:val="es-ES_tradnl"/>
              </w:rPr>
              <w:t xml:space="preserve"> de </w:t>
            </w:r>
            <w:r w:rsidRPr="00704302">
              <w:rPr>
                <w:b/>
                <w:i/>
                <w:lang w:val="es-ES_tradnl"/>
              </w:rPr>
              <w:t>la Unión en materia de protección de datos. La imagen facial no debe conservarse más tiempo del necesario para estos fines, debe suprimirse tan pronto como se alcancen dichos fines y no debe transferirse a terceros países u organizaciones internacionales a menos que lo permita el Derecho de la Unión en materia de protección de datos. Estas salvaguardias tienen por objeto garantizar una protección adecuada de la imagen facial sin prohibir su uso</w:t>
            </w:r>
            <w:r w:rsidRPr="00704302">
              <w:rPr>
                <w:lang w:val="es-ES_tradnl"/>
              </w:rPr>
              <w:t>.</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keepNext/>
        <w:widowControl/>
      </w:pPr>
      <w:r w:rsidRPr="00704302">
        <w:rPr>
          <w:rStyle w:val="HideTWBExt"/>
        </w:rPr>
        <w:lastRenderedPageBreak/>
        <w:t>&lt;Amend&gt;</w:t>
      </w:r>
      <w:r w:rsidRPr="00704302">
        <w:t>Enmienda</w:t>
      </w:r>
      <w:r w:rsidRPr="00704302">
        <w:tab/>
      </w:r>
      <w:r w:rsidRPr="00704302">
        <w:tab/>
      </w:r>
      <w:r w:rsidRPr="00704302">
        <w:rPr>
          <w:rStyle w:val="HideTWBExt"/>
        </w:rPr>
        <w:t>&lt;NumAm&gt;</w:t>
      </w:r>
      <w:r w:rsidRPr="00704302">
        <w:t>7</w:t>
      </w:r>
      <w:r w:rsidRPr="00704302">
        <w:rPr>
          <w:rStyle w:val="HideTWBExt"/>
        </w:rPr>
        <w:t>&lt;/NumAm&gt;</w:t>
      </w:r>
    </w:p>
    <w:p w:rsidR="00E33FD9" w:rsidRPr="00704302" w:rsidRDefault="00543E4A" w:rsidP="00543E4A">
      <w:pPr>
        <w:pStyle w:val="NormalBold"/>
        <w:keepNext/>
        <w:widowControl/>
      </w:pPr>
      <w:r w:rsidRPr="00704302">
        <w:rPr>
          <w:rStyle w:val="HideTWBExt"/>
          <w:b w:val="0"/>
        </w:rPr>
        <w:t>&lt;RepeatBlock-By&gt;&lt;Members&gt;</w:t>
      </w:r>
      <w:r w:rsidRPr="00704302">
        <w:t>Estrella Galán</w:t>
      </w:r>
      <w:r w:rsidRPr="00704302">
        <w:rPr>
          <w:rStyle w:val="HideTWBExt"/>
          <w:b w:val="0"/>
        </w:rPr>
        <w:t>&lt;/Members&gt;</w:t>
      </w:r>
    </w:p>
    <w:p w:rsidR="00E33FD9" w:rsidRPr="00704302" w:rsidRDefault="00543E4A" w:rsidP="00543E4A">
      <w:pPr>
        <w:pStyle w:val="NormalBold"/>
        <w:keepNext/>
        <w:widowControl/>
      </w:pPr>
      <w:r w:rsidRPr="00704302">
        <w:rPr>
          <w:rStyle w:val="HideTWBExt"/>
          <w:b w:val="0"/>
        </w:rPr>
        <w:t>&lt;/RepeatBlock-By&gt;</w:t>
      </w:r>
    </w:p>
    <w:p w:rsidR="00E33FD9" w:rsidRPr="00704302" w:rsidRDefault="00543E4A" w:rsidP="00543E4A">
      <w:pPr>
        <w:pStyle w:val="NormalBold"/>
        <w:keepNext/>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keepNext/>
        <w:widowControl/>
      </w:pPr>
      <w:r w:rsidRPr="00704302">
        <w:rPr>
          <w:rStyle w:val="HideTWBExt"/>
        </w:rPr>
        <w:t>&lt;Article&gt;</w:t>
      </w:r>
      <w:r w:rsidRPr="00704302">
        <w:t>Considerando 20</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keepNext/>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keepNext/>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keepNext/>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(20)</w:t>
            </w:r>
            <w:r w:rsidRPr="00704302">
              <w:tab/>
              <w:t xml:space="preserve">Los identificadores biométricos deben recogerse y almacenarse en el medio de almacenamiento de documentos de identidad y documentos de residencia, a efectos de comprobar la autenticidad del documento y la identidad del titular. </w:t>
            </w:r>
            <w:r w:rsidRPr="00704302">
              <w:rPr>
                <w:b/>
                <w:i/>
              </w:rPr>
              <w:t>Dada la firma electrónica en el medio de almacenamiento de los documentos de identidad, la identificación del titular mediante el medio de almacenamiento, que contiene los mismos datos biográficos que los impresos en el documento, es más fiable que un control visual del documento. Por lo tanto, debe permitirse a los ciudadanos de la Unión utilizar los datos almacenados en el medio de almacenamiento de su documento de identidad para identificarse ante entidades privadas. No obstante, la</w:t>
            </w:r>
            <w:r w:rsidRPr="00704302">
              <w:t xml:space="preserve"> comprobación </w:t>
            </w:r>
            <w:r w:rsidRPr="00704302">
              <w:rPr>
                <w:b/>
                <w:i/>
              </w:rPr>
              <w:t>de las impresiones dactilares almacenadas en el medio de almacenamiento</w:t>
            </w:r>
            <w:r w:rsidRPr="00704302">
              <w:t xml:space="preserve"> solo debe ser realizada por personal debidamente autorizado, y solo cuando, por ley, deba presentarse el documento.</w:t>
            </w:r>
          </w:p>
        </w:tc>
        <w:tc>
          <w:tcPr>
            <w:tcW w:w="4876" w:type="dxa"/>
            <w:tcBorders>
              <w:top w:val="nil"/>
              <w:left w:val="nil"/>
              <w:bottom w:val="nil"/>
              <w:right w:val="nil"/>
            </w:tcBorders>
          </w:tcPr>
          <w:p w:rsidR="00E33FD9" w:rsidRPr="00704302" w:rsidRDefault="00543E4A" w:rsidP="00543E4A">
            <w:pPr>
              <w:pStyle w:val="Normal6a"/>
              <w:widowControl/>
            </w:pPr>
            <w:r w:rsidRPr="00704302">
              <w:t>(20)</w:t>
            </w:r>
            <w:r w:rsidRPr="00704302">
              <w:tab/>
              <w:t xml:space="preserve">Los identificadores biométricos deben recogerse y almacenarse en el medio de almacenamiento de documentos de identidad y documentos de residencia, a efectos de comprobar la autenticidad del documento y la identidad del titular. </w:t>
            </w:r>
            <w:r w:rsidRPr="00704302">
              <w:rPr>
                <w:b/>
                <w:i/>
              </w:rPr>
              <w:t>Esa</w:t>
            </w:r>
            <w:r w:rsidRPr="00704302">
              <w:t xml:space="preserve"> comprobación solo debe ser realizada por personal debidamente autorizado, y solo cuando, por ley, deba presentarse el documento. </w:t>
            </w:r>
            <w:r w:rsidRPr="00704302">
              <w:rPr>
                <w:b/>
                <w:i/>
              </w:rPr>
              <w:t>Además, los datos biométricos almacenados con fines de personalización de los documentos de identidad o de los documentos de residencia deben guardarse de manera extremadamente segura y solo hasta la fecha de recogida del documento y, en cualquier caso, no más de 90 días tras la fecha de expedición del documento. Superado este período, dichos datos biométricos deben ser suprimidos o destruidos inmediatamente. Todo ello debe entenderse sin perjuicio de cualquier otro tratamiento de dichos datos con arreglo al Derecho de la Unión y nacional en materia de protección de datos.</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0"/>
        <w:keepNext/>
        <w:widowControl/>
        <w:rPr>
          <w:lang w:val="es-ES_tradnl"/>
        </w:rPr>
      </w:pPr>
      <w:r w:rsidRPr="00704302">
        <w:rPr>
          <w:rStyle w:val="HideTWBExt"/>
          <w:b w:val="0"/>
          <w:lang w:val="es-ES_tradnl"/>
        </w:rPr>
        <w:t>&lt;Amend&gt;</w:t>
      </w:r>
      <w:r w:rsidRPr="00704302">
        <w:rPr>
          <w:lang w:val="es-ES_tradnl"/>
        </w:rPr>
        <w:t>Enmienda</w:t>
      </w:r>
      <w:r w:rsidRPr="00704302">
        <w:rPr>
          <w:lang w:val="es-ES_tradnl"/>
        </w:rPr>
        <w:tab/>
      </w:r>
      <w:r w:rsidRPr="00704302">
        <w:rPr>
          <w:lang w:val="es-ES_tradnl"/>
        </w:rPr>
        <w:tab/>
      </w:r>
      <w:r w:rsidRPr="00704302">
        <w:rPr>
          <w:rStyle w:val="HideTWBExt"/>
          <w:b w:val="0"/>
          <w:lang w:val="es-ES_tradnl"/>
        </w:rPr>
        <w:t>&lt;NumAm&gt;</w:t>
      </w:r>
      <w:r w:rsidRPr="00704302">
        <w:rPr>
          <w:lang w:val="es-ES_tradnl"/>
        </w:rPr>
        <w:t>8</w:t>
      </w:r>
      <w:r w:rsidRPr="00704302">
        <w:rPr>
          <w:rStyle w:val="HideTWBExt"/>
          <w:b w:val="0"/>
          <w:lang w:val="es-ES_tradnl"/>
        </w:rPr>
        <w:t>&lt;/NumAm&gt;</w:t>
      </w:r>
    </w:p>
    <w:p w:rsidR="00E33FD9" w:rsidRPr="00704302" w:rsidRDefault="00543E4A" w:rsidP="00543E4A">
      <w:pPr>
        <w:pStyle w:val="NormalBold"/>
        <w:widowControl/>
      </w:pPr>
      <w:r w:rsidRPr="00704302">
        <w:rPr>
          <w:rStyle w:val="HideTWBExt"/>
          <w:b w:val="0"/>
        </w:rPr>
        <w:t>&lt;RepeatBlock-By&gt;&lt;Members&gt;</w:t>
      </w:r>
      <w:r w:rsidRPr="00704302">
        <w:t>Malik Azmani, Jeannette Baljeu, Lucia Yar, Raquel García Hermida-Van Der Walle</w:t>
      </w:r>
      <w:r w:rsidRPr="00704302">
        <w:rPr>
          <w:rStyle w:val="HideTWBExt"/>
          <w:b w:val="0"/>
        </w:rPr>
        <w:t>&lt;/Members&gt;</w:t>
      </w:r>
    </w:p>
    <w:p w:rsidR="00E33FD9" w:rsidRPr="00704302" w:rsidRDefault="00543E4A" w:rsidP="00543E4A">
      <w:pPr>
        <w:widowControl/>
      </w:pPr>
      <w:r w:rsidRPr="00704302">
        <w:rPr>
          <w:rStyle w:val="HideTWBExt"/>
        </w:rPr>
        <w:t>&lt;/RepeatBlock-By&gt;</w:t>
      </w:r>
    </w:p>
    <w:p w:rsidR="00E33FD9" w:rsidRPr="00704302" w:rsidRDefault="00543E4A" w:rsidP="00543E4A">
      <w:pPr>
        <w:pStyle w:val="NormalBold"/>
        <w:keepNext/>
        <w:widowControl/>
      </w:pPr>
      <w:r w:rsidRPr="00704302">
        <w:rPr>
          <w:rStyle w:val="HideTWBExt"/>
          <w:b w:val="0"/>
        </w:rPr>
        <w:t>&lt;DocAmend&gt;</w:t>
      </w:r>
      <w:r w:rsidRPr="00704302">
        <w:t>Propuesta de Reglamento</w:t>
      </w:r>
      <w:r w:rsidRPr="00704302">
        <w:rPr>
          <w:rStyle w:val="HideTWBExt"/>
          <w:b w:val="0"/>
        </w:rPr>
        <w:t>&lt;/DocAmend&gt;</w:t>
      </w:r>
    </w:p>
    <w:p w:rsidR="00E33FD9" w:rsidRPr="00704302" w:rsidRDefault="00543E4A" w:rsidP="00543E4A">
      <w:pPr>
        <w:pStyle w:val="NormalBold"/>
        <w:widowControl/>
      </w:pPr>
      <w:r w:rsidRPr="00704302">
        <w:rPr>
          <w:rStyle w:val="HideTWBExt"/>
          <w:b w:val="0"/>
        </w:rPr>
        <w:t>&lt;Article&gt;</w:t>
      </w:r>
      <w:r w:rsidRPr="00704302">
        <w:t>Considerando 20 bis (nuevo)</w:t>
      </w:r>
      <w:r w:rsidRPr="007043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59A3" w:rsidRPr="00704302" w:rsidTr="00E275B2">
        <w:trPr>
          <w:jc w:val="center"/>
        </w:trPr>
        <w:tc>
          <w:tcPr>
            <w:tcW w:w="9752" w:type="dxa"/>
            <w:gridSpan w:val="2"/>
          </w:tcPr>
          <w:p w:rsidR="00E33FD9" w:rsidRPr="00704302" w:rsidRDefault="00E33FD9" w:rsidP="00543E4A">
            <w:pPr>
              <w:keepNext/>
              <w:widowControl/>
            </w:pPr>
          </w:p>
        </w:tc>
      </w:tr>
      <w:tr w:rsidR="002359A3" w:rsidRPr="00704302" w:rsidTr="00E275B2">
        <w:trPr>
          <w:jc w:val="center"/>
        </w:trPr>
        <w:tc>
          <w:tcPr>
            <w:tcW w:w="4876" w:type="dxa"/>
          </w:tcPr>
          <w:p w:rsidR="00E33FD9" w:rsidRPr="00704302" w:rsidRDefault="00543E4A" w:rsidP="00543E4A">
            <w:pPr>
              <w:pStyle w:val="ColumnHeading"/>
              <w:keepNext/>
              <w:widowControl/>
              <w:rPr>
                <w:lang w:val="es-ES_tradnl"/>
              </w:rPr>
            </w:pPr>
            <w:r w:rsidRPr="00704302">
              <w:rPr>
                <w:lang w:val="es-ES_tradnl"/>
              </w:rPr>
              <w:t>Texto de la Comisión</w:t>
            </w:r>
          </w:p>
        </w:tc>
        <w:tc>
          <w:tcPr>
            <w:tcW w:w="4876" w:type="dxa"/>
          </w:tcPr>
          <w:p w:rsidR="00E33FD9" w:rsidRPr="00704302" w:rsidRDefault="00543E4A" w:rsidP="00543E4A">
            <w:pPr>
              <w:pStyle w:val="ColumnHeading"/>
              <w:keepNext/>
              <w:widowControl/>
              <w:rPr>
                <w:lang w:val="es-ES_tradnl"/>
              </w:rPr>
            </w:pPr>
            <w:r w:rsidRPr="00704302">
              <w:rPr>
                <w:lang w:val="es-ES_tradnl"/>
              </w:rPr>
              <w:t>Enmienda</w:t>
            </w:r>
          </w:p>
        </w:tc>
      </w:tr>
      <w:tr w:rsidR="002359A3" w:rsidRPr="00704302" w:rsidTr="00E275B2">
        <w:trPr>
          <w:jc w:val="center"/>
        </w:trPr>
        <w:tc>
          <w:tcPr>
            <w:tcW w:w="4876" w:type="dxa"/>
          </w:tcPr>
          <w:p w:rsidR="00E33FD9" w:rsidRPr="00704302" w:rsidRDefault="00E33FD9" w:rsidP="00543E4A">
            <w:pPr>
              <w:pStyle w:val="Normal6"/>
              <w:widowControl/>
              <w:rPr>
                <w:lang w:val="es-ES_tradnl"/>
              </w:rPr>
            </w:pPr>
          </w:p>
        </w:tc>
        <w:tc>
          <w:tcPr>
            <w:tcW w:w="4876" w:type="dxa"/>
          </w:tcPr>
          <w:p w:rsidR="00E33FD9" w:rsidRPr="00704302" w:rsidRDefault="00543E4A" w:rsidP="00543E4A">
            <w:pPr>
              <w:pStyle w:val="Normal6"/>
              <w:widowControl/>
              <w:rPr>
                <w:szCs w:val="24"/>
                <w:lang w:val="es-ES_tradnl"/>
              </w:rPr>
            </w:pPr>
            <w:r w:rsidRPr="00704302">
              <w:rPr>
                <w:b/>
                <w:i/>
                <w:lang w:val="es-ES_tradnl"/>
              </w:rPr>
              <w:t>(20 bis)</w:t>
            </w:r>
            <w:r w:rsidRPr="00704302">
              <w:rPr>
                <w:b/>
                <w:i/>
                <w:lang w:val="es-ES_tradnl"/>
              </w:rPr>
              <w:tab/>
              <w:t xml:space="preserve">La comprobación de las impresiones dactilares almacenadas en el medio de almacenamiento solo debe ser </w:t>
            </w:r>
            <w:r w:rsidRPr="00704302">
              <w:rPr>
                <w:b/>
                <w:i/>
                <w:lang w:val="es-ES_tradnl"/>
              </w:rPr>
              <w:lastRenderedPageBreak/>
              <w:t>realizada por personal debidamente autorizado de las autoridades nacionales competentes y las agencias de la Unión, y solo cuando el Derecho de la Unión o nacional exija la presentación del documento.</w:t>
            </w:r>
          </w:p>
        </w:tc>
      </w:tr>
    </w:tbl>
    <w:p w:rsidR="00E33FD9" w:rsidRPr="00704302" w:rsidRDefault="00543E4A" w:rsidP="00543E4A">
      <w:pPr>
        <w:pStyle w:val="Olang"/>
        <w:rPr>
          <w:sz w:val="24"/>
          <w:szCs w:val="24"/>
          <w:lang w:val="es-ES_tradnl"/>
        </w:rPr>
      </w:pPr>
      <w:r w:rsidRPr="00704302">
        <w:rPr>
          <w:sz w:val="24"/>
          <w:szCs w:val="24"/>
          <w:lang w:val="es-ES_tradnl"/>
        </w:rPr>
        <w:lastRenderedPageBreak/>
        <w:t xml:space="preserve">Or. </w:t>
      </w:r>
      <w:r w:rsidRPr="00704302">
        <w:rPr>
          <w:rStyle w:val="HideTWBExt"/>
          <w:lang w:val="es-ES_tradnl"/>
        </w:rPr>
        <w:t>&lt;Original&gt;</w:t>
      </w:r>
      <w:r w:rsidRPr="00704302">
        <w:rPr>
          <w:rStyle w:val="HideTWBInt"/>
          <w:sz w:val="24"/>
          <w:szCs w:val="24"/>
          <w:lang w:val="es-ES_tradnl"/>
        </w:rPr>
        <w:t>{EN}</w:t>
      </w:r>
      <w:r w:rsidRPr="00704302">
        <w:rPr>
          <w:sz w:val="24"/>
          <w:szCs w:val="24"/>
          <w:lang w:val="es-ES_tradnl"/>
        </w:rPr>
        <w:t>en</w:t>
      </w:r>
      <w:r w:rsidRPr="00704302">
        <w:rPr>
          <w:rStyle w:val="HideTWBExt"/>
          <w:lang w:val="es-ES_tradnl"/>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0"/>
        <w:keepNext/>
        <w:widowControl/>
        <w:rPr>
          <w:lang w:val="es-ES_tradnl"/>
        </w:rPr>
      </w:pPr>
      <w:r w:rsidRPr="00704302">
        <w:rPr>
          <w:rStyle w:val="HideTWBExt"/>
          <w:b w:val="0"/>
          <w:lang w:val="es-ES_tradnl"/>
        </w:rPr>
        <w:t>&lt;Amend&gt;</w:t>
      </w:r>
      <w:r w:rsidRPr="00704302">
        <w:rPr>
          <w:lang w:val="es-ES_tradnl"/>
        </w:rPr>
        <w:t>Enmienda</w:t>
      </w:r>
      <w:r w:rsidRPr="00704302">
        <w:rPr>
          <w:lang w:val="es-ES_tradnl"/>
        </w:rPr>
        <w:tab/>
      </w:r>
      <w:r w:rsidRPr="00704302">
        <w:rPr>
          <w:lang w:val="es-ES_tradnl"/>
        </w:rPr>
        <w:tab/>
      </w:r>
      <w:r w:rsidRPr="00704302">
        <w:rPr>
          <w:rStyle w:val="HideTWBExt"/>
          <w:b w:val="0"/>
          <w:lang w:val="es-ES_tradnl"/>
        </w:rPr>
        <w:t>&lt;NumAm&gt;</w:t>
      </w:r>
      <w:r w:rsidRPr="00704302">
        <w:rPr>
          <w:lang w:val="es-ES_tradnl"/>
        </w:rPr>
        <w:t>9</w:t>
      </w:r>
      <w:r w:rsidRPr="00704302">
        <w:rPr>
          <w:rStyle w:val="HideTWBExt"/>
          <w:b w:val="0"/>
          <w:lang w:val="es-ES_tradnl"/>
        </w:rPr>
        <w:t>&lt;/NumAm&gt;</w:t>
      </w:r>
    </w:p>
    <w:p w:rsidR="00E33FD9" w:rsidRPr="00704302" w:rsidRDefault="00543E4A" w:rsidP="00543E4A">
      <w:pPr>
        <w:pStyle w:val="NormalBold"/>
        <w:widowControl/>
      </w:pPr>
      <w:r w:rsidRPr="00704302">
        <w:rPr>
          <w:rStyle w:val="HideTWBExt"/>
          <w:b w:val="0"/>
        </w:rPr>
        <w:t>&lt;RepeatBlock-By&gt;&lt;Members&gt;</w:t>
      </w:r>
      <w:r w:rsidRPr="00704302">
        <w:t>Estrella Galán</w:t>
      </w:r>
      <w:r w:rsidRPr="00704302">
        <w:rPr>
          <w:rStyle w:val="HideTWBExt"/>
          <w:b w:val="0"/>
        </w:rPr>
        <w:t>&lt;/Members&gt;</w:t>
      </w:r>
    </w:p>
    <w:p w:rsidR="00E33FD9" w:rsidRPr="00704302" w:rsidRDefault="00543E4A" w:rsidP="00543E4A">
      <w:pPr>
        <w:widowControl/>
      </w:pPr>
      <w:r w:rsidRPr="00704302">
        <w:rPr>
          <w:rStyle w:val="HideTWBExt"/>
        </w:rPr>
        <w:t>&lt;/RepeatBlock-By&gt;</w:t>
      </w:r>
    </w:p>
    <w:p w:rsidR="00E33FD9" w:rsidRPr="00704302" w:rsidRDefault="00543E4A" w:rsidP="00543E4A">
      <w:pPr>
        <w:pStyle w:val="NormalBold"/>
        <w:keepNext/>
        <w:widowControl/>
      </w:pPr>
      <w:r w:rsidRPr="00704302">
        <w:rPr>
          <w:rStyle w:val="HideTWBExt"/>
          <w:b w:val="0"/>
        </w:rPr>
        <w:t>&lt;DocAmend&gt;</w:t>
      </w:r>
      <w:r w:rsidRPr="00704302">
        <w:t>Propuesta de Reglamento</w:t>
      </w:r>
      <w:r w:rsidRPr="00704302">
        <w:rPr>
          <w:rStyle w:val="HideTWBExt"/>
          <w:b w:val="0"/>
        </w:rPr>
        <w:t>&lt;/DocAmend&gt;</w:t>
      </w:r>
    </w:p>
    <w:p w:rsidR="00E33FD9" w:rsidRPr="00704302" w:rsidRDefault="00543E4A" w:rsidP="00543E4A">
      <w:pPr>
        <w:pStyle w:val="NormalBold"/>
        <w:widowControl/>
      </w:pPr>
      <w:r w:rsidRPr="00704302">
        <w:rPr>
          <w:rStyle w:val="HideTWBExt"/>
          <w:b w:val="0"/>
        </w:rPr>
        <w:t>&lt;Article&gt;</w:t>
      </w:r>
      <w:r w:rsidRPr="00704302">
        <w:t>Considerando 20 bis (nuevo)</w:t>
      </w:r>
      <w:r w:rsidRPr="007043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59A3" w:rsidRPr="00704302" w:rsidTr="00E275B2">
        <w:trPr>
          <w:jc w:val="center"/>
        </w:trPr>
        <w:tc>
          <w:tcPr>
            <w:tcW w:w="9752" w:type="dxa"/>
            <w:gridSpan w:val="2"/>
          </w:tcPr>
          <w:p w:rsidR="00E33FD9" w:rsidRPr="00704302" w:rsidRDefault="00E33FD9" w:rsidP="00543E4A">
            <w:pPr>
              <w:keepNext/>
              <w:widowControl/>
            </w:pPr>
          </w:p>
        </w:tc>
      </w:tr>
      <w:tr w:rsidR="002359A3" w:rsidRPr="00704302" w:rsidTr="00E275B2">
        <w:trPr>
          <w:jc w:val="center"/>
        </w:trPr>
        <w:tc>
          <w:tcPr>
            <w:tcW w:w="4876" w:type="dxa"/>
          </w:tcPr>
          <w:p w:rsidR="00E33FD9" w:rsidRPr="00704302" w:rsidRDefault="00543E4A" w:rsidP="00543E4A">
            <w:pPr>
              <w:pStyle w:val="ColumnHeading"/>
              <w:keepNext/>
              <w:widowControl/>
              <w:rPr>
                <w:lang w:val="es-ES_tradnl"/>
              </w:rPr>
            </w:pPr>
            <w:r w:rsidRPr="00704302">
              <w:rPr>
                <w:lang w:val="es-ES_tradnl"/>
              </w:rPr>
              <w:t>Texto de la Comisión</w:t>
            </w:r>
          </w:p>
        </w:tc>
        <w:tc>
          <w:tcPr>
            <w:tcW w:w="4876" w:type="dxa"/>
          </w:tcPr>
          <w:p w:rsidR="00E33FD9" w:rsidRPr="00704302" w:rsidRDefault="00543E4A" w:rsidP="00543E4A">
            <w:pPr>
              <w:pStyle w:val="ColumnHeading"/>
              <w:keepNext/>
              <w:widowControl/>
              <w:rPr>
                <w:lang w:val="es-ES_tradnl"/>
              </w:rPr>
            </w:pPr>
            <w:r w:rsidRPr="00704302">
              <w:rPr>
                <w:lang w:val="es-ES_tradnl"/>
              </w:rPr>
              <w:t>Enmienda</w:t>
            </w:r>
          </w:p>
        </w:tc>
      </w:tr>
      <w:tr w:rsidR="002359A3" w:rsidRPr="00704302" w:rsidTr="00E275B2">
        <w:trPr>
          <w:jc w:val="center"/>
        </w:trPr>
        <w:tc>
          <w:tcPr>
            <w:tcW w:w="4876" w:type="dxa"/>
          </w:tcPr>
          <w:p w:rsidR="00E33FD9" w:rsidRPr="00704302" w:rsidRDefault="00E33FD9" w:rsidP="00543E4A">
            <w:pPr>
              <w:pStyle w:val="Normal6"/>
              <w:widowControl/>
              <w:rPr>
                <w:lang w:val="es-ES_tradnl"/>
              </w:rPr>
            </w:pPr>
          </w:p>
        </w:tc>
        <w:tc>
          <w:tcPr>
            <w:tcW w:w="4876" w:type="dxa"/>
          </w:tcPr>
          <w:p w:rsidR="00E33FD9" w:rsidRPr="00704302" w:rsidRDefault="00543E4A" w:rsidP="00543E4A">
            <w:pPr>
              <w:pStyle w:val="Normal6"/>
              <w:widowControl/>
              <w:rPr>
                <w:szCs w:val="24"/>
                <w:lang w:val="es-ES_tradnl"/>
              </w:rPr>
            </w:pPr>
            <w:r w:rsidRPr="00704302">
              <w:rPr>
                <w:b/>
                <w:i/>
                <w:lang w:val="es-ES_tradnl"/>
              </w:rPr>
              <w:t>(20 bis)</w:t>
            </w:r>
            <w:r w:rsidRPr="00704302">
              <w:rPr>
                <w:b/>
                <w:i/>
                <w:lang w:val="es-ES_tradnl"/>
              </w:rPr>
              <w:tab/>
              <w:t>Debe exigirse a las entidades privadas que obtengan el consentimiento del titular para acceder a la imagen facial. Por consiguiente, el consentimiento del interesado debe entenderse como una salvaguardia adicional y no debe constituir en sí mismo una base jurídica para que las entidades privadas procedan al tratamiento.</w:t>
            </w:r>
          </w:p>
        </w:tc>
      </w:tr>
    </w:tbl>
    <w:p w:rsidR="00E33FD9" w:rsidRPr="00704302" w:rsidRDefault="00543E4A" w:rsidP="00543E4A">
      <w:pPr>
        <w:pStyle w:val="Olang"/>
        <w:rPr>
          <w:sz w:val="24"/>
          <w:szCs w:val="24"/>
          <w:lang w:val="es-ES_tradnl"/>
        </w:rPr>
      </w:pPr>
      <w:r w:rsidRPr="00704302">
        <w:rPr>
          <w:sz w:val="24"/>
          <w:szCs w:val="24"/>
          <w:lang w:val="es-ES_tradnl"/>
        </w:rPr>
        <w:t xml:space="preserve">Or. </w:t>
      </w:r>
      <w:r w:rsidRPr="00704302">
        <w:rPr>
          <w:rStyle w:val="HideTWBExt"/>
          <w:lang w:val="es-ES_tradnl"/>
        </w:rPr>
        <w:t>&lt;Original&gt;</w:t>
      </w:r>
      <w:r w:rsidRPr="00704302">
        <w:rPr>
          <w:rStyle w:val="HideTWBInt"/>
          <w:sz w:val="24"/>
          <w:szCs w:val="24"/>
          <w:lang w:val="es-ES_tradnl"/>
        </w:rPr>
        <w:t>{EN}</w:t>
      </w:r>
      <w:r w:rsidRPr="00704302">
        <w:rPr>
          <w:sz w:val="24"/>
          <w:szCs w:val="24"/>
          <w:lang w:val="es-ES_tradnl"/>
        </w:rPr>
        <w:t>en</w:t>
      </w:r>
      <w:r w:rsidRPr="00704302">
        <w:rPr>
          <w:rStyle w:val="HideTWBExt"/>
          <w:lang w:val="es-ES_tradnl"/>
        </w:rPr>
        <w:t>&lt;/Original&gt;</w:t>
      </w:r>
    </w:p>
    <w:p w:rsidR="00E33FD9" w:rsidRPr="00704302" w:rsidRDefault="00543E4A" w:rsidP="00543E4A">
      <w:pPr>
        <w:pStyle w:val="JustificationTitle"/>
        <w:widowControl/>
        <w:rPr>
          <w:noProof w:val="0"/>
          <w:lang w:val="es-ES_tradnl"/>
        </w:rPr>
      </w:pPr>
      <w:r w:rsidRPr="00704302">
        <w:rPr>
          <w:rStyle w:val="HideTWBExt"/>
          <w:i w:val="0"/>
          <w:lang w:val="es-ES_tradnl"/>
        </w:rPr>
        <w:t>&lt;TitreJust&gt;</w:t>
      </w:r>
      <w:r w:rsidRPr="00704302">
        <w:rPr>
          <w:lang w:val="es-ES_tradnl"/>
        </w:rPr>
        <w:t>Justificación</w:t>
      </w:r>
      <w:r w:rsidRPr="00704302">
        <w:rPr>
          <w:rStyle w:val="HideTWBExt"/>
          <w:i w:val="0"/>
          <w:lang w:val="es-ES_tradnl"/>
        </w:rPr>
        <w:t>&lt;/TitreJust&gt;</w:t>
      </w:r>
    </w:p>
    <w:p w:rsidR="00E33FD9" w:rsidRPr="00704302" w:rsidRDefault="00543E4A" w:rsidP="00543E4A">
      <w:pPr>
        <w:pStyle w:val="Normal12Italic"/>
        <w:widowControl/>
        <w:rPr>
          <w:noProof w:val="0"/>
          <w:lang w:val="es-ES_tradnl"/>
        </w:rPr>
      </w:pPr>
      <w:r w:rsidRPr="00704302">
        <w:rPr>
          <w:lang w:val="es-ES_tradnl"/>
        </w:rPr>
        <w:t>The Left continúa rechazando la posibilidad de que las entidades privadas puedan acceder a la imagen facial del titular del documento. Sin embargo, a la vista de las enmiendas del Consejo, la presente enmienda constituye una posición «de repliegue» para limitar su posición global en la medida de lo posible. Esta enmienda tiene por objeto presentar las partes positivas del texto del Consejo y reforzar los derechos de los interesados en caso de que las entidade</w:t>
      </w:r>
      <w:r w:rsidR="009E290C" w:rsidRPr="00704302">
        <w:rPr>
          <w:lang w:val="es-ES_tradnl"/>
        </w:rPr>
        <w:t>s privadas puedan acceder</w:t>
      </w:r>
      <w:r w:rsidRPr="00704302">
        <w:rPr>
          <w:lang w:val="es-ES_tradnl"/>
        </w:rPr>
        <w:t xml:space="preserve"> a imágenes faciales.</w:t>
      </w:r>
    </w:p>
    <w:p w:rsidR="00E33FD9" w:rsidRPr="00704302" w:rsidRDefault="00543E4A" w:rsidP="00543E4A">
      <w:pPr>
        <w:widowControl/>
      </w:pPr>
      <w:r w:rsidRPr="00704302">
        <w:rPr>
          <w:rStyle w:val="HideTWBExt"/>
        </w:rPr>
        <w:t>&lt;/Amend&gt;</w:t>
      </w:r>
    </w:p>
    <w:p w:rsidR="00E33FD9" w:rsidRPr="00704302" w:rsidRDefault="00543E4A" w:rsidP="00543E4A">
      <w:pPr>
        <w:pStyle w:val="AMNumberTabs0"/>
        <w:keepNext/>
        <w:widowControl/>
        <w:rPr>
          <w:lang w:val="es-ES_tradnl"/>
        </w:rPr>
      </w:pPr>
      <w:r w:rsidRPr="00704302">
        <w:rPr>
          <w:rStyle w:val="HideTWBExt"/>
          <w:b w:val="0"/>
          <w:lang w:val="es-ES_tradnl"/>
        </w:rPr>
        <w:t>&lt;Amend&gt;</w:t>
      </w:r>
      <w:r w:rsidRPr="00704302">
        <w:rPr>
          <w:lang w:val="es-ES_tradnl"/>
        </w:rPr>
        <w:t>Enmienda</w:t>
      </w:r>
      <w:r w:rsidRPr="00704302">
        <w:rPr>
          <w:lang w:val="es-ES_tradnl"/>
        </w:rPr>
        <w:tab/>
      </w:r>
      <w:r w:rsidRPr="00704302">
        <w:rPr>
          <w:lang w:val="es-ES_tradnl"/>
        </w:rPr>
        <w:tab/>
      </w:r>
      <w:r w:rsidRPr="00704302">
        <w:rPr>
          <w:rStyle w:val="HideTWBExt"/>
          <w:b w:val="0"/>
          <w:lang w:val="es-ES_tradnl"/>
        </w:rPr>
        <w:t>&lt;NumAm&gt;</w:t>
      </w:r>
      <w:r w:rsidRPr="00704302">
        <w:rPr>
          <w:lang w:val="es-ES_tradnl"/>
        </w:rPr>
        <w:t>10</w:t>
      </w:r>
      <w:r w:rsidRPr="00704302">
        <w:rPr>
          <w:rStyle w:val="HideTWBExt"/>
          <w:b w:val="0"/>
          <w:lang w:val="es-ES_tradnl"/>
        </w:rPr>
        <w:t>&lt;/NumAm&gt;</w:t>
      </w:r>
    </w:p>
    <w:p w:rsidR="00E33FD9" w:rsidRPr="00704302" w:rsidRDefault="00543E4A" w:rsidP="00543E4A">
      <w:pPr>
        <w:pStyle w:val="NormalBold"/>
        <w:widowControl/>
      </w:pPr>
      <w:r w:rsidRPr="00704302">
        <w:rPr>
          <w:rStyle w:val="HideTWBExt"/>
          <w:b w:val="0"/>
        </w:rPr>
        <w:t>&lt;RepeatBlock-By&gt;&lt;Members&gt;</w:t>
      </w:r>
      <w:r w:rsidRPr="00704302">
        <w:t>Estrella Galán</w:t>
      </w:r>
      <w:r w:rsidRPr="00704302">
        <w:rPr>
          <w:rStyle w:val="HideTWBExt"/>
          <w:b w:val="0"/>
        </w:rPr>
        <w:t>&lt;/Members&gt;</w:t>
      </w:r>
    </w:p>
    <w:p w:rsidR="00E33FD9" w:rsidRPr="00704302" w:rsidRDefault="00543E4A" w:rsidP="00543E4A">
      <w:pPr>
        <w:widowControl/>
      </w:pPr>
      <w:r w:rsidRPr="00704302">
        <w:rPr>
          <w:rStyle w:val="HideTWBExt"/>
        </w:rPr>
        <w:t>&lt;/RepeatBlock-By&gt;</w:t>
      </w:r>
    </w:p>
    <w:p w:rsidR="00E33FD9" w:rsidRPr="00704302" w:rsidRDefault="00543E4A" w:rsidP="00543E4A">
      <w:pPr>
        <w:pStyle w:val="NormalBold"/>
        <w:keepNext/>
        <w:widowControl/>
      </w:pPr>
      <w:r w:rsidRPr="00704302">
        <w:rPr>
          <w:rStyle w:val="HideTWBExt"/>
          <w:b w:val="0"/>
        </w:rPr>
        <w:t>&lt;DocAmend&gt;</w:t>
      </w:r>
      <w:r w:rsidRPr="00704302">
        <w:t>Propuesta de Reglamento</w:t>
      </w:r>
      <w:r w:rsidRPr="00704302">
        <w:rPr>
          <w:rStyle w:val="HideTWBExt"/>
          <w:b w:val="0"/>
        </w:rPr>
        <w:t>&lt;/DocAmend&gt;</w:t>
      </w:r>
    </w:p>
    <w:p w:rsidR="00E33FD9" w:rsidRPr="00704302" w:rsidRDefault="00543E4A" w:rsidP="00543E4A">
      <w:pPr>
        <w:pStyle w:val="NormalBold"/>
        <w:widowControl/>
      </w:pPr>
      <w:r w:rsidRPr="00704302">
        <w:rPr>
          <w:rStyle w:val="HideTWBExt"/>
          <w:b w:val="0"/>
        </w:rPr>
        <w:t>&lt;Article&gt;</w:t>
      </w:r>
      <w:r w:rsidRPr="00704302">
        <w:t>Considerando 20 ter (nuevo)</w:t>
      </w:r>
      <w:r w:rsidRPr="007043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59A3" w:rsidRPr="00704302" w:rsidTr="00E275B2">
        <w:trPr>
          <w:jc w:val="center"/>
        </w:trPr>
        <w:tc>
          <w:tcPr>
            <w:tcW w:w="9752" w:type="dxa"/>
            <w:gridSpan w:val="2"/>
          </w:tcPr>
          <w:p w:rsidR="00E33FD9" w:rsidRPr="00704302" w:rsidRDefault="00E33FD9" w:rsidP="00543E4A">
            <w:pPr>
              <w:keepNext/>
              <w:widowControl/>
            </w:pPr>
          </w:p>
        </w:tc>
      </w:tr>
      <w:tr w:rsidR="002359A3" w:rsidRPr="00704302" w:rsidTr="00E275B2">
        <w:trPr>
          <w:jc w:val="center"/>
        </w:trPr>
        <w:tc>
          <w:tcPr>
            <w:tcW w:w="4876" w:type="dxa"/>
          </w:tcPr>
          <w:p w:rsidR="00E33FD9" w:rsidRPr="00704302" w:rsidRDefault="00543E4A" w:rsidP="00543E4A">
            <w:pPr>
              <w:pStyle w:val="ColumnHeading"/>
              <w:keepNext/>
              <w:widowControl/>
              <w:rPr>
                <w:lang w:val="es-ES_tradnl"/>
              </w:rPr>
            </w:pPr>
            <w:r w:rsidRPr="00704302">
              <w:rPr>
                <w:lang w:val="es-ES_tradnl"/>
              </w:rPr>
              <w:t>Texto de la Comisión</w:t>
            </w:r>
          </w:p>
        </w:tc>
        <w:tc>
          <w:tcPr>
            <w:tcW w:w="4876" w:type="dxa"/>
          </w:tcPr>
          <w:p w:rsidR="00E33FD9" w:rsidRPr="00704302" w:rsidRDefault="00543E4A" w:rsidP="00543E4A">
            <w:pPr>
              <w:pStyle w:val="ColumnHeading"/>
              <w:keepNext/>
              <w:widowControl/>
              <w:rPr>
                <w:lang w:val="es-ES_tradnl"/>
              </w:rPr>
            </w:pPr>
            <w:r w:rsidRPr="00704302">
              <w:rPr>
                <w:lang w:val="es-ES_tradnl"/>
              </w:rPr>
              <w:t>Enmienda</w:t>
            </w:r>
          </w:p>
        </w:tc>
      </w:tr>
      <w:tr w:rsidR="002359A3" w:rsidRPr="00704302" w:rsidTr="00E275B2">
        <w:trPr>
          <w:jc w:val="center"/>
        </w:trPr>
        <w:tc>
          <w:tcPr>
            <w:tcW w:w="4876" w:type="dxa"/>
          </w:tcPr>
          <w:p w:rsidR="00E33FD9" w:rsidRPr="00704302" w:rsidRDefault="00E33FD9" w:rsidP="00543E4A">
            <w:pPr>
              <w:pStyle w:val="Normal6"/>
              <w:widowControl/>
              <w:rPr>
                <w:lang w:val="es-ES_tradnl"/>
              </w:rPr>
            </w:pPr>
          </w:p>
        </w:tc>
        <w:tc>
          <w:tcPr>
            <w:tcW w:w="4876" w:type="dxa"/>
          </w:tcPr>
          <w:p w:rsidR="00E33FD9" w:rsidRPr="00704302" w:rsidRDefault="00543E4A" w:rsidP="00543E4A">
            <w:pPr>
              <w:pStyle w:val="Normal6"/>
              <w:widowControl/>
              <w:rPr>
                <w:szCs w:val="24"/>
                <w:lang w:val="es-ES_tradnl"/>
              </w:rPr>
            </w:pPr>
            <w:r w:rsidRPr="00704302">
              <w:rPr>
                <w:b/>
                <w:i/>
                <w:lang w:val="es-ES_tradnl"/>
              </w:rPr>
              <w:t>(20 ter)</w:t>
            </w:r>
            <w:r w:rsidRPr="00704302">
              <w:rPr>
                <w:b/>
                <w:i/>
                <w:lang w:val="es-ES_tradnl"/>
              </w:rPr>
              <w:tab/>
            </w:r>
            <w:r w:rsidR="009334EA" w:rsidRPr="00704302">
              <w:rPr>
                <w:b/>
                <w:i/>
                <w:lang w:val="es-ES_tradnl"/>
              </w:rPr>
              <w:tab/>
            </w:r>
            <w:r w:rsidRPr="00704302">
              <w:rPr>
                <w:b/>
                <w:i/>
                <w:lang w:val="es-ES_tradnl"/>
              </w:rPr>
              <w:t xml:space="preserve">Cuando, por ley, deban presentarse documentos de identidad o </w:t>
            </w:r>
            <w:r w:rsidRPr="00704302">
              <w:rPr>
                <w:b/>
                <w:i/>
                <w:lang w:val="es-ES_tradnl"/>
              </w:rPr>
              <w:lastRenderedPageBreak/>
              <w:t>documentos de residencia, las entidades privadas solo deben poder acceder a la imagen facial con el fin de verificar la identidad del titular y no deben almacenar ni transmitir las imágenes faciales.</w:t>
            </w:r>
          </w:p>
        </w:tc>
      </w:tr>
    </w:tbl>
    <w:p w:rsidR="00E33FD9" w:rsidRPr="00704302" w:rsidRDefault="00543E4A" w:rsidP="00543E4A">
      <w:pPr>
        <w:pStyle w:val="Olang"/>
        <w:rPr>
          <w:sz w:val="24"/>
          <w:szCs w:val="24"/>
          <w:lang w:val="es-ES_tradnl"/>
        </w:rPr>
      </w:pPr>
      <w:r w:rsidRPr="00704302">
        <w:rPr>
          <w:sz w:val="24"/>
          <w:szCs w:val="24"/>
          <w:lang w:val="es-ES_tradnl"/>
        </w:rPr>
        <w:lastRenderedPageBreak/>
        <w:t xml:space="preserve">Or. </w:t>
      </w:r>
      <w:r w:rsidRPr="00704302">
        <w:rPr>
          <w:rStyle w:val="HideTWBExt"/>
          <w:lang w:val="es-ES_tradnl"/>
        </w:rPr>
        <w:t>&lt;Original&gt;</w:t>
      </w:r>
      <w:r w:rsidRPr="00704302">
        <w:rPr>
          <w:rStyle w:val="HideTWBInt"/>
          <w:sz w:val="24"/>
          <w:szCs w:val="24"/>
          <w:lang w:val="es-ES_tradnl"/>
        </w:rPr>
        <w:t>{EN}</w:t>
      </w:r>
      <w:r w:rsidRPr="00704302">
        <w:rPr>
          <w:sz w:val="24"/>
          <w:szCs w:val="24"/>
          <w:lang w:val="es-ES_tradnl"/>
        </w:rPr>
        <w:t>en</w:t>
      </w:r>
      <w:r w:rsidRPr="00704302">
        <w:rPr>
          <w:rStyle w:val="HideTWBExt"/>
          <w:lang w:val="es-ES_tradnl"/>
        </w:rPr>
        <w:t>&lt;/Original&gt;</w:t>
      </w:r>
    </w:p>
    <w:p w:rsidR="00E33FD9" w:rsidRPr="00704302" w:rsidRDefault="00543E4A" w:rsidP="00543E4A">
      <w:pPr>
        <w:pStyle w:val="JustificationTitle"/>
        <w:widowControl/>
        <w:rPr>
          <w:noProof w:val="0"/>
          <w:lang w:val="es-ES_tradnl"/>
        </w:rPr>
      </w:pPr>
      <w:r w:rsidRPr="00704302">
        <w:rPr>
          <w:rStyle w:val="HideTWBExt"/>
          <w:i w:val="0"/>
          <w:lang w:val="es-ES_tradnl"/>
        </w:rPr>
        <w:t>&lt;TitreJust&gt;</w:t>
      </w:r>
      <w:r w:rsidRPr="00704302">
        <w:rPr>
          <w:lang w:val="es-ES_tradnl"/>
        </w:rPr>
        <w:t>Justificación</w:t>
      </w:r>
      <w:r w:rsidRPr="00704302">
        <w:rPr>
          <w:rStyle w:val="HideTWBExt"/>
          <w:i w:val="0"/>
          <w:lang w:val="es-ES_tradnl"/>
        </w:rPr>
        <w:t>&lt;/TitreJust&gt;</w:t>
      </w:r>
    </w:p>
    <w:p w:rsidR="00E33FD9" w:rsidRPr="00704302" w:rsidRDefault="00543E4A" w:rsidP="00543E4A">
      <w:pPr>
        <w:pStyle w:val="Normal12Italic"/>
        <w:widowControl/>
        <w:rPr>
          <w:noProof w:val="0"/>
          <w:lang w:val="es-ES_tradnl"/>
        </w:rPr>
      </w:pPr>
      <w:r w:rsidRPr="00704302">
        <w:rPr>
          <w:lang w:val="es-ES_tradnl"/>
        </w:rPr>
        <w:t>The Left continúa rechazando la posibilidad de que las entidades privadas puedan acceder a la imagen facial del titular del documento. Sin embargo, a la vista de las enmiendas del Consejo, la presente enmienda constituye una posición «de repliegue» para limitar su posición en la medida de lo posible.</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11</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Roberto Vannacci, António Tânger Corrêa, Susanna Ceccardi, Anna Maria Cisint, Nikola Bartůšek, Fabrice Leggeri, Tom Vandendriessche, Matthieu Valet</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Considerando 22</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(22)</w:t>
            </w:r>
            <w:r w:rsidRPr="00704302">
              <w:tab/>
              <w:t xml:space="preserve">Deben </w:t>
            </w:r>
            <w:r w:rsidRPr="00704302">
              <w:rPr>
                <w:b/>
                <w:i/>
              </w:rPr>
              <w:t>tenerse en cuenta</w:t>
            </w:r>
            <w:r w:rsidRPr="00704302">
              <w:t xml:space="preserve"> a efectos del presente Reglamento las especificaciones del documento 9303 de la OACI que garantizan la interoperabilidad global, tanto para la legibilidad mecánica como para su inspección visual.</w:t>
            </w:r>
          </w:p>
        </w:tc>
        <w:tc>
          <w:tcPr>
            <w:tcW w:w="4876" w:type="dxa"/>
            <w:tcBorders>
              <w:top w:val="nil"/>
              <w:left w:val="nil"/>
              <w:bottom w:val="nil"/>
              <w:right w:val="nil"/>
            </w:tcBorders>
          </w:tcPr>
          <w:p w:rsidR="00E33FD9" w:rsidRPr="00704302" w:rsidRDefault="00543E4A" w:rsidP="00543E4A">
            <w:pPr>
              <w:pStyle w:val="Normal6a"/>
              <w:widowControl/>
            </w:pPr>
            <w:r w:rsidRPr="00704302">
              <w:t>(22)</w:t>
            </w:r>
            <w:r w:rsidRPr="00704302">
              <w:tab/>
              <w:t xml:space="preserve">Deben </w:t>
            </w:r>
            <w:r w:rsidRPr="00704302">
              <w:rPr>
                <w:b/>
                <w:i/>
              </w:rPr>
              <w:t>ser una referencia</w:t>
            </w:r>
            <w:r w:rsidRPr="00704302">
              <w:t xml:space="preserve"> a efectos del presente Reglamento las especificaciones del documento 9303 de la OACI que garantizan la interoperabilidad global, tanto para la legibilidad mecánica como para su inspección visual.</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12</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Roberto Vannacci, António Tânger Corrêa, Susanna Ceccardi, Anna Maria Cisint, Fabrice Leggeri, András László, Tom Vandendriessche, Matthieu Valet</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Considerando 23</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(23)</w:t>
            </w:r>
            <w:r w:rsidRPr="00704302">
              <w:tab/>
              <w:t xml:space="preserve">Los Estados miembros deben </w:t>
            </w:r>
            <w:r w:rsidRPr="00704302">
              <w:rPr>
                <w:b/>
                <w:i/>
              </w:rPr>
              <w:t>poder decidir si incluyen</w:t>
            </w:r>
            <w:r w:rsidRPr="00704302">
              <w:t xml:space="preserve"> el </w:t>
            </w:r>
            <w:r w:rsidRPr="00704302">
              <w:rPr>
                <w:b/>
                <w:i/>
              </w:rPr>
              <w:t>género</w:t>
            </w:r>
            <w:r w:rsidRPr="00704302">
              <w:t xml:space="preserve"> de una persona en un documento comprendido en el ámbito de aplicación del presente </w:t>
            </w:r>
            <w:r w:rsidRPr="00704302">
              <w:lastRenderedPageBreak/>
              <w:t>Reglamento</w:t>
            </w:r>
            <w:r w:rsidRPr="00704302">
              <w:rPr>
                <w:b/>
                <w:i/>
              </w:rPr>
              <w:t>. Cuando un Estado miembro incluya el género</w:t>
            </w:r>
            <w:r w:rsidRPr="00704302">
              <w:t xml:space="preserve"> de </w:t>
            </w:r>
            <w:r w:rsidRPr="00704302">
              <w:rPr>
                <w:b/>
                <w:i/>
              </w:rPr>
              <w:t>una persona en tale documento, deben utilizarse, según proceda,</w:t>
            </w:r>
            <w:r w:rsidRPr="00704302">
              <w:t xml:space="preserve"> las especificaciones del documento 9303 de la OACI</w:t>
            </w:r>
            <w:r w:rsidRPr="00704302">
              <w:rPr>
                <w:b/>
                <w:i/>
              </w:rPr>
              <w:t>, «F», «M» o «X», o la inicial única correspondiente en la lengua o lenguas de ese Estado miembro</w:t>
            </w:r>
            <w:r w:rsidRPr="00704302">
              <w:t>.</w:t>
            </w:r>
          </w:p>
        </w:tc>
        <w:tc>
          <w:tcPr>
            <w:tcW w:w="4876" w:type="dxa"/>
            <w:tcBorders>
              <w:top w:val="nil"/>
              <w:left w:val="nil"/>
              <w:bottom w:val="nil"/>
              <w:right w:val="nil"/>
            </w:tcBorders>
          </w:tcPr>
          <w:p w:rsidR="00E33FD9" w:rsidRPr="00704302" w:rsidRDefault="00543E4A" w:rsidP="00543E4A">
            <w:pPr>
              <w:pStyle w:val="Normal6a"/>
              <w:widowControl/>
            </w:pPr>
            <w:r w:rsidRPr="00704302">
              <w:lastRenderedPageBreak/>
              <w:t>(23)</w:t>
            </w:r>
            <w:r w:rsidRPr="00704302">
              <w:tab/>
              <w:t xml:space="preserve">Los Estados miembros deben </w:t>
            </w:r>
            <w:r w:rsidRPr="00704302">
              <w:rPr>
                <w:b/>
                <w:i/>
              </w:rPr>
              <w:t>incluir</w:t>
            </w:r>
            <w:r w:rsidRPr="00704302">
              <w:t xml:space="preserve"> el </w:t>
            </w:r>
            <w:r w:rsidRPr="00704302">
              <w:rPr>
                <w:b/>
                <w:i/>
              </w:rPr>
              <w:t>sexo</w:t>
            </w:r>
            <w:r w:rsidRPr="00704302">
              <w:t xml:space="preserve"> de una persona en un documento comprendido en el ámbito de aplicación del presente Reglamento</w:t>
            </w:r>
            <w:r w:rsidRPr="00704302">
              <w:rPr>
                <w:b/>
                <w:i/>
              </w:rPr>
              <w:t>,</w:t>
            </w:r>
            <w:r w:rsidRPr="00704302">
              <w:t xml:space="preserve"> de </w:t>
            </w:r>
            <w:r w:rsidRPr="00704302">
              <w:rPr>
                <w:b/>
                <w:i/>
              </w:rPr>
              <w:lastRenderedPageBreak/>
              <w:t>conformidad con</w:t>
            </w:r>
            <w:r w:rsidRPr="00704302">
              <w:t xml:space="preserve"> las especificaciones del documento 9303 de la OACI</w:t>
            </w:r>
            <w:r w:rsidRPr="00704302">
              <w:rPr>
                <w:b/>
                <w:i/>
              </w:rPr>
              <w:t>. Mostrar el sexo del titular permite que los documentos puedan utilizarse de manera más eficaz para identificar al titular</w:t>
            </w:r>
            <w:r w:rsidRPr="00704302">
              <w:t>.</w:t>
            </w:r>
          </w:p>
        </w:tc>
      </w:tr>
    </w:tbl>
    <w:p w:rsidR="00E33FD9" w:rsidRPr="00704302" w:rsidRDefault="00543E4A" w:rsidP="00543E4A">
      <w:pPr>
        <w:pStyle w:val="AmOrLang"/>
        <w:widowControl/>
      </w:pPr>
      <w:r w:rsidRPr="00704302">
        <w:lastRenderedPageBreak/>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13</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Paolo Inselvini, Alessandro Ciriani</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Considerando 23</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(23)</w:t>
            </w:r>
            <w:r w:rsidRPr="00704302">
              <w:tab/>
              <w:t xml:space="preserve">Los Estados miembros deben poder decidir si incluyen el </w:t>
            </w:r>
            <w:r w:rsidRPr="00704302">
              <w:rPr>
                <w:b/>
                <w:i/>
              </w:rPr>
              <w:t>género</w:t>
            </w:r>
            <w:r w:rsidRPr="00704302">
              <w:t xml:space="preserve"> de una persona en un documento comprendido en el ámbito de aplicación del presente Reglamento. Cuando un Estado miembro incluya el </w:t>
            </w:r>
            <w:r w:rsidRPr="00704302">
              <w:rPr>
                <w:b/>
                <w:i/>
              </w:rPr>
              <w:t>género</w:t>
            </w:r>
            <w:r w:rsidRPr="00704302">
              <w:t xml:space="preserve"> de una persona en </w:t>
            </w:r>
            <w:r w:rsidRPr="00704302">
              <w:rPr>
                <w:b/>
                <w:i/>
              </w:rPr>
              <w:t>tale</w:t>
            </w:r>
            <w:r w:rsidRPr="00704302">
              <w:t xml:space="preserve"> documento, deben utilizarse, según proceda, las especificaciones </w:t>
            </w:r>
            <w:r w:rsidRPr="00704302">
              <w:rPr>
                <w:b/>
                <w:i/>
              </w:rPr>
              <w:t>del documento 9303 de la OACI, «F», «M» o «X»</w:t>
            </w:r>
            <w:r w:rsidRPr="00704302">
              <w:t>, o la inicial única correspondiente en la lengua o lenguas de ese Estado miembro.</w:t>
            </w:r>
          </w:p>
        </w:tc>
        <w:tc>
          <w:tcPr>
            <w:tcW w:w="4876" w:type="dxa"/>
            <w:tcBorders>
              <w:top w:val="nil"/>
              <w:left w:val="nil"/>
              <w:bottom w:val="nil"/>
              <w:right w:val="nil"/>
            </w:tcBorders>
          </w:tcPr>
          <w:p w:rsidR="00E33FD9" w:rsidRPr="00704302" w:rsidRDefault="00543E4A" w:rsidP="00543E4A">
            <w:pPr>
              <w:pStyle w:val="Normal6a"/>
              <w:widowControl/>
            </w:pPr>
            <w:r w:rsidRPr="00704302">
              <w:t>(23)</w:t>
            </w:r>
            <w:r w:rsidRPr="00704302">
              <w:tab/>
              <w:t xml:space="preserve">Los Estados miembros deben poder decidir si incluyen el </w:t>
            </w:r>
            <w:r w:rsidRPr="00704302">
              <w:rPr>
                <w:b/>
                <w:i/>
              </w:rPr>
              <w:t>sexo</w:t>
            </w:r>
            <w:r w:rsidRPr="00704302">
              <w:t xml:space="preserve"> de una persona en un documento comprendido en el ámbito de aplicación del presente Reglamento. Cuando un Estado miembro incluya el </w:t>
            </w:r>
            <w:r w:rsidRPr="00704302">
              <w:rPr>
                <w:b/>
                <w:i/>
              </w:rPr>
              <w:t>sexo</w:t>
            </w:r>
            <w:r w:rsidRPr="00704302">
              <w:t xml:space="preserve"> de una persona en </w:t>
            </w:r>
            <w:r w:rsidRPr="00704302">
              <w:rPr>
                <w:b/>
                <w:i/>
              </w:rPr>
              <w:t>tal</w:t>
            </w:r>
            <w:r w:rsidRPr="00704302">
              <w:t xml:space="preserve"> documento, deben utilizarse, según proceda, las especificaciones </w:t>
            </w:r>
            <w:r w:rsidRPr="00704302">
              <w:rPr>
                <w:b/>
                <w:i/>
              </w:rPr>
              <w:t>«F» o «M»</w:t>
            </w:r>
            <w:r w:rsidRPr="00704302">
              <w:t>, o la inicial única correspondiente en la lengua o lenguas de ese Estado miembro.</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{IT}</w:t>
      </w:r>
      <w:r w:rsidRPr="00704302">
        <w:t>it</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14</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Alessandro Zan, Krzysztof Śmiszek, Emma Rafowicz, Evin Incir, Cecilia Strada, Pina Picierno</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Considerando 23</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(23)</w:t>
            </w:r>
            <w:r w:rsidRPr="00704302">
              <w:tab/>
              <w:t xml:space="preserve">Los Estados miembros deben poder decidir si incluyen el género de una </w:t>
            </w:r>
            <w:r w:rsidRPr="00704302">
              <w:lastRenderedPageBreak/>
              <w:t>persona en un documento comprendido en el ámbito de aplicación del presente Reglamento. Cuando un Estado miembro incluya el género de una persona en tale documento, deben utilizarse, según proceda, las especificaciones del documento 9303 de la OACI, «F», «M» o «X», o la inicial única correspondiente en la lengua o lenguas de ese Estado miembro.</w:t>
            </w:r>
          </w:p>
        </w:tc>
        <w:tc>
          <w:tcPr>
            <w:tcW w:w="4876" w:type="dxa"/>
            <w:tcBorders>
              <w:top w:val="nil"/>
              <w:left w:val="nil"/>
              <w:bottom w:val="nil"/>
              <w:right w:val="nil"/>
            </w:tcBorders>
          </w:tcPr>
          <w:p w:rsidR="00E33FD9" w:rsidRPr="00704302" w:rsidRDefault="00543E4A" w:rsidP="00543E4A">
            <w:pPr>
              <w:pStyle w:val="Normal6a"/>
              <w:widowControl/>
            </w:pPr>
            <w:r w:rsidRPr="00704302">
              <w:lastRenderedPageBreak/>
              <w:t>(23)</w:t>
            </w:r>
            <w:r w:rsidRPr="00704302">
              <w:tab/>
              <w:t xml:space="preserve">Los Estados miembros deben poder decidir si incluyen el género de una </w:t>
            </w:r>
            <w:r w:rsidRPr="00704302">
              <w:lastRenderedPageBreak/>
              <w:t>persona en un documento comprendido en el ámbito de aplicación del presente Reglamento. Cuando un Estado miembro incluya el género de una persona en tal documento, deben utilizarse, según proceda, las especificaciones del documento 9303 de la OACI, «F», «M» o «X», o la inicial única correspondiente en la lengua o lenguas de ese Estado miembro</w:t>
            </w:r>
            <w:r w:rsidRPr="00704302">
              <w:rPr>
                <w:b/>
                <w:i/>
              </w:rPr>
              <w:t>, de conformidad con la jurisprudencia del Tribunal de Justicia</w:t>
            </w:r>
            <w:r w:rsidR="009E290C" w:rsidRPr="00704302">
              <w:rPr>
                <w:b/>
                <w:i/>
                <w:vertAlign w:val="superscript"/>
              </w:rPr>
              <w:t>1 </w:t>
            </w:r>
            <w:r w:rsidRPr="00704302">
              <w:rPr>
                <w:b/>
                <w:i/>
                <w:vertAlign w:val="superscript"/>
              </w:rPr>
              <w:t>bis</w:t>
            </w:r>
            <w:r w:rsidRPr="00704302">
              <w:t>.</w:t>
            </w:r>
          </w:p>
        </w:tc>
      </w:tr>
      <w:tr w:rsidR="002359A3" w:rsidRPr="00704302" w:rsidTr="00E275B2">
        <w:trPr>
          <w:jc w:val="center"/>
        </w:trPr>
        <w:tc>
          <w:tcPr>
            <w:tcW w:w="4876" w:type="dxa"/>
            <w:tcBorders>
              <w:top w:val="nil"/>
              <w:left w:val="nil"/>
              <w:bottom w:val="nil"/>
              <w:right w:val="nil"/>
            </w:tcBorders>
          </w:tcPr>
          <w:p w:rsidR="00E33FD9" w:rsidRPr="00704302" w:rsidRDefault="00E33FD9" w:rsidP="00543E4A">
            <w:pPr>
              <w:widowControl/>
            </w:pPr>
          </w:p>
        </w:tc>
        <w:tc>
          <w:tcPr>
            <w:tcW w:w="4876" w:type="dxa"/>
            <w:tcBorders>
              <w:top w:val="nil"/>
              <w:left w:val="nil"/>
              <w:bottom w:val="nil"/>
              <w:right w:val="nil"/>
            </w:tcBorders>
          </w:tcPr>
          <w:p w:rsidR="00E33FD9" w:rsidRPr="00704302" w:rsidRDefault="00543E4A" w:rsidP="00543E4A">
            <w:pPr>
              <w:pStyle w:val="Normal6a"/>
              <w:widowControl/>
            </w:pPr>
            <w:r w:rsidRPr="00704302">
              <w:rPr>
                <w:b/>
                <w:i/>
              </w:rPr>
              <w:t>_________________</w:t>
            </w:r>
          </w:p>
        </w:tc>
      </w:tr>
      <w:tr w:rsidR="002359A3" w:rsidRPr="00704302" w:rsidTr="00E275B2">
        <w:trPr>
          <w:jc w:val="center"/>
        </w:trPr>
        <w:tc>
          <w:tcPr>
            <w:tcW w:w="4876" w:type="dxa"/>
            <w:tcBorders>
              <w:top w:val="nil"/>
              <w:left w:val="nil"/>
              <w:bottom w:val="nil"/>
              <w:right w:val="nil"/>
            </w:tcBorders>
          </w:tcPr>
          <w:p w:rsidR="00E33FD9" w:rsidRPr="00704302" w:rsidRDefault="00E33FD9" w:rsidP="00543E4A">
            <w:pPr>
              <w:widowControl/>
            </w:pPr>
          </w:p>
        </w:tc>
        <w:tc>
          <w:tcPr>
            <w:tcW w:w="4876" w:type="dxa"/>
            <w:tcBorders>
              <w:top w:val="nil"/>
              <w:left w:val="nil"/>
              <w:bottom w:val="nil"/>
              <w:right w:val="nil"/>
            </w:tcBorders>
          </w:tcPr>
          <w:p w:rsidR="00E33FD9" w:rsidRPr="00704302" w:rsidRDefault="00543E4A" w:rsidP="00543E4A">
            <w:pPr>
              <w:pStyle w:val="Normal6a"/>
              <w:widowControl/>
            </w:pPr>
            <w:r w:rsidRPr="00704302">
              <w:rPr>
                <w:b/>
                <w:i/>
                <w:vertAlign w:val="superscript"/>
              </w:rPr>
              <w:t>1 bis</w:t>
            </w:r>
            <w:r w:rsidRPr="00704302">
              <w:rPr>
                <w:b/>
                <w:i/>
              </w:rPr>
              <w:t xml:space="preserve"> Sentencia del Tribunal de Justicia de 4 de octubre de 2024, Mirin, C-4/23 ECLI:EU:C:2024:845.</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15</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Tomáš Zdechovský</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Considerando 25 bis (nuevo)</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E33FD9" w:rsidP="00543E4A">
            <w:pPr>
              <w:pStyle w:val="Normal6a"/>
              <w:widowControl/>
            </w:pPr>
          </w:p>
        </w:tc>
        <w:tc>
          <w:tcPr>
            <w:tcW w:w="4876" w:type="dxa"/>
            <w:tcBorders>
              <w:top w:val="nil"/>
              <w:left w:val="nil"/>
              <w:bottom w:val="nil"/>
              <w:right w:val="nil"/>
            </w:tcBorders>
          </w:tcPr>
          <w:p w:rsidR="00E33FD9" w:rsidRPr="00704302" w:rsidRDefault="00543E4A" w:rsidP="00543E4A">
            <w:pPr>
              <w:pStyle w:val="Normal6a"/>
              <w:widowControl/>
            </w:pPr>
            <w:r w:rsidRPr="00704302">
              <w:rPr>
                <w:b/>
                <w:i/>
              </w:rPr>
              <w:t>(25 bis)</w:t>
            </w:r>
            <w:r w:rsidRPr="00704302">
              <w:tab/>
            </w:r>
            <w:r w:rsidRPr="00704302">
              <w:rPr>
                <w:b/>
                <w:i/>
              </w:rPr>
              <w:t>El personal cualificado debe recibir formación obligatoria sobre las mejores prácticas para la recogida de identificadores biométricos de niños y personas vulnerables con el fin de garantizar la sensibilidad a las necesidades específicas de género y edad y respetar al mismo tiempo la dignidad de todas las personas.</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C42B17">
      <w:pPr>
        <w:pStyle w:val="AmNumberTabs"/>
        <w:keepNext/>
        <w:widowControl/>
      </w:pPr>
      <w:r w:rsidRPr="00704302">
        <w:rPr>
          <w:rStyle w:val="HideTWBExt"/>
        </w:rPr>
        <w:lastRenderedPageBreak/>
        <w:t>&lt;Amend&gt;</w:t>
      </w:r>
      <w:r w:rsidRPr="00704302">
        <w:t>Enmienda</w:t>
      </w:r>
      <w:r w:rsidRPr="00704302">
        <w:tab/>
      </w:r>
      <w:r w:rsidRPr="00704302">
        <w:tab/>
      </w:r>
      <w:r w:rsidRPr="00704302">
        <w:rPr>
          <w:rStyle w:val="HideTWBExt"/>
        </w:rPr>
        <w:t>&lt;NumAm&gt;</w:t>
      </w:r>
      <w:r w:rsidRPr="00704302">
        <w:t>16</w:t>
      </w:r>
      <w:r w:rsidRPr="00704302">
        <w:rPr>
          <w:rStyle w:val="HideTWBExt"/>
        </w:rPr>
        <w:t>&lt;/NumAm&gt;</w:t>
      </w:r>
    </w:p>
    <w:p w:rsidR="00E33FD9" w:rsidRPr="00704302" w:rsidRDefault="00543E4A" w:rsidP="00C42B17">
      <w:pPr>
        <w:pStyle w:val="NormalBold"/>
        <w:keepNext/>
        <w:widowControl/>
      </w:pPr>
      <w:r w:rsidRPr="00704302">
        <w:rPr>
          <w:rStyle w:val="HideTWBExt"/>
          <w:b w:val="0"/>
        </w:rPr>
        <w:t>&lt;RepeatBlock-By&gt;&lt;Members&gt;</w:t>
      </w:r>
      <w:r w:rsidRPr="00704302">
        <w:t>Roberto Vannacci, António Tânger Corrêa, Susanna Ceccardi, Anna Maria Cisint, Nikola Bartůšek, Fabrice Leggeri, Tom Vandendriessche, Matthieu Valet</w:t>
      </w:r>
      <w:r w:rsidRPr="00704302">
        <w:rPr>
          <w:rStyle w:val="HideTWBExt"/>
          <w:b w:val="0"/>
        </w:rPr>
        <w:t>&lt;/Members&gt;</w:t>
      </w:r>
    </w:p>
    <w:p w:rsidR="00E33FD9" w:rsidRPr="00704302" w:rsidRDefault="00543E4A" w:rsidP="00C42B17">
      <w:pPr>
        <w:pStyle w:val="NormalBold"/>
        <w:keepNext/>
        <w:widowControl/>
      </w:pPr>
      <w:r w:rsidRPr="00704302">
        <w:rPr>
          <w:rStyle w:val="HideTWBExt"/>
          <w:b w:val="0"/>
        </w:rPr>
        <w:t>&lt;/RepeatBlock-By&gt;</w:t>
      </w:r>
    </w:p>
    <w:p w:rsidR="00E33FD9" w:rsidRPr="00704302" w:rsidRDefault="00543E4A" w:rsidP="00C42B17">
      <w:pPr>
        <w:pStyle w:val="NormalBold"/>
        <w:keepNext/>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C42B17">
      <w:pPr>
        <w:pStyle w:val="NormalBold"/>
        <w:keepNext/>
        <w:widowControl/>
      </w:pPr>
      <w:r w:rsidRPr="00704302">
        <w:rPr>
          <w:rStyle w:val="HideTWBExt"/>
        </w:rPr>
        <w:t>&lt;Article&gt;</w:t>
      </w:r>
      <w:r w:rsidRPr="00704302">
        <w:t>Considerando 26</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C42B17">
            <w:pPr>
              <w:keepNext/>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C42B17">
            <w:pPr>
              <w:pStyle w:val="AmColumnHeading"/>
              <w:keepNext/>
              <w:widowControl/>
            </w:pPr>
            <w:r w:rsidRPr="00704302">
              <w:t>Texto de la Comisión</w:t>
            </w:r>
          </w:p>
        </w:tc>
        <w:tc>
          <w:tcPr>
            <w:tcW w:w="4876" w:type="dxa"/>
            <w:tcBorders>
              <w:top w:val="nil"/>
              <w:left w:val="nil"/>
              <w:bottom w:val="nil"/>
              <w:right w:val="nil"/>
            </w:tcBorders>
          </w:tcPr>
          <w:p w:rsidR="00E33FD9" w:rsidRPr="00704302" w:rsidRDefault="00543E4A" w:rsidP="00C42B17">
            <w:pPr>
              <w:pStyle w:val="AmColumnHeading"/>
              <w:keepNext/>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(26)</w:t>
            </w:r>
            <w:r w:rsidRPr="00704302">
              <w:tab/>
              <w:t xml:space="preserve">Si se presentan dificultades en la recogida de los identificadores biométricos, los Estados miembros deben garantizar que se establezcan procedimientos adecuados que respeten la dignidad del interesado. Por consiguiente, deben tenerse en cuenta consideraciones particulares respecto </w:t>
            </w:r>
            <w:r w:rsidRPr="00704302">
              <w:rPr>
                <w:b/>
                <w:i/>
              </w:rPr>
              <w:t xml:space="preserve">al género y </w:t>
            </w:r>
            <w:r w:rsidRPr="00704302">
              <w:t>a las necesidades específicas de los niños y las personas vulnerables.</w:t>
            </w:r>
          </w:p>
        </w:tc>
        <w:tc>
          <w:tcPr>
            <w:tcW w:w="4876" w:type="dxa"/>
            <w:tcBorders>
              <w:top w:val="nil"/>
              <w:left w:val="nil"/>
              <w:bottom w:val="nil"/>
              <w:right w:val="nil"/>
            </w:tcBorders>
          </w:tcPr>
          <w:p w:rsidR="00E33FD9" w:rsidRPr="00704302" w:rsidRDefault="00543E4A" w:rsidP="00543E4A">
            <w:pPr>
              <w:pStyle w:val="Normal6a"/>
              <w:widowControl/>
            </w:pPr>
            <w:r w:rsidRPr="00704302">
              <w:t>(26)</w:t>
            </w:r>
            <w:r w:rsidRPr="00704302">
              <w:tab/>
              <w:t>Si se presentan dificultades en la recogida de los identificadores biométricos, los Estados miembros deben garantizar que se establezcan procedimientos adecuados que respeten la dignidad del interesado. Por consiguiente, deben tenerse en cuenta consideraciones particulares respecto a las necesidades específicas de los niños y las personas vulnerables.</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17</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Paolo Inselvini, Alessandro Ciriani</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Considerando 26</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(26)</w:t>
            </w:r>
            <w:r w:rsidRPr="00704302">
              <w:tab/>
              <w:t xml:space="preserve">Si se presentan dificultades en la recogida de los identificadores biométricos, los Estados miembros deben garantizar que se establezcan procedimientos adecuados que respeten la dignidad del interesado. Por consiguiente, deben tenerse en cuenta consideraciones particulares respecto al </w:t>
            </w:r>
            <w:r w:rsidRPr="00704302">
              <w:rPr>
                <w:b/>
                <w:i/>
              </w:rPr>
              <w:t>género</w:t>
            </w:r>
            <w:r w:rsidRPr="00704302">
              <w:t xml:space="preserve"> y a las necesidades específicas de los niños y las personas vulnerables.</w:t>
            </w:r>
          </w:p>
        </w:tc>
        <w:tc>
          <w:tcPr>
            <w:tcW w:w="4876" w:type="dxa"/>
            <w:tcBorders>
              <w:top w:val="nil"/>
              <w:left w:val="nil"/>
              <w:bottom w:val="nil"/>
              <w:right w:val="nil"/>
            </w:tcBorders>
          </w:tcPr>
          <w:p w:rsidR="00E33FD9" w:rsidRPr="00704302" w:rsidRDefault="00543E4A" w:rsidP="00543E4A">
            <w:pPr>
              <w:pStyle w:val="Normal6a"/>
              <w:widowControl/>
            </w:pPr>
            <w:r w:rsidRPr="00704302">
              <w:t>(26)</w:t>
            </w:r>
            <w:r w:rsidRPr="00704302">
              <w:tab/>
              <w:t xml:space="preserve">Si se presentan dificultades en la recogida de los identificadores biométricos, los Estados miembros deben garantizar que se establezcan procedimientos adecuados que respeten la dignidad del interesado. Por consiguiente, deben tenerse en cuenta consideraciones particulares respecto al </w:t>
            </w:r>
            <w:r w:rsidRPr="00704302">
              <w:rPr>
                <w:b/>
                <w:i/>
              </w:rPr>
              <w:t>sexo</w:t>
            </w:r>
            <w:r w:rsidRPr="00704302">
              <w:t xml:space="preserve"> y a las necesidades específicas de los niños y las personas vulnerables.</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{IT}</w:t>
      </w:r>
      <w:r w:rsidRPr="00704302">
        <w:t>it</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C42B17">
      <w:pPr>
        <w:pStyle w:val="AmNumberTabs"/>
        <w:keepNext/>
        <w:widowControl/>
      </w:pPr>
      <w:r w:rsidRPr="00704302">
        <w:rPr>
          <w:rStyle w:val="HideTWBExt"/>
        </w:rPr>
        <w:lastRenderedPageBreak/>
        <w:t>&lt;Amend&gt;</w:t>
      </w:r>
      <w:r w:rsidRPr="00704302">
        <w:t>Enmienda</w:t>
      </w:r>
      <w:r w:rsidRPr="00704302">
        <w:tab/>
      </w:r>
      <w:r w:rsidRPr="00704302">
        <w:tab/>
      </w:r>
      <w:r w:rsidRPr="00704302">
        <w:rPr>
          <w:rStyle w:val="HideTWBExt"/>
        </w:rPr>
        <w:t>&lt;NumAm&gt;</w:t>
      </w:r>
      <w:r w:rsidRPr="00704302">
        <w:t>18</w:t>
      </w:r>
      <w:r w:rsidRPr="00704302">
        <w:rPr>
          <w:rStyle w:val="HideTWBExt"/>
        </w:rPr>
        <w:t>&lt;/NumAm&gt;</w:t>
      </w:r>
    </w:p>
    <w:p w:rsidR="00E33FD9" w:rsidRPr="00704302" w:rsidRDefault="00543E4A" w:rsidP="00C42B17">
      <w:pPr>
        <w:pStyle w:val="NormalBold"/>
        <w:keepNext/>
        <w:widowControl/>
      </w:pPr>
      <w:r w:rsidRPr="00704302">
        <w:rPr>
          <w:rStyle w:val="HideTWBExt"/>
          <w:b w:val="0"/>
        </w:rPr>
        <w:t>&lt;RepeatBlock-By&gt;&lt;Members&gt;</w:t>
      </w:r>
      <w:r w:rsidRPr="00704302">
        <w:t>Roberto Vannacci, António Tânger Corrêa, Susanna Ceccardi, Anna Maria Cisint, Fabrice Leggeri, Tom Vandendriessche, Matthieu Valet</w:t>
      </w:r>
      <w:r w:rsidRPr="00704302">
        <w:rPr>
          <w:rStyle w:val="HideTWBExt"/>
          <w:b w:val="0"/>
        </w:rPr>
        <w:t>&lt;/Members&gt;</w:t>
      </w:r>
    </w:p>
    <w:p w:rsidR="00E33FD9" w:rsidRPr="00704302" w:rsidRDefault="00543E4A" w:rsidP="00C42B17">
      <w:pPr>
        <w:pStyle w:val="NormalBold"/>
        <w:keepNext/>
        <w:widowControl/>
      </w:pPr>
      <w:r w:rsidRPr="00704302">
        <w:rPr>
          <w:rStyle w:val="HideTWBExt"/>
          <w:b w:val="0"/>
        </w:rPr>
        <w:t>&lt;/RepeatBlock-By&gt;</w:t>
      </w:r>
    </w:p>
    <w:p w:rsidR="00E33FD9" w:rsidRPr="00704302" w:rsidRDefault="00543E4A" w:rsidP="00C42B17">
      <w:pPr>
        <w:pStyle w:val="NormalBold"/>
        <w:keepNext/>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C42B17">
      <w:pPr>
        <w:pStyle w:val="NormalBold"/>
        <w:keepNext/>
        <w:widowControl/>
      </w:pPr>
      <w:r w:rsidRPr="00704302">
        <w:rPr>
          <w:rStyle w:val="HideTWBExt"/>
        </w:rPr>
        <w:t>&lt;Article&gt;</w:t>
      </w:r>
      <w:r w:rsidRPr="00704302">
        <w:t>Considerando 28</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FE7D56">
            <w:pPr>
              <w:keepNext/>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FE7D56">
            <w:pPr>
              <w:pStyle w:val="AmColumnHeading"/>
              <w:keepNext/>
              <w:widowControl/>
            </w:pPr>
            <w:r w:rsidRPr="00704302">
              <w:t>Texto de la Comisión</w:t>
            </w:r>
          </w:p>
        </w:tc>
        <w:tc>
          <w:tcPr>
            <w:tcW w:w="4876" w:type="dxa"/>
            <w:tcBorders>
              <w:top w:val="nil"/>
              <w:left w:val="nil"/>
              <w:bottom w:val="nil"/>
              <w:right w:val="nil"/>
            </w:tcBorders>
          </w:tcPr>
          <w:p w:rsidR="00E33FD9" w:rsidRPr="00704302" w:rsidRDefault="00543E4A" w:rsidP="00FE7D56">
            <w:pPr>
              <w:pStyle w:val="AmColumnHeading"/>
              <w:keepNext/>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FE7D56">
            <w:pPr>
              <w:pStyle w:val="Normal6a"/>
              <w:keepNext/>
              <w:widowControl/>
            </w:pPr>
            <w:r w:rsidRPr="00704302">
              <w:t>(28)</w:t>
            </w:r>
            <w:r w:rsidRPr="00704302">
              <w:tab/>
              <w:t>Un signo distintivo en forma de código de dos letras del Estado miembro que expide el documento</w:t>
            </w:r>
            <w:r w:rsidRPr="00704302">
              <w:rPr>
                <w:b/>
                <w:i/>
              </w:rPr>
              <w:t>, impreso en negativo en un rectángulo azul y rodeado de doce estrellas amarillas,</w:t>
            </w:r>
            <w:r w:rsidRPr="00704302">
              <w:t xml:space="preserve"> facilita la inspección visual del documento, en especial cuando el titular ejerce el derecho de libre circulación.</w:t>
            </w:r>
          </w:p>
        </w:tc>
        <w:tc>
          <w:tcPr>
            <w:tcW w:w="4876" w:type="dxa"/>
            <w:tcBorders>
              <w:top w:val="nil"/>
              <w:left w:val="nil"/>
              <w:bottom w:val="nil"/>
              <w:right w:val="nil"/>
            </w:tcBorders>
          </w:tcPr>
          <w:p w:rsidR="00E33FD9" w:rsidRPr="00704302" w:rsidRDefault="00543E4A" w:rsidP="00FE7D56">
            <w:pPr>
              <w:pStyle w:val="Normal6a"/>
              <w:keepNext/>
              <w:widowControl/>
            </w:pPr>
            <w:r w:rsidRPr="00704302">
              <w:t>(28)</w:t>
            </w:r>
            <w:r w:rsidRPr="00704302">
              <w:tab/>
              <w:t>Un signo distintivo en forma de código de dos letras del Estado miembro que expide el documento facilita la inspección visual del documento, en especial cuando el titular ejerce el derecho de libre circulación.</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19</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Tomáš Zdechovský</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Considerando 32 bis (nuevo)</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E33FD9" w:rsidP="00543E4A">
            <w:pPr>
              <w:pStyle w:val="Normal6a"/>
              <w:widowControl/>
            </w:pPr>
          </w:p>
        </w:tc>
        <w:tc>
          <w:tcPr>
            <w:tcW w:w="4876" w:type="dxa"/>
            <w:tcBorders>
              <w:top w:val="nil"/>
              <w:left w:val="nil"/>
              <w:bottom w:val="nil"/>
              <w:right w:val="nil"/>
            </w:tcBorders>
          </w:tcPr>
          <w:p w:rsidR="00E33FD9" w:rsidRPr="00704302" w:rsidRDefault="00543E4A" w:rsidP="00543E4A">
            <w:pPr>
              <w:pStyle w:val="Normal6a"/>
              <w:widowControl/>
            </w:pPr>
            <w:r w:rsidRPr="00704302">
              <w:rPr>
                <w:b/>
                <w:i/>
              </w:rPr>
              <w:t>(32 bis)</w:t>
            </w:r>
            <w:r w:rsidRPr="00704302">
              <w:tab/>
            </w:r>
            <w:r w:rsidRPr="00704302">
              <w:rPr>
                <w:b/>
                <w:i/>
              </w:rPr>
              <w:t>En apoyo de este objetivo, la Comisión, en cooperación con los Estados miembros, debe garantizar la armonización de los sistemas de identificación electrónica y la integración de los servicios transfronterizos de administración electrónica. Esas medidas deben mejorar la facilidad de uso y la accesibilidad de los documentos de identidad para todos los ciudadanos de la Unión, manteniendo al mismo tiempo la funcionalidad sin fisuras y la plena interoperabilidad en todos los Estados miembros.</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lastRenderedPageBreak/>
        <w:t>&lt;Amend&gt;</w:t>
      </w:r>
      <w:r w:rsidRPr="00704302">
        <w:t>Enmienda</w:t>
      </w:r>
      <w:r w:rsidRPr="00704302">
        <w:tab/>
      </w:r>
      <w:r w:rsidRPr="00704302">
        <w:tab/>
      </w:r>
      <w:r w:rsidRPr="00704302">
        <w:rPr>
          <w:rStyle w:val="HideTWBExt"/>
        </w:rPr>
        <w:t>&lt;NumAm&gt;</w:t>
      </w:r>
      <w:r w:rsidRPr="00704302">
        <w:t>20</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Malik Azmani</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Considerando 43</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(43)</w:t>
            </w:r>
            <w:r w:rsidRPr="00704302">
              <w:tab/>
              <w:t>De conformidad con el Acuerdo interinstitucional de</w:t>
            </w:r>
            <w:r w:rsidRPr="00704302">
              <w:rPr>
                <w:b/>
                <w:i/>
              </w:rPr>
              <w:t> </w:t>
            </w:r>
            <w:r w:rsidRPr="00704302">
              <w:t>13</w:t>
            </w:r>
            <w:r w:rsidRPr="00704302">
              <w:rPr>
                <w:b/>
                <w:i/>
              </w:rPr>
              <w:t> </w:t>
            </w:r>
            <w:r w:rsidRPr="00704302">
              <w:t>de</w:t>
            </w:r>
            <w:r w:rsidRPr="00704302">
              <w:rPr>
                <w:b/>
                <w:i/>
              </w:rPr>
              <w:t> </w:t>
            </w:r>
            <w:r w:rsidRPr="00704302">
              <w:t>abril de</w:t>
            </w:r>
            <w:r w:rsidRPr="00704302">
              <w:rPr>
                <w:b/>
                <w:i/>
              </w:rPr>
              <w:t> </w:t>
            </w:r>
            <w:r w:rsidRPr="00704302">
              <w:t>2016 sobre la mejora de la legislación</w:t>
            </w:r>
            <w:r w:rsidRPr="00704302">
              <w:rPr>
                <w:vertAlign w:val="superscript"/>
              </w:rPr>
              <w:t>9</w:t>
            </w:r>
            <w:r w:rsidRPr="00704302">
              <w:t xml:space="preserve">, la Comisión, </w:t>
            </w:r>
            <w:r w:rsidRPr="00704302">
              <w:rPr>
                <w:b/>
                <w:i/>
              </w:rPr>
              <w:t xml:space="preserve">no antes de </w:t>
            </w:r>
            <w:r w:rsidRPr="00704302">
              <w:t>seis años después de la fecha de aplicación del presente Reglamento, debe realizar una evaluación del presente Reglamento, también sobre la base de la información recogida a través de mecanismos de seguimiento específicos a fin de evaluar los efectos reales del presente Reglamento y la necesidad de adoptar nuevas medidas. A efectos de seguimiento, los Estados miembros deben recopilar estadísticas sobre el número de documentos de identidad y de documentos de residencia que hayan expedido.</w:t>
            </w:r>
          </w:p>
        </w:tc>
        <w:tc>
          <w:tcPr>
            <w:tcW w:w="4876" w:type="dxa"/>
            <w:tcBorders>
              <w:top w:val="nil"/>
              <w:left w:val="nil"/>
              <w:bottom w:val="nil"/>
              <w:right w:val="nil"/>
            </w:tcBorders>
          </w:tcPr>
          <w:p w:rsidR="00E33FD9" w:rsidRPr="00704302" w:rsidRDefault="00543E4A" w:rsidP="00543E4A">
            <w:pPr>
              <w:pStyle w:val="Normal6a"/>
              <w:widowControl/>
            </w:pPr>
            <w:r w:rsidRPr="00704302">
              <w:t>(43)</w:t>
            </w:r>
            <w:r w:rsidRPr="00704302">
              <w:tab/>
            </w:r>
            <w:r w:rsidRPr="00704302">
              <w:rPr>
                <w:b/>
                <w:i/>
              </w:rPr>
              <w:t>La Comisión debe informar sobre la aplicación del presente Reglamento dos años y once años después de la fecha de aplicación, respectivamente, en particular sobre la adecuación del nivel de seguridad, teniendo en cuenta sus repercusiones en los derechos fundamentales y en los principios de protección de datos.</w:t>
            </w:r>
            <w:r w:rsidRPr="00704302">
              <w:t xml:space="preserve"> De conformidad con el Acuerdo interinstitucional de</w:t>
            </w:r>
            <w:r w:rsidRPr="00704302">
              <w:rPr>
                <w:b/>
                <w:i/>
              </w:rPr>
              <w:t xml:space="preserve"> </w:t>
            </w:r>
            <w:r w:rsidRPr="00704302">
              <w:t>13</w:t>
            </w:r>
            <w:r w:rsidRPr="00704302">
              <w:rPr>
                <w:b/>
                <w:i/>
              </w:rPr>
              <w:t xml:space="preserve"> </w:t>
            </w:r>
            <w:r w:rsidRPr="00704302">
              <w:t>de</w:t>
            </w:r>
            <w:r w:rsidRPr="00704302">
              <w:rPr>
                <w:b/>
                <w:i/>
              </w:rPr>
              <w:t xml:space="preserve"> </w:t>
            </w:r>
            <w:r w:rsidRPr="00704302">
              <w:t>abril de</w:t>
            </w:r>
            <w:r w:rsidRPr="00704302">
              <w:rPr>
                <w:b/>
                <w:i/>
              </w:rPr>
              <w:t xml:space="preserve"> </w:t>
            </w:r>
            <w:r w:rsidRPr="00704302">
              <w:t>2016 sobre la mejora de la legislación</w:t>
            </w:r>
            <w:r w:rsidRPr="00704302">
              <w:rPr>
                <w:vertAlign w:val="superscript"/>
              </w:rPr>
              <w:t>9</w:t>
            </w:r>
            <w:r w:rsidRPr="00704302">
              <w:t xml:space="preserve">, la Comisión, seis años después de la fecha de aplicación del presente Reglamento, debe realizar una evaluación del presente Reglamento, </w:t>
            </w:r>
            <w:r w:rsidRPr="00704302">
              <w:rPr>
                <w:b/>
                <w:i/>
              </w:rPr>
              <w:t>y posteriormente cada seis años</w:t>
            </w:r>
            <w:r w:rsidRPr="00704302">
              <w:t>, también sobre la base de la información recogida a través de mecanismos de seguimiento específicos a fin de evaluar los efectos reales del presente Reglamento y la necesidad de adoptar nuevas medidas. A efectos de seguimiento, los Estados miembros deben recopilar estadísticas sobre el número de documentos de identidad y de documentos de residencia que hayan expedido.</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rPr>
                <w:b/>
                <w:i/>
              </w:rPr>
              <w:t>_________________</w:t>
            </w:r>
          </w:p>
        </w:tc>
        <w:tc>
          <w:tcPr>
            <w:tcW w:w="4876" w:type="dxa"/>
            <w:tcBorders>
              <w:top w:val="nil"/>
              <w:left w:val="nil"/>
              <w:bottom w:val="nil"/>
              <w:right w:val="nil"/>
            </w:tcBorders>
          </w:tcPr>
          <w:p w:rsidR="00E33FD9" w:rsidRPr="00704302" w:rsidRDefault="00543E4A" w:rsidP="00543E4A">
            <w:pPr>
              <w:pStyle w:val="Normal6a"/>
              <w:widowControl/>
            </w:pPr>
            <w:r w:rsidRPr="00704302">
              <w:rPr>
                <w:b/>
                <w:i/>
              </w:rPr>
              <w:t>_________________</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rPr>
                <w:vertAlign w:val="superscript"/>
              </w:rPr>
              <w:t>9</w:t>
            </w:r>
            <w:r w:rsidRPr="00704302">
              <w:t xml:space="preserve"> DO L 123 de 12.5.2016, p. 1, ELI: http://data.europa.eu/eli/agree_interinstit/2016/512/oj.</w:t>
            </w:r>
          </w:p>
        </w:tc>
        <w:tc>
          <w:tcPr>
            <w:tcW w:w="4876" w:type="dxa"/>
            <w:tcBorders>
              <w:top w:val="nil"/>
              <w:left w:val="nil"/>
              <w:bottom w:val="nil"/>
              <w:right w:val="nil"/>
            </w:tcBorders>
          </w:tcPr>
          <w:p w:rsidR="00E33FD9" w:rsidRPr="00704302" w:rsidRDefault="00543E4A" w:rsidP="00543E4A">
            <w:pPr>
              <w:pStyle w:val="Normal6a"/>
              <w:widowControl/>
            </w:pPr>
            <w:r w:rsidRPr="00704302">
              <w:rPr>
                <w:vertAlign w:val="superscript"/>
              </w:rPr>
              <w:t>9</w:t>
            </w:r>
            <w:r w:rsidRPr="00704302">
              <w:t xml:space="preserve"> DO L 123 de 12.5.2016, p. 1, ELI: http://data.europa.eu/eli/agree_interinstit/2016/512/oj.</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C42B17">
      <w:pPr>
        <w:pStyle w:val="AmNumberTabs"/>
        <w:keepNext/>
        <w:widowControl/>
      </w:pPr>
      <w:r w:rsidRPr="00704302">
        <w:rPr>
          <w:rStyle w:val="HideTWBExt"/>
        </w:rPr>
        <w:lastRenderedPageBreak/>
        <w:t>&lt;Amend&gt;</w:t>
      </w:r>
      <w:r w:rsidRPr="00704302">
        <w:t>Enmienda</w:t>
      </w:r>
      <w:r w:rsidRPr="00704302">
        <w:tab/>
      </w:r>
      <w:r w:rsidRPr="00704302">
        <w:tab/>
      </w:r>
      <w:r w:rsidRPr="00704302">
        <w:rPr>
          <w:rStyle w:val="HideTWBExt"/>
        </w:rPr>
        <w:t>&lt;NumAm&gt;</w:t>
      </w:r>
      <w:r w:rsidRPr="00704302">
        <w:t>21</w:t>
      </w:r>
      <w:r w:rsidRPr="00704302">
        <w:rPr>
          <w:rStyle w:val="HideTWBExt"/>
        </w:rPr>
        <w:t>&lt;/NumAm&gt;</w:t>
      </w:r>
    </w:p>
    <w:p w:rsidR="00E33FD9" w:rsidRPr="00704302" w:rsidRDefault="00543E4A" w:rsidP="00C42B17">
      <w:pPr>
        <w:pStyle w:val="NormalBold"/>
        <w:keepNext/>
        <w:widowControl/>
      </w:pPr>
      <w:r w:rsidRPr="00704302">
        <w:rPr>
          <w:rStyle w:val="HideTWBExt"/>
          <w:b w:val="0"/>
        </w:rPr>
        <w:t>&lt;RepeatBlock-By&gt;&lt;Members&gt;</w:t>
      </w:r>
      <w:r w:rsidRPr="00704302">
        <w:t>Roberto Vannacci, António Tânger Corrêa, Susanna Ceccardi, Anna Maria Cisint, Nikola Bartůšek, Fabrice Leggeri, Tom Vandendriessche, Matthieu Valet</w:t>
      </w:r>
      <w:r w:rsidRPr="00704302">
        <w:rPr>
          <w:rStyle w:val="HideTWBExt"/>
          <w:b w:val="0"/>
        </w:rPr>
        <w:t>&lt;/Members&gt;</w:t>
      </w:r>
    </w:p>
    <w:p w:rsidR="00E33FD9" w:rsidRPr="00704302" w:rsidRDefault="00543E4A" w:rsidP="00C42B17">
      <w:pPr>
        <w:pStyle w:val="NormalBold"/>
        <w:keepNext/>
        <w:widowControl/>
      </w:pPr>
      <w:r w:rsidRPr="00704302">
        <w:rPr>
          <w:rStyle w:val="HideTWBExt"/>
          <w:b w:val="0"/>
        </w:rPr>
        <w:t>&lt;/RepeatBlock-By&gt;</w:t>
      </w:r>
    </w:p>
    <w:p w:rsidR="00E33FD9" w:rsidRPr="00704302" w:rsidRDefault="00543E4A" w:rsidP="00C42B17">
      <w:pPr>
        <w:pStyle w:val="NormalBold"/>
        <w:keepNext/>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C42B17">
      <w:pPr>
        <w:pStyle w:val="NormalBold"/>
        <w:keepNext/>
        <w:widowControl/>
      </w:pPr>
      <w:r w:rsidRPr="00704302">
        <w:rPr>
          <w:rStyle w:val="HideTWBExt"/>
        </w:rPr>
        <w:t>&lt;Article&gt;</w:t>
      </w:r>
      <w:r w:rsidRPr="00704302">
        <w:t>Artículo 3 – apartado 2 – párrafo 2</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C42B17">
            <w:pPr>
              <w:keepNext/>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C42B17">
            <w:pPr>
              <w:pStyle w:val="AmColumnHeading"/>
              <w:keepNext/>
              <w:widowControl/>
            </w:pPr>
            <w:r w:rsidRPr="00704302">
              <w:t>Texto de la Comisión</w:t>
            </w:r>
          </w:p>
        </w:tc>
        <w:tc>
          <w:tcPr>
            <w:tcW w:w="4876" w:type="dxa"/>
            <w:tcBorders>
              <w:top w:val="nil"/>
              <w:left w:val="nil"/>
              <w:bottom w:val="nil"/>
              <w:right w:val="nil"/>
            </w:tcBorders>
          </w:tcPr>
          <w:p w:rsidR="00E33FD9" w:rsidRPr="00704302" w:rsidRDefault="00543E4A" w:rsidP="00C42B17">
            <w:pPr>
              <w:pStyle w:val="AmColumnHeading"/>
              <w:keepNext/>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rPr>
                <w:b/>
                <w:i/>
              </w:rPr>
              <w:t>No obstante lo dispuesto en el párrafo primero, el número de documento podrá insertarse en la zona I y la designación del género de la persona será facultativa.</w:t>
            </w:r>
          </w:p>
        </w:tc>
        <w:tc>
          <w:tcPr>
            <w:tcW w:w="4876" w:type="dxa"/>
            <w:tcBorders>
              <w:top w:val="nil"/>
              <w:left w:val="nil"/>
              <w:bottom w:val="nil"/>
              <w:right w:val="nil"/>
            </w:tcBorders>
          </w:tcPr>
          <w:p w:rsidR="00E33FD9" w:rsidRPr="00704302" w:rsidRDefault="00543E4A" w:rsidP="00543E4A">
            <w:pPr>
              <w:pStyle w:val="Normal6a"/>
              <w:widowControl/>
            </w:pPr>
            <w:r w:rsidRPr="00704302">
              <w:rPr>
                <w:b/>
                <w:i/>
              </w:rPr>
              <w:t>suprimido</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22</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Nadine Morano</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3 – apartado 2 – párrafo 2</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No obstante lo dispuesto en el párrafo primero, el número de</w:t>
            </w:r>
            <w:r w:rsidRPr="00704302">
              <w:rPr>
                <w:b/>
                <w:i/>
              </w:rPr>
              <w:t xml:space="preserve"> </w:t>
            </w:r>
            <w:r w:rsidRPr="00704302">
              <w:t>documento podrá insertarse en la zona I</w:t>
            </w:r>
            <w:r w:rsidRPr="00704302">
              <w:rPr>
                <w:b/>
                <w:i/>
              </w:rPr>
              <w:t xml:space="preserve"> y la designación del género de la persona será facultativa</w:t>
            </w:r>
            <w:r w:rsidRPr="00704302">
              <w:t>.</w:t>
            </w:r>
          </w:p>
        </w:tc>
        <w:tc>
          <w:tcPr>
            <w:tcW w:w="4876" w:type="dxa"/>
            <w:tcBorders>
              <w:top w:val="nil"/>
              <w:left w:val="nil"/>
              <w:bottom w:val="nil"/>
              <w:right w:val="nil"/>
            </w:tcBorders>
          </w:tcPr>
          <w:p w:rsidR="00E33FD9" w:rsidRPr="00704302" w:rsidRDefault="00543E4A" w:rsidP="00543E4A">
            <w:pPr>
              <w:pStyle w:val="Normal6a"/>
              <w:widowControl/>
            </w:pPr>
            <w:r w:rsidRPr="00704302">
              <w:t>No obstante lo dispuesto en el párrafo primero, el número de</w:t>
            </w:r>
            <w:r w:rsidRPr="00704302">
              <w:rPr>
                <w:b/>
                <w:i/>
              </w:rPr>
              <w:t> </w:t>
            </w:r>
            <w:r w:rsidRPr="00704302">
              <w:t>documento podrá insertarse en la zona I.</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{FR}</w:t>
      </w:r>
      <w:r w:rsidRPr="00704302">
        <w:t>fr</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23</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Paolo Inselvini, Alessandro Ciriani</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3 – apartado 2 – párrafo 2</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 xml:space="preserve">No obstante lo dispuesto en el párrafo primero, el número de documento podrá insertarse en la zona I y la designación del </w:t>
            </w:r>
            <w:r w:rsidRPr="00704302">
              <w:rPr>
                <w:b/>
                <w:i/>
              </w:rPr>
              <w:t>género</w:t>
            </w:r>
            <w:r w:rsidRPr="00704302">
              <w:t xml:space="preserve"> de la persona será facultativa.</w:t>
            </w:r>
          </w:p>
        </w:tc>
        <w:tc>
          <w:tcPr>
            <w:tcW w:w="4876" w:type="dxa"/>
            <w:tcBorders>
              <w:top w:val="nil"/>
              <w:left w:val="nil"/>
              <w:bottom w:val="nil"/>
              <w:right w:val="nil"/>
            </w:tcBorders>
          </w:tcPr>
          <w:p w:rsidR="00E33FD9" w:rsidRPr="00704302" w:rsidRDefault="00543E4A" w:rsidP="00543E4A">
            <w:pPr>
              <w:pStyle w:val="Normal6a"/>
              <w:widowControl/>
            </w:pPr>
            <w:r w:rsidRPr="00704302">
              <w:t xml:space="preserve">No obstante lo dispuesto en el párrafo primero, el número de documento podrá insertarse en la zona I y la designación del </w:t>
            </w:r>
            <w:r w:rsidRPr="00704302">
              <w:rPr>
                <w:b/>
                <w:i/>
              </w:rPr>
              <w:t>sexo</w:t>
            </w:r>
            <w:r w:rsidRPr="00704302">
              <w:t xml:space="preserve"> de la persona será facultativa.</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{IT}</w:t>
      </w:r>
      <w:r w:rsidRPr="00704302">
        <w:t>it</w:t>
      </w:r>
      <w:r w:rsidRPr="00704302">
        <w:rPr>
          <w:rStyle w:val="HideTWBExt"/>
        </w:rPr>
        <w:t>&lt;/Original&gt;</w:t>
      </w:r>
    </w:p>
    <w:p w:rsidR="00E33FD9" w:rsidRPr="00704302" w:rsidRDefault="00543E4A" w:rsidP="00543E4A">
      <w:pPr>
        <w:widowControl/>
      </w:pPr>
      <w:r w:rsidRPr="00704302">
        <w:rPr>
          <w:rStyle w:val="HideTWBExt"/>
        </w:rPr>
        <w:lastRenderedPageBreak/>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24</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Alessandro Zan, Krzysztof Śmiszek, Emma Rafowicz, Evin Incir, Cecilia Strada, Pina Picierno</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3 – apartado 2 – párrafo 2</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No obstante lo dispuesto en el párrafo primero, el número de documento podrá insertarse en la zona I y la designación del género de la persona será facultativa.</w:t>
            </w:r>
          </w:p>
        </w:tc>
        <w:tc>
          <w:tcPr>
            <w:tcW w:w="4876" w:type="dxa"/>
            <w:tcBorders>
              <w:top w:val="nil"/>
              <w:left w:val="nil"/>
              <w:bottom w:val="nil"/>
              <w:right w:val="nil"/>
            </w:tcBorders>
          </w:tcPr>
          <w:p w:rsidR="00E33FD9" w:rsidRPr="00704302" w:rsidRDefault="00543E4A" w:rsidP="00543E4A">
            <w:pPr>
              <w:pStyle w:val="Normal6a"/>
              <w:widowControl/>
            </w:pPr>
            <w:r w:rsidRPr="00704302">
              <w:t xml:space="preserve">No obstante lo dispuesto en el párrafo primero, el número de documento podrá insertarse en la zona I y la designación del género de la persona será facultativa. </w:t>
            </w:r>
            <w:r w:rsidRPr="00704302">
              <w:rPr>
                <w:b/>
                <w:i/>
              </w:rPr>
              <w:t>Cuando un Estado miembro incluya el género de una persona en un documento cubierto por el presente Reglamento, se utilizarán, según proceda, las especificaciones del documento 9303 de la OACI, «F», «M» o «X», o la inicial única correspondiente en la lengua o lenguas de ese Estado miembro.</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25</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Roberto Vannacci, António Tânger Corrêa, Susanna Ceccardi, Anna Maria Cisint, Fabrice Leggeri, Tom Vandendriessche, Matthieu Valet</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3 – apartado 4</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4.</w:t>
            </w:r>
            <w:r w:rsidRPr="00704302">
              <w:tab/>
              <w:t>El documento de identidad contendrá, en el anverso, el código de dos letras</w:t>
            </w:r>
            <w:r w:rsidRPr="00704302">
              <w:rPr>
                <w:b/>
                <w:i/>
              </w:rPr>
              <w:t> </w:t>
            </w:r>
            <w:r w:rsidRPr="00704302">
              <w:t>del Estado miembro que expida el documento</w:t>
            </w:r>
            <w:r w:rsidRPr="00704302">
              <w:rPr>
                <w:b/>
                <w:i/>
              </w:rPr>
              <w:t>, impreso en negativo en un rectángulo azul y rodeado de doce estrellas amarillas</w:t>
            </w:r>
            <w:r w:rsidRPr="00704302">
              <w:t>.</w:t>
            </w:r>
          </w:p>
        </w:tc>
        <w:tc>
          <w:tcPr>
            <w:tcW w:w="4876" w:type="dxa"/>
            <w:tcBorders>
              <w:top w:val="nil"/>
              <w:left w:val="nil"/>
              <w:bottom w:val="nil"/>
              <w:right w:val="nil"/>
            </w:tcBorders>
          </w:tcPr>
          <w:p w:rsidR="00E33FD9" w:rsidRPr="00704302" w:rsidRDefault="00543E4A" w:rsidP="00543E4A">
            <w:pPr>
              <w:pStyle w:val="Normal6a"/>
              <w:widowControl/>
            </w:pPr>
            <w:r w:rsidRPr="00704302">
              <w:t>4.</w:t>
            </w:r>
            <w:r w:rsidRPr="00704302">
              <w:tab/>
              <w:t>El documento de identidad contendrá, en el anverso, el código de dos letras</w:t>
            </w:r>
            <w:r w:rsidRPr="00704302">
              <w:rPr>
                <w:b/>
                <w:i/>
              </w:rPr>
              <w:t xml:space="preserve"> </w:t>
            </w:r>
            <w:r w:rsidRPr="00704302">
              <w:t>del Estado miembro que expida el documento.</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C42B17">
      <w:pPr>
        <w:pStyle w:val="AmNumberTabs"/>
        <w:keepNext/>
        <w:widowControl/>
      </w:pPr>
      <w:r w:rsidRPr="00704302">
        <w:rPr>
          <w:rStyle w:val="HideTWBExt"/>
        </w:rPr>
        <w:lastRenderedPageBreak/>
        <w:t>&lt;Amend&gt;</w:t>
      </w:r>
      <w:r w:rsidRPr="00704302">
        <w:t>Enmienda</w:t>
      </w:r>
      <w:r w:rsidRPr="00704302">
        <w:tab/>
      </w:r>
      <w:r w:rsidRPr="00704302">
        <w:tab/>
      </w:r>
      <w:r w:rsidRPr="00704302">
        <w:rPr>
          <w:rStyle w:val="HideTWBExt"/>
        </w:rPr>
        <w:t>&lt;NumAm&gt;</w:t>
      </w:r>
      <w:r w:rsidRPr="00704302">
        <w:t>26</w:t>
      </w:r>
      <w:r w:rsidRPr="00704302">
        <w:rPr>
          <w:rStyle w:val="HideTWBExt"/>
        </w:rPr>
        <w:t>&lt;/NumAm&gt;</w:t>
      </w:r>
    </w:p>
    <w:p w:rsidR="00E33FD9" w:rsidRPr="00704302" w:rsidRDefault="00543E4A" w:rsidP="00C42B17">
      <w:pPr>
        <w:pStyle w:val="NormalBold"/>
        <w:keepNext/>
        <w:widowControl/>
      </w:pPr>
      <w:r w:rsidRPr="00704302">
        <w:rPr>
          <w:rStyle w:val="HideTWBExt"/>
          <w:b w:val="0"/>
        </w:rPr>
        <w:t>&lt;RepeatBlock-By&gt;&lt;Members&gt;</w:t>
      </w:r>
      <w:r w:rsidRPr="00704302">
        <w:t>Milan Uhrík, Ewa Zajączkowska-Hernik, Mary Khan</w:t>
      </w:r>
      <w:r w:rsidRPr="00704302">
        <w:rPr>
          <w:rStyle w:val="HideTWBExt"/>
          <w:b w:val="0"/>
        </w:rPr>
        <w:t>&lt;/Members&gt;</w:t>
      </w:r>
    </w:p>
    <w:p w:rsidR="00E33FD9" w:rsidRPr="00704302" w:rsidRDefault="00543E4A" w:rsidP="00C42B17">
      <w:pPr>
        <w:keepNext/>
        <w:widowControl/>
      </w:pPr>
      <w:r w:rsidRPr="00704302">
        <w:rPr>
          <w:rStyle w:val="HideTWBExt"/>
        </w:rPr>
        <w:t>&lt;AuNomDe&gt;</w:t>
      </w:r>
      <w:r w:rsidRPr="00704302">
        <w:rPr>
          <w:rStyle w:val="HideTWBInt"/>
          <w:color w:val="auto"/>
        </w:rPr>
        <w:t>{ESN}</w:t>
      </w:r>
      <w:r w:rsidRPr="00704302">
        <w:t>en nombre del Grupo ESN</w:t>
      </w:r>
      <w:r w:rsidRPr="00704302">
        <w:rPr>
          <w:rStyle w:val="HideTWBExt"/>
        </w:rPr>
        <w:t>&lt;/AuNomDe&gt;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3 – apartado 5</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5.</w:t>
            </w:r>
            <w:r w:rsidRPr="00704302">
              <w:tab/>
              <w:t xml:space="preserve">Los documentos de identidad incluirán un medio de almacenamiento de alta seguridad que contendrá una imagen facial del titular del documento </w:t>
            </w:r>
            <w:r w:rsidRPr="00704302">
              <w:rPr>
                <w:b/>
                <w:i/>
              </w:rPr>
              <w:t xml:space="preserve">y dos impresiones dactilares </w:t>
            </w:r>
            <w:r w:rsidRPr="00704302">
              <w:t>en formatos digitales interoperables. Para la captura de los identificadores biométricos, los Estados miembros aplicarán las especificaciones técnicas definidas en la Decisión de ejecución C(2018) 7767</w:t>
            </w:r>
            <w:r w:rsidRPr="00704302">
              <w:rPr>
                <w:vertAlign w:val="superscript"/>
              </w:rPr>
              <w:t>12</w:t>
            </w:r>
            <w:r w:rsidRPr="00704302">
              <w:t xml:space="preserve"> de la Comisión, modificada por la Decisión de Ejecución C(2021) 3726</w:t>
            </w:r>
            <w:r w:rsidRPr="00704302">
              <w:rPr>
                <w:vertAlign w:val="superscript"/>
              </w:rPr>
              <w:t>13</w:t>
            </w:r>
            <w:r w:rsidRPr="00704302">
              <w:t xml:space="preserve"> de la Comisión.</w:t>
            </w:r>
          </w:p>
        </w:tc>
        <w:tc>
          <w:tcPr>
            <w:tcW w:w="4876" w:type="dxa"/>
            <w:tcBorders>
              <w:top w:val="nil"/>
              <w:left w:val="nil"/>
              <w:bottom w:val="nil"/>
              <w:right w:val="nil"/>
            </w:tcBorders>
          </w:tcPr>
          <w:p w:rsidR="00E33FD9" w:rsidRPr="00704302" w:rsidRDefault="00543E4A" w:rsidP="00543E4A">
            <w:pPr>
              <w:pStyle w:val="Normal6a"/>
              <w:widowControl/>
            </w:pPr>
            <w:r w:rsidRPr="00704302">
              <w:t>5.</w:t>
            </w:r>
            <w:r w:rsidRPr="00704302">
              <w:tab/>
              <w:t>Los documentos de identidad incluirán un medio de almacenamiento de alta seguridad que contendrá una imagen facial del titular del documento en formatos digitales interoperables. Para la captura de los identificadores biométricos, los Estados miembros aplicarán las especificaciones técnicas definidas en la Decisión de Ejecución C(2018) 7767</w:t>
            </w:r>
            <w:r w:rsidRPr="00704302">
              <w:rPr>
                <w:vertAlign w:val="superscript"/>
              </w:rPr>
              <w:t>12</w:t>
            </w:r>
            <w:r w:rsidRPr="00704302">
              <w:t xml:space="preserve"> de la Comisión, modificada por la Decisión de Ejecución C(2021) 3726</w:t>
            </w:r>
            <w:r w:rsidRPr="00704302">
              <w:rPr>
                <w:vertAlign w:val="superscript"/>
              </w:rPr>
              <w:t>13</w:t>
            </w:r>
            <w:r w:rsidRPr="00704302">
              <w:t xml:space="preserve"> de la Comisión.</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rPr>
                <w:b/>
                <w:i/>
              </w:rPr>
              <w:t>_________________</w:t>
            </w:r>
          </w:p>
        </w:tc>
        <w:tc>
          <w:tcPr>
            <w:tcW w:w="4876" w:type="dxa"/>
            <w:tcBorders>
              <w:top w:val="nil"/>
              <w:left w:val="nil"/>
              <w:bottom w:val="nil"/>
              <w:right w:val="nil"/>
            </w:tcBorders>
          </w:tcPr>
          <w:p w:rsidR="00E33FD9" w:rsidRPr="00704302" w:rsidRDefault="00543E4A" w:rsidP="00543E4A">
            <w:pPr>
              <w:pStyle w:val="Normal6a"/>
              <w:widowControl/>
            </w:pPr>
            <w:r w:rsidRPr="00704302">
              <w:rPr>
                <w:b/>
                <w:i/>
              </w:rPr>
              <w:t>_________________</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rPr>
                <w:vertAlign w:val="superscript"/>
              </w:rPr>
              <w:t>12</w:t>
            </w:r>
            <w:r w:rsidRPr="00704302">
              <w:t xml:space="preserve"> Decisión de Ejecución C(2018) 7767 de la Comisión, de 30 de noviembre de 2018, por la que se establecen especificaciones técnicas para el modelo uniforme de permiso de residencia para los nacionales de terceros países y por la que se deroga la Decisión C(2002) 3069.</w:t>
            </w:r>
          </w:p>
        </w:tc>
        <w:tc>
          <w:tcPr>
            <w:tcW w:w="4876" w:type="dxa"/>
            <w:tcBorders>
              <w:top w:val="nil"/>
              <w:left w:val="nil"/>
              <w:bottom w:val="nil"/>
              <w:right w:val="nil"/>
            </w:tcBorders>
          </w:tcPr>
          <w:p w:rsidR="00E33FD9" w:rsidRPr="00704302" w:rsidRDefault="00543E4A" w:rsidP="00543E4A">
            <w:pPr>
              <w:pStyle w:val="Normal6a"/>
              <w:widowControl/>
            </w:pPr>
            <w:r w:rsidRPr="00704302">
              <w:rPr>
                <w:vertAlign w:val="superscript"/>
              </w:rPr>
              <w:t>12</w:t>
            </w:r>
            <w:r w:rsidRPr="00704302">
              <w:t xml:space="preserve"> Decisión de Ejecución C(2018) 7767 de la Comisión, de 30 de noviembre de 2018, por la que se establecen especificaciones técnicas para el modelo uniforme de permiso de residencia para los nacionales de terceros países y por la que se deroga la Decisión C(2002) 3069.</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rPr>
                <w:vertAlign w:val="superscript"/>
              </w:rPr>
              <w:t>13</w:t>
            </w:r>
            <w:r w:rsidRPr="00704302">
              <w:t xml:space="preserve"> Decisión de Ejecución C(2021) 3726 de la Comisión, de 4 de junio de 2021, por la que se modifica el anexo III de la Decisión de Ejecución C(2018) 7767 en lo que respecta a la lista de referencias normativas.</w:t>
            </w:r>
          </w:p>
        </w:tc>
        <w:tc>
          <w:tcPr>
            <w:tcW w:w="4876" w:type="dxa"/>
            <w:tcBorders>
              <w:top w:val="nil"/>
              <w:left w:val="nil"/>
              <w:bottom w:val="nil"/>
              <w:right w:val="nil"/>
            </w:tcBorders>
          </w:tcPr>
          <w:p w:rsidR="00E33FD9" w:rsidRPr="00704302" w:rsidRDefault="00543E4A" w:rsidP="00543E4A">
            <w:pPr>
              <w:pStyle w:val="Normal6a"/>
              <w:widowControl/>
            </w:pPr>
            <w:r w:rsidRPr="00704302">
              <w:rPr>
                <w:vertAlign w:val="superscript"/>
              </w:rPr>
              <w:t>13</w:t>
            </w:r>
            <w:r w:rsidRPr="00704302">
              <w:t xml:space="preserve"> Decisión de Ejecución C(2021) 3726 de la Comisión, de 4 de junio de 2021, por la que se modifica el anexo III de la Decisión de Ejecución C(2018) 7767 en lo que respecta a la lista de referencias normativas.</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pStyle w:val="AmJustTitle"/>
        <w:widowControl/>
      </w:pPr>
      <w:r w:rsidRPr="00704302">
        <w:rPr>
          <w:rStyle w:val="HideTWBExt"/>
        </w:rPr>
        <w:t>&lt;TitreJust&gt;</w:t>
      </w:r>
      <w:r w:rsidRPr="00704302">
        <w:t>Justificación</w:t>
      </w:r>
      <w:r w:rsidRPr="00704302">
        <w:rPr>
          <w:rStyle w:val="HideTWBExt"/>
        </w:rPr>
        <w:t>&lt;/TitreJust&gt;</w:t>
      </w:r>
    </w:p>
    <w:p w:rsidR="00E33FD9" w:rsidRPr="00704302" w:rsidRDefault="00543E4A" w:rsidP="00543E4A">
      <w:pPr>
        <w:pStyle w:val="AmJustText"/>
        <w:widowControl/>
      </w:pPr>
      <w:r w:rsidRPr="00704302">
        <w:t>Esta enmienda suprime la obligación de conservar dos impresiones dactilares en los documentos de identidad. Se trata de una violación demasiado grave del derecho a la intimidad de los ciudadanos en favor de un aumento cada vez mayor de las posibilidades de control estatal. También existe un grave riesgo de ciberdelincuencia: si se roban estas impresiones dactilares, pueden utilizarse en todo el mundo para todo tipo de fraude relacionado con la identidad. Dado que son únicas, el robo de estas impresiones dactilares supondría un riesgo a lo largo de toda la vida para el ciudadano que sea víctima del robo.</w:t>
      </w:r>
    </w:p>
    <w:p w:rsidR="00E33FD9" w:rsidRPr="00704302" w:rsidRDefault="00543E4A" w:rsidP="00543E4A">
      <w:pPr>
        <w:widowControl/>
      </w:pPr>
      <w:r w:rsidRPr="00704302">
        <w:rPr>
          <w:rStyle w:val="HideTWBExt"/>
        </w:rPr>
        <w:lastRenderedPageBreak/>
        <w:t>&lt;/Amend&gt;</w:t>
      </w:r>
    </w:p>
    <w:p w:rsidR="00E33FD9" w:rsidRPr="00704302" w:rsidRDefault="00543E4A" w:rsidP="00543E4A">
      <w:pPr>
        <w:pStyle w:val="AMNumberTabs0"/>
        <w:keepNext/>
        <w:widowControl/>
        <w:rPr>
          <w:lang w:val="es-ES_tradnl"/>
        </w:rPr>
      </w:pPr>
      <w:r w:rsidRPr="00704302">
        <w:rPr>
          <w:rStyle w:val="HideTWBExt"/>
          <w:b w:val="0"/>
          <w:lang w:val="es-ES_tradnl"/>
        </w:rPr>
        <w:t>&lt;Amend&gt;</w:t>
      </w:r>
      <w:r w:rsidRPr="00704302">
        <w:rPr>
          <w:lang w:val="es-ES_tradnl"/>
        </w:rPr>
        <w:t>Enmienda</w:t>
      </w:r>
      <w:r w:rsidRPr="00704302">
        <w:rPr>
          <w:lang w:val="es-ES_tradnl"/>
        </w:rPr>
        <w:tab/>
      </w:r>
      <w:r w:rsidRPr="00704302">
        <w:rPr>
          <w:lang w:val="es-ES_tradnl"/>
        </w:rPr>
        <w:tab/>
      </w:r>
      <w:r w:rsidRPr="00704302">
        <w:rPr>
          <w:rStyle w:val="HideTWBExt"/>
          <w:b w:val="0"/>
          <w:lang w:val="es-ES_tradnl"/>
        </w:rPr>
        <w:t>&lt;NumAm&gt;</w:t>
      </w:r>
      <w:r w:rsidRPr="00704302">
        <w:rPr>
          <w:lang w:val="es-ES_tradnl"/>
        </w:rPr>
        <w:t>27</w:t>
      </w:r>
      <w:r w:rsidRPr="00704302">
        <w:rPr>
          <w:rStyle w:val="HideTWBExt"/>
          <w:b w:val="0"/>
          <w:lang w:val="es-ES_tradnl"/>
        </w:rPr>
        <w:t>&lt;/NumAm&gt;</w:t>
      </w:r>
    </w:p>
    <w:p w:rsidR="00E33FD9" w:rsidRPr="00704302" w:rsidRDefault="00543E4A" w:rsidP="00543E4A">
      <w:pPr>
        <w:pStyle w:val="NormalBold"/>
        <w:widowControl/>
      </w:pPr>
      <w:r w:rsidRPr="00704302">
        <w:rPr>
          <w:rStyle w:val="HideTWBExt"/>
          <w:b w:val="0"/>
        </w:rPr>
        <w:t>&lt;RepeatBlock-By&gt;&lt;Members&gt;</w:t>
      </w:r>
      <w:r w:rsidRPr="00704302">
        <w:t>Malik Azmani, Jeannette Baljeu, Lucia Yar, Raquel García Hermida-Van Der Walle</w:t>
      </w:r>
      <w:r w:rsidRPr="00704302">
        <w:rPr>
          <w:rStyle w:val="HideTWBExt"/>
          <w:b w:val="0"/>
        </w:rPr>
        <w:t>&lt;/Members&gt;</w:t>
      </w:r>
    </w:p>
    <w:p w:rsidR="00E33FD9" w:rsidRPr="00704302" w:rsidRDefault="00543E4A" w:rsidP="00543E4A">
      <w:pPr>
        <w:widowControl/>
      </w:pPr>
      <w:r w:rsidRPr="00704302">
        <w:rPr>
          <w:rStyle w:val="HideTWBExt"/>
        </w:rPr>
        <w:t>&lt;/RepeatBlock-By&gt;</w:t>
      </w:r>
    </w:p>
    <w:p w:rsidR="00E33FD9" w:rsidRPr="00704302" w:rsidRDefault="00543E4A" w:rsidP="00543E4A">
      <w:pPr>
        <w:pStyle w:val="NormalBold"/>
        <w:keepNext/>
        <w:widowControl/>
      </w:pPr>
      <w:r w:rsidRPr="00704302">
        <w:rPr>
          <w:rStyle w:val="HideTWBExt"/>
          <w:b w:val="0"/>
        </w:rPr>
        <w:t>&lt;DocAmend&gt;</w:t>
      </w:r>
      <w:r w:rsidRPr="00704302">
        <w:t>Propuesta de Reglamento</w:t>
      </w:r>
      <w:r w:rsidRPr="00704302">
        <w:rPr>
          <w:rStyle w:val="HideTWBExt"/>
          <w:b w:val="0"/>
        </w:rPr>
        <w:t>&lt;/DocAmend&gt;</w:t>
      </w:r>
    </w:p>
    <w:p w:rsidR="00E33FD9" w:rsidRPr="00704302" w:rsidRDefault="00543E4A" w:rsidP="00543E4A">
      <w:pPr>
        <w:pStyle w:val="NormalBold"/>
        <w:widowControl/>
      </w:pPr>
      <w:r w:rsidRPr="00704302">
        <w:rPr>
          <w:rStyle w:val="HideTWBExt"/>
          <w:b w:val="0"/>
        </w:rPr>
        <w:t>&lt;Article&gt;</w:t>
      </w:r>
      <w:r w:rsidRPr="00704302">
        <w:t>Artículo 3 – apartado 5</w:t>
      </w:r>
      <w:r w:rsidRPr="007043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59A3" w:rsidRPr="00704302" w:rsidTr="00E275B2">
        <w:trPr>
          <w:jc w:val="center"/>
        </w:trPr>
        <w:tc>
          <w:tcPr>
            <w:tcW w:w="9752" w:type="dxa"/>
            <w:gridSpan w:val="2"/>
          </w:tcPr>
          <w:p w:rsidR="00E33FD9" w:rsidRPr="00704302" w:rsidRDefault="00E33FD9" w:rsidP="00543E4A">
            <w:pPr>
              <w:keepNext/>
              <w:widowControl/>
            </w:pPr>
          </w:p>
        </w:tc>
      </w:tr>
      <w:tr w:rsidR="002359A3" w:rsidRPr="00704302" w:rsidTr="00E275B2">
        <w:trPr>
          <w:jc w:val="center"/>
        </w:trPr>
        <w:tc>
          <w:tcPr>
            <w:tcW w:w="4876" w:type="dxa"/>
          </w:tcPr>
          <w:p w:rsidR="00E33FD9" w:rsidRPr="00704302" w:rsidRDefault="00543E4A" w:rsidP="00543E4A">
            <w:pPr>
              <w:pStyle w:val="ColumnHeading"/>
              <w:keepNext/>
              <w:widowControl/>
              <w:rPr>
                <w:lang w:val="es-ES_tradnl"/>
              </w:rPr>
            </w:pPr>
            <w:r w:rsidRPr="00704302">
              <w:rPr>
                <w:lang w:val="es-ES_tradnl"/>
              </w:rPr>
              <w:t>Texto de la Comisión</w:t>
            </w:r>
          </w:p>
        </w:tc>
        <w:tc>
          <w:tcPr>
            <w:tcW w:w="4876" w:type="dxa"/>
          </w:tcPr>
          <w:p w:rsidR="00E33FD9" w:rsidRPr="00704302" w:rsidRDefault="00543E4A" w:rsidP="00543E4A">
            <w:pPr>
              <w:pStyle w:val="ColumnHeading"/>
              <w:keepNext/>
              <w:widowControl/>
              <w:rPr>
                <w:lang w:val="es-ES_tradnl"/>
              </w:rPr>
            </w:pPr>
            <w:r w:rsidRPr="00704302">
              <w:rPr>
                <w:lang w:val="es-ES_tradnl"/>
              </w:rPr>
              <w:t>Enmienda</w:t>
            </w:r>
          </w:p>
        </w:tc>
      </w:tr>
      <w:tr w:rsidR="002359A3" w:rsidRPr="00704302" w:rsidTr="00E275B2">
        <w:trPr>
          <w:jc w:val="center"/>
        </w:trPr>
        <w:tc>
          <w:tcPr>
            <w:tcW w:w="4876" w:type="dxa"/>
          </w:tcPr>
          <w:p w:rsidR="00E33FD9" w:rsidRPr="00704302" w:rsidRDefault="00543E4A" w:rsidP="00543E4A">
            <w:pPr>
              <w:pStyle w:val="Normal6"/>
              <w:widowControl/>
              <w:rPr>
                <w:lang w:val="es-ES_tradnl"/>
              </w:rPr>
            </w:pPr>
            <w:r w:rsidRPr="00704302">
              <w:rPr>
                <w:lang w:val="es-ES_tradnl"/>
              </w:rPr>
              <w:t>5.</w:t>
            </w:r>
            <w:r w:rsidRPr="00704302">
              <w:rPr>
                <w:lang w:val="es-ES_tradnl"/>
              </w:rPr>
              <w:tab/>
              <w:t xml:space="preserve">Los documentos de identidad incluirán un medio de almacenamiento de alta seguridad que contendrá una imagen facial del titular del documento y dos impresiones dactilares en formatos digitales interoperables. Para la captura de </w:t>
            </w:r>
            <w:r w:rsidRPr="00704302">
              <w:rPr>
                <w:b/>
                <w:i/>
                <w:lang w:val="es-ES_tradnl"/>
              </w:rPr>
              <w:t>los</w:t>
            </w:r>
            <w:r w:rsidRPr="00704302">
              <w:rPr>
                <w:lang w:val="es-ES_tradnl"/>
              </w:rPr>
              <w:t xml:space="preserve"> identificadores biométricos, los Estados miembros aplicarán las especificaciones técnicas definidas en la Decisión de ejecución C(2018) 7767</w:t>
            </w:r>
            <w:r w:rsidRPr="00704302">
              <w:rPr>
                <w:vertAlign w:val="superscript"/>
                <w:lang w:val="es-ES_tradnl"/>
              </w:rPr>
              <w:t>12</w:t>
            </w:r>
            <w:r w:rsidRPr="00704302">
              <w:rPr>
                <w:lang w:val="es-ES_tradnl"/>
              </w:rPr>
              <w:t xml:space="preserve"> de la Comisión, modificada por la Decisión de Ejecución C(2021) 3726</w:t>
            </w:r>
            <w:r w:rsidRPr="00704302">
              <w:rPr>
                <w:vertAlign w:val="superscript"/>
                <w:lang w:val="es-ES_tradnl"/>
              </w:rPr>
              <w:t>13</w:t>
            </w:r>
            <w:r w:rsidRPr="00704302">
              <w:rPr>
                <w:lang w:val="es-ES_tradnl"/>
              </w:rPr>
              <w:t xml:space="preserve"> de la Comisión.</w:t>
            </w:r>
          </w:p>
        </w:tc>
        <w:tc>
          <w:tcPr>
            <w:tcW w:w="4876" w:type="dxa"/>
          </w:tcPr>
          <w:p w:rsidR="00E33FD9" w:rsidRPr="00704302" w:rsidRDefault="00543E4A" w:rsidP="00543E4A">
            <w:pPr>
              <w:pStyle w:val="Normal6"/>
              <w:widowControl/>
              <w:rPr>
                <w:szCs w:val="24"/>
                <w:lang w:val="es-ES_tradnl"/>
              </w:rPr>
            </w:pPr>
            <w:r w:rsidRPr="00704302">
              <w:rPr>
                <w:lang w:val="es-ES_tradnl"/>
              </w:rPr>
              <w:t>5.</w:t>
            </w:r>
            <w:r w:rsidRPr="00704302">
              <w:rPr>
                <w:lang w:val="es-ES_tradnl"/>
              </w:rPr>
              <w:tab/>
              <w:t>Los documentos de identidad incluirán un medio de almacenamiento de alta seguridad que contendrá una imagen facial del titular del documento y dos impresiones dactilares en formatos digitales interoperables. Para la captura de identificadores biométricos</w:t>
            </w:r>
            <w:r w:rsidRPr="00704302">
              <w:rPr>
                <w:b/>
                <w:i/>
                <w:lang w:val="es-ES_tradnl"/>
              </w:rPr>
              <w:t xml:space="preserve"> de estos dos tipos</w:t>
            </w:r>
            <w:r w:rsidRPr="00704302">
              <w:rPr>
                <w:lang w:val="es-ES_tradnl"/>
              </w:rPr>
              <w:t>, los Estados miembros aplicarán las especificaciones técnicas definidas en la Decisión de Ejecución C(2018) 7767</w:t>
            </w:r>
            <w:r w:rsidRPr="00704302">
              <w:rPr>
                <w:vertAlign w:val="superscript"/>
                <w:lang w:val="es-ES_tradnl"/>
              </w:rPr>
              <w:t>12</w:t>
            </w:r>
            <w:r w:rsidRPr="00704302">
              <w:rPr>
                <w:lang w:val="es-ES_tradnl"/>
              </w:rPr>
              <w:t xml:space="preserve"> de la Comisión, modificada por la Decisión de Ejecución C(2021) 3726</w:t>
            </w:r>
            <w:r w:rsidRPr="00704302">
              <w:rPr>
                <w:vertAlign w:val="superscript"/>
                <w:lang w:val="es-ES_tradnl"/>
              </w:rPr>
              <w:t>13</w:t>
            </w:r>
            <w:r w:rsidRPr="00704302">
              <w:rPr>
                <w:lang w:val="es-ES_tradnl"/>
              </w:rPr>
              <w:t xml:space="preserve"> de la Comisión.</w:t>
            </w:r>
          </w:p>
        </w:tc>
      </w:tr>
      <w:tr w:rsidR="002359A3" w:rsidRPr="00704302" w:rsidTr="00E275B2">
        <w:trPr>
          <w:jc w:val="center"/>
        </w:trPr>
        <w:tc>
          <w:tcPr>
            <w:tcW w:w="4876" w:type="dxa"/>
          </w:tcPr>
          <w:p w:rsidR="00E33FD9" w:rsidRPr="00704302" w:rsidRDefault="00543E4A" w:rsidP="00543E4A">
            <w:pPr>
              <w:pStyle w:val="Normal6"/>
              <w:widowControl/>
              <w:rPr>
                <w:lang w:val="es-ES_tradnl"/>
              </w:rPr>
            </w:pPr>
            <w:r w:rsidRPr="00704302">
              <w:rPr>
                <w:lang w:val="es-ES_tradnl"/>
              </w:rPr>
              <w:t>__________________</w:t>
            </w:r>
          </w:p>
        </w:tc>
        <w:tc>
          <w:tcPr>
            <w:tcW w:w="4876" w:type="dxa"/>
          </w:tcPr>
          <w:p w:rsidR="00E33FD9" w:rsidRPr="00704302" w:rsidRDefault="00543E4A" w:rsidP="00543E4A">
            <w:pPr>
              <w:pStyle w:val="Normal6"/>
              <w:widowControl/>
              <w:rPr>
                <w:szCs w:val="24"/>
                <w:lang w:val="es-ES_tradnl"/>
              </w:rPr>
            </w:pPr>
            <w:r w:rsidRPr="00704302">
              <w:rPr>
                <w:lang w:val="es-ES_tradnl"/>
              </w:rPr>
              <w:t>__________________</w:t>
            </w:r>
          </w:p>
        </w:tc>
      </w:tr>
      <w:tr w:rsidR="002359A3" w:rsidRPr="00704302" w:rsidTr="00E275B2">
        <w:trPr>
          <w:jc w:val="center"/>
        </w:trPr>
        <w:tc>
          <w:tcPr>
            <w:tcW w:w="4876" w:type="dxa"/>
          </w:tcPr>
          <w:p w:rsidR="00E33FD9" w:rsidRPr="00704302" w:rsidRDefault="00543E4A" w:rsidP="00543E4A">
            <w:pPr>
              <w:pStyle w:val="Normal6"/>
              <w:widowControl/>
              <w:rPr>
                <w:lang w:val="es-ES_tradnl"/>
              </w:rPr>
            </w:pPr>
            <w:r w:rsidRPr="00704302">
              <w:rPr>
                <w:vertAlign w:val="superscript"/>
                <w:lang w:val="es-ES_tradnl"/>
              </w:rPr>
              <w:t>12</w:t>
            </w:r>
            <w:r w:rsidRPr="00704302">
              <w:rPr>
                <w:lang w:val="es-ES_tradnl"/>
              </w:rPr>
              <w:t xml:space="preserve"> Decisión de Ejecución C(2018) 7767 de la Comisión, de 30 de noviembre de 2018, por la que se establecen especificaciones técnicas para el modelo uniforme de permiso de residencia para los nacionales de terceros países y por la que se deroga la Decisión C(2002) 3069.</w:t>
            </w:r>
          </w:p>
        </w:tc>
        <w:tc>
          <w:tcPr>
            <w:tcW w:w="4876" w:type="dxa"/>
          </w:tcPr>
          <w:p w:rsidR="00E33FD9" w:rsidRPr="00704302" w:rsidRDefault="00543E4A" w:rsidP="00543E4A">
            <w:pPr>
              <w:pStyle w:val="Normal6"/>
              <w:widowControl/>
              <w:rPr>
                <w:szCs w:val="24"/>
                <w:lang w:val="es-ES_tradnl"/>
              </w:rPr>
            </w:pPr>
            <w:r w:rsidRPr="00704302">
              <w:rPr>
                <w:vertAlign w:val="superscript"/>
                <w:lang w:val="es-ES_tradnl"/>
              </w:rPr>
              <w:t>12</w:t>
            </w:r>
            <w:r w:rsidRPr="00704302">
              <w:rPr>
                <w:lang w:val="es-ES_tradnl"/>
              </w:rPr>
              <w:t xml:space="preserve"> Decisión de Ejecución C(2018) 7767 de la Comisión, de 30 de noviembre de 2018, por la que se establecen especificaciones técnicas para el modelo uniforme de permiso de residencia para los nacionales de terceros países y por la que se deroga la Decisión C(2002) 3069.</w:t>
            </w:r>
          </w:p>
        </w:tc>
      </w:tr>
      <w:tr w:rsidR="002359A3" w:rsidRPr="00704302" w:rsidTr="00E275B2">
        <w:trPr>
          <w:jc w:val="center"/>
        </w:trPr>
        <w:tc>
          <w:tcPr>
            <w:tcW w:w="4876" w:type="dxa"/>
          </w:tcPr>
          <w:p w:rsidR="00E33FD9" w:rsidRPr="00704302" w:rsidRDefault="00543E4A" w:rsidP="00543E4A">
            <w:pPr>
              <w:pStyle w:val="Normal6"/>
              <w:widowControl/>
              <w:rPr>
                <w:lang w:val="es-ES_tradnl"/>
              </w:rPr>
            </w:pPr>
            <w:r w:rsidRPr="00704302">
              <w:rPr>
                <w:vertAlign w:val="superscript"/>
                <w:lang w:val="es-ES_tradnl"/>
              </w:rPr>
              <w:t>13</w:t>
            </w:r>
            <w:r w:rsidRPr="00704302">
              <w:rPr>
                <w:lang w:val="es-ES_tradnl"/>
              </w:rPr>
              <w:t xml:space="preserve"> Decisión de Ejecución C(2021) 3726 de la Comisión, de 4 de junio de 2021, por la que se modifica el anexo III de la Decisión de Ejecución C(2018) 7767 en lo que respecta a la lista de referencias normativas.</w:t>
            </w:r>
          </w:p>
        </w:tc>
        <w:tc>
          <w:tcPr>
            <w:tcW w:w="4876" w:type="dxa"/>
          </w:tcPr>
          <w:p w:rsidR="00E33FD9" w:rsidRPr="00704302" w:rsidRDefault="00543E4A" w:rsidP="00543E4A">
            <w:pPr>
              <w:pStyle w:val="Normal6"/>
              <w:widowControl/>
              <w:rPr>
                <w:szCs w:val="24"/>
                <w:lang w:val="es-ES_tradnl"/>
              </w:rPr>
            </w:pPr>
            <w:r w:rsidRPr="00704302">
              <w:rPr>
                <w:vertAlign w:val="superscript"/>
                <w:lang w:val="es-ES_tradnl"/>
              </w:rPr>
              <w:t>13</w:t>
            </w:r>
            <w:r w:rsidRPr="00704302">
              <w:rPr>
                <w:lang w:val="es-ES_tradnl"/>
              </w:rPr>
              <w:t xml:space="preserve"> Decisión de Ejecución C(2021) 3726 de la Comisión, de 4 de junio de 2021, por la que se modifica el anexo III de la Decisión de Ejecución C(2018) 7767 en lo que respecta a la lista de referencias normativas.</w:t>
            </w:r>
          </w:p>
        </w:tc>
      </w:tr>
    </w:tbl>
    <w:p w:rsidR="00E33FD9" w:rsidRPr="00704302" w:rsidRDefault="00543E4A" w:rsidP="00543E4A">
      <w:pPr>
        <w:pStyle w:val="Olang"/>
        <w:rPr>
          <w:sz w:val="24"/>
          <w:szCs w:val="24"/>
          <w:lang w:val="es-ES_tradnl"/>
        </w:rPr>
      </w:pPr>
      <w:r w:rsidRPr="00704302">
        <w:rPr>
          <w:sz w:val="24"/>
          <w:szCs w:val="24"/>
          <w:lang w:val="es-ES_tradnl"/>
        </w:rPr>
        <w:t xml:space="preserve">Or. </w:t>
      </w:r>
      <w:r w:rsidRPr="00704302">
        <w:rPr>
          <w:rStyle w:val="HideTWBExt"/>
          <w:lang w:val="es-ES_tradnl"/>
        </w:rPr>
        <w:t>&lt;Original&gt;</w:t>
      </w:r>
      <w:r w:rsidRPr="00704302">
        <w:rPr>
          <w:rStyle w:val="HideTWBInt"/>
          <w:sz w:val="24"/>
          <w:szCs w:val="24"/>
          <w:lang w:val="es-ES_tradnl"/>
        </w:rPr>
        <w:t>{EN}</w:t>
      </w:r>
      <w:r w:rsidRPr="00704302">
        <w:rPr>
          <w:sz w:val="24"/>
          <w:szCs w:val="24"/>
          <w:lang w:val="es-ES_tradnl"/>
        </w:rPr>
        <w:t>en</w:t>
      </w:r>
      <w:r w:rsidRPr="00704302">
        <w:rPr>
          <w:rStyle w:val="HideTWBExt"/>
          <w:lang w:val="es-ES_tradnl"/>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28</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Estrella Galán</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3 – apartado 7 – párrafo 1</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Los menores de</w:t>
            </w:r>
            <w:r w:rsidRPr="00704302">
              <w:rPr>
                <w:b/>
                <w:i/>
              </w:rPr>
              <w:t> </w:t>
            </w:r>
            <w:r w:rsidRPr="00704302">
              <w:t xml:space="preserve">doce años </w:t>
            </w:r>
            <w:r w:rsidRPr="00704302">
              <w:rPr>
                <w:b/>
                <w:i/>
              </w:rPr>
              <w:t>podrán estar</w:t>
            </w:r>
            <w:r w:rsidRPr="00704302">
              <w:t xml:space="preserve"> </w:t>
            </w:r>
            <w:r w:rsidRPr="00704302">
              <w:lastRenderedPageBreak/>
              <w:t>exentos de la obligación de facilitar las impresiones dactilares.</w:t>
            </w:r>
          </w:p>
        </w:tc>
        <w:tc>
          <w:tcPr>
            <w:tcW w:w="4876" w:type="dxa"/>
            <w:tcBorders>
              <w:top w:val="nil"/>
              <w:left w:val="nil"/>
              <w:bottom w:val="nil"/>
              <w:right w:val="nil"/>
            </w:tcBorders>
          </w:tcPr>
          <w:p w:rsidR="00E33FD9" w:rsidRPr="00704302" w:rsidRDefault="00543E4A" w:rsidP="00543E4A">
            <w:pPr>
              <w:pStyle w:val="Normal6a"/>
              <w:widowControl/>
            </w:pPr>
            <w:r w:rsidRPr="00704302">
              <w:lastRenderedPageBreak/>
              <w:t>Los menores de</w:t>
            </w:r>
            <w:r w:rsidRPr="00704302">
              <w:rPr>
                <w:b/>
                <w:i/>
              </w:rPr>
              <w:t xml:space="preserve"> </w:t>
            </w:r>
            <w:r w:rsidRPr="00704302">
              <w:t xml:space="preserve">doce años </w:t>
            </w:r>
            <w:r w:rsidRPr="00704302">
              <w:rPr>
                <w:b/>
                <w:i/>
              </w:rPr>
              <w:t>estarán</w:t>
            </w:r>
            <w:r w:rsidRPr="00704302">
              <w:t xml:space="preserve"> exentos </w:t>
            </w:r>
            <w:r w:rsidRPr="00704302">
              <w:lastRenderedPageBreak/>
              <w:t>de la obligación de facilitar las impresiones dactilares.</w:t>
            </w:r>
          </w:p>
        </w:tc>
      </w:tr>
    </w:tbl>
    <w:p w:rsidR="00E33FD9" w:rsidRPr="00704302" w:rsidRDefault="00543E4A" w:rsidP="00543E4A">
      <w:pPr>
        <w:pStyle w:val="AmOrLang"/>
        <w:widowControl/>
      </w:pPr>
      <w:r w:rsidRPr="00704302">
        <w:lastRenderedPageBreak/>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29</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Roberto Vannacci, António Tânger Corrêa, Susanna Ceccardi, Anna Maria Cisint, Nikola Bartůšek, Fabrice Leggeri, Tom Vandendriessche, Matthieu Valet</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6 – párrafo 1 – letra e bis (nueva)</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E33FD9" w:rsidP="00543E4A">
            <w:pPr>
              <w:pStyle w:val="Normal6a"/>
              <w:widowControl/>
            </w:pPr>
          </w:p>
        </w:tc>
        <w:tc>
          <w:tcPr>
            <w:tcW w:w="4876" w:type="dxa"/>
            <w:tcBorders>
              <w:top w:val="nil"/>
              <w:left w:val="nil"/>
              <w:bottom w:val="nil"/>
              <w:right w:val="nil"/>
            </w:tcBorders>
          </w:tcPr>
          <w:p w:rsidR="00E33FD9" w:rsidRPr="00704302" w:rsidRDefault="00543E4A" w:rsidP="00543E4A">
            <w:pPr>
              <w:pStyle w:val="Normal6a"/>
              <w:widowControl/>
            </w:pPr>
            <w:r w:rsidRPr="00704302">
              <w:rPr>
                <w:b/>
                <w:i/>
              </w:rPr>
              <w:t>e bis)</w:t>
            </w:r>
            <w:r w:rsidRPr="00704302">
              <w:tab/>
            </w:r>
            <w:r w:rsidRPr="00704302">
              <w:rPr>
                <w:b/>
                <w:i/>
              </w:rPr>
              <w:t>el sexo del titular;</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30</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Roberto Vannacci, António Tânger Corrêa, Susanna Ceccardi, Anna Maria Cisint, Fabrice Leggeri, Tom Vandendriessche, Matthieu Valet</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6 – párrafo 1 – letra h</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(h)</w:t>
            </w:r>
            <w:r w:rsidRPr="00704302">
              <w:tab/>
              <w:t>en el anverso, el código de dos letras del Estado miembro que expida el documento</w:t>
            </w:r>
            <w:r w:rsidRPr="00704302">
              <w:rPr>
                <w:b/>
                <w:i/>
              </w:rPr>
              <w:t>, impreso en negativo en un rectángulo azul y rodeado de doce estrellas amarillas</w:t>
            </w:r>
            <w:r w:rsidRPr="00704302">
              <w:t>.</w:t>
            </w:r>
          </w:p>
        </w:tc>
        <w:tc>
          <w:tcPr>
            <w:tcW w:w="4876" w:type="dxa"/>
            <w:tcBorders>
              <w:top w:val="nil"/>
              <w:left w:val="nil"/>
              <w:bottom w:val="nil"/>
              <w:right w:val="nil"/>
            </w:tcBorders>
          </w:tcPr>
          <w:p w:rsidR="00E33FD9" w:rsidRPr="00704302" w:rsidRDefault="00543E4A" w:rsidP="00543E4A">
            <w:pPr>
              <w:pStyle w:val="Normal6a"/>
              <w:widowControl/>
            </w:pPr>
            <w:r w:rsidRPr="00704302">
              <w:t>(h)</w:t>
            </w:r>
            <w:r w:rsidRPr="00704302">
              <w:tab/>
              <w:t>en el anverso, el código de dos letras del Estado miembro que expida el documento.</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C42B17">
      <w:pPr>
        <w:pStyle w:val="AmNumberTabs"/>
        <w:keepNext/>
        <w:widowControl/>
      </w:pPr>
      <w:r w:rsidRPr="00704302">
        <w:rPr>
          <w:rStyle w:val="HideTWBExt"/>
        </w:rPr>
        <w:lastRenderedPageBreak/>
        <w:t>&lt;Amend&gt;</w:t>
      </w:r>
      <w:r w:rsidRPr="00704302">
        <w:t>Enmienda</w:t>
      </w:r>
      <w:r w:rsidRPr="00704302">
        <w:tab/>
      </w:r>
      <w:r w:rsidRPr="00704302">
        <w:tab/>
      </w:r>
      <w:r w:rsidRPr="00704302">
        <w:rPr>
          <w:rStyle w:val="HideTWBExt"/>
        </w:rPr>
        <w:t>&lt;NumAm&gt;</w:t>
      </w:r>
      <w:r w:rsidRPr="00704302">
        <w:t>31</w:t>
      </w:r>
      <w:r w:rsidRPr="00704302">
        <w:rPr>
          <w:rStyle w:val="HideTWBExt"/>
        </w:rPr>
        <w:t>&lt;/NumAm&gt;</w:t>
      </w:r>
    </w:p>
    <w:p w:rsidR="00E33FD9" w:rsidRPr="00704302" w:rsidRDefault="00543E4A" w:rsidP="00C42B17">
      <w:pPr>
        <w:pStyle w:val="NormalBold"/>
        <w:keepNext/>
        <w:widowControl/>
      </w:pPr>
      <w:r w:rsidRPr="00704302">
        <w:rPr>
          <w:rStyle w:val="HideTWBExt"/>
          <w:b w:val="0"/>
        </w:rPr>
        <w:t>&lt;RepeatBlock-By&gt;&lt;Members&gt;</w:t>
      </w:r>
      <w:r w:rsidRPr="00704302">
        <w:t>Estrella Galán</w:t>
      </w:r>
      <w:r w:rsidRPr="00704302">
        <w:rPr>
          <w:rStyle w:val="HideTWBExt"/>
          <w:b w:val="0"/>
        </w:rPr>
        <w:t>&lt;/Members&gt;</w:t>
      </w:r>
    </w:p>
    <w:p w:rsidR="00E33FD9" w:rsidRPr="00704302" w:rsidRDefault="00543E4A" w:rsidP="00C42B17">
      <w:pPr>
        <w:pStyle w:val="NormalBold"/>
        <w:keepNext/>
        <w:widowControl/>
      </w:pPr>
      <w:r w:rsidRPr="00704302">
        <w:rPr>
          <w:rStyle w:val="HideTWBExt"/>
          <w:b w:val="0"/>
        </w:rPr>
        <w:t>&lt;/RepeatBlock-By&gt;</w:t>
      </w:r>
    </w:p>
    <w:p w:rsidR="00E33FD9" w:rsidRPr="00704302" w:rsidRDefault="00543E4A" w:rsidP="00C42B17">
      <w:pPr>
        <w:pStyle w:val="NormalBold"/>
        <w:keepNext/>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C42B17">
      <w:pPr>
        <w:pStyle w:val="NormalBold"/>
        <w:keepNext/>
        <w:widowControl/>
      </w:pPr>
      <w:r w:rsidRPr="00704302">
        <w:rPr>
          <w:rStyle w:val="HideTWBExt"/>
        </w:rPr>
        <w:t>&lt;Article&gt;</w:t>
      </w:r>
      <w:r w:rsidRPr="00704302">
        <w:t>Artículo 10 – apartado 3</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C42B17">
            <w:pPr>
              <w:keepNext/>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C42B17">
            <w:pPr>
              <w:pStyle w:val="AmColumnHeading"/>
              <w:keepNext/>
              <w:widowControl/>
            </w:pPr>
            <w:r w:rsidRPr="00704302">
              <w:t>Texto de la Comisión</w:t>
            </w:r>
          </w:p>
        </w:tc>
        <w:tc>
          <w:tcPr>
            <w:tcW w:w="4876" w:type="dxa"/>
            <w:tcBorders>
              <w:top w:val="nil"/>
              <w:left w:val="nil"/>
              <w:bottom w:val="nil"/>
              <w:right w:val="nil"/>
            </w:tcBorders>
          </w:tcPr>
          <w:p w:rsidR="00E33FD9" w:rsidRPr="00704302" w:rsidRDefault="00543E4A" w:rsidP="00C42B17">
            <w:pPr>
              <w:pStyle w:val="AmColumnHeading"/>
              <w:keepNext/>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C42B17">
            <w:pPr>
              <w:pStyle w:val="Normal6a"/>
              <w:keepNext/>
              <w:widowControl/>
            </w:pPr>
            <w:r w:rsidRPr="00704302">
              <w:t>3.</w:t>
            </w:r>
            <w:r w:rsidRPr="00704302">
              <w:tab/>
            </w:r>
            <w:r w:rsidRPr="00704302">
              <w:rPr>
                <w:b/>
                <w:i/>
              </w:rPr>
              <w:t>Además de cuando sea necesario para fines de tratamiento acorde con el Derecho de la Unión y nacional, los</w:t>
            </w:r>
            <w:r w:rsidRPr="00704302">
              <w:t xml:space="preserve"> identificadores biométricos almacenados a fines de personalización de los documentos de identidad o de los documentos de residencia </w:t>
            </w:r>
            <w:r w:rsidRPr="00704302">
              <w:rPr>
                <w:b/>
                <w:i/>
              </w:rPr>
              <w:t xml:space="preserve">deberán guardarse </w:t>
            </w:r>
            <w:r w:rsidRPr="00704302">
              <w:t>de manera extremamente segura y solo hasta la fecha de recogida del documento y, en cualquier caso, no más de noventa días después de la fecha de expedición del documento. Transcurrido este período, dichos identificadores biométricos deberán ser suprimidos o destruidos inmediatamente.</w:t>
            </w:r>
          </w:p>
        </w:tc>
        <w:tc>
          <w:tcPr>
            <w:tcW w:w="4876" w:type="dxa"/>
            <w:tcBorders>
              <w:top w:val="nil"/>
              <w:left w:val="nil"/>
              <w:bottom w:val="nil"/>
              <w:right w:val="nil"/>
            </w:tcBorders>
          </w:tcPr>
          <w:p w:rsidR="00E33FD9" w:rsidRPr="00704302" w:rsidRDefault="00543E4A" w:rsidP="00C42B17">
            <w:pPr>
              <w:pStyle w:val="Normal6a"/>
              <w:keepNext/>
              <w:widowControl/>
            </w:pPr>
            <w:r w:rsidRPr="00704302">
              <w:t>3.</w:t>
            </w:r>
            <w:r w:rsidRPr="00704302">
              <w:tab/>
            </w:r>
            <w:r w:rsidRPr="00704302">
              <w:rPr>
                <w:b/>
                <w:i/>
              </w:rPr>
              <w:t>Los</w:t>
            </w:r>
            <w:r w:rsidRPr="00704302">
              <w:t xml:space="preserve"> identificadores biométricos almacenados a fines de personalización de los documentos de identidad o de los documentos de residencia</w:t>
            </w:r>
            <w:r w:rsidRPr="00704302">
              <w:rPr>
                <w:b/>
                <w:i/>
              </w:rPr>
              <w:t>se tratarán exclusivamente a tal efecto y se guardarán </w:t>
            </w:r>
            <w:r w:rsidRPr="00704302">
              <w:t>de manera extremamente segura y solo hasta la fecha de recogida del documento y, en cualquier caso, no más de noventa días después de la fecha de expedición del documento. Transcurrido este período, dichos identificadores biométricos deberán ser suprimidos o destruidos inmediatamente.</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32</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Anna Strolenberg</w:t>
      </w:r>
      <w:r w:rsidRPr="00704302">
        <w:rPr>
          <w:rStyle w:val="HideTWBExt"/>
          <w:b w:val="0"/>
        </w:rPr>
        <w:t>&lt;/Members&gt;</w:t>
      </w:r>
    </w:p>
    <w:p w:rsidR="00E33FD9" w:rsidRPr="00704302" w:rsidRDefault="00543E4A" w:rsidP="00543E4A">
      <w:pPr>
        <w:widowControl/>
      </w:pPr>
      <w:r w:rsidRPr="00704302">
        <w:rPr>
          <w:rStyle w:val="HideTWBExt"/>
        </w:rPr>
        <w:t>&lt;AuNomDe&gt;</w:t>
      </w:r>
      <w:r w:rsidRPr="00704302">
        <w:rPr>
          <w:rStyle w:val="HideTWBInt"/>
          <w:color w:val="auto"/>
        </w:rPr>
        <w:t>{Greens/EFA}</w:t>
      </w:r>
      <w:r w:rsidRPr="00704302">
        <w:t>en nombre del Grupo Verts/ALE</w:t>
      </w:r>
      <w:r w:rsidRPr="00704302">
        <w:rPr>
          <w:rStyle w:val="HideTWBExt"/>
        </w:rPr>
        <w:t>&lt;/AuNomDe&gt;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10 – apartado 3</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3.</w:t>
            </w:r>
            <w:r w:rsidRPr="00704302">
              <w:tab/>
            </w:r>
            <w:r w:rsidRPr="00704302">
              <w:rPr>
                <w:b/>
                <w:i/>
              </w:rPr>
              <w:t>Además de cuando sea necesario para fines de tratamiento acorde con el Derecho de la Unión y nacional,</w:t>
            </w:r>
            <w:r w:rsidRPr="00704302">
              <w:t xml:space="preserve"> los identificadores biométricos almacenados a fines</w:t>
            </w:r>
            <w:r w:rsidRPr="00704302">
              <w:rPr>
                <w:b/>
                <w:i/>
              </w:rPr>
              <w:t xml:space="preserve"> </w:t>
            </w:r>
            <w:r w:rsidRPr="00704302">
              <w:t xml:space="preserve">de personalización de los documentos de identidad o de </w:t>
            </w:r>
            <w:r w:rsidRPr="00704302">
              <w:rPr>
                <w:b/>
                <w:i/>
              </w:rPr>
              <w:t>los documentos de residencia deberán guardarse</w:t>
            </w:r>
            <w:r w:rsidRPr="00704302">
              <w:t xml:space="preserve"> de manera extremamente segura y solo hasta la fecha de recogida del documento y, en cualquier caso, no más de</w:t>
            </w:r>
            <w:r w:rsidRPr="00704302">
              <w:rPr>
                <w:b/>
                <w:i/>
              </w:rPr>
              <w:t> </w:t>
            </w:r>
            <w:r w:rsidRPr="00704302">
              <w:t>noventa días después de la fecha de expedición</w:t>
            </w:r>
            <w:r w:rsidRPr="00704302">
              <w:rPr>
                <w:b/>
                <w:i/>
              </w:rPr>
              <w:t xml:space="preserve"> del documento</w:t>
            </w:r>
            <w:r w:rsidRPr="00704302">
              <w:t xml:space="preserve">. Transcurrido este período, dichos identificadores biométricos deberán ser </w:t>
            </w:r>
            <w:r w:rsidRPr="00704302">
              <w:lastRenderedPageBreak/>
              <w:t>suprimidos o destruidos inmediatamente.</w:t>
            </w:r>
          </w:p>
        </w:tc>
        <w:tc>
          <w:tcPr>
            <w:tcW w:w="4876" w:type="dxa"/>
            <w:tcBorders>
              <w:top w:val="nil"/>
              <w:left w:val="nil"/>
              <w:bottom w:val="nil"/>
              <w:right w:val="nil"/>
            </w:tcBorders>
          </w:tcPr>
          <w:p w:rsidR="00E33FD9" w:rsidRPr="00704302" w:rsidRDefault="00543E4A" w:rsidP="00543E4A">
            <w:pPr>
              <w:pStyle w:val="Normal6a"/>
              <w:widowControl/>
            </w:pPr>
            <w:r w:rsidRPr="00704302">
              <w:lastRenderedPageBreak/>
              <w:t>3.</w:t>
            </w:r>
            <w:r w:rsidRPr="00704302">
              <w:tab/>
              <w:t>Los identificadores biométricos almacenados a fines</w:t>
            </w:r>
            <w:r w:rsidRPr="00704302">
              <w:rPr>
                <w:b/>
                <w:i/>
              </w:rPr>
              <w:t> </w:t>
            </w:r>
            <w:r w:rsidRPr="00704302">
              <w:t xml:space="preserve">de personalización de los documentos de identidad o de </w:t>
            </w:r>
            <w:r w:rsidRPr="00704302">
              <w:rPr>
                <w:b/>
                <w:i/>
              </w:rPr>
              <w:t>residencia se tratarán exclusivamente a tal efecto. Se guardarán</w:t>
            </w:r>
            <w:r w:rsidRPr="00704302">
              <w:t xml:space="preserve"> de manera extremamente segura y solo hasta la fecha de recogida del documento y, en cualquier caso, no más de</w:t>
            </w:r>
            <w:r w:rsidRPr="00704302">
              <w:rPr>
                <w:b/>
                <w:i/>
              </w:rPr>
              <w:t xml:space="preserve"> </w:t>
            </w:r>
            <w:r w:rsidRPr="00704302">
              <w:t>noventa días después de la fecha de expedición. Transcurrido este período, dichos identificadores biométricos deberán ser suprimidos o destruidos inmediatamente.</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33</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Francisco Assis, Krzysztof Śmiszek, Ana Catarina Mendes, Marco Tarquinio, Emma Rafowicz, Alessandro Zan</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10 – apartado 3</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FE7D56">
            <w:pPr>
              <w:pStyle w:val="AmColumnHeading"/>
              <w:keepNext/>
              <w:widowControl/>
            </w:pPr>
            <w:r w:rsidRPr="00704302">
              <w:t>Texto de la Comisión</w:t>
            </w:r>
          </w:p>
        </w:tc>
        <w:tc>
          <w:tcPr>
            <w:tcW w:w="4876" w:type="dxa"/>
            <w:tcBorders>
              <w:top w:val="nil"/>
              <w:left w:val="nil"/>
              <w:bottom w:val="nil"/>
              <w:right w:val="nil"/>
            </w:tcBorders>
          </w:tcPr>
          <w:p w:rsidR="00E33FD9" w:rsidRPr="00704302" w:rsidRDefault="00543E4A" w:rsidP="00FE7D56">
            <w:pPr>
              <w:pStyle w:val="AmColumnHeading"/>
              <w:keepNext/>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FE7D56">
            <w:pPr>
              <w:pStyle w:val="Normal6a"/>
              <w:keepNext/>
              <w:widowControl/>
            </w:pPr>
            <w:r w:rsidRPr="00704302">
              <w:t>3.</w:t>
            </w:r>
            <w:r w:rsidRPr="00704302">
              <w:tab/>
            </w:r>
            <w:r w:rsidRPr="00704302">
              <w:rPr>
                <w:b/>
                <w:i/>
              </w:rPr>
              <w:t>Además de cuando sea necesario para fines de tratamiento acorde con el Derecho de la Unión y nacional,</w:t>
            </w:r>
            <w:r w:rsidRPr="00704302">
              <w:t xml:space="preserve"> los identificadores biométricos almacenados a fines de personalización de los documentos de identidad o de los documentos de residencia </w:t>
            </w:r>
            <w:r w:rsidRPr="00704302">
              <w:rPr>
                <w:b/>
                <w:i/>
              </w:rPr>
              <w:t>deberán guardarse</w:t>
            </w:r>
            <w:r w:rsidRPr="00704302">
              <w:t xml:space="preserve"> de manera extremamente segura y solo hasta la fecha de recogida del documento y, en cualquier caso, no más de noventa días después de la fecha de expedición del documento. Transcurrido este período, dichos identificadores biométricos deberán ser suprimidos o destruidos inmediatamente.</w:t>
            </w:r>
          </w:p>
        </w:tc>
        <w:tc>
          <w:tcPr>
            <w:tcW w:w="4876" w:type="dxa"/>
            <w:tcBorders>
              <w:top w:val="nil"/>
              <w:left w:val="nil"/>
              <w:bottom w:val="nil"/>
              <w:right w:val="nil"/>
            </w:tcBorders>
          </w:tcPr>
          <w:p w:rsidR="00E33FD9" w:rsidRPr="00704302" w:rsidRDefault="00543E4A" w:rsidP="00FE7D56">
            <w:pPr>
              <w:pStyle w:val="Normal6a"/>
              <w:keepNext/>
              <w:widowControl/>
            </w:pPr>
            <w:r w:rsidRPr="00704302">
              <w:t>3.</w:t>
            </w:r>
            <w:r w:rsidRPr="00704302">
              <w:tab/>
              <w:t xml:space="preserve">Los identificadores biométricos almacenados a fines de personalización de los documentos de identidad o de los documentos de residencia </w:t>
            </w:r>
            <w:r w:rsidRPr="00704302">
              <w:rPr>
                <w:b/>
                <w:i/>
              </w:rPr>
              <w:t>se tratarán exclusivamente a tal efecto y se guardarán</w:t>
            </w:r>
            <w:r w:rsidRPr="00704302">
              <w:t xml:space="preserve"> de manera extremamente segura y solo hasta la fecha de recogida del documento y, en cualquier caso, no más de noventa días después de la fecha de expedición del documento. Transcurrido este período, dichos identificadores biométricos deberán ser suprimidos o destruidos inmediatamente.</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34</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Tomáš Zdechovský</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11 – apartado 4</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4.</w:t>
            </w:r>
            <w:r w:rsidRPr="00704302">
              <w:tab/>
              <w:t>La cooperación con proveedores de servicios externos no excluirá a ningún Estado miembro de cualquier responsabilidad</w:t>
            </w:r>
            <w:r w:rsidRPr="00704302">
              <w:rPr>
                <w:b/>
                <w:i/>
              </w:rPr>
              <w:t xml:space="preserve"> que pueda derivarse del Derecho de la Unión o nacional por</w:t>
            </w:r>
            <w:r w:rsidRPr="00704302">
              <w:t xml:space="preserve"> el </w:t>
            </w:r>
            <w:r w:rsidRPr="00704302">
              <w:rPr>
                <w:b/>
                <w:i/>
              </w:rPr>
              <w:t>incumplimiento</w:t>
            </w:r>
            <w:r w:rsidRPr="00704302">
              <w:t xml:space="preserve"> de </w:t>
            </w:r>
            <w:r w:rsidRPr="00704302">
              <w:rPr>
                <w:b/>
                <w:i/>
              </w:rPr>
              <w:t>las obligaciones</w:t>
            </w:r>
            <w:r w:rsidRPr="00704302">
              <w:t xml:space="preserve"> en materia de datos personales.</w:t>
            </w:r>
          </w:p>
        </w:tc>
        <w:tc>
          <w:tcPr>
            <w:tcW w:w="4876" w:type="dxa"/>
            <w:tcBorders>
              <w:top w:val="nil"/>
              <w:left w:val="nil"/>
              <w:bottom w:val="nil"/>
              <w:right w:val="nil"/>
            </w:tcBorders>
          </w:tcPr>
          <w:p w:rsidR="00E33FD9" w:rsidRPr="00704302" w:rsidRDefault="00543E4A" w:rsidP="00543E4A">
            <w:pPr>
              <w:pStyle w:val="Normal6a"/>
              <w:widowControl/>
            </w:pPr>
            <w:r w:rsidRPr="00704302">
              <w:t>4.</w:t>
            </w:r>
            <w:r w:rsidRPr="00704302">
              <w:tab/>
              <w:t>La cooperación con proveedores de servicios externos no excluirá a ningún Estado miembro de cualquier responsabilidad</w:t>
            </w:r>
            <w:r w:rsidRPr="00704302">
              <w:rPr>
                <w:b/>
                <w:i/>
              </w:rPr>
              <w:t>. Los Estados miembros velarán por que todos los proveedores externos cumplan</w:t>
            </w:r>
            <w:r w:rsidRPr="00704302">
              <w:t xml:space="preserve"> el </w:t>
            </w:r>
            <w:r w:rsidRPr="00704302">
              <w:rPr>
                <w:b/>
                <w:i/>
              </w:rPr>
              <w:t>ordenamiento jurídico nacional y</w:t>
            </w:r>
            <w:r w:rsidRPr="00704302">
              <w:t xml:space="preserve"> de </w:t>
            </w:r>
            <w:r w:rsidRPr="00704302">
              <w:rPr>
                <w:b/>
                <w:i/>
              </w:rPr>
              <w:t>la Unión</w:t>
            </w:r>
            <w:r w:rsidRPr="00704302">
              <w:t xml:space="preserve"> en materia </w:t>
            </w:r>
            <w:r w:rsidRPr="00704302">
              <w:lastRenderedPageBreak/>
              <w:t xml:space="preserve">de </w:t>
            </w:r>
            <w:r w:rsidRPr="00704302">
              <w:rPr>
                <w:b/>
                <w:i/>
              </w:rPr>
              <w:t xml:space="preserve">protección de datos, y deben adoptarse medidas adicionales para evitar cualquier acceso no autorizado o uso indebido de los </w:t>
            </w:r>
            <w:r w:rsidRPr="00704302">
              <w:t>datos personales</w:t>
            </w:r>
            <w:r w:rsidRPr="00704302">
              <w:rPr>
                <w:b/>
                <w:i/>
              </w:rPr>
              <w:t xml:space="preserve"> durante los procesos externalizados</w:t>
            </w:r>
            <w:r w:rsidRPr="00704302">
              <w:t>.</w:t>
            </w:r>
          </w:p>
        </w:tc>
      </w:tr>
    </w:tbl>
    <w:p w:rsidR="00E33FD9" w:rsidRPr="00704302" w:rsidRDefault="00543E4A" w:rsidP="00543E4A">
      <w:pPr>
        <w:pStyle w:val="AmOrLang"/>
        <w:widowControl/>
      </w:pPr>
      <w:r w:rsidRPr="00704302">
        <w:lastRenderedPageBreak/>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0"/>
        <w:keepNext/>
        <w:widowControl/>
        <w:rPr>
          <w:lang w:val="es-ES_tradnl"/>
        </w:rPr>
      </w:pPr>
      <w:r w:rsidRPr="00704302">
        <w:rPr>
          <w:rStyle w:val="HideTWBExt"/>
          <w:b w:val="0"/>
          <w:lang w:val="es-ES_tradnl"/>
        </w:rPr>
        <w:t>&lt;Amend&gt;</w:t>
      </w:r>
      <w:r w:rsidRPr="00704302">
        <w:rPr>
          <w:lang w:val="es-ES_tradnl"/>
        </w:rPr>
        <w:t>Enmienda</w:t>
      </w:r>
      <w:r w:rsidRPr="00704302">
        <w:rPr>
          <w:lang w:val="es-ES_tradnl"/>
        </w:rPr>
        <w:tab/>
      </w:r>
      <w:r w:rsidRPr="00704302">
        <w:rPr>
          <w:lang w:val="es-ES_tradnl"/>
        </w:rPr>
        <w:tab/>
      </w:r>
      <w:r w:rsidRPr="00704302">
        <w:rPr>
          <w:rStyle w:val="HideTWBExt"/>
          <w:b w:val="0"/>
          <w:lang w:val="es-ES_tradnl"/>
        </w:rPr>
        <w:t>&lt;NumAm&gt;</w:t>
      </w:r>
      <w:r w:rsidRPr="00704302">
        <w:rPr>
          <w:lang w:val="es-ES_tradnl"/>
        </w:rPr>
        <w:t>35</w:t>
      </w:r>
      <w:r w:rsidRPr="00704302">
        <w:rPr>
          <w:rStyle w:val="HideTWBExt"/>
          <w:b w:val="0"/>
          <w:lang w:val="es-ES_tradnl"/>
        </w:rPr>
        <w:t>&lt;/NumAm&gt;</w:t>
      </w:r>
    </w:p>
    <w:p w:rsidR="00E33FD9" w:rsidRPr="00704302" w:rsidRDefault="00543E4A" w:rsidP="00543E4A">
      <w:pPr>
        <w:pStyle w:val="NormalBold"/>
        <w:widowControl/>
      </w:pPr>
      <w:r w:rsidRPr="00704302">
        <w:rPr>
          <w:rStyle w:val="HideTWBExt"/>
          <w:b w:val="0"/>
        </w:rPr>
        <w:t>&lt;RepeatBlock-By&gt;&lt;Members&gt;</w:t>
      </w:r>
      <w:r w:rsidRPr="00704302">
        <w:t>Malik Azmani, Jeannette Baljeu, Lucia Yar, Raquel García Hermida-Van Der Walle</w:t>
      </w:r>
      <w:r w:rsidRPr="00704302">
        <w:rPr>
          <w:rStyle w:val="HideTWBExt"/>
          <w:b w:val="0"/>
        </w:rPr>
        <w:t>&lt;/Members&gt;</w:t>
      </w:r>
    </w:p>
    <w:p w:rsidR="00E33FD9" w:rsidRPr="00704302" w:rsidRDefault="00543E4A" w:rsidP="00543E4A">
      <w:pPr>
        <w:widowControl/>
      </w:pPr>
      <w:r w:rsidRPr="00704302">
        <w:rPr>
          <w:rStyle w:val="HideTWBExt"/>
        </w:rPr>
        <w:t>&lt;/RepeatBlock-By&gt;</w:t>
      </w:r>
    </w:p>
    <w:p w:rsidR="00E33FD9" w:rsidRPr="00704302" w:rsidRDefault="00543E4A" w:rsidP="00543E4A">
      <w:pPr>
        <w:pStyle w:val="NormalBold"/>
        <w:keepNext/>
        <w:widowControl/>
      </w:pPr>
      <w:r w:rsidRPr="00704302">
        <w:rPr>
          <w:rStyle w:val="HideTWBExt"/>
          <w:b w:val="0"/>
        </w:rPr>
        <w:t>&lt;DocAmend&gt;</w:t>
      </w:r>
      <w:r w:rsidRPr="00704302">
        <w:t>Propuesta de Reglamento</w:t>
      </w:r>
      <w:r w:rsidRPr="00704302">
        <w:rPr>
          <w:rStyle w:val="HideTWBExt"/>
          <w:b w:val="0"/>
        </w:rPr>
        <w:t>&lt;/DocAmend&gt;</w:t>
      </w:r>
    </w:p>
    <w:p w:rsidR="00E33FD9" w:rsidRPr="00704302" w:rsidRDefault="00543E4A" w:rsidP="00543E4A">
      <w:pPr>
        <w:pStyle w:val="NormalBold"/>
        <w:widowControl/>
      </w:pPr>
      <w:r w:rsidRPr="00704302">
        <w:rPr>
          <w:rStyle w:val="HideTWBExt"/>
          <w:b w:val="0"/>
        </w:rPr>
        <w:t>&lt;Article&gt;</w:t>
      </w:r>
      <w:r w:rsidRPr="00704302">
        <w:t>Artículo 11 – apartado 6 – párrafo 1 – parte introductoria</w:t>
      </w:r>
      <w:r w:rsidRPr="007043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59A3" w:rsidRPr="00704302" w:rsidTr="00E275B2">
        <w:trPr>
          <w:jc w:val="center"/>
        </w:trPr>
        <w:tc>
          <w:tcPr>
            <w:tcW w:w="9752" w:type="dxa"/>
            <w:gridSpan w:val="2"/>
          </w:tcPr>
          <w:p w:rsidR="00E33FD9" w:rsidRPr="00704302" w:rsidRDefault="00E33FD9" w:rsidP="00543E4A">
            <w:pPr>
              <w:keepNext/>
              <w:widowControl/>
            </w:pPr>
          </w:p>
        </w:tc>
      </w:tr>
      <w:tr w:rsidR="002359A3" w:rsidRPr="00704302" w:rsidTr="00E275B2">
        <w:trPr>
          <w:jc w:val="center"/>
        </w:trPr>
        <w:tc>
          <w:tcPr>
            <w:tcW w:w="4876" w:type="dxa"/>
          </w:tcPr>
          <w:p w:rsidR="00E33FD9" w:rsidRPr="00704302" w:rsidRDefault="00543E4A" w:rsidP="00543E4A">
            <w:pPr>
              <w:pStyle w:val="ColumnHeading"/>
              <w:keepNext/>
              <w:widowControl/>
              <w:rPr>
                <w:lang w:val="es-ES_tradnl"/>
              </w:rPr>
            </w:pPr>
            <w:r w:rsidRPr="00704302">
              <w:rPr>
                <w:lang w:val="es-ES_tradnl"/>
              </w:rPr>
              <w:t>Texto de la Comisión</w:t>
            </w:r>
          </w:p>
        </w:tc>
        <w:tc>
          <w:tcPr>
            <w:tcW w:w="4876" w:type="dxa"/>
          </w:tcPr>
          <w:p w:rsidR="00E33FD9" w:rsidRPr="00704302" w:rsidRDefault="00543E4A" w:rsidP="00543E4A">
            <w:pPr>
              <w:pStyle w:val="ColumnHeading"/>
              <w:keepNext/>
              <w:widowControl/>
              <w:rPr>
                <w:lang w:val="es-ES_tradnl"/>
              </w:rPr>
            </w:pPr>
            <w:r w:rsidRPr="00704302">
              <w:rPr>
                <w:lang w:val="es-ES_tradnl"/>
              </w:rPr>
              <w:t>Enmienda</w:t>
            </w:r>
          </w:p>
        </w:tc>
      </w:tr>
      <w:tr w:rsidR="002359A3" w:rsidRPr="00704302" w:rsidTr="00E275B2">
        <w:trPr>
          <w:jc w:val="center"/>
        </w:trPr>
        <w:tc>
          <w:tcPr>
            <w:tcW w:w="4876" w:type="dxa"/>
          </w:tcPr>
          <w:p w:rsidR="00E33FD9" w:rsidRPr="00704302" w:rsidRDefault="00543E4A" w:rsidP="00543E4A">
            <w:pPr>
              <w:pStyle w:val="Normal6"/>
              <w:widowControl/>
              <w:rPr>
                <w:lang w:val="es-ES_tradnl"/>
              </w:rPr>
            </w:pPr>
            <w:r w:rsidRPr="00704302">
              <w:rPr>
                <w:b/>
                <w:i/>
                <w:lang w:val="es-ES_tradnl"/>
              </w:rPr>
              <w:t>Los datos biométricos almacenados</w:t>
            </w:r>
            <w:r w:rsidRPr="00704302">
              <w:rPr>
                <w:lang w:val="es-ES_tradnl"/>
              </w:rPr>
              <w:t xml:space="preserve"> en el medio de almacenamiento de los documentos de identidad y de residencia solo </w:t>
            </w:r>
            <w:r w:rsidRPr="00704302">
              <w:rPr>
                <w:b/>
                <w:i/>
                <w:lang w:val="es-ES_tradnl"/>
              </w:rPr>
              <w:t>se utilizarán</w:t>
            </w:r>
            <w:r w:rsidRPr="00704302">
              <w:rPr>
                <w:lang w:val="es-ES_tradnl"/>
              </w:rPr>
              <w:t xml:space="preserve"> de conformidad con el Derecho </w:t>
            </w:r>
            <w:r w:rsidRPr="00704302">
              <w:rPr>
                <w:b/>
                <w:i/>
                <w:lang w:val="es-ES_tradnl"/>
              </w:rPr>
              <w:t>nacional y</w:t>
            </w:r>
            <w:r w:rsidRPr="00704302">
              <w:rPr>
                <w:lang w:val="es-ES_tradnl"/>
              </w:rPr>
              <w:t xml:space="preserve"> de la Unión a fin de verificar:</w:t>
            </w:r>
          </w:p>
        </w:tc>
        <w:tc>
          <w:tcPr>
            <w:tcW w:w="4876" w:type="dxa"/>
          </w:tcPr>
          <w:p w:rsidR="00E33FD9" w:rsidRPr="00704302" w:rsidRDefault="00543E4A" w:rsidP="00543E4A">
            <w:pPr>
              <w:pStyle w:val="Normal6"/>
              <w:widowControl/>
              <w:rPr>
                <w:szCs w:val="24"/>
                <w:lang w:val="es-ES_tradnl"/>
              </w:rPr>
            </w:pPr>
            <w:r w:rsidRPr="00704302">
              <w:rPr>
                <w:b/>
                <w:i/>
                <w:lang w:val="es-ES_tradnl"/>
              </w:rPr>
              <w:t>A la imagen facial del titular almacenada</w:t>
            </w:r>
            <w:r w:rsidRPr="00704302">
              <w:rPr>
                <w:lang w:val="es-ES_tradnl"/>
              </w:rPr>
              <w:t xml:space="preserve"> en el medio de almacenamiento de los documentos de identidad y de residencia solo </w:t>
            </w:r>
            <w:r w:rsidRPr="00704302">
              <w:rPr>
                <w:b/>
                <w:i/>
                <w:lang w:val="es-ES_tradnl"/>
              </w:rPr>
              <w:t>accederá el personal debidamente autorizado de las autoridades nacionales competentes, las agencias de la Unión y las entidades privadas</w:t>
            </w:r>
            <w:r w:rsidRPr="00704302">
              <w:rPr>
                <w:lang w:val="es-ES_tradnl"/>
              </w:rPr>
              <w:t xml:space="preserve"> de conformidad con el Derecho de la Unión </w:t>
            </w:r>
            <w:r w:rsidRPr="00704302">
              <w:rPr>
                <w:b/>
                <w:i/>
                <w:lang w:val="es-ES_tradnl"/>
              </w:rPr>
              <w:t>en materia</w:t>
            </w:r>
            <w:r w:rsidRPr="00704302">
              <w:rPr>
                <w:lang w:val="es-ES_tradnl"/>
              </w:rPr>
              <w:t xml:space="preserve"> de </w:t>
            </w:r>
            <w:r w:rsidRPr="00704302">
              <w:rPr>
                <w:b/>
                <w:i/>
                <w:lang w:val="es-ES_tradnl"/>
              </w:rPr>
              <w:t>protección de datos</w:t>
            </w:r>
            <w:r w:rsidRPr="00704302">
              <w:rPr>
                <w:lang w:val="es-ES_tradnl"/>
              </w:rPr>
              <w:t xml:space="preserve"> a fin de verificar:</w:t>
            </w:r>
          </w:p>
        </w:tc>
      </w:tr>
    </w:tbl>
    <w:p w:rsidR="00E33FD9" w:rsidRPr="00704302" w:rsidRDefault="00543E4A" w:rsidP="00543E4A">
      <w:pPr>
        <w:pStyle w:val="Olang"/>
        <w:rPr>
          <w:sz w:val="24"/>
          <w:szCs w:val="24"/>
          <w:lang w:val="es-ES_tradnl"/>
        </w:rPr>
      </w:pPr>
      <w:r w:rsidRPr="00704302">
        <w:rPr>
          <w:sz w:val="24"/>
          <w:szCs w:val="24"/>
          <w:lang w:val="es-ES_tradnl"/>
        </w:rPr>
        <w:t xml:space="preserve">Or. </w:t>
      </w:r>
      <w:r w:rsidRPr="00704302">
        <w:rPr>
          <w:rStyle w:val="HideTWBExt"/>
          <w:lang w:val="es-ES_tradnl"/>
        </w:rPr>
        <w:t>&lt;Original&gt;</w:t>
      </w:r>
      <w:r w:rsidRPr="00704302">
        <w:rPr>
          <w:rStyle w:val="HideTWBInt"/>
          <w:sz w:val="24"/>
          <w:szCs w:val="24"/>
          <w:lang w:val="es-ES_tradnl"/>
        </w:rPr>
        <w:t>{EN}</w:t>
      </w:r>
      <w:r w:rsidRPr="00704302">
        <w:rPr>
          <w:sz w:val="24"/>
          <w:szCs w:val="24"/>
          <w:lang w:val="es-ES_tradnl"/>
        </w:rPr>
        <w:t>en</w:t>
      </w:r>
      <w:r w:rsidRPr="00704302">
        <w:rPr>
          <w:rStyle w:val="HideTWBExt"/>
          <w:lang w:val="es-ES_tradnl"/>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36</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Estrella Galán</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11 – apartado 6 – párrafo 1 – parte introductoria</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Los datos biométricos almacenados en el medio de almacenamiento de los documentos de identidad y de residencia solo se utilizarán de conformidad con el Derecho nacional y de la Unión a fin de verificar:</w:t>
            </w:r>
          </w:p>
        </w:tc>
        <w:tc>
          <w:tcPr>
            <w:tcW w:w="4876" w:type="dxa"/>
            <w:tcBorders>
              <w:top w:val="nil"/>
              <w:left w:val="nil"/>
              <w:bottom w:val="nil"/>
              <w:right w:val="nil"/>
            </w:tcBorders>
          </w:tcPr>
          <w:p w:rsidR="00E33FD9" w:rsidRPr="00704302" w:rsidRDefault="00543E4A" w:rsidP="00543E4A">
            <w:pPr>
              <w:pStyle w:val="Normal6a"/>
              <w:widowControl/>
            </w:pPr>
            <w:r w:rsidRPr="00704302">
              <w:t>Los datos biométricos almacenados en el medio de almacenamiento de los documentos de identidad y de residencia solo se utilizarán de conformidad con el Derecho nacional y de la Unión</w:t>
            </w:r>
            <w:r w:rsidRPr="00704302">
              <w:rPr>
                <w:b/>
                <w:i/>
              </w:rPr>
              <w:t>, por parte de personal debidamente autorizado de las autoridades nacionales competentes y de las agencias de la Unión,</w:t>
            </w:r>
            <w:r w:rsidRPr="00704302">
              <w:t xml:space="preserve"> a fin de verificar:</w:t>
            </w:r>
          </w:p>
        </w:tc>
      </w:tr>
    </w:tbl>
    <w:p w:rsidR="00E33FD9" w:rsidRPr="00704302" w:rsidRDefault="00543E4A" w:rsidP="00543E4A">
      <w:pPr>
        <w:pStyle w:val="AmOrLang"/>
        <w:widowControl/>
      </w:pPr>
      <w:r w:rsidRPr="00704302">
        <w:lastRenderedPageBreak/>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37</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Estrella Galán</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11 – apartado 6 – párrafo 2</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rPr>
                <w:b/>
                <w:i/>
              </w:rPr>
              <w:t>Solo podrá acceder a las dos impresiones dactilares almacenadas en el medio de almacenamiento el personal debidamente autorizado de las autoridades nacionales competentes y las agencias de la Unión.</w:t>
            </w:r>
          </w:p>
        </w:tc>
        <w:tc>
          <w:tcPr>
            <w:tcW w:w="4876" w:type="dxa"/>
            <w:tcBorders>
              <w:top w:val="nil"/>
              <w:left w:val="nil"/>
              <w:bottom w:val="nil"/>
              <w:right w:val="nil"/>
            </w:tcBorders>
          </w:tcPr>
          <w:p w:rsidR="00E33FD9" w:rsidRPr="00704302" w:rsidRDefault="00543E4A" w:rsidP="00543E4A">
            <w:pPr>
              <w:pStyle w:val="Normal6a"/>
              <w:widowControl/>
            </w:pPr>
            <w:r w:rsidRPr="00704302">
              <w:rPr>
                <w:b/>
                <w:i/>
              </w:rPr>
              <w:t>suprimido</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pStyle w:val="AmJustTitle"/>
        <w:widowControl/>
      </w:pPr>
      <w:r w:rsidRPr="00704302">
        <w:rPr>
          <w:rStyle w:val="HideTWBExt"/>
        </w:rPr>
        <w:t>&lt;TitreJust&gt;</w:t>
      </w:r>
      <w:r w:rsidRPr="00704302">
        <w:t>Justificación</w:t>
      </w:r>
      <w:r w:rsidRPr="00704302">
        <w:rPr>
          <w:rStyle w:val="HideTWBExt"/>
        </w:rPr>
        <w:t>&lt;/TitreJust&gt;</w:t>
      </w:r>
    </w:p>
    <w:p w:rsidR="00E33FD9" w:rsidRPr="00704302" w:rsidRDefault="00543E4A" w:rsidP="00543E4A">
      <w:pPr>
        <w:pStyle w:val="AmJustText"/>
        <w:widowControl/>
      </w:pPr>
      <w:r w:rsidRPr="00704302">
        <w:t>Ambos tipos de datos biométricos —impresiones dactilares e imágenes faciales— se utilizarán solo para los fines del presente Reglamento y únicamente por parte del personal debidamente autorizado de las autoridades nacionales competentes y de las agencias de la Unión. La supresión tiene por objeto garantizar que las imágenes faciales no queden excluidas de las disposiciones, de modo que los titulares de tarjetas no puedan utilizarlas para identificarse ante entidades privadas, ya que estas tendrían acceso, en virtud del presente Reglamento, a datos biométricos sensibles.</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38</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Anna Strolenberg</w:t>
      </w:r>
      <w:r w:rsidRPr="00704302">
        <w:rPr>
          <w:rStyle w:val="HideTWBExt"/>
          <w:b w:val="0"/>
        </w:rPr>
        <w:t>&lt;/Members&gt;</w:t>
      </w:r>
    </w:p>
    <w:p w:rsidR="00E33FD9" w:rsidRPr="00704302" w:rsidRDefault="00543E4A" w:rsidP="00543E4A">
      <w:pPr>
        <w:widowControl/>
      </w:pPr>
      <w:r w:rsidRPr="00704302">
        <w:rPr>
          <w:rStyle w:val="HideTWBExt"/>
        </w:rPr>
        <w:t>&lt;AuNomDe&gt;</w:t>
      </w:r>
      <w:r w:rsidRPr="00704302">
        <w:rPr>
          <w:rStyle w:val="HideTWBInt"/>
          <w:color w:val="auto"/>
        </w:rPr>
        <w:t>{Greens/EFA}</w:t>
      </w:r>
      <w:r w:rsidRPr="00704302">
        <w:t>en nombre del Grupo Verts/ALE</w:t>
      </w:r>
      <w:r w:rsidRPr="00704302">
        <w:rPr>
          <w:rStyle w:val="HideTWBExt"/>
        </w:rPr>
        <w:t>&lt;/AuNomDe&gt;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11 – apartado 6 – párrafo 2</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 xml:space="preserve">Solo podrá acceder a </w:t>
            </w:r>
            <w:r w:rsidRPr="00704302">
              <w:rPr>
                <w:b/>
                <w:i/>
              </w:rPr>
              <w:t>las dos impresiones dactilares almacenadas</w:t>
            </w:r>
            <w:r w:rsidRPr="00704302">
              <w:t xml:space="preserve"> en el medio de almacenamiento el personal debidamente autorizado de las autoridades nacionales competentes y las agencias de la Unión.</w:t>
            </w:r>
          </w:p>
        </w:tc>
        <w:tc>
          <w:tcPr>
            <w:tcW w:w="4876" w:type="dxa"/>
            <w:tcBorders>
              <w:top w:val="nil"/>
              <w:left w:val="nil"/>
              <w:bottom w:val="nil"/>
              <w:right w:val="nil"/>
            </w:tcBorders>
          </w:tcPr>
          <w:p w:rsidR="00E33FD9" w:rsidRPr="00704302" w:rsidRDefault="00543E4A" w:rsidP="00543E4A">
            <w:pPr>
              <w:pStyle w:val="Normal6a"/>
              <w:widowControl/>
            </w:pPr>
            <w:r w:rsidRPr="00704302">
              <w:t xml:space="preserve">Solo podrá acceder a </w:t>
            </w:r>
            <w:r w:rsidRPr="00704302">
              <w:rPr>
                <w:b/>
                <w:i/>
              </w:rPr>
              <w:t>los datos biométricos almacenados</w:t>
            </w:r>
            <w:r w:rsidRPr="00704302">
              <w:t xml:space="preserve"> en el medio de almacenamiento el personal debidamente autorizado de las autoridades nacionales competentes y las agencias de la Unión.</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0"/>
        <w:keepNext/>
        <w:widowControl/>
        <w:rPr>
          <w:lang w:val="es-ES_tradnl"/>
        </w:rPr>
      </w:pPr>
      <w:r w:rsidRPr="00704302">
        <w:rPr>
          <w:rStyle w:val="HideTWBExt"/>
          <w:b w:val="0"/>
          <w:lang w:val="es-ES_tradnl"/>
        </w:rPr>
        <w:lastRenderedPageBreak/>
        <w:t>&lt;Amend&gt;</w:t>
      </w:r>
      <w:r w:rsidRPr="00704302">
        <w:rPr>
          <w:lang w:val="es-ES_tradnl"/>
        </w:rPr>
        <w:t>Enmienda</w:t>
      </w:r>
      <w:r w:rsidRPr="00704302">
        <w:rPr>
          <w:lang w:val="es-ES_tradnl"/>
        </w:rPr>
        <w:tab/>
      </w:r>
      <w:r w:rsidRPr="00704302">
        <w:rPr>
          <w:lang w:val="es-ES_tradnl"/>
        </w:rPr>
        <w:tab/>
      </w:r>
      <w:r w:rsidRPr="00704302">
        <w:rPr>
          <w:rStyle w:val="HideTWBExt"/>
          <w:b w:val="0"/>
          <w:lang w:val="es-ES_tradnl"/>
        </w:rPr>
        <w:t>&lt;NumAm&gt;</w:t>
      </w:r>
      <w:r w:rsidRPr="00704302">
        <w:rPr>
          <w:lang w:val="es-ES_tradnl"/>
        </w:rPr>
        <w:t>39</w:t>
      </w:r>
      <w:r w:rsidRPr="00704302">
        <w:rPr>
          <w:rStyle w:val="HideTWBExt"/>
          <w:b w:val="0"/>
          <w:lang w:val="es-ES_tradnl"/>
        </w:rPr>
        <w:t>&lt;/NumAm&gt;</w:t>
      </w:r>
    </w:p>
    <w:p w:rsidR="00E33FD9" w:rsidRPr="00704302" w:rsidRDefault="00543E4A" w:rsidP="00543E4A">
      <w:pPr>
        <w:pStyle w:val="NormalBold"/>
        <w:widowControl/>
      </w:pPr>
      <w:r w:rsidRPr="00704302">
        <w:rPr>
          <w:rStyle w:val="HideTWBExt"/>
          <w:b w:val="0"/>
        </w:rPr>
        <w:t>&lt;RepeatBlock-By&gt;&lt;Members&gt;</w:t>
      </w:r>
      <w:r w:rsidRPr="00704302">
        <w:t>Malik Azmani, Jeannette Baljeu, Lucia Yar, Raquel García Hermida-Van Der Walle</w:t>
      </w:r>
      <w:r w:rsidRPr="00704302">
        <w:rPr>
          <w:rStyle w:val="HideTWBExt"/>
          <w:b w:val="0"/>
        </w:rPr>
        <w:t>&lt;/Members&gt;</w:t>
      </w:r>
    </w:p>
    <w:p w:rsidR="00E33FD9" w:rsidRPr="00704302" w:rsidRDefault="00543E4A" w:rsidP="00543E4A">
      <w:pPr>
        <w:widowControl/>
      </w:pPr>
      <w:r w:rsidRPr="00704302">
        <w:rPr>
          <w:rStyle w:val="HideTWBExt"/>
        </w:rPr>
        <w:t>&lt;/RepeatBlock-By&gt;</w:t>
      </w:r>
    </w:p>
    <w:p w:rsidR="00E33FD9" w:rsidRPr="00704302" w:rsidRDefault="00543E4A" w:rsidP="00543E4A">
      <w:pPr>
        <w:pStyle w:val="NormalBold"/>
        <w:keepNext/>
        <w:widowControl/>
      </w:pPr>
      <w:r w:rsidRPr="00704302">
        <w:rPr>
          <w:rStyle w:val="HideTWBExt"/>
          <w:b w:val="0"/>
        </w:rPr>
        <w:t>&lt;DocAmend&gt;</w:t>
      </w:r>
      <w:r w:rsidRPr="00704302">
        <w:t>Propuesta de Reglamento</w:t>
      </w:r>
      <w:r w:rsidRPr="00704302">
        <w:rPr>
          <w:rStyle w:val="HideTWBExt"/>
          <w:b w:val="0"/>
        </w:rPr>
        <w:t>&lt;/DocAmend&gt;</w:t>
      </w:r>
    </w:p>
    <w:p w:rsidR="00E33FD9" w:rsidRPr="00704302" w:rsidRDefault="00543E4A" w:rsidP="00543E4A">
      <w:pPr>
        <w:pStyle w:val="NormalBold"/>
        <w:widowControl/>
      </w:pPr>
      <w:r w:rsidRPr="00704302">
        <w:rPr>
          <w:rStyle w:val="HideTWBExt"/>
          <w:b w:val="0"/>
        </w:rPr>
        <w:t>&lt;Article&gt;</w:t>
      </w:r>
      <w:r w:rsidRPr="00704302">
        <w:t>Artículo 11 – apartado 6 – párrafo 2</w:t>
      </w:r>
      <w:r w:rsidRPr="007043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59A3" w:rsidRPr="00704302" w:rsidTr="00E275B2">
        <w:trPr>
          <w:jc w:val="center"/>
        </w:trPr>
        <w:tc>
          <w:tcPr>
            <w:tcW w:w="9752" w:type="dxa"/>
            <w:gridSpan w:val="2"/>
          </w:tcPr>
          <w:p w:rsidR="00E33FD9" w:rsidRPr="00704302" w:rsidRDefault="00E33FD9" w:rsidP="00543E4A">
            <w:pPr>
              <w:keepNext/>
              <w:widowControl/>
            </w:pPr>
          </w:p>
        </w:tc>
      </w:tr>
      <w:tr w:rsidR="002359A3" w:rsidRPr="00704302" w:rsidTr="00E275B2">
        <w:trPr>
          <w:jc w:val="center"/>
        </w:trPr>
        <w:tc>
          <w:tcPr>
            <w:tcW w:w="4876" w:type="dxa"/>
          </w:tcPr>
          <w:p w:rsidR="00E33FD9" w:rsidRPr="00704302" w:rsidRDefault="00543E4A" w:rsidP="00543E4A">
            <w:pPr>
              <w:pStyle w:val="ColumnHeading"/>
              <w:keepNext/>
              <w:widowControl/>
              <w:rPr>
                <w:lang w:val="es-ES_tradnl"/>
              </w:rPr>
            </w:pPr>
            <w:r w:rsidRPr="00704302">
              <w:rPr>
                <w:lang w:val="es-ES_tradnl"/>
              </w:rPr>
              <w:t>Texto de la Comisión</w:t>
            </w:r>
          </w:p>
        </w:tc>
        <w:tc>
          <w:tcPr>
            <w:tcW w:w="4876" w:type="dxa"/>
          </w:tcPr>
          <w:p w:rsidR="00E33FD9" w:rsidRPr="00704302" w:rsidRDefault="00543E4A" w:rsidP="00543E4A">
            <w:pPr>
              <w:pStyle w:val="ColumnHeading"/>
              <w:keepNext/>
              <w:widowControl/>
              <w:rPr>
                <w:lang w:val="es-ES_tradnl"/>
              </w:rPr>
            </w:pPr>
            <w:r w:rsidRPr="00704302">
              <w:rPr>
                <w:lang w:val="es-ES_tradnl"/>
              </w:rPr>
              <w:t>Enmienda</w:t>
            </w:r>
          </w:p>
        </w:tc>
      </w:tr>
      <w:tr w:rsidR="002359A3" w:rsidRPr="00704302" w:rsidTr="00E275B2">
        <w:trPr>
          <w:jc w:val="center"/>
        </w:trPr>
        <w:tc>
          <w:tcPr>
            <w:tcW w:w="4876" w:type="dxa"/>
          </w:tcPr>
          <w:p w:rsidR="00E33FD9" w:rsidRPr="00704302" w:rsidRDefault="00543E4A" w:rsidP="00543E4A">
            <w:pPr>
              <w:pStyle w:val="Normal6"/>
              <w:widowControl/>
              <w:rPr>
                <w:lang w:val="es-ES_tradnl"/>
              </w:rPr>
            </w:pPr>
            <w:r w:rsidRPr="00704302">
              <w:rPr>
                <w:lang w:val="es-ES_tradnl"/>
              </w:rPr>
              <w:t>Solo podrá acceder a las dos impresiones dactilares almacenadas en el medio de almacenamiento el personal debidamente autorizado de las autoridades nacionales competentes y las agencias de la Unión.</w:t>
            </w:r>
          </w:p>
        </w:tc>
        <w:tc>
          <w:tcPr>
            <w:tcW w:w="4876" w:type="dxa"/>
          </w:tcPr>
          <w:p w:rsidR="00E33FD9" w:rsidRPr="00704302" w:rsidRDefault="00543E4A" w:rsidP="00543E4A">
            <w:pPr>
              <w:pStyle w:val="Normal6"/>
              <w:widowControl/>
              <w:rPr>
                <w:szCs w:val="24"/>
                <w:lang w:val="es-ES_tradnl"/>
              </w:rPr>
            </w:pPr>
            <w:r w:rsidRPr="00704302">
              <w:rPr>
                <w:lang w:val="es-ES_tradnl"/>
              </w:rPr>
              <w:t xml:space="preserve">Solo podrá acceder a las dos impresiones dactilares </w:t>
            </w:r>
            <w:r w:rsidRPr="00704302">
              <w:rPr>
                <w:b/>
                <w:i/>
                <w:lang w:val="es-ES_tradnl"/>
              </w:rPr>
              <w:t xml:space="preserve">del titular </w:t>
            </w:r>
            <w:r w:rsidRPr="00704302">
              <w:rPr>
                <w:lang w:val="es-ES_tradnl"/>
              </w:rPr>
              <w:t>almacenadas en el medio de almacenamiento el personal debidamente autorizado de las autoridades nacionales competentes y las agencias de la Unión</w:t>
            </w:r>
            <w:r w:rsidRPr="00704302">
              <w:rPr>
                <w:b/>
                <w:i/>
                <w:lang w:val="es-ES_tradnl"/>
              </w:rPr>
              <w:t xml:space="preserve"> para los fines establecidos en el párrafo primero y de conformidad con el Derecho de la Unión o nacional en materia de protección de datos</w:t>
            </w:r>
            <w:r w:rsidRPr="00704302">
              <w:rPr>
                <w:lang w:val="es-ES_tradnl"/>
              </w:rPr>
              <w:t>.</w:t>
            </w:r>
          </w:p>
        </w:tc>
      </w:tr>
    </w:tbl>
    <w:p w:rsidR="00E33FD9" w:rsidRPr="00704302" w:rsidRDefault="00543E4A" w:rsidP="00543E4A">
      <w:pPr>
        <w:pStyle w:val="Olang"/>
        <w:rPr>
          <w:sz w:val="24"/>
          <w:szCs w:val="24"/>
          <w:lang w:val="es-ES_tradnl"/>
        </w:rPr>
      </w:pPr>
      <w:r w:rsidRPr="00704302">
        <w:rPr>
          <w:sz w:val="24"/>
          <w:szCs w:val="24"/>
          <w:lang w:val="es-ES_tradnl"/>
        </w:rPr>
        <w:t xml:space="preserve">Or. </w:t>
      </w:r>
      <w:r w:rsidRPr="00704302">
        <w:rPr>
          <w:rStyle w:val="HideTWBExt"/>
          <w:lang w:val="es-ES_tradnl"/>
        </w:rPr>
        <w:t>&lt;Original&gt;</w:t>
      </w:r>
      <w:r w:rsidRPr="00704302">
        <w:rPr>
          <w:rStyle w:val="HideTWBInt"/>
          <w:sz w:val="24"/>
          <w:szCs w:val="24"/>
          <w:lang w:val="es-ES_tradnl"/>
        </w:rPr>
        <w:t>{EN}</w:t>
      </w:r>
      <w:r w:rsidRPr="00704302">
        <w:rPr>
          <w:sz w:val="24"/>
          <w:szCs w:val="24"/>
          <w:lang w:val="es-ES_tradnl"/>
        </w:rPr>
        <w:t>en</w:t>
      </w:r>
      <w:r w:rsidRPr="00704302">
        <w:rPr>
          <w:rStyle w:val="HideTWBExt"/>
          <w:lang w:val="es-ES_tradnl"/>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40</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Estrella Galán</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11 – apartado 6 – párrafo 2 bis (nuevo)</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E33FD9" w:rsidP="00543E4A">
            <w:pPr>
              <w:pStyle w:val="Normal6a"/>
              <w:widowControl/>
            </w:pPr>
          </w:p>
        </w:tc>
        <w:tc>
          <w:tcPr>
            <w:tcW w:w="4876" w:type="dxa"/>
            <w:tcBorders>
              <w:top w:val="nil"/>
              <w:left w:val="nil"/>
              <w:bottom w:val="nil"/>
              <w:right w:val="nil"/>
            </w:tcBorders>
          </w:tcPr>
          <w:p w:rsidR="00E33FD9" w:rsidRPr="00704302" w:rsidRDefault="00543E4A" w:rsidP="00543E4A">
            <w:pPr>
              <w:pStyle w:val="Normal6a"/>
              <w:widowControl/>
            </w:pPr>
            <w:r w:rsidRPr="00704302">
              <w:rPr>
                <w:b/>
                <w:i/>
              </w:rPr>
              <w:t>Los Estados miembros mantendrán y comunicarán anualmente a la Comisión una lista de autoridades nacionales competentes con acceso a los datos biométricos almacenados en el medio de almacenamiento a que se refiere el artículo 3, apartado 5. La Comisión publicará en línea una recopilación de esas listas nacionales.</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C42B17">
      <w:pPr>
        <w:pStyle w:val="AmNumberTabs"/>
        <w:keepNext/>
        <w:widowControl/>
      </w:pPr>
      <w:r w:rsidRPr="00704302">
        <w:rPr>
          <w:rStyle w:val="HideTWBExt"/>
        </w:rPr>
        <w:lastRenderedPageBreak/>
        <w:t>&lt;Amend&gt;</w:t>
      </w:r>
      <w:r w:rsidRPr="00704302">
        <w:t>Enmienda</w:t>
      </w:r>
      <w:r w:rsidRPr="00704302">
        <w:tab/>
      </w:r>
      <w:r w:rsidRPr="00704302">
        <w:tab/>
      </w:r>
      <w:r w:rsidRPr="00704302">
        <w:rPr>
          <w:rStyle w:val="HideTWBExt"/>
        </w:rPr>
        <w:t>&lt;NumAm&gt;</w:t>
      </w:r>
      <w:r w:rsidRPr="00704302">
        <w:t>41</w:t>
      </w:r>
      <w:r w:rsidRPr="00704302">
        <w:rPr>
          <w:rStyle w:val="HideTWBExt"/>
        </w:rPr>
        <w:t>&lt;/NumAm&gt;</w:t>
      </w:r>
    </w:p>
    <w:p w:rsidR="00E33FD9" w:rsidRPr="00704302" w:rsidRDefault="00543E4A" w:rsidP="00C42B17">
      <w:pPr>
        <w:pStyle w:val="NormalBold"/>
        <w:keepNext/>
        <w:widowControl/>
      </w:pPr>
      <w:r w:rsidRPr="00704302">
        <w:rPr>
          <w:rStyle w:val="HideTWBExt"/>
          <w:b w:val="0"/>
        </w:rPr>
        <w:t>&lt;RepeatBlock-By&gt;&lt;Members&gt;</w:t>
      </w:r>
      <w:r w:rsidRPr="00704302">
        <w:t>Estrella Galán</w:t>
      </w:r>
      <w:r w:rsidRPr="00704302">
        <w:rPr>
          <w:rStyle w:val="HideTWBExt"/>
          <w:b w:val="0"/>
        </w:rPr>
        <w:t>&lt;/Members&gt;</w:t>
      </w:r>
    </w:p>
    <w:p w:rsidR="00E33FD9" w:rsidRPr="00704302" w:rsidRDefault="00543E4A" w:rsidP="00C42B17">
      <w:pPr>
        <w:pStyle w:val="NormalBold"/>
        <w:keepNext/>
        <w:widowControl/>
      </w:pPr>
      <w:r w:rsidRPr="00704302">
        <w:rPr>
          <w:rStyle w:val="HideTWBExt"/>
          <w:b w:val="0"/>
        </w:rPr>
        <w:t>&lt;/RepeatBlock-By&gt;</w:t>
      </w:r>
    </w:p>
    <w:p w:rsidR="00E33FD9" w:rsidRPr="00704302" w:rsidRDefault="00543E4A" w:rsidP="00C42B17">
      <w:pPr>
        <w:pStyle w:val="NormalBold"/>
        <w:keepNext/>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C42B17">
      <w:pPr>
        <w:pStyle w:val="NormalBold"/>
        <w:keepNext/>
        <w:widowControl/>
      </w:pPr>
      <w:r w:rsidRPr="00704302">
        <w:rPr>
          <w:rStyle w:val="HideTWBExt"/>
        </w:rPr>
        <w:t>&lt;Article&gt;</w:t>
      </w:r>
      <w:r w:rsidRPr="00704302">
        <w:t>Artículo 13 – título</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C42B17">
            <w:pPr>
              <w:keepNext/>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C42B17">
            <w:pPr>
              <w:pStyle w:val="AmColumnHeading"/>
              <w:keepNext/>
              <w:widowControl/>
            </w:pPr>
            <w:r w:rsidRPr="00704302">
              <w:t>Texto de la Comisión</w:t>
            </w:r>
          </w:p>
        </w:tc>
        <w:tc>
          <w:tcPr>
            <w:tcW w:w="4876" w:type="dxa"/>
            <w:tcBorders>
              <w:top w:val="nil"/>
              <w:left w:val="nil"/>
              <w:bottom w:val="nil"/>
              <w:right w:val="nil"/>
            </w:tcBorders>
          </w:tcPr>
          <w:p w:rsidR="00E33FD9" w:rsidRPr="00704302" w:rsidRDefault="00543E4A" w:rsidP="00C42B17">
            <w:pPr>
              <w:pStyle w:val="AmColumnHeading"/>
              <w:keepNext/>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Evaluación</w:t>
            </w:r>
          </w:p>
        </w:tc>
        <w:tc>
          <w:tcPr>
            <w:tcW w:w="4876" w:type="dxa"/>
            <w:tcBorders>
              <w:top w:val="nil"/>
              <w:left w:val="nil"/>
              <w:bottom w:val="nil"/>
              <w:right w:val="nil"/>
            </w:tcBorders>
          </w:tcPr>
          <w:p w:rsidR="00E33FD9" w:rsidRPr="00704302" w:rsidRDefault="00543E4A" w:rsidP="00543E4A">
            <w:pPr>
              <w:pStyle w:val="Normal6a"/>
              <w:widowControl/>
            </w:pPr>
            <w:r w:rsidRPr="00704302">
              <w:rPr>
                <w:b/>
                <w:i/>
              </w:rPr>
              <w:t xml:space="preserve">Informes y </w:t>
            </w:r>
            <w:r w:rsidRPr="00704302">
              <w:t>evaluación</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42</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Estrella Galán</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13 – apartado 1 – parte introductoria</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1.</w:t>
            </w:r>
            <w:r w:rsidRPr="00704302">
              <w:tab/>
            </w:r>
            <w:r w:rsidRPr="00704302">
              <w:rPr>
                <w:b/>
                <w:i/>
              </w:rPr>
              <w:t>No antes de [s</w:t>
            </w:r>
            <w:r w:rsidRPr="00704302">
              <w:t>eis años después de la entrada en vigor del presente Reglamento</w:t>
            </w:r>
            <w:r w:rsidRPr="00704302">
              <w:rPr>
                <w:b/>
                <w:i/>
              </w:rPr>
              <w:t>]</w:t>
            </w:r>
            <w:r w:rsidRPr="00704302">
              <w:t>, la Comisión llevará a cabo una evaluación del presente Reglamento y presentará un informe sobre las principales conclusiones al Parlamento Europeo, al Consejo y al Comité Económico y Social Europeo. El informe se centrará en particular en:</w:t>
            </w:r>
          </w:p>
        </w:tc>
        <w:tc>
          <w:tcPr>
            <w:tcW w:w="4876" w:type="dxa"/>
            <w:tcBorders>
              <w:top w:val="nil"/>
              <w:left w:val="nil"/>
              <w:bottom w:val="nil"/>
              <w:right w:val="nil"/>
            </w:tcBorders>
          </w:tcPr>
          <w:p w:rsidR="00E33FD9" w:rsidRPr="00704302" w:rsidRDefault="00543E4A" w:rsidP="00543E4A">
            <w:pPr>
              <w:pStyle w:val="Normal6a"/>
              <w:widowControl/>
            </w:pPr>
            <w:r w:rsidRPr="00704302">
              <w:t>1.</w:t>
            </w:r>
            <w:r w:rsidRPr="00704302">
              <w:tab/>
            </w:r>
            <w:r w:rsidRPr="00704302">
              <w:rPr>
                <w:b/>
                <w:i/>
              </w:rPr>
              <w:t>Dos y once años después, respectivamente, de la fecha de aplicación del presente Reglamento, la Comisión informará al Parlamento Europeo, al Consejo y al Comité Económico y Social Europeo sobre la aplicación del presente Reglamento, en especial acerca de la protección de los derechos fundamentales y de los datos personales.</w:t>
            </w:r>
          </w:p>
        </w:tc>
      </w:tr>
      <w:tr w:rsidR="002359A3" w:rsidRPr="00704302" w:rsidTr="00E275B2">
        <w:trPr>
          <w:jc w:val="center"/>
        </w:trPr>
        <w:tc>
          <w:tcPr>
            <w:tcW w:w="4876" w:type="dxa"/>
            <w:tcBorders>
              <w:top w:val="nil"/>
              <w:left w:val="nil"/>
              <w:bottom w:val="nil"/>
              <w:right w:val="nil"/>
            </w:tcBorders>
          </w:tcPr>
          <w:p w:rsidR="00E33FD9" w:rsidRPr="00704302" w:rsidRDefault="00E33FD9" w:rsidP="00543E4A">
            <w:pPr>
              <w:pStyle w:val="Normal6a"/>
              <w:widowControl/>
            </w:pPr>
          </w:p>
        </w:tc>
        <w:tc>
          <w:tcPr>
            <w:tcW w:w="4876" w:type="dxa"/>
            <w:tcBorders>
              <w:top w:val="nil"/>
              <w:left w:val="nil"/>
              <w:bottom w:val="nil"/>
              <w:right w:val="nil"/>
            </w:tcBorders>
          </w:tcPr>
          <w:p w:rsidR="00E33FD9" w:rsidRPr="00704302" w:rsidRDefault="00543E4A" w:rsidP="00543E4A">
            <w:pPr>
              <w:pStyle w:val="Normal6a"/>
              <w:widowControl/>
            </w:pPr>
            <w:r w:rsidRPr="00704302">
              <w:rPr>
                <w:b/>
                <w:i/>
              </w:rPr>
              <w:t>S</w:t>
            </w:r>
            <w:r w:rsidRPr="00704302">
              <w:t xml:space="preserve">eis años después de la entrada en vigor del presente Reglamento </w:t>
            </w:r>
            <w:r w:rsidRPr="00704302">
              <w:rPr>
                <w:b/>
                <w:i/>
              </w:rPr>
              <w:t>y posteriormente cada seis años</w:t>
            </w:r>
            <w:r w:rsidRPr="00704302">
              <w:t>, la Comisión llevará a cabo una evaluación del presente Reglamento y presentará un informe sobre las principales conclusiones al Parlamento Europeo, al Consejo y al Comité Económico y Social Europeo. El informe se centrará en particular en:</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C42B17">
      <w:pPr>
        <w:pStyle w:val="AmNumberTabs"/>
        <w:keepNext/>
        <w:widowControl/>
      </w:pPr>
      <w:r w:rsidRPr="00704302">
        <w:rPr>
          <w:rStyle w:val="HideTWBExt"/>
        </w:rPr>
        <w:lastRenderedPageBreak/>
        <w:t>&lt;Amend&gt;</w:t>
      </w:r>
      <w:r w:rsidRPr="00704302">
        <w:t>Enmienda</w:t>
      </w:r>
      <w:r w:rsidRPr="00704302">
        <w:tab/>
      </w:r>
      <w:r w:rsidRPr="00704302">
        <w:tab/>
      </w:r>
      <w:r w:rsidRPr="00704302">
        <w:rPr>
          <w:rStyle w:val="HideTWBExt"/>
        </w:rPr>
        <w:t>&lt;NumAm&gt;</w:t>
      </w:r>
      <w:r w:rsidRPr="00704302">
        <w:t>43</w:t>
      </w:r>
      <w:r w:rsidRPr="00704302">
        <w:rPr>
          <w:rStyle w:val="HideTWBExt"/>
        </w:rPr>
        <w:t>&lt;/NumAm&gt;</w:t>
      </w:r>
    </w:p>
    <w:p w:rsidR="00E33FD9" w:rsidRPr="00704302" w:rsidRDefault="00543E4A" w:rsidP="00C42B17">
      <w:pPr>
        <w:pStyle w:val="NormalBold"/>
        <w:keepNext/>
        <w:widowControl/>
      </w:pPr>
      <w:r w:rsidRPr="00704302">
        <w:rPr>
          <w:rStyle w:val="HideTWBExt"/>
          <w:b w:val="0"/>
        </w:rPr>
        <w:t>&lt;RepeatBlock-By&gt;&lt;Members&gt;</w:t>
      </w:r>
      <w:r w:rsidRPr="00704302">
        <w:t>Malik Azmani</w:t>
      </w:r>
      <w:r w:rsidRPr="00704302">
        <w:rPr>
          <w:rStyle w:val="HideTWBExt"/>
          <w:b w:val="0"/>
        </w:rPr>
        <w:t>&lt;/Members&gt;</w:t>
      </w:r>
    </w:p>
    <w:p w:rsidR="00E33FD9" w:rsidRPr="00704302" w:rsidRDefault="00543E4A" w:rsidP="00C42B17">
      <w:pPr>
        <w:pStyle w:val="NormalBold"/>
        <w:keepNext/>
        <w:widowControl/>
      </w:pPr>
      <w:r w:rsidRPr="00704302">
        <w:rPr>
          <w:rStyle w:val="HideTWBExt"/>
          <w:b w:val="0"/>
        </w:rPr>
        <w:t>&lt;/RepeatBlock-By&gt;</w:t>
      </w:r>
    </w:p>
    <w:p w:rsidR="00E33FD9" w:rsidRPr="00704302" w:rsidRDefault="00543E4A" w:rsidP="00C42B17">
      <w:pPr>
        <w:pStyle w:val="NormalBold"/>
        <w:keepNext/>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C42B17">
      <w:pPr>
        <w:pStyle w:val="NormalBold"/>
        <w:keepNext/>
        <w:widowControl/>
      </w:pPr>
      <w:r w:rsidRPr="00704302">
        <w:rPr>
          <w:rStyle w:val="HideTWBExt"/>
        </w:rPr>
        <w:t>&lt;Article&gt;</w:t>
      </w:r>
      <w:r w:rsidRPr="00704302">
        <w:t>Artículo 13 – apartado 1 – parte introductoria</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C42B17">
            <w:pPr>
              <w:keepNext/>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C42B17">
            <w:pPr>
              <w:pStyle w:val="AmColumnHeading"/>
              <w:keepNext/>
              <w:widowControl/>
            </w:pPr>
            <w:r w:rsidRPr="00704302">
              <w:t>Texto de la Comisión</w:t>
            </w:r>
          </w:p>
        </w:tc>
        <w:tc>
          <w:tcPr>
            <w:tcW w:w="4876" w:type="dxa"/>
            <w:tcBorders>
              <w:top w:val="nil"/>
              <w:left w:val="nil"/>
              <w:bottom w:val="nil"/>
              <w:right w:val="nil"/>
            </w:tcBorders>
          </w:tcPr>
          <w:p w:rsidR="00E33FD9" w:rsidRPr="00704302" w:rsidRDefault="00543E4A" w:rsidP="00C42B17">
            <w:pPr>
              <w:pStyle w:val="AmColumnHeading"/>
              <w:keepNext/>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1.</w:t>
            </w:r>
            <w:r w:rsidRPr="00704302">
              <w:tab/>
            </w:r>
            <w:r w:rsidRPr="00704302">
              <w:rPr>
                <w:b/>
                <w:i/>
              </w:rPr>
              <w:t>No antes</w:t>
            </w:r>
            <w:r w:rsidRPr="00704302">
              <w:t xml:space="preserve"> de </w:t>
            </w:r>
            <w:r w:rsidRPr="00704302">
              <w:rPr>
                <w:b/>
                <w:i/>
              </w:rPr>
              <w:t>[seis</w:t>
            </w:r>
            <w:r w:rsidRPr="00704302">
              <w:t xml:space="preserve"> años después de la entrada en vigor del presente Reglamento</w:t>
            </w:r>
            <w:r w:rsidRPr="00704302">
              <w:rPr>
                <w:b/>
                <w:i/>
              </w:rPr>
              <w:t>]</w:t>
            </w:r>
            <w:r w:rsidRPr="00704302">
              <w:t>, la Comisión llevará a cabo una evaluación del presente Reglamento y presentará un informe sobre las principales conclusiones al Parlamento Europeo, al Consejo y al Comité Económico y Social Europeo. El informe se centrará en particular en:</w:t>
            </w:r>
          </w:p>
        </w:tc>
        <w:tc>
          <w:tcPr>
            <w:tcW w:w="4876" w:type="dxa"/>
            <w:tcBorders>
              <w:top w:val="nil"/>
              <w:left w:val="nil"/>
              <w:bottom w:val="nil"/>
              <w:right w:val="nil"/>
            </w:tcBorders>
          </w:tcPr>
          <w:p w:rsidR="00E33FD9" w:rsidRPr="00704302" w:rsidRDefault="00543E4A" w:rsidP="00543E4A">
            <w:pPr>
              <w:pStyle w:val="Normal6a"/>
              <w:widowControl/>
            </w:pPr>
            <w:r w:rsidRPr="00704302">
              <w:t>1.</w:t>
            </w:r>
            <w:r w:rsidRPr="00704302">
              <w:tab/>
            </w:r>
            <w:r w:rsidRPr="00704302">
              <w:rPr>
                <w:b/>
                <w:i/>
              </w:rPr>
              <w:t>Dos y once años después, respectivamente, de la fecha de aplicación del presente Reglamento, la Comisión informará al Parlamento Europeo y al Consejo sobre la aplicación del presente Reglamento, en especial acerca de la protección de los derechos fundamentales y de los datos personales.</w:t>
            </w:r>
            <w:r w:rsidRPr="00704302">
              <w:t xml:space="preserve"> </w:t>
            </w:r>
            <w:r w:rsidRPr="00704302">
              <w:rPr>
                <w:b/>
                <w:bCs/>
                <w:i/>
                <w:iCs/>
              </w:rPr>
              <w:t>Seis</w:t>
            </w:r>
            <w:r w:rsidRPr="00704302">
              <w:t xml:space="preserve"> años después de la entrada en vigor del presente Reglamento, la Comisión llevará a cabo una evaluación del presente Reglamento y presentará un informe sobre las principales conclusiones al Parlamento Europeo, al Consejo y al Comité Económico y Social Europeo. El informe se centrará en particular en:</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44</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Francisco Assis, Krzysztof Śmiszek, Ana Catarina Mendes, Marco Tarquinio, Emma Rafowicz, Alessandro Zan</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13 – apartado 1 – parte introductoria</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t>1.</w:t>
            </w:r>
            <w:r w:rsidRPr="00704302">
              <w:tab/>
            </w:r>
            <w:r w:rsidRPr="00704302">
              <w:rPr>
                <w:b/>
                <w:i/>
              </w:rPr>
              <w:t>No antes</w:t>
            </w:r>
            <w:r w:rsidRPr="00704302">
              <w:t xml:space="preserve"> de [seis años después de la entrada en vigor del presente Reglamento], la Comisión llevará a cabo una evaluación del presente Reglamento y presentará un informe sobre las principales conclusiones al Parlamento Europeo, al Consejo y al Comité Económico y Social Europeo. El informe se centrará en particular en:</w:t>
            </w:r>
          </w:p>
        </w:tc>
        <w:tc>
          <w:tcPr>
            <w:tcW w:w="4876" w:type="dxa"/>
            <w:tcBorders>
              <w:top w:val="nil"/>
              <w:left w:val="nil"/>
              <w:bottom w:val="nil"/>
              <w:right w:val="nil"/>
            </w:tcBorders>
          </w:tcPr>
          <w:p w:rsidR="00E33FD9" w:rsidRPr="00704302" w:rsidRDefault="00543E4A" w:rsidP="00543E4A">
            <w:pPr>
              <w:pStyle w:val="Normal6a"/>
              <w:widowControl/>
            </w:pPr>
            <w:r w:rsidRPr="00704302">
              <w:t>1.</w:t>
            </w:r>
            <w:r w:rsidRPr="00704302">
              <w:tab/>
            </w:r>
            <w:r w:rsidRPr="00704302">
              <w:rPr>
                <w:b/>
                <w:i/>
              </w:rPr>
              <w:t>En un plazo</w:t>
            </w:r>
            <w:r w:rsidRPr="00704302">
              <w:t xml:space="preserve"> de [seis años después de la entrada en vigor del presente Reglamento], la Comisión llevará a cabo una evaluación del presente Reglamento y presentará un informe sobre las principales conclusiones al Parlamento Europeo, al Consejo y al Comité Económico y Social Europeo. El informe se cent</w:t>
            </w:r>
            <w:bookmarkStart w:id="0" w:name="_GoBack"/>
            <w:bookmarkEnd w:id="0"/>
            <w:r w:rsidRPr="00704302">
              <w:t>rará en particular en:</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lastRenderedPageBreak/>
        <w:t>&lt;/Amend&gt;</w:t>
      </w:r>
    </w:p>
    <w:p w:rsidR="00E33FD9" w:rsidRPr="00704302" w:rsidRDefault="00543E4A" w:rsidP="00543E4A">
      <w:pPr>
        <w:pStyle w:val="AmNumberTabs"/>
        <w:widowControl/>
      </w:pPr>
      <w:r w:rsidRPr="00704302">
        <w:rPr>
          <w:rStyle w:val="HideTWBExt"/>
        </w:rPr>
        <w:t>&lt;Amend&gt;</w:t>
      </w:r>
      <w:r w:rsidRPr="00704302">
        <w:t>Enmienda</w:t>
      </w:r>
      <w:r w:rsidRPr="00704302">
        <w:tab/>
      </w:r>
      <w:r w:rsidRPr="00704302">
        <w:tab/>
      </w:r>
      <w:r w:rsidRPr="00704302">
        <w:rPr>
          <w:rStyle w:val="HideTWBExt"/>
        </w:rPr>
        <w:t>&lt;NumAm&gt;</w:t>
      </w:r>
      <w:r w:rsidRPr="00704302">
        <w:t>45</w:t>
      </w:r>
      <w:r w:rsidRPr="00704302">
        <w:rPr>
          <w:rStyle w:val="HideTWBExt"/>
        </w:rPr>
        <w:t>&lt;/NumAm&gt;</w:t>
      </w:r>
    </w:p>
    <w:p w:rsidR="00E33FD9" w:rsidRPr="00704302" w:rsidRDefault="00543E4A" w:rsidP="00543E4A">
      <w:pPr>
        <w:pStyle w:val="NormalBold"/>
        <w:widowControl/>
      </w:pPr>
      <w:r w:rsidRPr="00704302">
        <w:rPr>
          <w:rStyle w:val="HideTWBExt"/>
          <w:b w:val="0"/>
        </w:rPr>
        <w:t>&lt;RepeatBlock-By&gt;&lt;Members&gt;</w:t>
      </w:r>
      <w:r w:rsidRPr="00704302">
        <w:t>Roberto Vannacci, António Tânger Corrêa, Susanna Ceccardi, Anna Maria Cisint, Nikola Bartůšek, Fabrice Leggeri, Tom Vandendriessche, Matthieu Valet</w:t>
      </w:r>
      <w:r w:rsidRPr="00704302">
        <w:rPr>
          <w:rStyle w:val="HideTWBExt"/>
          <w:b w:val="0"/>
        </w:rPr>
        <w:t>&lt;/Members&gt;</w:t>
      </w:r>
    </w:p>
    <w:p w:rsidR="00E33FD9" w:rsidRPr="00704302" w:rsidRDefault="00543E4A" w:rsidP="00543E4A">
      <w:pPr>
        <w:pStyle w:val="NormalBold"/>
        <w:widowControl/>
      </w:pPr>
      <w:r w:rsidRPr="00704302">
        <w:rPr>
          <w:rStyle w:val="HideTWBExt"/>
          <w:b w:val="0"/>
        </w:rPr>
        <w:t>&lt;/RepeatBlock-By&gt;</w:t>
      </w:r>
    </w:p>
    <w:p w:rsidR="00E33FD9" w:rsidRPr="00704302" w:rsidRDefault="00543E4A" w:rsidP="00543E4A">
      <w:pPr>
        <w:pStyle w:val="NormalBold"/>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543E4A">
      <w:pPr>
        <w:pStyle w:val="NormalBold"/>
        <w:widowControl/>
      </w:pPr>
      <w:r w:rsidRPr="00704302">
        <w:rPr>
          <w:rStyle w:val="HideTWBExt"/>
        </w:rPr>
        <w:t>&lt;Article&gt;</w:t>
      </w:r>
      <w:r w:rsidRPr="00704302">
        <w:t>Artículo 13 – apartado 1 – letra a</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543E4A">
            <w:pPr>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543E4A" w:rsidP="00543E4A">
            <w:pPr>
              <w:pStyle w:val="Normal6a"/>
              <w:widowControl/>
            </w:pPr>
            <w:r w:rsidRPr="00704302">
              <w:rPr>
                <w:b/>
                <w:i/>
              </w:rPr>
              <w:t>a)</w:t>
            </w:r>
            <w:r w:rsidRPr="00704302">
              <w:tab/>
            </w:r>
            <w:r w:rsidRPr="00704302">
              <w:rPr>
                <w:b/>
                <w:i/>
              </w:rPr>
              <w:t>el impacto del presente Reglamento en los derechos fundamentales;</w:t>
            </w:r>
          </w:p>
        </w:tc>
        <w:tc>
          <w:tcPr>
            <w:tcW w:w="4876" w:type="dxa"/>
            <w:tcBorders>
              <w:top w:val="nil"/>
              <w:left w:val="nil"/>
              <w:bottom w:val="nil"/>
              <w:right w:val="nil"/>
            </w:tcBorders>
          </w:tcPr>
          <w:p w:rsidR="00E33FD9" w:rsidRPr="00704302" w:rsidRDefault="00543E4A" w:rsidP="00543E4A">
            <w:pPr>
              <w:pStyle w:val="Normal6a"/>
              <w:widowControl/>
            </w:pPr>
            <w:r w:rsidRPr="00704302">
              <w:rPr>
                <w:b/>
                <w:i/>
              </w:rPr>
              <w:t>suprimid</w:t>
            </w:r>
            <w:r w:rsidR="009E290C" w:rsidRPr="00704302">
              <w:rPr>
                <w:b/>
                <w:i/>
              </w:rPr>
              <w:t>a</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FE7D56">
      <w:pPr>
        <w:pStyle w:val="AmNumberTabs"/>
        <w:keepNext/>
        <w:widowControl/>
      </w:pPr>
      <w:r w:rsidRPr="00704302">
        <w:rPr>
          <w:rStyle w:val="HideTWBExt"/>
        </w:rPr>
        <w:t>&lt;Amend&gt;</w:t>
      </w:r>
      <w:r w:rsidRPr="00704302">
        <w:t>Enmienda</w:t>
      </w:r>
      <w:r w:rsidRPr="00704302">
        <w:tab/>
      </w:r>
      <w:r w:rsidRPr="00704302">
        <w:tab/>
      </w:r>
      <w:r w:rsidRPr="00704302">
        <w:rPr>
          <w:rStyle w:val="HideTWBExt"/>
        </w:rPr>
        <w:t>&lt;NumAm&gt;</w:t>
      </w:r>
      <w:r w:rsidRPr="00704302">
        <w:t>46</w:t>
      </w:r>
      <w:r w:rsidRPr="00704302">
        <w:rPr>
          <w:rStyle w:val="HideTWBExt"/>
        </w:rPr>
        <w:t>&lt;/NumAm&gt;</w:t>
      </w:r>
    </w:p>
    <w:p w:rsidR="00E33FD9" w:rsidRPr="00704302" w:rsidRDefault="00543E4A" w:rsidP="00FE7D56">
      <w:pPr>
        <w:pStyle w:val="NormalBold"/>
        <w:keepNext/>
        <w:widowControl/>
      </w:pPr>
      <w:r w:rsidRPr="00704302">
        <w:rPr>
          <w:rStyle w:val="HideTWBExt"/>
          <w:b w:val="0"/>
        </w:rPr>
        <w:t>&lt;RepeatBlock-By&gt;&lt;Members&gt;</w:t>
      </w:r>
      <w:r w:rsidRPr="00704302">
        <w:t>Malik Azmani</w:t>
      </w:r>
      <w:r w:rsidRPr="00704302">
        <w:rPr>
          <w:rStyle w:val="HideTWBExt"/>
          <w:b w:val="0"/>
        </w:rPr>
        <w:t>&lt;/Members&gt;</w:t>
      </w:r>
    </w:p>
    <w:p w:rsidR="00E33FD9" w:rsidRPr="00704302" w:rsidRDefault="00543E4A" w:rsidP="00FE7D56">
      <w:pPr>
        <w:pStyle w:val="NormalBold"/>
        <w:keepNext/>
        <w:widowControl/>
      </w:pPr>
      <w:r w:rsidRPr="00704302">
        <w:rPr>
          <w:rStyle w:val="HideTWBExt"/>
          <w:b w:val="0"/>
        </w:rPr>
        <w:t>&lt;/RepeatBlock-By&gt;</w:t>
      </w:r>
    </w:p>
    <w:p w:rsidR="00E33FD9" w:rsidRPr="00704302" w:rsidRDefault="00543E4A" w:rsidP="00FE7D56">
      <w:pPr>
        <w:pStyle w:val="NormalBold"/>
        <w:keepNext/>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FE7D56">
      <w:pPr>
        <w:pStyle w:val="NormalBold"/>
        <w:keepNext/>
        <w:widowControl/>
      </w:pPr>
      <w:r w:rsidRPr="00704302">
        <w:rPr>
          <w:rStyle w:val="HideTWBExt"/>
        </w:rPr>
        <w:t>&lt;Article&gt;</w:t>
      </w:r>
      <w:r w:rsidRPr="00704302">
        <w:t>Artículo 13 – apartado 1 – letra d bis (nueva)</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FE7D56">
            <w:pPr>
              <w:keepNext/>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543E4A">
            <w:pPr>
              <w:pStyle w:val="AmColumnHeading"/>
              <w:widowControl/>
            </w:pPr>
            <w:r w:rsidRPr="00704302">
              <w:t>Texto de la Comisión</w:t>
            </w:r>
          </w:p>
        </w:tc>
        <w:tc>
          <w:tcPr>
            <w:tcW w:w="4876" w:type="dxa"/>
            <w:tcBorders>
              <w:top w:val="nil"/>
              <w:left w:val="nil"/>
              <w:bottom w:val="nil"/>
              <w:right w:val="nil"/>
            </w:tcBorders>
          </w:tcPr>
          <w:p w:rsidR="00E33FD9" w:rsidRPr="00704302" w:rsidRDefault="00543E4A" w:rsidP="00543E4A">
            <w:pPr>
              <w:pStyle w:val="AmColumnHeading"/>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E33FD9" w:rsidP="00543E4A">
            <w:pPr>
              <w:pStyle w:val="Normal6a"/>
              <w:widowControl/>
            </w:pPr>
          </w:p>
        </w:tc>
        <w:tc>
          <w:tcPr>
            <w:tcW w:w="4876" w:type="dxa"/>
            <w:tcBorders>
              <w:top w:val="nil"/>
              <w:left w:val="nil"/>
              <w:bottom w:val="nil"/>
              <w:right w:val="nil"/>
            </w:tcBorders>
          </w:tcPr>
          <w:p w:rsidR="00E33FD9" w:rsidRPr="00704302" w:rsidRDefault="00543E4A" w:rsidP="00543E4A">
            <w:pPr>
              <w:pStyle w:val="Normal6a"/>
              <w:widowControl/>
            </w:pPr>
            <w:r w:rsidRPr="00704302">
              <w:rPr>
                <w:b/>
                <w:i/>
              </w:rPr>
              <w:t>d bis)</w:t>
            </w:r>
            <w:r w:rsidRPr="00704302">
              <w:tab/>
            </w:r>
            <w:r w:rsidRPr="00704302">
              <w:rPr>
                <w:b/>
                <w:i/>
              </w:rPr>
              <w:t>la necesidad de introducir características de seguridad comunes para los documentos de identificación utilizados con carácter provisional de cara a un mejor reconocimiento.</w:t>
            </w:r>
          </w:p>
        </w:tc>
      </w:tr>
    </w:tbl>
    <w:p w:rsidR="00E33FD9" w:rsidRPr="00704302" w:rsidRDefault="00543E4A" w:rsidP="00543E4A">
      <w:pPr>
        <w:pStyle w:val="AmOrLang"/>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543E4A">
      <w:pPr>
        <w:widowControl/>
      </w:pPr>
      <w:r w:rsidRPr="00704302">
        <w:rPr>
          <w:rStyle w:val="HideTWBExt"/>
        </w:rPr>
        <w:t>&lt;/Amend&gt;</w:t>
      </w:r>
    </w:p>
    <w:p w:rsidR="00E33FD9" w:rsidRPr="00704302" w:rsidRDefault="00543E4A" w:rsidP="00BE72E4">
      <w:pPr>
        <w:pStyle w:val="AmNumberTabs"/>
        <w:keepNext/>
        <w:widowControl/>
      </w:pPr>
      <w:r w:rsidRPr="00704302">
        <w:rPr>
          <w:rStyle w:val="HideTWBExt"/>
        </w:rPr>
        <w:lastRenderedPageBreak/>
        <w:t>&lt;Amend&gt;</w:t>
      </w:r>
      <w:r w:rsidRPr="00704302">
        <w:t>Enmienda</w:t>
      </w:r>
      <w:r w:rsidRPr="00704302">
        <w:tab/>
      </w:r>
      <w:r w:rsidRPr="00704302">
        <w:tab/>
      </w:r>
      <w:r w:rsidRPr="00704302">
        <w:rPr>
          <w:rStyle w:val="HideTWBExt"/>
        </w:rPr>
        <w:t>&lt;NumAm&gt;</w:t>
      </w:r>
      <w:r w:rsidRPr="00704302">
        <w:t>47</w:t>
      </w:r>
      <w:r w:rsidRPr="00704302">
        <w:rPr>
          <w:rStyle w:val="HideTWBExt"/>
        </w:rPr>
        <w:t>&lt;/NumAm&gt;</w:t>
      </w:r>
    </w:p>
    <w:p w:rsidR="00E33FD9" w:rsidRPr="00704302" w:rsidRDefault="00543E4A" w:rsidP="00BE72E4">
      <w:pPr>
        <w:pStyle w:val="NormalBold"/>
        <w:keepNext/>
        <w:widowControl/>
      </w:pPr>
      <w:r w:rsidRPr="00704302">
        <w:rPr>
          <w:rStyle w:val="HideTWBExt"/>
          <w:b w:val="0"/>
        </w:rPr>
        <w:t>&lt;RepeatBlock-By&gt;&lt;Members&gt;</w:t>
      </w:r>
      <w:r w:rsidRPr="00704302">
        <w:t>Estrella Galán</w:t>
      </w:r>
      <w:r w:rsidRPr="00704302">
        <w:rPr>
          <w:rStyle w:val="HideTWBExt"/>
          <w:b w:val="0"/>
        </w:rPr>
        <w:t>&lt;/Members&gt;</w:t>
      </w:r>
    </w:p>
    <w:p w:rsidR="00E33FD9" w:rsidRPr="00704302" w:rsidRDefault="00543E4A" w:rsidP="00BE72E4">
      <w:pPr>
        <w:pStyle w:val="NormalBold"/>
        <w:keepNext/>
        <w:widowControl/>
      </w:pPr>
      <w:r w:rsidRPr="00704302">
        <w:rPr>
          <w:rStyle w:val="HideTWBExt"/>
          <w:b w:val="0"/>
        </w:rPr>
        <w:t>&lt;/RepeatBlock-By&gt;</w:t>
      </w:r>
    </w:p>
    <w:p w:rsidR="00E33FD9" w:rsidRPr="00704302" w:rsidRDefault="00543E4A" w:rsidP="00BE72E4">
      <w:pPr>
        <w:pStyle w:val="NormalBold"/>
        <w:keepNext/>
        <w:widowControl/>
      </w:pPr>
      <w:r w:rsidRPr="00704302">
        <w:rPr>
          <w:rStyle w:val="HideTWBExt"/>
        </w:rPr>
        <w:t>&lt;DocAmend&gt;</w:t>
      </w:r>
      <w:r w:rsidRPr="00704302">
        <w:t>Propuesta de Reglamento</w:t>
      </w:r>
      <w:r w:rsidRPr="00704302">
        <w:rPr>
          <w:rStyle w:val="HideTWBExt"/>
        </w:rPr>
        <w:t>&lt;/DocAmend&gt;</w:t>
      </w:r>
    </w:p>
    <w:p w:rsidR="00E33FD9" w:rsidRPr="00704302" w:rsidRDefault="00543E4A" w:rsidP="00BE72E4">
      <w:pPr>
        <w:pStyle w:val="NormalBold"/>
        <w:keepNext/>
        <w:widowControl/>
      </w:pPr>
      <w:r w:rsidRPr="00704302">
        <w:rPr>
          <w:rStyle w:val="HideTWBExt"/>
        </w:rPr>
        <w:t>&lt;Article&gt;</w:t>
      </w:r>
      <w:r w:rsidRPr="00704302">
        <w:t>Artículo 13 – apartado 1 – letra d bis (nueva)</w:t>
      </w:r>
      <w:r w:rsidRPr="0070430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59A3" w:rsidRPr="00704302" w:rsidTr="00E275B2">
        <w:trPr>
          <w:trHeight w:hRule="exact" w:val="240"/>
          <w:jc w:val="center"/>
        </w:trPr>
        <w:tc>
          <w:tcPr>
            <w:tcW w:w="9752" w:type="dxa"/>
            <w:gridSpan w:val="2"/>
            <w:tcBorders>
              <w:top w:val="nil"/>
              <w:left w:val="nil"/>
              <w:bottom w:val="nil"/>
              <w:right w:val="nil"/>
            </w:tcBorders>
          </w:tcPr>
          <w:p w:rsidR="00E33FD9" w:rsidRPr="00704302" w:rsidRDefault="00E33FD9" w:rsidP="00BE72E4">
            <w:pPr>
              <w:keepNext/>
              <w:widowControl/>
            </w:pPr>
          </w:p>
        </w:tc>
      </w:tr>
      <w:tr w:rsidR="002359A3" w:rsidRPr="00704302" w:rsidTr="00E275B2">
        <w:trPr>
          <w:trHeight w:val="240"/>
          <w:jc w:val="center"/>
        </w:trPr>
        <w:tc>
          <w:tcPr>
            <w:tcW w:w="4876" w:type="dxa"/>
            <w:tcBorders>
              <w:top w:val="nil"/>
              <w:left w:val="nil"/>
              <w:bottom w:val="nil"/>
              <w:right w:val="nil"/>
            </w:tcBorders>
          </w:tcPr>
          <w:p w:rsidR="00E33FD9" w:rsidRPr="00704302" w:rsidRDefault="00543E4A" w:rsidP="00BE72E4">
            <w:pPr>
              <w:pStyle w:val="AmColumnHeading"/>
              <w:keepNext/>
              <w:widowControl/>
            </w:pPr>
            <w:r w:rsidRPr="00704302">
              <w:t>Texto de la Comisión</w:t>
            </w:r>
          </w:p>
        </w:tc>
        <w:tc>
          <w:tcPr>
            <w:tcW w:w="4876" w:type="dxa"/>
            <w:tcBorders>
              <w:top w:val="nil"/>
              <w:left w:val="nil"/>
              <w:bottom w:val="nil"/>
              <w:right w:val="nil"/>
            </w:tcBorders>
          </w:tcPr>
          <w:p w:rsidR="00E33FD9" w:rsidRPr="00704302" w:rsidRDefault="00543E4A" w:rsidP="00BE72E4">
            <w:pPr>
              <w:pStyle w:val="AmColumnHeading"/>
              <w:keepNext/>
              <w:widowControl/>
            </w:pPr>
            <w:r w:rsidRPr="00704302">
              <w:t>Enmienda</w:t>
            </w:r>
          </w:p>
        </w:tc>
      </w:tr>
      <w:tr w:rsidR="002359A3" w:rsidRPr="00704302" w:rsidTr="00E275B2">
        <w:trPr>
          <w:jc w:val="center"/>
        </w:trPr>
        <w:tc>
          <w:tcPr>
            <w:tcW w:w="4876" w:type="dxa"/>
            <w:tcBorders>
              <w:top w:val="nil"/>
              <w:left w:val="nil"/>
              <w:bottom w:val="nil"/>
              <w:right w:val="nil"/>
            </w:tcBorders>
          </w:tcPr>
          <w:p w:rsidR="00E33FD9" w:rsidRPr="00704302" w:rsidRDefault="00E33FD9" w:rsidP="00BE72E4">
            <w:pPr>
              <w:pStyle w:val="Normal6a"/>
              <w:keepNext/>
              <w:widowControl/>
            </w:pPr>
          </w:p>
        </w:tc>
        <w:tc>
          <w:tcPr>
            <w:tcW w:w="4876" w:type="dxa"/>
            <w:tcBorders>
              <w:top w:val="nil"/>
              <w:left w:val="nil"/>
              <w:bottom w:val="nil"/>
              <w:right w:val="nil"/>
            </w:tcBorders>
          </w:tcPr>
          <w:p w:rsidR="00E33FD9" w:rsidRPr="00704302" w:rsidRDefault="00543E4A" w:rsidP="00BE72E4">
            <w:pPr>
              <w:pStyle w:val="Normal6a"/>
              <w:keepNext/>
              <w:widowControl/>
            </w:pPr>
            <w:r w:rsidRPr="00704302">
              <w:rPr>
                <w:b/>
                <w:i/>
              </w:rPr>
              <w:t>d bis)</w:t>
            </w:r>
            <w:r w:rsidRPr="00704302">
              <w:tab/>
            </w:r>
            <w:r w:rsidRPr="00704302">
              <w:rPr>
                <w:b/>
                <w:i/>
              </w:rPr>
              <w:t>una posible utilización de tarjetas de residencia como documentos de viaje.</w:t>
            </w:r>
          </w:p>
        </w:tc>
      </w:tr>
    </w:tbl>
    <w:p w:rsidR="00E33FD9" w:rsidRPr="00704302" w:rsidRDefault="00543E4A" w:rsidP="00BE72E4">
      <w:pPr>
        <w:pStyle w:val="AmOrLang"/>
        <w:keepNext/>
        <w:widowControl/>
      </w:pPr>
      <w:r w:rsidRPr="00704302">
        <w:t xml:space="preserve">Or. </w:t>
      </w:r>
      <w:r w:rsidRPr="00704302">
        <w:rPr>
          <w:rStyle w:val="HideTWBExt"/>
        </w:rPr>
        <w:t>&lt;Original&gt;</w:t>
      </w:r>
      <w:r w:rsidRPr="00704302">
        <w:rPr>
          <w:rStyle w:val="HideTWBInt"/>
        </w:rPr>
        <w:t>{EN}</w:t>
      </w:r>
      <w:r w:rsidRPr="00704302">
        <w:t>en</w:t>
      </w:r>
      <w:r w:rsidRPr="00704302">
        <w:rPr>
          <w:rStyle w:val="HideTWBExt"/>
        </w:rPr>
        <w:t>&lt;/Original&gt;</w:t>
      </w:r>
    </w:p>
    <w:p w:rsidR="00E33FD9" w:rsidRPr="00704302" w:rsidRDefault="00543E4A" w:rsidP="00BE72E4">
      <w:pPr>
        <w:widowControl/>
      </w:pPr>
      <w:r w:rsidRPr="00704302">
        <w:rPr>
          <w:rStyle w:val="HideTWBExt"/>
        </w:rPr>
        <w:t>&lt;/Amend&gt;</w:t>
      </w:r>
    </w:p>
    <w:p w:rsidR="00E33FD9" w:rsidRPr="00704302" w:rsidRDefault="00543E4A" w:rsidP="00BE72E4">
      <w:pPr>
        <w:widowControl/>
      </w:pPr>
      <w:r w:rsidRPr="00704302">
        <w:rPr>
          <w:rStyle w:val="HideTWBExt"/>
        </w:rPr>
        <w:t>&lt;/RepeatBlock-Amend&gt;</w:t>
      </w:r>
    </w:p>
    <w:sectPr w:rsidR="00E33FD9" w:rsidRPr="00704302" w:rsidSect="00704302">
      <w:headerReference w:type="even" r:id="rId9"/>
      <w:headerReference w:type="default" r:id="rId10"/>
      <w:footerReference w:type="even" r:id="rId11"/>
      <w:footerReference w:type="default" r:id="rId12"/>
      <w:headerReference w:type="first" r:id="rId13"/>
      <w:footerReference w:type="first" r:id="rId14"/>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E4A" w:rsidRPr="00704302" w:rsidRDefault="00543E4A">
      <w:r w:rsidRPr="00704302">
        <w:separator/>
      </w:r>
    </w:p>
  </w:endnote>
  <w:endnote w:type="continuationSeparator" w:id="0">
    <w:p w:rsidR="00543E4A" w:rsidRPr="00704302" w:rsidRDefault="00543E4A">
      <w:r w:rsidRPr="007043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302" w:rsidRPr="00704302" w:rsidRDefault="00704302" w:rsidP="00704302">
    <w:pPr>
      <w:pStyle w:val="EPFooter"/>
    </w:pPr>
    <w:r w:rsidRPr="00704302">
      <w:t>PE</w:t>
    </w:r>
    <w:r w:rsidRPr="00704302">
      <w:rPr>
        <w:rStyle w:val="HideTWBExt"/>
      </w:rPr>
      <w:t>&lt;NoPE&gt;</w:t>
    </w:r>
    <w:r w:rsidRPr="00704302">
      <w:t>766.918</w:t>
    </w:r>
    <w:r w:rsidRPr="00704302">
      <w:rPr>
        <w:rStyle w:val="HideTWBExt"/>
      </w:rPr>
      <w:t>&lt;/NoPE&gt;&lt;Version&gt;</w:t>
    </w:r>
    <w:r w:rsidRPr="00704302">
      <w:t>v02-00</w:t>
    </w:r>
    <w:r w:rsidRPr="00704302">
      <w:rPr>
        <w:rStyle w:val="HideTWBExt"/>
      </w:rPr>
      <w:t>&lt;/Version&gt;</w:t>
    </w:r>
    <w:r w:rsidRPr="00704302">
      <w:tab/>
    </w:r>
    <w:r w:rsidRPr="00704302">
      <w:fldChar w:fldCharType="begin"/>
    </w:r>
    <w:r w:rsidRPr="00704302">
      <w:instrText xml:space="preserve"> PAGE  \* MERGEFORMAT </w:instrText>
    </w:r>
    <w:r w:rsidRPr="00704302">
      <w:fldChar w:fldCharType="separate"/>
    </w:r>
    <w:r w:rsidR="00BE72E4">
      <w:rPr>
        <w:noProof/>
      </w:rPr>
      <w:t>28</w:t>
    </w:r>
    <w:r w:rsidRPr="00704302">
      <w:fldChar w:fldCharType="end"/>
    </w:r>
    <w:r w:rsidRPr="00704302">
      <w:t>/</w:t>
    </w:r>
    <w:fldSimple w:instr=" NUMPAGES  \* MERGEFORMAT ">
      <w:r w:rsidR="00BE72E4">
        <w:rPr>
          <w:noProof/>
        </w:rPr>
        <w:t>28</w:t>
      </w:r>
    </w:fldSimple>
    <w:r w:rsidRPr="00704302">
      <w:tab/>
    </w:r>
    <w:r w:rsidRPr="00704302">
      <w:rPr>
        <w:rStyle w:val="HideTWBExt"/>
      </w:rPr>
      <w:t>&lt;PathFdR&gt;</w:t>
    </w:r>
    <w:r w:rsidRPr="00704302">
      <w:t>AM\1314148ES.docx</w:t>
    </w:r>
    <w:r w:rsidRPr="00704302">
      <w:rPr>
        <w:rStyle w:val="HideTWBExt"/>
      </w:rPr>
      <w:t>&lt;/PathFdR&gt;</w:t>
    </w:r>
  </w:p>
  <w:p w:rsidR="00543E4A" w:rsidRPr="00704302" w:rsidRDefault="00704302" w:rsidP="00704302">
    <w:pPr>
      <w:pStyle w:val="EPFooter2"/>
    </w:pPr>
    <w:r w:rsidRPr="00704302">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302" w:rsidRPr="00704302" w:rsidRDefault="00704302" w:rsidP="00704302">
    <w:pPr>
      <w:pStyle w:val="EPFooter"/>
    </w:pPr>
    <w:r w:rsidRPr="00704302">
      <w:rPr>
        <w:rStyle w:val="HideTWBExt"/>
      </w:rPr>
      <w:t>&lt;PathFdR&gt;</w:t>
    </w:r>
    <w:r w:rsidRPr="00704302">
      <w:t>AM\1314148ES.docx</w:t>
    </w:r>
    <w:r w:rsidRPr="00704302">
      <w:rPr>
        <w:rStyle w:val="HideTWBExt"/>
      </w:rPr>
      <w:t>&lt;/PathFdR&gt;</w:t>
    </w:r>
    <w:r w:rsidRPr="00704302">
      <w:tab/>
    </w:r>
    <w:r w:rsidRPr="00704302">
      <w:fldChar w:fldCharType="begin"/>
    </w:r>
    <w:r w:rsidRPr="00704302">
      <w:instrText xml:space="preserve"> PAGE  \* MERGEFORMAT </w:instrText>
    </w:r>
    <w:r w:rsidRPr="00704302">
      <w:fldChar w:fldCharType="separate"/>
    </w:r>
    <w:r w:rsidR="00BE72E4">
      <w:rPr>
        <w:noProof/>
      </w:rPr>
      <w:t>27</w:t>
    </w:r>
    <w:r w:rsidRPr="00704302">
      <w:fldChar w:fldCharType="end"/>
    </w:r>
    <w:r w:rsidRPr="00704302">
      <w:t>/</w:t>
    </w:r>
    <w:fldSimple w:instr=" NUMPAGES  \* MERGEFORMAT ">
      <w:r w:rsidR="00BE72E4">
        <w:rPr>
          <w:noProof/>
        </w:rPr>
        <w:t>28</w:t>
      </w:r>
    </w:fldSimple>
    <w:r w:rsidRPr="00704302">
      <w:tab/>
      <w:t>PE</w:t>
    </w:r>
    <w:r w:rsidRPr="00704302">
      <w:rPr>
        <w:rStyle w:val="HideTWBExt"/>
      </w:rPr>
      <w:t>&lt;NoPE&gt;</w:t>
    </w:r>
    <w:r w:rsidRPr="00704302">
      <w:t>766.918</w:t>
    </w:r>
    <w:r w:rsidRPr="00704302">
      <w:rPr>
        <w:rStyle w:val="HideTWBExt"/>
      </w:rPr>
      <w:t>&lt;/NoPE&gt;&lt;Version&gt;</w:t>
    </w:r>
    <w:r w:rsidRPr="00704302">
      <w:t>v02-00</w:t>
    </w:r>
    <w:r w:rsidRPr="00704302">
      <w:rPr>
        <w:rStyle w:val="HideTWBExt"/>
      </w:rPr>
      <w:t>&lt;/Version&gt;</w:t>
    </w:r>
  </w:p>
  <w:p w:rsidR="00543E4A" w:rsidRPr="00704302" w:rsidRDefault="00704302" w:rsidP="00704302">
    <w:pPr>
      <w:pStyle w:val="EPFooter2"/>
    </w:pPr>
    <w:r w:rsidRPr="00704302">
      <w:tab/>
    </w:r>
    <w:r w:rsidRPr="00704302">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302" w:rsidRPr="00704302" w:rsidRDefault="00704302" w:rsidP="00704302">
    <w:pPr>
      <w:pStyle w:val="EPFooter"/>
    </w:pPr>
    <w:r w:rsidRPr="00704302">
      <w:rPr>
        <w:rStyle w:val="HideTWBExt"/>
      </w:rPr>
      <w:t>&lt;PathFdR&gt;</w:t>
    </w:r>
    <w:r w:rsidRPr="00704302">
      <w:t>AM\1314148ES.docx</w:t>
    </w:r>
    <w:r w:rsidRPr="00704302">
      <w:rPr>
        <w:rStyle w:val="HideTWBExt"/>
      </w:rPr>
      <w:t>&lt;/PathFdR&gt;</w:t>
    </w:r>
    <w:r w:rsidRPr="00704302">
      <w:tab/>
    </w:r>
    <w:r w:rsidRPr="00704302">
      <w:tab/>
      <w:t>PE</w:t>
    </w:r>
    <w:r w:rsidRPr="00704302">
      <w:rPr>
        <w:rStyle w:val="HideTWBExt"/>
      </w:rPr>
      <w:t>&lt;NoPE&gt;</w:t>
    </w:r>
    <w:r w:rsidRPr="00704302">
      <w:t>766.918</w:t>
    </w:r>
    <w:r w:rsidRPr="00704302">
      <w:rPr>
        <w:rStyle w:val="HideTWBExt"/>
      </w:rPr>
      <w:t>&lt;/NoPE&gt;&lt;Version&gt;</w:t>
    </w:r>
    <w:r w:rsidRPr="00704302">
      <w:t>v02-00</w:t>
    </w:r>
    <w:r w:rsidRPr="00704302">
      <w:rPr>
        <w:rStyle w:val="HideTWBExt"/>
      </w:rPr>
      <w:t>&lt;/Version&gt;</w:t>
    </w:r>
  </w:p>
  <w:p w:rsidR="00543E4A" w:rsidRPr="00704302" w:rsidRDefault="00704302" w:rsidP="00704302">
    <w:pPr>
      <w:pStyle w:val="EPFooter2"/>
    </w:pPr>
    <w:r w:rsidRPr="00704302">
      <w:t>ES</w:t>
    </w:r>
    <w:r w:rsidRPr="00704302">
      <w:tab/>
    </w:r>
    <w:r w:rsidRPr="00704302">
      <w:rPr>
        <w:b w:val="0"/>
        <w:i/>
        <w:color w:val="C0C0C0"/>
        <w:sz w:val="22"/>
      </w:rPr>
      <w:t>Unida en la diversidad</w:t>
    </w:r>
    <w:r w:rsidRPr="00704302">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E4A" w:rsidRPr="00704302" w:rsidRDefault="00543E4A">
      <w:r w:rsidRPr="00704302">
        <w:separator/>
      </w:r>
    </w:p>
  </w:footnote>
  <w:footnote w:type="continuationSeparator" w:id="0">
    <w:p w:rsidR="00543E4A" w:rsidRPr="00704302" w:rsidRDefault="00543E4A">
      <w:r w:rsidRPr="007043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B43" w:rsidRDefault="00C51B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B43" w:rsidRDefault="00C51B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B43" w:rsidRDefault="00C51B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670F6E"/>
    <w:multiLevelType w:val="hybridMultilevel"/>
    <w:tmpl w:val="D982D3F0"/>
    <w:lvl w:ilvl="0" w:tplc="DA92BE5A">
      <w:numFmt w:val="bullet"/>
      <w:lvlText w:val="-"/>
      <w:lvlJc w:val="left"/>
      <w:pPr>
        <w:ind w:left="720" w:hanging="360"/>
      </w:pPr>
      <w:rPr>
        <w:rFonts w:ascii="Times New Roman" w:eastAsia="Times New Roman" w:hAnsi="Times New Roman" w:cs="Times New Roman" w:hint="default"/>
      </w:rPr>
    </w:lvl>
    <w:lvl w:ilvl="1" w:tplc="19927EDE" w:tentative="1">
      <w:start w:val="1"/>
      <w:numFmt w:val="bullet"/>
      <w:lvlText w:val="o"/>
      <w:lvlJc w:val="left"/>
      <w:pPr>
        <w:ind w:left="1440" w:hanging="360"/>
      </w:pPr>
      <w:rPr>
        <w:rFonts w:ascii="Courier New" w:hAnsi="Courier New" w:cs="Courier New" w:hint="default"/>
      </w:rPr>
    </w:lvl>
    <w:lvl w:ilvl="2" w:tplc="94F87320" w:tentative="1">
      <w:start w:val="1"/>
      <w:numFmt w:val="bullet"/>
      <w:lvlText w:val=""/>
      <w:lvlJc w:val="left"/>
      <w:pPr>
        <w:ind w:left="2160" w:hanging="360"/>
      </w:pPr>
      <w:rPr>
        <w:rFonts w:ascii="Wingdings" w:hAnsi="Wingdings" w:hint="default"/>
      </w:rPr>
    </w:lvl>
    <w:lvl w:ilvl="3" w:tplc="F75890F4" w:tentative="1">
      <w:start w:val="1"/>
      <w:numFmt w:val="bullet"/>
      <w:lvlText w:val=""/>
      <w:lvlJc w:val="left"/>
      <w:pPr>
        <w:ind w:left="2880" w:hanging="360"/>
      </w:pPr>
      <w:rPr>
        <w:rFonts w:ascii="Symbol" w:hAnsi="Symbol" w:hint="default"/>
      </w:rPr>
    </w:lvl>
    <w:lvl w:ilvl="4" w:tplc="56903464" w:tentative="1">
      <w:start w:val="1"/>
      <w:numFmt w:val="bullet"/>
      <w:lvlText w:val="o"/>
      <w:lvlJc w:val="left"/>
      <w:pPr>
        <w:ind w:left="3600" w:hanging="360"/>
      </w:pPr>
      <w:rPr>
        <w:rFonts w:ascii="Courier New" w:hAnsi="Courier New" w:cs="Courier New" w:hint="default"/>
      </w:rPr>
    </w:lvl>
    <w:lvl w:ilvl="5" w:tplc="3A52A91E" w:tentative="1">
      <w:start w:val="1"/>
      <w:numFmt w:val="bullet"/>
      <w:lvlText w:val=""/>
      <w:lvlJc w:val="left"/>
      <w:pPr>
        <w:ind w:left="4320" w:hanging="360"/>
      </w:pPr>
      <w:rPr>
        <w:rFonts w:ascii="Wingdings" w:hAnsi="Wingdings" w:hint="default"/>
      </w:rPr>
    </w:lvl>
    <w:lvl w:ilvl="6" w:tplc="6FC0A8F8" w:tentative="1">
      <w:start w:val="1"/>
      <w:numFmt w:val="bullet"/>
      <w:lvlText w:val=""/>
      <w:lvlJc w:val="left"/>
      <w:pPr>
        <w:ind w:left="5040" w:hanging="360"/>
      </w:pPr>
      <w:rPr>
        <w:rFonts w:ascii="Symbol" w:hAnsi="Symbol" w:hint="default"/>
      </w:rPr>
    </w:lvl>
    <w:lvl w:ilvl="7" w:tplc="B9963636" w:tentative="1">
      <w:start w:val="1"/>
      <w:numFmt w:val="bullet"/>
      <w:lvlText w:val="o"/>
      <w:lvlJc w:val="left"/>
      <w:pPr>
        <w:ind w:left="5760" w:hanging="360"/>
      </w:pPr>
      <w:rPr>
        <w:rFonts w:ascii="Courier New" w:hAnsi="Courier New" w:cs="Courier New" w:hint="default"/>
      </w:rPr>
    </w:lvl>
    <w:lvl w:ilvl="8" w:tplc="426A385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EN"/>
    <w:docVar w:name="TXTLANGUEMIN" w:val="en"/>
    <w:docVar w:name="TXTNRFIRSTAM" w:val="1"/>
    <w:docVar w:name="TXTNRLASTAM" w:val="47"/>
    <w:docVar w:name="TXTNRPE" w:val="766.918"/>
    <w:docVar w:name="TXTPEorAP" w:val="PE"/>
    <w:docVar w:name="TXTROUTE" w:val="AM\1314148EN.docx"/>
    <w:docVar w:name="TXTVERSION" w:val="02-00"/>
  </w:docVars>
  <w:rsids>
    <w:rsidRoot w:val="00A77B3E"/>
    <w:rsid w:val="00023E89"/>
    <w:rsid w:val="0004475B"/>
    <w:rsid w:val="00067FED"/>
    <w:rsid w:val="000B1DB4"/>
    <w:rsid w:val="000E09C0"/>
    <w:rsid w:val="000E0C4C"/>
    <w:rsid w:val="000F2B3A"/>
    <w:rsid w:val="0014196E"/>
    <w:rsid w:val="00147121"/>
    <w:rsid w:val="0015175A"/>
    <w:rsid w:val="0017321F"/>
    <w:rsid w:val="002359A3"/>
    <w:rsid w:val="00282D0D"/>
    <w:rsid w:val="002C6279"/>
    <w:rsid w:val="00324525"/>
    <w:rsid w:val="00352716"/>
    <w:rsid w:val="0038184E"/>
    <w:rsid w:val="00387D70"/>
    <w:rsid w:val="00425411"/>
    <w:rsid w:val="00543E4A"/>
    <w:rsid w:val="005921BD"/>
    <w:rsid w:val="005B2D90"/>
    <w:rsid w:val="006971F3"/>
    <w:rsid w:val="00704302"/>
    <w:rsid w:val="0079008D"/>
    <w:rsid w:val="0086110B"/>
    <w:rsid w:val="008E06E7"/>
    <w:rsid w:val="0091671B"/>
    <w:rsid w:val="009334EA"/>
    <w:rsid w:val="00941DDC"/>
    <w:rsid w:val="00946CB6"/>
    <w:rsid w:val="00950453"/>
    <w:rsid w:val="009704F7"/>
    <w:rsid w:val="009776B1"/>
    <w:rsid w:val="009E290C"/>
    <w:rsid w:val="009E6328"/>
    <w:rsid w:val="00A77B3E"/>
    <w:rsid w:val="00AA6E87"/>
    <w:rsid w:val="00AB1048"/>
    <w:rsid w:val="00AE4B39"/>
    <w:rsid w:val="00AF7C01"/>
    <w:rsid w:val="00BC0170"/>
    <w:rsid w:val="00BE72E4"/>
    <w:rsid w:val="00C42B17"/>
    <w:rsid w:val="00C51B43"/>
    <w:rsid w:val="00C72FA0"/>
    <w:rsid w:val="00C93BE4"/>
    <w:rsid w:val="00C947FC"/>
    <w:rsid w:val="00CA2A55"/>
    <w:rsid w:val="00CB43B3"/>
    <w:rsid w:val="00DD5C8A"/>
    <w:rsid w:val="00E10EB9"/>
    <w:rsid w:val="00E13998"/>
    <w:rsid w:val="00E20290"/>
    <w:rsid w:val="00E275B2"/>
    <w:rsid w:val="00E33FD9"/>
    <w:rsid w:val="00EB6F94"/>
    <w:rsid w:val="00EB7C04"/>
    <w:rsid w:val="00ED02DC"/>
    <w:rsid w:val="00EE456E"/>
    <w:rsid w:val="00EE7964"/>
    <w:rsid w:val="00F04EBB"/>
    <w:rsid w:val="00F321DF"/>
    <w:rsid w:val="00F60F33"/>
    <w:rsid w:val="00F94853"/>
    <w:rsid w:val="00FD33D4"/>
    <w:rsid w:val="00FE7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1B4881F"/>
  <w15:docId w15:val="{C11962C7-7420-4224-9019-6915F024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5175A"/>
    <w:pPr>
      <w:tabs>
        <w:tab w:val="center" w:pos="4513"/>
        <w:tab w:val="right" w:pos="9026"/>
      </w:tabs>
    </w:pPr>
  </w:style>
  <w:style w:type="character" w:customStyle="1" w:styleId="HeaderChar">
    <w:name w:val="Header Char"/>
    <w:basedOn w:val="DefaultParagraphFont"/>
    <w:link w:val="Header"/>
    <w:rsid w:val="0015175A"/>
    <w:rPr>
      <w:sz w:val="24"/>
      <w:szCs w:val="24"/>
    </w:rPr>
  </w:style>
  <w:style w:type="paragraph" w:customStyle="1" w:styleId="Normal6">
    <w:name w:val="Normal6"/>
    <w:basedOn w:val="Normal"/>
    <w:link w:val="Normal6Char"/>
    <w:rsid w:val="0079008D"/>
    <w:pPr>
      <w:spacing w:after="120"/>
    </w:pPr>
    <w:rPr>
      <w:szCs w:val="20"/>
      <w:lang w:val="es-ES" w:eastAsia="en-GB"/>
    </w:rPr>
  </w:style>
  <w:style w:type="paragraph" w:customStyle="1" w:styleId="Normal12Italic">
    <w:name w:val="Normal12Italic"/>
    <w:basedOn w:val="Normal"/>
    <w:rsid w:val="0079008D"/>
    <w:pPr>
      <w:spacing w:after="240"/>
    </w:pPr>
    <w:rPr>
      <w:i/>
      <w:noProof/>
      <w:szCs w:val="20"/>
      <w:lang w:val="es-ES" w:eastAsia="en-GB"/>
    </w:rPr>
  </w:style>
  <w:style w:type="character" w:customStyle="1" w:styleId="NormalBoldChar">
    <w:name w:val="NormalBold Char"/>
    <w:basedOn w:val="DefaultParagraphFont"/>
    <w:link w:val="NormalBold"/>
    <w:rsid w:val="0079008D"/>
    <w:rPr>
      <w:b/>
      <w:sz w:val="24"/>
      <w:szCs w:val="24"/>
    </w:rPr>
  </w:style>
  <w:style w:type="character" w:customStyle="1" w:styleId="Normal6Char">
    <w:name w:val="Normal6 Char"/>
    <w:basedOn w:val="DefaultParagraphFont"/>
    <w:link w:val="Normal6"/>
    <w:rsid w:val="0079008D"/>
    <w:rPr>
      <w:sz w:val="24"/>
      <w:lang w:val="es-ES" w:eastAsia="en-GB"/>
    </w:rPr>
  </w:style>
  <w:style w:type="paragraph" w:customStyle="1" w:styleId="ColumnHeading">
    <w:name w:val="ColumnHeading"/>
    <w:basedOn w:val="Normal"/>
    <w:rsid w:val="0079008D"/>
    <w:pPr>
      <w:spacing w:after="240"/>
      <w:jc w:val="center"/>
    </w:pPr>
    <w:rPr>
      <w:i/>
      <w:szCs w:val="20"/>
      <w:lang w:val="es-ES" w:eastAsia="en-GB"/>
    </w:rPr>
  </w:style>
  <w:style w:type="paragraph" w:customStyle="1" w:styleId="AMNumberTabs0">
    <w:name w:val="AMNumberTabs"/>
    <w:basedOn w:val="Normal"/>
    <w:rsid w:val="007900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es-ES" w:eastAsia="en-GB"/>
    </w:rPr>
  </w:style>
  <w:style w:type="paragraph" w:customStyle="1" w:styleId="Olang">
    <w:name w:val="Olang"/>
    <w:rsid w:val="0079008D"/>
    <w:pPr>
      <w:jc w:val="right"/>
    </w:pPr>
    <w:rPr>
      <w:lang w:eastAsia="en-GB"/>
    </w:rPr>
  </w:style>
  <w:style w:type="paragraph" w:customStyle="1" w:styleId="JustificationTitle">
    <w:name w:val="JustificationTitle"/>
    <w:basedOn w:val="Normal"/>
    <w:next w:val="Normal"/>
    <w:rsid w:val="002C6279"/>
    <w:pPr>
      <w:keepNext/>
      <w:spacing w:before="240" w:after="240"/>
      <w:jc w:val="center"/>
    </w:pPr>
    <w:rPr>
      <w:i/>
      <w:noProof/>
      <w:szCs w:val="20"/>
      <w:lang w:val="es-ES" w:eastAsia="en-GB"/>
    </w:rPr>
  </w:style>
  <w:style w:type="paragraph" w:styleId="BalloonText">
    <w:name w:val="Balloon Text"/>
    <w:basedOn w:val="Normal"/>
    <w:link w:val="BalloonTextChar"/>
    <w:semiHidden/>
    <w:unhideWhenUsed/>
    <w:rsid w:val="005921BD"/>
    <w:rPr>
      <w:rFonts w:ascii="Segoe UI" w:hAnsi="Segoe UI" w:cs="Segoe UI"/>
      <w:sz w:val="18"/>
      <w:szCs w:val="18"/>
    </w:rPr>
  </w:style>
  <w:style w:type="character" w:customStyle="1" w:styleId="BalloonTextChar">
    <w:name w:val="Balloon Text Char"/>
    <w:basedOn w:val="DefaultParagraphFont"/>
    <w:link w:val="BalloonText"/>
    <w:semiHidden/>
    <w:rsid w:val="005921BD"/>
    <w:rPr>
      <w:rFonts w:ascii="Segoe UI" w:hAnsi="Segoe UI" w:cs="Segoe UI"/>
      <w:sz w:val="18"/>
      <w:szCs w:val="18"/>
    </w:rPr>
  </w:style>
  <w:style w:type="paragraph" w:styleId="Footer">
    <w:name w:val="footer"/>
    <w:basedOn w:val="Normal"/>
    <w:link w:val="FooterChar"/>
    <w:semiHidden/>
    <w:unhideWhenUsed/>
    <w:rsid w:val="00C947FC"/>
    <w:pPr>
      <w:tabs>
        <w:tab w:val="center" w:pos="4513"/>
        <w:tab w:val="right" w:pos="9026"/>
      </w:tabs>
    </w:pPr>
  </w:style>
  <w:style w:type="character" w:customStyle="1" w:styleId="FooterChar">
    <w:name w:val="Footer Char"/>
    <w:basedOn w:val="DefaultParagraphFont"/>
    <w:link w:val="Footer"/>
    <w:semiHidden/>
    <w:rsid w:val="00C947FC"/>
    <w:rPr>
      <w:sz w:val="24"/>
      <w:szCs w:val="24"/>
    </w:rPr>
  </w:style>
  <w:style w:type="character" w:styleId="CommentReference">
    <w:name w:val="annotation reference"/>
    <w:basedOn w:val="DefaultParagraphFont"/>
    <w:semiHidden/>
    <w:unhideWhenUsed/>
    <w:rsid w:val="00E33FD9"/>
    <w:rPr>
      <w:sz w:val="16"/>
      <w:szCs w:val="16"/>
    </w:rPr>
  </w:style>
  <w:style w:type="paragraph" w:styleId="CommentText">
    <w:name w:val="annotation text"/>
    <w:basedOn w:val="Normal"/>
    <w:link w:val="CommentTextChar"/>
    <w:semiHidden/>
    <w:unhideWhenUsed/>
    <w:rsid w:val="00E33FD9"/>
    <w:rPr>
      <w:sz w:val="20"/>
      <w:szCs w:val="20"/>
    </w:rPr>
  </w:style>
  <w:style w:type="character" w:customStyle="1" w:styleId="CommentTextChar">
    <w:name w:val="Comment Text Char"/>
    <w:basedOn w:val="DefaultParagraphFont"/>
    <w:link w:val="CommentText"/>
    <w:semiHidden/>
    <w:rsid w:val="00E33FD9"/>
  </w:style>
  <w:style w:type="paragraph" w:styleId="CommentSubject">
    <w:name w:val="annotation subject"/>
    <w:basedOn w:val="CommentText"/>
    <w:next w:val="CommentText"/>
    <w:link w:val="CommentSubjectChar"/>
    <w:semiHidden/>
    <w:unhideWhenUsed/>
    <w:rsid w:val="00E33FD9"/>
    <w:rPr>
      <w:b/>
      <w:bCs/>
    </w:rPr>
  </w:style>
  <w:style w:type="character" w:customStyle="1" w:styleId="CommentSubjectChar">
    <w:name w:val="Comment Subject Char"/>
    <w:basedOn w:val="CommentTextChar"/>
    <w:link w:val="CommentSubject"/>
    <w:semiHidden/>
    <w:rsid w:val="00E33F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E2CFC-DA36-4EE4-8834-ECC3E7ED7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6692</Words>
  <Characters>36533</Characters>
  <Application>Microsoft Office Word</Application>
  <DocSecurity>0</DocSecurity>
  <Lines>1449</Lines>
  <Paragraphs>459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2025-02-14T11:44:00Z</dcterms:created>
  <dcterms:modified xsi:type="dcterms:W3CDTF">2025-02-14T11:44:00Z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1314148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106998</vt:lpwstr>
  </property>
  <property fmtid="{D5CDD505-2E9C-101B-9397-08002B2CF9AE}" pid="7" name="dmxml.render.traceId">
    <vt:lpwstr>677d08427179ddb555bd7d290adfc221</vt:lpwstr>
  </property>
  <property fmtid="{D5CDD505-2E9C-101B-9397-08002B2CF9AE}" pid="8" name="FooterPath">
    <vt:lpwstr>AM\1314148ES.docx</vt:lpwstr>
  </property>
  <property fmtid="{D5CDD505-2E9C-101B-9397-08002B2CF9AE}" pid="9" name="LastEdited with">
    <vt:lpwstr>10.0.0 Build [20241202]</vt:lpwstr>
  </property>
  <property fmtid="{D5CDD505-2E9C-101B-9397-08002B2CF9AE}" pid="10" name="PE Number">
    <vt:lpwstr>766.918</vt:lpwstr>
  </property>
  <property fmtid="{D5CDD505-2E9C-101B-9397-08002B2CF9AE}" pid="11" name="SDLStudio">
    <vt:lpwstr/>
  </property>
  <property fmtid="{D5CDD505-2E9C-101B-9397-08002B2CF9AE}" pid="12" name="SendToEpades">
    <vt:lpwstr>OK - 2025/01/31 10:51</vt:lpwstr>
  </property>
  <property fmtid="{D5CDD505-2E9C-101B-9397-08002B2CF9AE}" pid="13" name="UID">
    <vt:lpwstr>eu.europa.europarl-DIN1-2024-0000071725_02.00-en-01.00_text-xml</vt:lpwstr>
  </property>
  <property fmtid="{D5CDD505-2E9C-101B-9397-08002B2CF9AE}" pid="14" name="Bookout">
    <vt:lpwstr>OK - 2025/02/14 12:44</vt:lpwstr>
  </property>
</Properties>
</file>