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A32BEE" w:rsidRPr="005842B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7D70" w:rsidRPr="005842B7" w:rsidRDefault="005842B7">
            <w:pPr>
              <w:pStyle w:val="EPName"/>
            </w:pPr>
            <w:r w:rsidRPr="005842B7">
              <w:t>Euroopan parlamentti</w:t>
            </w:r>
          </w:p>
          <w:p w:rsidR="00387D70" w:rsidRPr="005842B7" w:rsidRDefault="005842B7">
            <w:pPr>
              <w:pStyle w:val="EPTerm"/>
            </w:pPr>
            <w:r w:rsidRPr="005842B7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387D70" w:rsidRPr="005842B7" w:rsidRDefault="00034909">
            <w:pPr>
              <w:pStyle w:val="EPLogo"/>
            </w:pPr>
            <w:r w:rsidRPr="005842B7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35pt;height:50pt">
                  <v:imagedata r:id="rId8" o:title=""/>
                </v:shape>
              </w:pict>
            </w:r>
          </w:p>
        </w:tc>
      </w:tr>
    </w:tbl>
    <w:p w:rsidR="00387D70" w:rsidRPr="005842B7" w:rsidRDefault="005842B7">
      <w:pPr>
        <w:pStyle w:val="LineTop"/>
      </w:pPr>
      <w:r w:rsidRPr="005842B7">
        <w:t xml:space="preserve"> </w:t>
      </w:r>
    </w:p>
    <w:p w:rsidR="00387D70" w:rsidRPr="005842B7" w:rsidRDefault="005842B7">
      <w:pPr>
        <w:pStyle w:val="EPBody"/>
      </w:pPr>
      <w:r w:rsidRPr="005842B7">
        <w:rPr>
          <w:rStyle w:val="HideTWBExt"/>
        </w:rPr>
        <w:t>&lt;Commission&gt;</w:t>
      </w:r>
      <w:r w:rsidRPr="005842B7">
        <w:rPr>
          <w:rStyle w:val="HideTWBInt"/>
          <w:color w:val="auto"/>
        </w:rPr>
        <w:t>{LIBE}</w:t>
      </w:r>
      <w:r w:rsidRPr="005842B7">
        <w:t>Kansalaisvapauksien sekä oikeus- ja sisäasioiden valiokunta</w:t>
      </w:r>
      <w:r w:rsidRPr="005842B7">
        <w:rPr>
          <w:rStyle w:val="HideTWBExt"/>
        </w:rPr>
        <w:t>&lt;/Commission&gt;</w:t>
      </w:r>
    </w:p>
    <w:p w:rsidR="00387D70" w:rsidRPr="005842B7" w:rsidRDefault="005842B7">
      <w:pPr>
        <w:pStyle w:val="LineBottom"/>
      </w:pPr>
      <w:r w:rsidRPr="005842B7">
        <w:t xml:space="preserve"> </w:t>
      </w:r>
    </w:p>
    <w:p w:rsidR="00E33FD9" w:rsidRPr="005842B7" w:rsidRDefault="005842B7" w:rsidP="00E33FD9">
      <w:pPr>
        <w:pStyle w:val="CoverReference"/>
      </w:pPr>
      <w:r w:rsidRPr="005842B7">
        <w:rPr>
          <w:rStyle w:val="HideTWBExt"/>
        </w:rPr>
        <w:t>&lt;RefProc&gt;</w:t>
      </w:r>
      <w:r w:rsidRPr="005842B7">
        <w:t>2024/0187</w:t>
      </w:r>
      <w:r w:rsidRPr="005842B7">
        <w:rPr>
          <w:rStyle w:val="HideTWBExt"/>
        </w:rPr>
        <w:t>&lt;/RefProc&gt;&lt;RefTypeProc&gt;</w:t>
      </w:r>
      <w:r w:rsidRPr="005842B7">
        <w:t>(CNS)</w:t>
      </w:r>
      <w:r w:rsidRPr="005842B7">
        <w:rPr>
          <w:rStyle w:val="HideTWBExt"/>
        </w:rPr>
        <w:t>&lt;/RefTypeProc&gt;</w:t>
      </w:r>
    </w:p>
    <w:p w:rsidR="00E33FD9" w:rsidRPr="005842B7" w:rsidRDefault="005842B7" w:rsidP="00E33FD9">
      <w:pPr>
        <w:pStyle w:val="CoverDate"/>
      </w:pPr>
      <w:r w:rsidRPr="005842B7">
        <w:rPr>
          <w:rStyle w:val="HideTWBExt"/>
        </w:rPr>
        <w:t>&lt;Date&gt;</w:t>
      </w:r>
      <w:r w:rsidRPr="005842B7">
        <w:rPr>
          <w:rStyle w:val="HideTWBInt"/>
          <w:color w:val="auto"/>
        </w:rPr>
        <w:t>{31/01/2025}</w:t>
      </w:r>
      <w:r w:rsidRPr="005842B7">
        <w:t>31.01.2025</w:t>
      </w:r>
      <w:r w:rsidRPr="005842B7">
        <w:rPr>
          <w:rStyle w:val="HideTWBExt"/>
        </w:rPr>
        <w:t>&lt;/Date&gt;</w:t>
      </w:r>
    </w:p>
    <w:p w:rsidR="00E33FD9" w:rsidRPr="005842B7" w:rsidRDefault="005842B7" w:rsidP="00E33FD9">
      <w:pPr>
        <w:pStyle w:val="CoverDocType"/>
      </w:pPr>
      <w:r w:rsidRPr="005842B7">
        <w:rPr>
          <w:rStyle w:val="HideTWBExt"/>
        </w:rPr>
        <w:t>&lt;TypeAM&gt;</w:t>
      </w:r>
      <w:r w:rsidRPr="005842B7">
        <w:t>TARKISTUKSET</w:t>
      </w:r>
      <w:r w:rsidRPr="005842B7">
        <w:rPr>
          <w:rStyle w:val="HideTWBExt"/>
        </w:rPr>
        <w:t>&lt;/TypeAM&gt;</w:t>
      </w:r>
    </w:p>
    <w:p w:rsidR="00E33FD9" w:rsidRPr="005842B7" w:rsidRDefault="005842B7" w:rsidP="00E33FD9">
      <w:pPr>
        <w:pStyle w:val="CoverDocType24a"/>
      </w:pPr>
      <w:r w:rsidRPr="005842B7">
        <w:rPr>
          <w:rStyle w:val="HideTWBExt"/>
        </w:rPr>
        <w:t>&lt;RangeAM&gt;</w:t>
      </w:r>
      <w:r w:rsidRPr="005842B7">
        <w:t>1 - 47</w:t>
      </w:r>
      <w:r w:rsidRPr="005842B7">
        <w:rPr>
          <w:rStyle w:val="HideTWBExt"/>
        </w:rPr>
        <w:t>&lt;/RangeAM&gt;</w:t>
      </w:r>
    </w:p>
    <w:p w:rsidR="00E33FD9" w:rsidRPr="005842B7" w:rsidRDefault="005842B7" w:rsidP="00E33FD9">
      <w:pPr>
        <w:pStyle w:val="CoverBold"/>
      </w:pPr>
      <w:r w:rsidRPr="005842B7">
        <w:rPr>
          <w:rStyle w:val="HideTWBExt"/>
        </w:rPr>
        <w:t>&lt;TitreType&gt;</w:t>
      </w:r>
      <w:r w:rsidRPr="005842B7">
        <w:t>Mietintöluonnos</w:t>
      </w:r>
      <w:r w:rsidRPr="005842B7">
        <w:rPr>
          <w:rStyle w:val="HideTWBExt"/>
        </w:rPr>
        <w:t>&lt;/TitreType&gt;</w:t>
      </w:r>
    </w:p>
    <w:p w:rsidR="00E33FD9" w:rsidRPr="005842B7" w:rsidRDefault="005842B7" w:rsidP="00E33FD9">
      <w:pPr>
        <w:pStyle w:val="CoverBold"/>
      </w:pPr>
      <w:r w:rsidRPr="005842B7">
        <w:rPr>
          <w:rStyle w:val="HideTWBExt"/>
        </w:rPr>
        <w:t>&lt;Rapporteur&gt;</w:t>
      </w:r>
      <w:r w:rsidRPr="005842B7">
        <w:t>Malik Azmani</w:t>
      </w:r>
      <w:r w:rsidRPr="005842B7">
        <w:rPr>
          <w:rStyle w:val="HideTWBExt"/>
        </w:rPr>
        <w:t>&lt;/Rapporteur&gt;</w:t>
      </w:r>
    </w:p>
    <w:p w:rsidR="00E33FD9" w:rsidRPr="005842B7" w:rsidRDefault="005842B7" w:rsidP="00E33FD9">
      <w:pPr>
        <w:pStyle w:val="CoverNormal24a"/>
      </w:pPr>
      <w:r w:rsidRPr="005842B7">
        <w:rPr>
          <w:rStyle w:val="HideTWBExt"/>
        </w:rPr>
        <w:t>&lt;DocRefPE&gt;</w:t>
      </w:r>
      <w:r w:rsidRPr="005842B7">
        <w:t>(PE766.606v01-00)</w:t>
      </w:r>
      <w:r w:rsidRPr="005842B7">
        <w:rPr>
          <w:rStyle w:val="HideTWBExt"/>
        </w:rPr>
        <w:t>&lt;/DocRefPE&gt;</w:t>
      </w:r>
    </w:p>
    <w:p w:rsidR="00E33FD9" w:rsidRPr="005842B7" w:rsidRDefault="005842B7" w:rsidP="00E33FD9">
      <w:pPr>
        <w:pStyle w:val="CoverNormal24a"/>
      </w:pPr>
      <w:r w:rsidRPr="005842B7">
        <w:rPr>
          <w:rStyle w:val="HideTWBExt"/>
        </w:rPr>
        <w:t>&lt;Titre&gt;</w:t>
      </w:r>
      <w:r w:rsidRPr="005842B7">
        <w:t xml:space="preserve">Unionin kansalaisten henkilökorttien sekä oikeuttaan vapaaseen liikkuvuuteen käyttäville unionin </w:t>
      </w:r>
      <w:r w:rsidRPr="005842B7">
        <w:t>kansalaisille ja heidän perheenjäsenilleen myönnettävien oleskeluasiakirjojen turvallisuuden lisääminen</w:t>
      </w:r>
      <w:r w:rsidRPr="005842B7">
        <w:rPr>
          <w:rStyle w:val="HideTWBExt"/>
        </w:rPr>
        <w:t>&lt;/Titre&gt;</w:t>
      </w:r>
    </w:p>
    <w:p w:rsidR="00E33FD9" w:rsidRPr="005842B7" w:rsidRDefault="005842B7" w:rsidP="00E33FD9">
      <w:pPr>
        <w:pStyle w:val="CoverNormal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CoverNormal24a"/>
      </w:pPr>
      <w:r w:rsidRPr="005842B7">
        <w:rPr>
          <w:rStyle w:val="HideTWBExt"/>
        </w:rPr>
        <w:t>&lt;DocRef&gt;</w:t>
      </w:r>
      <w:r w:rsidRPr="005842B7">
        <w:t>(COM(2024)0316 – 2024/0187(CNS))</w:t>
      </w:r>
      <w:r w:rsidRPr="005842B7">
        <w:rPr>
          <w:rStyle w:val="HideTWBExt"/>
        </w:rPr>
        <w:t>&lt;/DocRef&gt;</w:t>
      </w:r>
    </w:p>
    <w:p w:rsidR="00E33FD9" w:rsidRPr="005842B7" w:rsidRDefault="005842B7" w:rsidP="00E33FD9">
      <w:pPr>
        <w:ind w:left="567"/>
      </w:pPr>
      <w:r w:rsidRPr="005842B7">
        <w:br w:type="page"/>
      </w:r>
      <w:r w:rsidRPr="005842B7">
        <w:lastRenderedPageBreak/>
        <w:t>AM_Com_LegReport</w:t>
      </w:r>
    </w:p>
    <w:p w:rsidR="00E33FD9" w:rsidRPr="005842B7" w:rsidRDefault="005842B7" w:rsidP="00E33FD9">
      <w:pPr>
        <w:pStyle w:val="AmNumberTabs"/>
      </w:pPr>
      <w:r w:rsidRPr="005842B7">
        <w:br w:type="page"/>
      </w:r>
      <w:r w:rsidRPr="005842B7">
        <w:rPr>
          <w:rStyle w:val="HideTWBExt"/>
        </w:rPr>
        <w:lastRenderedPageBreak/>
        <w:t>&lt;RepeatBlock-Amend&gt;&lt;Amend&gt;</w:t>
      </w:r>
      <w:r w:rsidRPr="005842B7">
        <w:t>Tarkistu</w:t>
      </w:r>
      <w:r w:rsidRPr="005842B7">
        <w:t>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1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Malik Azmani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Luonnos lainsäädäntöpäätöslauselmaksi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Johdanto-osan 1 a viite (uusi)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Luonnos lainsäädäntöpäätöslauselmaksi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0E0C4C">
            <w:pPr>
              <w:pStyle w:val="Normal6a"/>
              <w:ind w:left="720" w:hanging="360"/>
            </w:pPr>
            <w:r w:rsidRPr="005842B7">
              <w:t>–</w:t>
            </w:r>
            <w:r w:rsidRPr="005842B7">
              <w:tab/>
            </w:r>
            <w:r w:rsidRPr="005842B7">
              <w:rPr>
                <w:b/>
                <w:bCs/>
                <w:i/>
                <w:iCs/>
              </w:rPr>
              <w:t xml:space="preserve">ottaa </w:t>
            </w:r>
            <w:r w:rsidRPr="005842B7">
              <w:rPr>
                <w:b/>
                <w:bCs/>
                <w:i/>
                <w:iCs/>
              </w:rPr>
              <w:t>huomioon neuvoston esityksen (16877/24),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2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Milan Uhrík, Ewa Zajączkowska-Hernik, Mary Khan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r w:rsidRPr="005842B7">
        <w:rPr>
          <w:rStyle w:val="HideTWBExt"/>
        </w:rPr>
        <w:t>&lt;AuNomDe&gt;</w:t>
      </w:r>
      <w:r w:rsidRPr="005842B7">
        <w:rPr>
          <w:rStyle w:val="HideTWBInt"/>
          <w:color w:val="auto"/>
        </w:rPr>
        <w:t>{ESN}</w:t>
      </w:r>
      <w:r w:rsidRPr="005842B7">
        <w:t>ESN-ryhmän puolesta</w:t>
      </w:r>
      <w:r w:rsidRPr="005842B7">
        <w:rPr>
          <w:rStyle w:val="HideTWBExt"/>
        </w:rPr>
        <w:t>&lt;/AuNomDe&gt;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Johdanto-osan 16 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(16)</w:t>
            </w:r>
            <w:r w:rsidRPr="005842B7">
              <w:tab/>
              <w:t xml:space="preserve">Kasvokuvan ja kahden sormenjäljen, jäljempänä ’biometriset tiedot’, sisällyttäminen henkilö- ja oleskelukortteihin, </w:t>
            </w:r>
            <w:r w:rsidRPr="005842B7">
              <w:rPr>
                <w:b/>
                <w:i/>
              </w:rPr>
              <w:t>kuten jo tehdään unionin kansalaisten biometrisissä passeissa ja kolmansien maiden kansalaisten oleskeluluvissa, on</w:t>
            </w:r>
            <w:r w:rsidRPr="005842B7">
              <w:t xml:space="preserve"> asianmukainen keino </w:t>
            </w:r>
            <w:r w:rsidRPr="005842B7">
              <w:rPr>
                <w:b/>
                <w:i/>
              </w:rPr>
              <w:t>lisätä henkilö- ja oleskelukorttien turvallisuutta, koska siinä yhdistyy luotettava</w:t>
            </w:r>
            <w:r w:rsidRPr="005842B7">
              <w:t xml:space="preserve"> henkilöllisyyden </w:t>
            </w:r>
            <w:r w:rsidRPr="005842B7">
              <w:rPr>
                <w:b/>
                <w:i/>
              </w:rPr>
              <w:t>todentaminen</w:t>
            </w:r>
            <w:r w:rsidRPr="005842B7">
              <w:t xml:space="preserve"> ja ait</w:t>
            </w:r>
            <w:r w:rsidRPr="005842B7">
              <w:t xml:space="preserve">ouden </w:t>
            </w:r>
            <w:r w:rsidRPr="005842B7">
              <w:rPr>
                <w:b/>
                <w:i/>
              </w:rPr>
              <w:t>varmistaminen</w:t>
            </w:r>
            <w:r w:rsidRPr="005842B7">
              <w:t xml:space="preserve"> alentuneeseen petosriskiin. </w:t>
            </w:r>
            <w:r w:rsidRPr="005842B7">
              <w:rPr>
                <w:b/>
                <w:i/>
              </w:rPr>
              <w:t>Kuten</w:t>
            </w:r>
            <w:r w:rsidRPr="005842B7">
              <w:t xml:space="preserve"> unionin tuomioistuin </w:t>
            </w:r>
            <w:r w:rsidRPr="005842B7">
              <w:rPr>
                <w:b/>
                <w:i/>
              </w:rPr>
              <w:t>on todennut,</w:t>
            </w:r>
            <w:r w:rsidRPr="005842B7">
              <w:t xml:space="preserve"> sormenjälkien pakollinen vieminen tallennusvälineeseen on sopusoinnussa perusoikeuskirjan 7 artiklaan kirjatun yksityiselämän kunnioittamista koskevan oikeuden ja 8 art</w:t>
            </w:r>
            <w:r w:rsidRPr="005842B7">
              <w:t>iklaan kirjatun henkilötietojen suojaa koskevan oikeuden kanssa.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(16)</w:t>
            </w:r>
            <w:r w:rsidRPr="005842B7">
              <w:tab/>
              <w:t xml:space="preserve">Kasvokuvan ja kahden sormenjäljen, jäljempänä ’biometriset tiedot’, sisällyttäminen henkilö- ja oleskelukortteihin </w:t>
            </w:r>
            <w:r w:rsidRPr="005842B7">
              <w:rPr>
                <w:b/>
                <w:i/>
              </w:rPr>
              <w:t>ei ole</w:t>
            </w:r>
            <w:r w:rsidRPr="005842B7">
              <w:t xml:space="preserve"> asianmukainen keino </w:t>
            </w:r>
            <w:r w:rsidRPr="005842B7">
              <w:rPr>
                <w:b/>
                <w:i/>
              </w:rPr>
              <w:t>yhdistää luotettavaa</w:t>
            </w:r>
            <w:r w:rsidRPr="005842B7">
              <w:t xml:space="preserve"> henkilöllisyyden </w:t>
            </w:r>
            <w:r w:rsidRPr="005842B7">
              <w:rPr>
                <w:b/>
                <w:i/>
              </w:rPr>
              <w:t>todent</w:t>
            </w:r>
            <w:r w:rsidRPr="005842B7">
              <w:rPr>
                <w:b/>
                <w:i/>
              </w:rPr>
              <w:t>amista</w:t>
            </w:r>
            <w:r w:rsidRPr="005842B7">
              <w:t xml:space="preserve"> ja aitouden </w:t>
            </w:r>
            <w:r w:rsidRPr="005842B7">
              <w:rPr>
                <w:b/>
                <w:i/>
              </w:rPr>
              <w:t>varmistamista</w:t>
            </w:r>
            <w:r w:rsidRPr="005842B7">
              <w:t xml:space="preserve"> alentuneeseen petosriskiin </w:t>
            </w:r>
            <w:r w:rsidRPr="005842B7">
              <w:rPr>
                <w:b/>
                <w:i/>
              </w:rPr>
              <w:t>henkilö- ja oleskelukorttien turvallisuuden lisäämiseksi</w:t>
            </w:r>
            <w:r w:rsidRPr="005842B7">
              <w:t xml:space="preserve">. </w:t>
            </w:r>
            <w:r w:rsidRPr="005842B7">
              <w:rPr>
                <w:b/>
                <w:i/>
              </w:rPr>
              <w:t>Se loukkaa liian voimakkaasti kansalaisten oikeutta yksityisyyteen ja antaa yhä suurempia mahdollisuuksia valtion valvontaan. Se muodostaa</w:t>
            </w:r>
            <w:r w:rsidRPr="005842B7">
              <w:rPr>
                <w:b/>
                <w:i/>
              </w:rPr>
              <w:t xml:space="preserve"> myös liian suuren kyberrikollisuuden riskin: jos nämä sormenjäljet varastetaan henkilökortin tallennusvälineestä, niitä voidaan käyttää maailmanlaajuisesti kaikenlaisiin henkilöllisyyspetoksiin ja -varkauksiin. Koska sormenjäljet ovat ainutlaatuisia eikä </w:t>
            </w:r>
            <w:r w:rsidRPr="005842B7">
              <w:rPr>
                <w:b/>
                <w:i/>
              </w:rPr>
              <w:t>niitä voida muuttaa, niiden varastaminen olisi elinikäinen riski varkauden uhriksi joutuneelle kansalaiselle. Vaikka</w:t>
            </w:r>
            <w:r w:rsidRPr="005842B7">
              <w:t xml:space="preserve"> unionin tuomioistuin </w:t>
            </w:r>
            <w:r w:rsidRPr="005842B7">
              <w:rPr>
                <w:b/>
                <w:i/>
              </w:rPr>
              <w:t>vahvistaisi puhtaasti oikeudellisesti, että</w:t>
            </w:r>
            <w:r w:rsidRPr="005842B7">
              <w:t xml:space="preserve"> </w:t>
            </w:r>
            <w:r w:rsidRPr="005842B7">
              <w:lastRenderedPageBreak/>
              <w:t>sormenjälkien pakollinen vieminen tallennusvälineeseen on sopusoinnussa pe</w:t>
            </w:r>
            <w:r w:rsidRPr="005842B7">
              <w:t>rusoikeuskirjan 7 artiklaan kirjatun yksityiselämän kunnioittamista koskevan oikeuden ja 8 artiklaan kirjatun henkilötietojen suojaa koskevan oikeuden kanssa</w:t>
            </w:r>
            <w:r w:rsidRPr="005842B7">
              <w:rPr>
                <w:b/>
                <w:i/>
              </w:rPr>
              <w:t>, tässä on kysymys muistakin arvoista, kuten perustavaa laatua olevasta valinnasta asettaa kansalai</w:t>
            </w:r>
            <w:r w:rsidRPr="005842B7">
              <w:rPr>
                <w:b/>
                <w:i/>
              </w:rPr>
              <w:t>sten yksityisyyden suoja valtion valvontamahdollisuuksien jatkuvan lisäämisen edelle, sekä uusien kyberrikollisuuden muotojen estämisestä kaikin keinoin</w:t>
            </w:r>
            <w:r w:rsidRPr="005842B7">
              <w:t>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lastRenderedPageBreak/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3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Francisco Assis, Krzysztof Śmiszek, Ana Catarina Mendes, Marco Tarquinio, Emma Rafowicz, Alessandro Zan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Johdanto-osan 19 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(19)</w:t>
            </w:r>
            <w:r w:rsidRPr="005842B7">
              <w:tab/>
            </w:r>
            <w:r w:rsidRPr="005842B7">
              <w:t>Asetus ei tarjoa oikeusperustaa kansallisten tietokantojen perustamiselle tai ylläpitämiselle biometristen tietojen tallentamista varten jäsenvaltioissa</w:t>
            </w:r>
            <w:r w:rsidRPr="005842B7">
              <w:rPr>
                <w:b/>
                <w:i/>
              </w:rPr>
              <w:t>, koska asia kuuluu kansallisen lainsäädännön piiriin, ja kyseisen lainsäädännön on oltava tietosuojaa k</w:t>
            </w:r>
            <w:r w:rsidRPr="005842B7">
              <w:rPr>
                <w:b/>
                <w:i/>
              </w:rPr>
              <w:t>oskevan unionin oikeuden mukainen, mukaan lukien sen välttämättömyys- ja oikeasuhteisuusvaatimukset</w:t>
            </w:r>
            <w:r w:rsidRPr="005842B7">
              <w:t>. Asetus ei myöskään tarjoa oikeusperustaa keskitetyn tietokannan perustamiselle tai ylläpitämiselle unionin tasolla.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(19)</w:t>
            </w:r>
            <w:r w:rsidRPr="005842B7">
              <w:tab/>
              <w:t>Asetus ei tarjoa oikeusperustaa ka</w:t>
            </w:r>
            <w:r w:rsidRPr="005842B7">
              <w:t xml:space="preserve">nsallisten tietokantojen perustamiselle tai ylläpitämiselle biometristen tietojen tallentamista varten jäsenvaltioissa. Asetus ei myöskään tarjoa oikeusperustaa keskitetyn tietokannan perustamiselle tai ylläpitämiselle unionin tasolla. </w:t>
            </w:r>
            <w:r w:rsidRPr="005842B7">
              <w:rPr>
                <w:b/>
                <w:i/>
              </w:rPr>
              <w:t>Tämän asetuksen sove</w:t>
            </w:r>
            <w:r w:rsidRPr="005842B7">
              <w:rPr>
                <w:b/>
                <w:i/>
              </w:rPr>
              <w:t>ltamiseksi käsiteltäviä biometrisiä tietoja ei pitäisi käsitellä muihin tarkoituksiin eikä niitä pitäisi tallentaa kansallisiin tai unionin tason tietokantoihin.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4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Anna Strolenberg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r w:rsidRPr="005842B7">
        <w:rPr>
          <w:rStyle w:val="HideTWBExt"/>
        </w:rPr>
        <w:t>&lt;AuNomDe&gt;</w:t>
      </w:r>
      <w:r w:rsidRPr="005842B7">
        <w:rPr>
          <w:rStyle w:val="HideTWBInt"/>
          <w:color w:val="auto"/>
        </w:rPr>
        <w:t>{Greens/EFA}</w:t>
      </w:r>
      <w:r w:rsidRPr="005842B7">
        <w:t>Verts/ALE-ryhmän puolesta</w:t>
      </w:r>
      <w:r w:rsidRPr="005842B7">
        <w:rPr>
          <w:rStyle w:val="HideTWBExt"/>
        </w:rPr>
        <w:t>&lt;/AuNomDe&gt;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lastRenderedPageBreak/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Johdanto-osan 19 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(19)</w:t>
            </w:r>
            <w:r w:rsidRPr="005842B7">
              <w:tab/>
              <w:t>Asetus ei</w:t>
            </w:r>
            <w:r w:rsidRPr="005842B7">
              <w:t xml:space="preserve"> tarjoa oikeusperustaa kansallisten tietokantojen perustamiselle tai ylläpitämiselle biometristen tietojen tallentamista varten jäsenvaltioissa</w:t>
            </w:r>
            <w:r w:rsidRPr="005842B7">
              <w:rPr>
                <w:b/>
                <w:i/>
              </w:rPr>
              <w:t>, koska asia kuuluu kansallisen lainsäädännön piiriin, ja kyseisen lainsäädännön on oltava tietosuojaa koskevan u</w:t>
            </w:r>
            <w:r w:rsidRPr="005842B7">
              <w:rPr>
                <w:b/>
                <w:i/>
              </w:rPr>
              <w:t>nionin oikeuden mukainen, mukaan lukien sen välttämättömyys- ja oikeasuhteisuusvaatimukset</w:t>
            </w:r>
            <w:r w:rsidRPr="005842B7">
              <w:t>. Asetus ei myöskään tarjoa oikeusperustaa keskitetyn tietokannan perustamiselle tai ylläpitämiselle unionin tasolla.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(19)</w:t>
            </w:r>
            <w:r w:rsidRPr="005842B7">
              <w:tab/>
              <w:t>Asetus ei tarjoa oikeusperustaa kansalliste</w:t>
            </w:r>
            <w:r w:rsidRPr="005842B7">
              <w:t xml:space="preserve">n tietokantojen perustamiselle tai ylläpitämiselle biometristen tietojen tallentamista varten jäsenvaltioissa. Asetus ei myöskään tarjoa oikeusperustaa keskitetyn tietokannan perustamiselle tai ylläpitämiselle unionin tasolla. </w:t>
            </w:r>
            <w:r w:rsidRPr="005842B7">
              <w:rPr>
                <w:b/>
                <w:i/>
              </w:rPr>
              <w:t>Tämän asetuksen soveltamiseks</w:t>
            </w:r>
            <w:r w:rsidRPr="005842B7">
              <w:rPr>
                <w:b/>
                <w:i/>
              </w:rPr>
              <w:t>i käsiteltäviä biometrisiä tietoja ei pitäisi käsitellä muihin tarkoituksiin eikä niitä pitäisi tallentaa kansallisiin tai unionin tason tietokantoihin.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5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Estrella Galán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Johdanto-osan 19 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(19)</w:t>
            </w:r>
            <w:r w:rsidRPr="005842B7">
              <w:tab/>
              <w:t>Asetus ei tarjoa oikeusperustaa kansallisten tietokantojen perustamiselle tai ylläpitämiselle</w:t>
            </w:r>
            <w:r w:rsidRPr="005842B7">
              <w:t xml:space="preserve"> biometristen tietojen tallentamista varten jäsenvaltioissa</w:t>
            </w:r>
            <w:r w:rsidRPr="005842B7">
              <w:rPr>
                <w:b/>
                <w:i/>
              </w:rPr>
              <w:t>, koska asia kuuluu kansallisen lainsäädännön piiriin, ja kyseisen lainsäädännön on oltava tietosuojaa koskevan unionin oikeuden mukainen, mukaan lukien sen välttämättömyys- ja oikeasuhteisuusvaati</w:t>
            </w:r>
            <w:r w:rsidRPr="005842B7">
              <w:rPr>
                <w:b/>
                <w:i/>
              </w:rPr>
              <w:t>mukset</w:t>
            </w:r>
            <w:r w:rsidRPr="005842B7">
              <w:t>. Asetus ei myöskään tarjoa oikeusperustaa keskitetyn tietokannan perustamiselle tai ylläpitämiselle unionin tasolla.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(19)</w:t>
            </w:r>
            <w:r w:rsidRPr="005842B7">
              <w:tab/>
              <w:t>Asetus ei tarjoa oikeusperustaa kansallisten tietokantojen perustamiselle tai ylläpitämiselle biometristen tietojen tallentamis</w:t>
            </w:r>
            <w:r w:rsidRPr="005842B7">
              <w:t xml:space="preserve">ta varten jäsenvaltioissa. Asetus ei myöskään tarjoa oikeusperustaa keskitetyn tietokannan perustamiselle tai ylläpitämiselle unionin tasolla. </w:t>
            </w:r>
            <w:r w:rsidRPr="005842B7">
              <w:rPr>
                <w:b/>
                <w:i/>
              </w:rPr>
              <w:t>Tämän asetuksen soveltamiseksi käsiteltäviä biometrisiä tietoja ei pitäisi käsitellä muihin tarkoituksiin eikä ni</w:t>
            </w:r>
            <w:r w:rsidRPr="005842B7">
              <w:rPr>
                <w:b/>
                <w:i/>
              </w:rPr>
              <w:t>itä pitäisi tallentaa kansallisiin tai unionin tason tietokantoihin.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0"/>
        <w:keepNext/>
      </w:pPr>
      <w:r w:rsidRPr="005842B7">
        <w:rPr>
          <w:rStyle w:val="HideTWBExt"/>
          <w:b w:val="0"/>
        </w:rPr>
        <w:lastRenderedPageBreak/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  <w:b w:val="0"/>
        </w:rPr>
        <w:t>&lt;NumAm&gt;</w:t>
      </w:r>
      <w:r w:rsidRPr="005842B7">
        <w:t>6</w:t>
      </w:r>
      <w:r w:rsidRPr="005842B7">
        <w:rPr>
          <w:rStyle w:val="HideTWBExt"/>
          <w:b w:val="0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Malik Azmani, Jeannette Baljeu, Lucia Yar, Raquel García Hermida-Van Der Walle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r w:rsidRPr="005842B7">
        <w:rPr>
          <w:rStyle w:val="HideTWBExt"/>
        </w:rPr>
        <w:t>&lt;/RepeatBlock-By&gt;</w:t>
      </w:r>
    </w:p>
    <w:p w:rsidR="00E33FD9" w:rsidRPr="005842B7" w:rsidRDefault="005842B7" w:rsidP="00E33FD9">
      <w:pPr>
        <w:pStyle w:val="NormalBold"/>
        <w:keepNext/>
      </w:pPr>
      <w:r w:rsidRPr="005842B7">
        <w:rPr>
          <w:rStyle w:val="HideTWBExt"/>
          <w:b w:val="0"/>
        </w:rPr>
        <w:t>&lt;DocAmend&gt;</w:t>
      </w:r>
      <w:r w:rsidRPr="005842B7">
        <w:t>Ehdotus asetukseksi</w:t>
      </w:r>
      <w:r w:rsidRPr="005842B7">
        <w:rPr>
          <w:rStyle w:val="HideTWBExt"/>
          <w:b w:val="0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&lt;Article&gt;</w:t>
      </w:r>
      <w:r w:rsidRPr="005842B7">
        <w:t>Johdanto-osan 20 kappale</w:t>
      </w:r>
      <w:r w:rsidRPr="005842B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32BEE" w:rsidRPr="005842B7" w:rsidTr="00E275B2">
        <w:trPr>
          <w:jc w:val="center"/>
        </w:trPr>
        <w:tc>
          <w:tcPr>
            <w:tcW w:w="9752" w:type="dxa"/>
            <w:gridSpan w:val="2"/>
          </w:tcPr>
          <w:p w:rsidR="00E33FD9" w:rsidRPr="005842B7" w:rsidRDefault="00E33FD9" w:rsidP="00E275B2">
            <w:pPr>
              <w:keepNext/>
            </w:pP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5842B7" w:rsidP="00E275B2">
            <w:pPr>
              <w:pStyle w:val="ColumnHeading"/>
              <w:keepNext/>
            </w:pPr>
            <w:r w:rsidRPr="005842B7">
              <w:t>Komission teksti</w:t>
            </w: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ColumnHeading"/>
              <w:keepNext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5842B7" w:rsidP="00E275B2">
            <w:pPr>
              <w:pStyle w:val="Normal6"/>
            </w:pPr>
            <w:r w:rsidRPr="005842B7">
              <w:t>(20)</w:t>
            </w:r>
            <w:r w:rsidRPr="005842B7">
              <w:tab/>
            </w:r>
            <w:r w:rsidRPr="005842B7">
              <w:rPr>
                <w:b/>
                <w:i/>
              </w:rPr>
              <w:t>Biometriset tunnisteet olisi kerättävä</w:t>
            </w:r>
            <w:r w:rsidRPr="005842B7">
              <w:t xml:space="preserve"> ja </w:t>
            </w:r>
            <w:r w:rsidRPr="005842B7">
              <w:rPr>
                <w:b/>
                <w:i/>
              </w:rPr>
              <w:t>tallennettava</w:t>
            </w:r>
            <w:r w:rsidRPr="005842B7">
              <w:t xml:space="preserve"> henkilökorttien ja oleskeluasiakirjojen tallennusvälineeseen asiakirjan aitouden ja sen haltijan henkilöllisyyden todentamista varten. </w:t>
            </w:r>
            <w:r w:rsidRPr="005842B7">
              <w:rPr>
                <w:b/>
                <w:i/>
              </w:rPr>
              <w:t>Koska henkilökorttien tallennusvälineessä on sähköinen allekirjoitus, haltijan tunnistaminen sellaisen tallennusvälineen</w:t>
            </w:r>
            <w:r w:rsidRPr="005842B7">
              <w:rPr>
                <w:b/>
                <w:i/>
              </w:rPr>
              <w:t xml:space="preserve"> avulla, joka sisältää samat biografiset tiedot kuin asiakirjaan on painettu, on luotettavampaa kuin asiakirjan silmämääräinen tarkastus.</w:t>
            </w:r>
            <w:r w:rsidRPr="005842B7">
              <w:t xml:space="preserve"> </w:t>
            </w:r>
            <w:r w:rsidRPr="005842B7">
              <w:rPr>
                <w:b/>
                <w:i/>
              </w:rPr>
              <w:t>Unionin kansalaisten olisi näin ollen voitava käyttää henkilökortin tallennusvälineeseen tallennettuja tietojaan henki</w:t>
            </w:r>
            <w:r w:rsidRPr="005842B7">
              <w:rPr>
                <w:b/>
                <w:i/>
              </w:rPr>
              <w:t>löllisyytensä osoittamiseksi yksityisille toimijoille. Vain asianmukaisesti valtuutetun henkilöstön olisi tehtävä tallennusvälineeseen vietyjen sormenjälkien todentaminen ja vain siinä tapauksessa, että laki edellyttää asiakirjan esittämistä.</w:t>
            </w: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Normal6"/>
              <w:rPr>
                <w:szCs w:val="24"/>
              </w:rPr>
            </w:pPr>
            <w:r w:rsidRPr="005842B7">
              <w:t>(20)</w:t>
            </w:r>
            <w:r w:rsidRPr="005842B7">
              <w:tab/>
            </w:r>
            <w:r w:rsidRPr="005842B7">
              <w:rPr>
                <w:b/>
                <w:i/>
              </w:rPr>
              <w:t>Vain toi</w:t>
            </w:r>
            <w:r w:rsidRPr="005842B7">
              <w:rPr>
                <w:b/>
                <w:i/>
              </w:rPr>
              <w:t>mivaltaisten kansallisten viranomaisten, unionin virastojen</w:t>
            </w:r>
            <w:r w:rsidRPr="005842B7">
              <w:t xml:space="preserve"> ja </w:t>
            </w:r>
            <w:r w:rsidRPr="005842B7">
              <w:rPr>
                <w:b/>
                <w:i/>
              </w:rPr>
              <w:t>yksityisten toimijoiden asianmukaisesti valtuutettu henkilöstö saa käyttää</w:t>
            </w:r>
            <w:r w:rsidRPr="005842B7">
              <w:t xml:space="preserve"> henkilökorttien ja oleskeluasiakirjojen tallennusvälineeseen </w:t>
            </w:r>
            <w:r w:rsidRPr="005842B7">
              <w:rPr>
                <w:b/>
                <w:i/>
              </w:rPr>
              <w:t xml:space="preserve">tallennettua kasvokuvaa </w:t>
            </w:r>
            <w:r w:rsidRPr="005842B7">
              <w:t>asiakirjan aitouden ja sen haltij</w:t>
            </w:r>
            <w:r w:rsidRPr="005842B7">
              <w:t xml:space="preserve">an henkilöllisyyden todentamista varten. </w:t>
            </w:r>
            <w:r w:rsidRPr="005842B7">
              <w:rPr>
                <w:b/>
                <w:i/>
              </w:rPr>
              <w:t>Tällaisen tietojen käytön olisi oltava unionin tietosuojalainsäädännön mukaista. Lisäksi kasvokuvia ei pitäisi säilyttää pidempään kuin on tarpeen näitä tarkoituksia varten, ne olisi poistettava heti, kun kyseiset t</w:t>
            </w:r>
            <w:r w:rsidRPr="005842B7">
              <w:rPr>
                <w:b/>
                <w:i/>
              </w:rPr>
              <w:t>arkoitukset on saavutettu, eikä niitä pitäisi siirtää kolmansiin maihin tai kansainvälisille järjestöille, ellei se ole sallittua unionin tietosuojalainsäädännössä. Näiden suojatoimien tarkoituksena on varmistaa kasvokuvan asianmukainen suojaaminen kieltäm</w:t>
            </w:r>
            <w:r w:rsidRPr="005842B7">
              <w:rPr>
                <w:b/>
                <w:i/>
              </w:rPr>
              <w:t>ättä kuitenkaan sen käyttöä.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7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Estrella Galán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Johdanto-osan 20 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(20)</w:t>
            </w:r>
            <w:r w:rsidRPr="005842B7">
              <w:tab/>
              <w:t xml:space="preserve">Biometriset tunnisteet olisi kerättävä ja tallennettava henkilökorttien ja oleskeluasiakirjojen tallennusvälineeseen asiakirjan aitouden ja sen haltijan henkilöllisyyden todentamista varten. </w:t>
            </w:r>
            <w:r w:rsidRPr="005842B7">
              <w:rPr>
                <w:b/>
                <w:i/>
              </w:rPr>
              <w:lastRenderedPageBreak/>
              <w:t xml:space="preserve">Koska </w:t>
            </w:r>
            <w:r w:rsidRPr="005842B7">
              <w:rPr>
                <w:b/>
                <w:i/>
              </w:rPr>
              <w:t>henkilökorttien tallennusvälineessä on sähköinen allekirjoitus, haltijan tunnistaminen sellaisen tallennusvälineen avulla, joka sisältää samat biografiset tiedot kuin asiakirjaan on painettu, on luotettavampaa kuin asiakirjan silmämääräinen tarkastus. Unio</w:t>
            </w:r>
            <w:r w:rsidRPr="005842B7">
              <w:rPr>
                <w:b/>
                <w:i/>
              </w:rPr>
              <w:t xml:space="preserve">nin kansalaisten olisi näin ollen voitava käyttää henkilökortin tallennusvälineeseen tallennettuja tietojaan henkilöllisyytensä osoittamiseksi yksityisille toimijoille. </w:t>
            </w:r>
            <w:r w:rsidRPr="005842B7">
              <w:t xml:space="preserve">Vain asianmukaisesti valtuutetun henkilöstön olisi tehtävä </w:t>
            </w:r>
            <w:r w:rsidRPr="005842B7">
              <w:rPr>
                <w:b/>
                <w:i/>
              </w:rPr>
              <w:t>tallennusvälineeseen vietyje</w:t>
            </w:r>
            <w:r w:rsidRPr="005842B7">
              <w:rPr>
                <w:b/>
                <w:i/>
              </w:rPr>
              <w:t>n sormenjälkien</w:t>
            </w:r>
            <w:r w:rsidRPr="005842B7">
              <w:t xml:space="preserve"> todentaminen ja vain siinä tapauksessa, että laki edellyttää asiakirjan esittämistä.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lastRenderedPageBreak/>
              <w:t>(20)</w:t>
            </w:r>
            <w:r w:rsidRPr="005842B7">
              <w:tab/>
              <w:t>Biometriset tunnisteet olisi kerättävä ja tallennettava henkilökorttien ja oleskeluasiakirjojen tallennusvälineeseen asiakirjan aitouden ja sen haltij</w:t>
            </w:r>
            <w:r w:rsidRPr="005842B7">
              <w:t xml:space="preserve">an henkilöllisyyden todentamista varten. Vain </w:t>
            </w:r>
            <w:r w:rsidRPr="005842B7">
              <w:lastRenderedPageBreak/>
              <w:t xml:space="preserve">asianmukaisesti valtuutetun henkilöstön olisi tehtävä </w:t>
            </w:r>
            <w:r w:rsidRPr="005842B7">
              <w:rPr>
                <w:b/>
                <w:i/>
              </w:rPr>
              <w:t>tällainen</w:t>
            </w:r>
            <w:r w:rsidRPr="005842B7">
              <w:t xml:space="preserve"> todentaminen ja vain siinä tapauksessa, että laki edellyttää asiakirjan esittämistä. </w:t>
            </w:r>
            <w:r w:rsidRPr="005842B7">
              <w:rPr>
                <w:b/>
                <w:i/>
              </w:rPr>
              <w:t>Henkilökorttien tai oleskeluasiakirjojen yksilöllistämistä va</w:t>
            </w:r>
            <w:r w:rsidRPr="005842B7">
              <w:rPr>
                <w:b/>
                <w:i/>
              </w:rPr>
              <w:t>rten tallennetut biometriset tiedot olisi säilytettävä erittäin turvallisesti ja ainoastaan asiakirjan noutopäivään asti ja joka tapauksessa enintään 90 päivää kyseisen asiakirjan myöntämispäivästä. Tämän jälkeen biometriset tiedot olisi välittömästi poist</w:t>
            </w:r>
            <w:r w:rsidRPr="005842B7">
              <w:rPr>
                <w:b/>
                <w:i/>
              </w:rPr>
              <w:t>ettava tai hävitettävä. Tämä ei saisi vaikuttaa näiden tietojen muuhun käsittelyyn tietosuojaa koskevan unionin oikeuden ja kansallisen lainsäädännön mukaisesti.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lastRenderedPageBreak/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0"/>
        <w:keepNext/>
      </w:pPr>
      <w:r w:rsidRPr="005842B7">
        <w:rPr>
          <w:rStyle w:val="HideTWBExt"/>
          <w:b w:val="0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  <w:b w:val="0"/>
        </w:rPr>
        <w:t>&lt;NumAm&gt;</w:t>
      </w:r>
      <w:r w:rsidRPr="005842B7">
        <w:t>8</w:t>
      </w:r>
      <w:r w:rsidRPr="005842B7">
        <w:rPr>
          <w:rStyle w:val="HideTWBExt"/>
          <w:b w:val="0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Malik Azmani, Jeannette Baljeu, Lucia Yar, Raquel García Hermida-Van Der Walle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r w:rsidRPr="005842B7">
        <w:rPr>
          <w:rStyle w:val="HideTWBExt"/>
        </w:rPr>
        <w:t>&lt;/RepeatBlock-By&gt;</w:t>
      </w:r>
    </w:p>
    <w:p w:rsidR="00E33FD9" w:rsidRPr="005842B7" w:rsidRDefault="005842B7" w:rsidP="00E33FD9">
      <w:pPr>
        <w:pStyle w:val="NormalBold"/>
        <w:keepNext/>
      </w:pPr>
      <w:r w:rsidRPr="005842B7">
        <w:rPr>
          <w:rStyle w:val="HideTWBExt"/>
          <w:b w:val="0"/>
        </w:rPr>
        <w:t>&lt;DocAmend&gt;</w:t>
      </w:r>
      <w:r w:rsidRPr="005842B7">
        <w:t>Ehdotus asetukseksi</w:t>
      </w:r>
      <w:r w:rsidRPr="005842B7">
        <w:rPr>
          <w:rStyle w:val="HideTWBExt"/>
          <w:b w:val="0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&lt;Article&gt;</w:t>
      </w:r>
      <w:r w:rsidRPr="005842B7">
        <w:t>Johdanto-osan 20 a kappale (uusi)</w:t>
      </w:r>
      <w:r w:rsidRPr="005842B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32BEE" w:rsidRPr="005842B7" w:rsidTr="00E275B2">
        <w:trPr>
          <w:jc w:val="center"/>
        </w:trPr>
        <w:tc>
          <w:tcPr>
            <w:tcW w:w="9752" w:type="dxa"/>
            <w:gridSpan w:val="2"/>
          </w:tcPr>
          <w:p w:rsidR="00E33FD9" w:rsidRPr="005842B7" w:rsidRDefault="00E33FD9" w:rsidP="00E275B2">
            <w:pPr>
              <w:keepNext/>
            </w:pP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5842B7" w:rsidP="00E275B2">
            <w:pPr>
              <w:pStyle w:val="ColumnHeading"/>
              <w:keepNext/>
            </w:pPr>
            <w:r w:rsidRPr="005842B7">
              <w:t>Komission teksti</w:t>
            </w: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ColumnHeading"/>
              <w:keepNext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E33FD9" w:rsidP="00E275B2">
            <w:pPr>
              <w:pStyle w:val="Normal6"/>
            </w:pP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Normal6"/>
              <w:rPr>
                <w:szCs w:val="24"/>
              </w:rPr>
            </w:pPr>
            <w:r w:rsidRPr="005842B7">
              <w:rPr>
                <w:b/>
                <w:i/>
              </w:rPr>
              <w:t>(20 a)</w:t>
            </w:r>
            <w:r w:rsidRPr="005842B7">
              <w:rPr>
                <w:b/>
                <w:i/>
              </w:rPr>
              <w:tab/>
              <w:t>Vain toimivaltaisten kansallisten viranomaisten ja unionin virastojen asianmukaisesti valtuutetun henkilöstön olisi tehtävä tallennusvälineeseen vietyjen sormenjälkien todentaminen ja vain siinä tapauksessa, että unionin tai kansallisessa lainsäädä</w:t>
            </w:r>
            <w:r w:rsidRPr="005842B7">
              <w:rPr>
                <w:b/>
                <w:i/>
              </w:rPr>
              <w:t>nnössä edellytetään asiakirjan esittämistä.</w:t>
            </w:r>
          </w:p>
        </w:tc>
      </w:tr>
    </w:tbl>
    <w:p w:rsidR="00E33FD9" w:rsidRPr="005842B7" w:rsidRDefault="005842B7" w:rsidP="00E33FD9">
      <w:pPr>
        <w:pStyle w:val="Olang"/>
        <w:rPr>
          <w:sz w:val="24"/>
          <w:szCs w:val="24"/>
        </w:rPr>
      </w:pPr>
      <w:r w:rsidRPr="005842B7">
        <w:rPr>
          <w:sz w:val="24"/>
          <w:szCs w:val="24"/>
        </w:rPr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  <w:sz w:val="24"/>
          <w:szCs w:val="24"/>
        </w:rPr>
        <w:t>{EN}</w:t>
      </w:r>
      <w:r w:rsidRPr="005842B7">
        <w:rPr>
          <w:sz w:val="24"/>
          <w:szCs w:val="24"/>
        </w:rPr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0"/>
        <w:keepNext/>
      </w:pPr>
      <w:r w:rsidRPr="005842B7">
        <w:rPr>
          <w:rStyle w:val="HideTWBExt"/>
          <w:b w:val="0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  <w:b w:val="0"/>
        </w:rPr>
        <w:t>&lt;NumAm&gt;</w:t>
      </w:r>
      <w:r w:rsidRPr="005842B7">
        <w:t>9</w:t>
      </w:r>
      <w:r w:rsidRPr="005842B7">
        <w:rPr>
          <w:rStyle w:val="HideTWBExt"/>
          <w:b w:val="0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Estrella Galán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r w:rsidRPr="005842B7">
        <w:rPr>
          <w:rStyle w:val="HideTWBExt"/>
        </w:rPr>
        <w:t>&lt;/RepeatBlock-By&gt;</w:t>
      </w:r>
    </w:p>
    <w:p w:rsidR="00E33FD9" w:rsidRPr="005842B7" w:rsidRDefault="005842B7" w:rsidP="00E33FD9">
      <w:pPr>
        <w:pStyle w:val="NormalBold"/>
        <w:keepNext/>
      </w:pPr>
      <w:r w:rsidRPr="005842B7">
        <w:rPr>
          <w:rStyle w:val="HideTWBExt"/>
          <w:b w:val="0"/>
        </w:rPr>
        <w:t>&lt;DocAmend&gt;</w:t>
      </w:r>
      <w:r w:rsidRPr="005842B7">
        <w:t>Ehdotus asetukseksi</w:t>
      </w:r>
      <w:r w:rsidRPr="005842B7">
        <w:rPr>
          <w:rStyle w:val="HideTWBExt"/>
          <w:b w:val="0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&lt;Article&gt;</w:t>
      </w:r>
      <w:r w:rsidRPr="005842B7">
        <w:t xml:space="preserve">Johdanto-osan 20 </w:t>
      </w:r>
      <w:r w:rsidRPr="005842B7">
        <w:t>a kappale (uusi)</w:t>
      </w:r>
      <w:r w:rsidRPr="005842B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32BEE" w:rsidRPr="005842B7" w:rsidTr="00E275B2">
        <w:trPr>
          <w:jc w:val="center"/>
        </w:trPr>
        <w:tc>
          <w:tcPr>
            <w:tcW w:w="9752" w:type="dxa"/>
            <w:gridSpan w:val="2"/>
          </w:tcPr>
          <w:p w:rsidR="00E33FD9" w:rsidRPr="005842B7" w:rsidRDefault="00E33FD9" w:rsidP="00E275B2">
            <w:pPr>
              <w:keepNext/>
            </w:pP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5842B7" w:rsidP="00E275B2">
            <w:pPr>
              <w:pStyle w:val="ColumnHeading"/>
              <w:keepNext/>
            </w:pPr>
            <w:r w:rsidRPr="005842B7">
              <w:t>Komission teksti</w:t>
            </w: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ColumnHeading"/>
              <w:keepNext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E33FD9" w:rsidP="00E275B2">
            <w:pPr>
              <w:pStyle w:val="Normal6"/>
            </w:pP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Normal6"/>
              <w:rPr>
                <w:szCs w:val="24"/>
              </w:rPr>
            </w:pPr>
            <w:r w:rsidRPr="005842B7">
              <w:rPr>
                <w:b/>
                <w:i/>
              </w:rPr>
              <w:t>(20 a)</w:t>
            </w:r>
            <w:r w:rsidRPr="005842B7">
              <w:rPr>
                <w:b/>
                <w:i/>
              </w:rPr>
              <w:tab/>
              <w:t xml:space="preserve">Yksityisiltä toimijoilta olisi edellytettävä, että ne hankkivat haltijan suostumuksen kasvokuvan käyttöön. Rekisteröidyn suostumus olisi näin ollen ymmärrettävä lisäsuojatoimeksi, eikä se </w:t>
            </w:r>
            <w:r w:rsidRPr="005842B7">
              <w:rPr>
                <w:b/>
                <w:i/>
              </w:rPr>
              <w:t>itsessään muodosta oikeudellista perustetta yksityisten toimijoiden suorittamalle käsittelylle.</w:t>
            </w:r>
          </w:p>
        </w:tc>
      </w:tr>
    </w:tbl>
    <w:p w:rsidR="00E33FD9" w:rsidRPr="005842B7" w:rsidRDefault="005842B7" w:rsidP="00E33FD9">
      <w:pPr>
        <w:pStyle w:val="Olang"/>
        <w:rPr>
          <w:sz w:val="24"/>
          <w:szCs w:val="24"/>
        </w:rPr>
      </w:pPr>
      <w:r w:rsidRPr="005842B7">
        <w:rPr>
          <w:sz w:val="24"/>
          <w:szCs w:val="24"/>
        </w:rPr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  <w:sz w:val="24"/>
          <w:szCs w:val="24"/>
        </w:rPr>
        <w:t>{EN}</w:t>
      </w:r>
      <w:r w:rsidRPr="005842B7">
        <w:rPr>
          <w:sz w:val="24"/>
          <w:szCs w:val="24"/>
        </w:rPr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pPr>
        <w:pStyle w:val="JustificationTitle"/>
        <w:rPr>
          <w:noProof w:val="0"/>
        </w:rPr>
      </w:pPr>
      <w:r w:rsidRPr="005842B7">
        <w:rPr>
          <w:rStyle w:val="HideTWBExt"/>
          <w:i w:val="0"/>
        </w:rPr>
        <w:t>&lt;TitreJust&gt;</w:t>
      </w:r>
      <w:r w:rsidRPr="005842B7">
        <w:t>Perustelu</w:t>
      </w:r>
      <w:r w:rsidRPr="005842B7">
        <w:rPr>
          <w:rStyle w:val="HideTWBExt"/>
          <w:i w:val="0"/>
        </w:rPr>
        <w:t>&lt;/TitreJust&gt;</w:t>
      </w:r>
    </w:p>
    <w:p w:rsidR="00E33FD9" w:rsidRPr="005842B7" w:rsidRDefault="005842B7" w:rsidP="00E33FD9">
      <w:pPr>
        <w:pStyle w:val="Normal12Italic"/>
        <w:rPr>
          <w:noProof w:val="0"/>
        </w:rPr>
      </w:pPr>
      <w:r w:rsidRPr="005842B7">
        <w:t>The Left -ryhmä haluaa edelleen hylätä yksityisille toimijoille myönnetyn pääsyn asiakirjan ha</w:t>
      </w:r>
      <w:r w:rsidRPr="005842B7">
        <w:t>ltijan kasvokuvaan. Neuvoston tekemät tarkistukset huomioon ottaen tämä tarkistus on kuitenkin ns. vaihtoehtoinen kanta, jolla neuvoston yleistä kantaa rajoitetaan mahdollisuuksien rajoissa. Tällä tarkistuksella pyritään nostamaan esiin neuvoston tekstin p</w:t>
      </w:r>
      <w:r w:rsidRPr="005842B7">
        <w:t>ositiivisia osia, joilla vahvistetaan rekisteröityjen oikeuksia, jos kasvokuvien käyttöoikeus annetaan yksityisille toimijoille.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0"/>
        <w:keepNext/>
      </w:pPr>
      <w:r w:rsidRPr="005842B7">
        <w:rPr>
          <w:rStyle w:val="HideTWBExt"/>
          <w:b w:val="0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  <w:b w:val="0"/>
        </w:rPr>
        <w:t>&lt;NumAm&gt;</w:t>
      </w:r>
      <w:r w:rsidRPr="005842B7">
        <w:t>10</w:t>
      </w:r>
      <w:r w:rsidRPr="005842B7">
        <w:rPr>
          <w:rStyle w:val="HideTWBExt"/>
          <w:b w:val="0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Estrella Galán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r w:rsidRPr="005842B7">
        <w:rPr>
          <w:rStyle w:val="HideTWBExt"/>
        </w:rPr>
        <w:t>&lt;/RepeatBlock-By&gt;</w:t>
      </w:r>
    </w:p>
    <w:p w:rsidR="00E33FD9" w:rsidRPr="005842B7" w:rsidRDefault="005842B7" w:rsidP="00E33FD9">
      <w:pPr>
        <w:pStyle w:val="NormalBold"/>
        <w:keepNext/>
      </w:pPr>
      <w:r w:rsidRPr="005842B7">
        <w:rPr>
          <w:rStyle w:val="HideTWBExt"/>
          <w:b w:val="0"/>
        </w:rPr>
        <w:t>&lt;DocAmend&gt;</w:t>
      </w:r>
      <w:r w:rsidRPr="005842B7">
        <w:t>Ehdotus asetukseksi</w:t>
      </w:r>
      <w:r w:rsidRPr="005842B7">
        <w:rPr>
          <w:rStyle w:val="HideTWBExt"/>
          <w:b w:val="0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&lt;Article&gt;</w:t>
      </w:r>
      <w:r w:rsidRPr="005842B7">
        <w:t>Johdanto-osan 20 b kappale (uusi)</w:t>
      </w:r>
      <w:r w:rsidRPr="005842B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32BEE" w:rsidRPr="005842B7" w:rsidTr="00E275B2">
        <w:trPr>
          <w:jc w:val="center"/>
        </w:trPr>
        <w:tc>
          <w:tcPr>
            <w:tcW w:w="9752" w:type="dxa"/>
            <w:gridSpan w:val="2"/>
          </w:tcPr>
          <w:p w:rsidR="00E33FD9" w:rsidRPr="005842B7" w:rsidRDefault="00E33FD9" w:rsidP="00E275B2">
            <w:pPr>
              <w:keepNext/>
            </w:pP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5842B7" w:rsidP="00E275B2">
            <w:pPr>
              <w:pStyle w:val="ColumnHeading"/>
              <w:keepNext/>
            </w:pPr>
            <w:r w:rsidRPr="005842B7">
              <w:t>Komission teksti</w:t>
            </w: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ColumnHeading"/>
              <w:keepNext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E33FD9" w:rsidP="00E275B2">
            <w:pPr>
              <w:pStyle w:val="Normal6"/>
            </w:pP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Normal6"/>
              <w:rPr>
                <w:szCs w:val="24"/>
              </w:rPr>
            </w:pPr>
            <w:r w:rsidRPr="005842B7">
              <w:rPr>
                <w:b/>
                <w:i/>
              </w:rPr>
              <w:t>(20 b)</w:t>
            </w:r>
            <w:r w:rsidRPr="005842B7">
              <w:rPr>
                <w:b/>
                <w:i/>
              </w:rPr>
              <w:tab/>
              <w:t>Kun henkilökortti tai oleskeluasiakirja on lain mukaan esitettävä, yksityisten toimijoiden olisi voitava käyttää kasvokuvaa ainoastaan</w:t>
            </w:r>
            <w:r w:rsidRPr="005842B7">
              <w:rPr>
                <w:b/>
                <w:i/>
              </w:rPr>
              <w:t xml:space="preserve"> haltijan henkilöllisyyden todentamista varten, eivätkä ne saisi tallentaa tai lähettää kasvokuvia.</w:t>
            </w:r>
          </w:p>
        </w:tc>
      </w:tr>
    </w:tbl>
    <w:p w:rsidR="00E33FD9" w:rsidRPr="005842B7" w:rsidRDefault="005842B7" w:rsidP="00E33FD9">
      <w:pPr>
        <w:pStyle w:val="Olang"/>
        <w:rPr>
          <w:sz w:val="24"/>
          <w:szCs w:val="24"/>
        </w:rPr>
      </w:pPr>
      <w:r w:rsidRPr="005842B7">
        <w:rPr>
          <w:sz w:val="24"/>
          <w:szCs w:val="24"/>
        </w:rPr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  <w:sz w:val="24"/>
          <w:szCs w:val="24"/>
        </w:rPr>
        <w:t>{EN}</w:t>
      </w:r>
      <w:r w:rsidRPr="005842B7">
        <w:rPr>
          <w:sz w:val="24"/>
          <w:szCs w:val="24"/>
        </w:rPr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pPr>
        <w:pStyle w:val="JustificationTitle"/>
        <w:rPr>
          <w:noProof w:val="0"/>
        </w:rPr>
      </w:pPr>
      <w:r w:rsidRPr="005842B7">
        <w:rPr>
          <w:rStyle w:val="HideTWBExt"/>
          <w:i w:val="0"/>
        </w:rPr>
        <w:t>&lt;TitreJust&gt;</w:t>
      </w:r>
      <w:r w:rsidRPr="005842B7">
        <w:t>Perustelu</w:t>
      </w:r>
      <w:r w:rsidRPr="005842B7">
        <w:rPr>
          <w:rStyle w:val="HideTWBExt"/>
          <w:i w:val="0"/>
        </w:rPr>
        <w:t>&lt;/TitreJust&gt;</w:t>
      </w:r>
    </w:p>
    <w:p w:rsidR="00E33FD9" w:rsidRPr="005842B7" w:rsidRDefault="005842B7" w:rsidP="00E33FD9">
      <w:pPr>
        <w:pStyle w:val="Normal12Italic"/>
        <w:rPr>
          <w:noProof w:val="0"/>
        </w:rPr>
      </w:pPr>
      <w:r w:rsidRPr="005842B7">
        <w:t xml:space="preserve">The Left -ryhmä haluaa edelleen hylätä yksityisille toimijoille myönnetyn pääsyn </w:t>
      </w:r>
      <w:r w:rsidRPr="005842B7">
        <w:t>asiakirjan haltijan kasvokuvaan. Neuvoston tekemät tarkistukset huomioon ottaen tämä tarkistus on kuitenkin ns. vaihtoehtoinen kanta, jolla neuvoston yleistä kantaa rajoitetaan mahdollisuuksien rajoissa.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lastRenderedPageBreak/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11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</w:t>
      </w:r>
      <w:r w:rsidRPr="005842B7">
        <w:rPr>
          <w:rStyle w:val="HideTWBExt"/>
          <w:b w:val="0"/>
        </w:rPr>
        <w:t>Block-By&gt;&lt;Members&gt;</w:t>
      </w:r>
      <w:r w:rsidRPr="005842B7">
        <w:t>Roberto Vannacci, António Tânger Corrêa, Susanna Ceccardi, Anna Maria Cisint, Nikola Bartůšek, Fabrice Leggeri, Tom Vandendriessche, Matthieu Valet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</w:t>
      </w:r>
      <w:r w:rsidRPr="005842B7">
        <w:t>n 22 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(22)</w:t>
            </w:r>
            <w:r w:rsidRPr="005842B7">
              <w:tab/>
            </w:r>
            <w:r w:rsidRPr="005842B7">
              <w:rPr>
                <w:b/>
                <w:i/>
              </w:rPr>
              <w:t>Tässä asetuksessa olisi otettava huomioon</w:t>
            </w:r>
            <w:r w:rsidRPr="005842B7">
              <w:t xml:space="preserve"> ICAO:n asiakirjan 9303 eritelmät, joilla varmistetaan maailmanlaajuinen yhteentoimivuus, myös koneluettavuutta ja visuaalisen tarkastuksen käyttöä koskevat eritelmät.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(22)</w:t>
            </w:r>
            <w:r w:rsidRPr="005842B7">
              <w:tab/>
            </w:r>
            <w:r w:rsidRPr="005842B7">
              <w:rPr>
                <w:b/>
                <w:i/>
              </w:rPr>
              <w:t>Tämän asetuksen soveltamiseksi viitearvona olisi oltava</w:t>
            </w:r>
            <w:r w:rsidRPr="005842B7">
              <w:t xml:space="preserve"> ICAO:n asiakirjan 9303 erit</w:t>
            </w:r>
            <w:r w:rsidRPr="005842B7">
              <w:t>elmät, joilla varmistetaan maailmanlaajuinen yhteentoimivuus, myös koneluettavuutta ja visuaalisen tarkastuksen käyttöä koskevat eritelmät.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12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 xml:space="preserve">Roberto </w:t>
      </w:r>
      <w:r w:rsidRPr="005842B7">
        <w:t>Vannacci, António Tânger Corrêa, Susanna Ceccardi, Anna Maria Cisint, Fabrice Leggeri, András László, Tom Vandendriessche, Matthieu Valet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Johdanto-osan 23 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(23)</w:t>
            </w:r>
            <w:r w:rsidRPr="005842B7">
              <w:tab/>
              <w:t xml:space="preserve">Jäsenvaltioiden olisi </w:t>
            </w:r>
            <w:r w:rsidRPr="005842B7">
              <w:rPr>
                <w:b/>
                <w:i/>
              </w:rPr>
              <w:t>voitava päättää, sisällytetäänkö</w:t>
            </w:r>
            <w:r w:rsidRPr="005842B7">
              <w:t xml:space="preserve"> henkilön sukupuoli tämän asetuksen soveltamisalaan kuuluvaan asiakirjaan</w:t>
            </w:r>
            <w:r w:rsidRPr="005842B7">
              <w:rPr>
                <w:b/>
                <w:i/>
              </w:rPr>
              <w:t xml:space="preserve">. Jos jäsenvaltio sisällyttää sukupuolen tällaiseen asiakirjaan, olisi tapauksen mukaan </w:t>
            </w:r>
            <w:r w:rsidRPr="005842B7">
              <w:rPr>
                <w:b/>
                <w:i/>
              </w:rPr>
              <w:t>käytettävä</w:t>
            </w:r>
            <w:r w:rsidRPr="005842B7">
              <w:t xml:space="preserve"> ICAO:n asiakirjan 9303 </w:t>
            </w:r>
            <w:r w:rsidRPr="005842B7">
              <w:rPr>
                <w:b/>
                <w:i/>
              </w:rPr>
              <w:t>eritelmiä ”F”, ”M” tai ”X” taikka asianomaisen jäsenvaltion kielessä/kielissä käytettävää vastaavaa yksittäistä kirjainta</w:t>
            </w:r>
            <w:r w:rsidRPr="005842B7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(23)</w:t>
            </w:r>
            <w:r w:rsidRPr="005842B7">
              <w:tab/>
              <w:t xml:space="preserve">Jäsenvaltioiden olisi </w:t>
            </w:r>
            <w:r w:rsidRPr="005842B7">
              <w:rPr>
                <w:b/>
                <w:i/>
              </w:rPr>
              <w:t>sisällytettävä</w:t>
            </w:r>
            <w:r w:rsidRPr="005842B7">
              <w:t xml:space="preserve"> henkilön sukupuoli tämän asetuksen soveltamisalaan kuuluv</w:t>
            </w:r>
            <w:r w:rsidRPr="005842B7">
              <w:t xml:space="preserve">aan asiakirjaan ICAO:n asiakirjan 9303 </w:t>
            </w:r>
            <w:r w:rsidRPr="005842B7">
              <w:rPr>
                <w:b/>
                <w:i/>
              </w:rPr>
              <w:t>eritelmien mukaisesti. Haltijan sukupuolen näyttäminen mahdollistaa asiakirjojen tehokkaamman käytön haltijan tunnistamiseen</w:t>
            </w:r>
            <w:r w:rsidRPr="005842B7">
              <w:t>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13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</w:t>
      </w:r>
      <w:r w:rsidRPr="005842B7">
        <w:rPr>
          <w:rStyle w:val="HideTWBExt"/>
          <w:b w:val="0"/>
        </w:rPr>
        <w:t>By&gt;&lt;Members&gt;</w:t>
      </w:r>
      <w:r w:rsidRPr="005842B7">
        <w:t>Paolo Inselvini, Alessandro Ciriani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lastRenderedPageBreak/>
        <w:t>&lt;Article&gt;</w:t>
      </w:r>
      <w:r w:rsidRPr="005842B7">
        <w:t>Johdanto-osan 23 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(23)</w:t>
            </w:r>
            <w:r w:rsidRPr="005842B7">
              <w:tab/>
              <w:t xml:space="preserve">Jäsenvaltioiden olisi voitava päättää, sisällytetäänkö </w:t>
            </w:r>
            <w:r w:rsidRPr="005842B7">
              <w:t xml:space="preserve">henkilön sukupuoli tämän asetuksen soveltamisalaan kuuluvaan asiakirjaan. Jos jäsenvaltio sisällyttää sukupuolen tällaiseen asiakirjaan, olisi tapauksen mukaan käytettävä </w:t>
            </w:r>
            <w:r w:rsidRPr="005842B7">
              <w:rPr>
                <w:b/>
                <w:i/>
              </w:rPr>
              <w:t xml:space="preserve">ICAO:n asiakirjan 9303 </w:t>
            </w:r>
            <w:r w:rsidRPr="005842B7">
              <w:t>eritelmiä ”F”</w:t>
            </w:r>
            <w:r w:rsidRPr="005842B7">
              <w:rPr>
                <w:b/>
                <w:i/>
              </w:rPr>
              <w:t>,</w:t>
            </w:r>
            <w:r w:rsidRPr="005842B7">
              <w:t xml:space="preserve"> ”M” </w:t>
            </w:r>
            <w:r w:rsidRPr="005842B7">
              <w:rPr>
                <w:b/>
                <w:i/>
              </w:rPr>
              <w:t>tai ”X”</w:t>
            </w:r>
            <w:r w:rsidRPr="005842B7">
              <w:t xml:space="preserve"> taikka asianomaisen jäsenvaltion ki</w:t>
            </w:r>
            <w:r w:rsidRPr="005842B7">
              <w:t>elessä/kielissä käytettävää vastaavaa yksittäistä kirjainta.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(23)</w:t>
            </w:r>
            <w:r w:rsidRPr="005842B7">
              <w:tab/>
              <w:t>Jäsenvaltioiden olisi voitava päättää, sisällytetäänkö henkilön sukupuoli tämän asetuksen soveltamisalaan kuuluvaan asiakirjaan. Jos jäsenvaltio sisällyttää sukupuolen tällaiseen asiakirjaan</w:t>
            </w:r>
            <w:r w:rsidRPr="005842B7">
              <w:t xml:space="preserve">, olisi tapauksen mukaan käytettävä eritelmiä ”F” </w:t>
            </w:r>
            <w:r w:rsidRPr="005842B7">
              <w:rPr>
                <w:b/>
                <w:i/>
              </w:rPr>
              <w:t>tai</w:t>
            </w:r>
            <w:r w:rsidRPr="005842B7">
              <w:t xml:space="preserve"> ”M” taikka asianomaisen jäsenvaltion kielessä/kielissä käytettävää vastaavaa yksittäistä kirjainta.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{IT}</w:t>
      </w:r>
      <w:r w:rsidRPr="005842B7">
        <w:t>it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14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Alessandro Zan, Krzysztof Śmiszek, Emma Rafowicz, Evin Incir, Cecilia Strada, Pina Picierno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Johdanto-osan 23 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(23)</w:t>
            </w:r>
            <w:r w:rsidRPr="005842B7">
              <w:tab/>
              <w:t>Jäsenvaltioiden olisi voitava päättää, sisällytetäänkö henkilön sukupuoli tämän asetuksen soveltamisalaan kuuluvaan asiakirjaan. Jos jäsenvaltio sisällyttää sukupuolen tällaiseen asiakirjaan, olisi tapauksen mukaan käytettävä ICAO:n asiakir</w:t>
            </w:r>
            <w:r w:rsidRPr="005842B7">
              <w:t>jan 9303 eritelmiä ”F”, ”M” tai ”X” taikka asianomaisen jäsenvaltion kielessä/kielissä käytettävää vastaavaa yksittäistä kirjainta.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(23)</w:t>
            </w:r>
            <w:r w:rsidRPr="005842B7">
              <w:tab/>
              <w:t>Jäsenvaltioiden olisi voitava päättää, sisällytetäänkö henkilön sukupuoli tämän asetuksen soveltamisalaan kuuluvaan asi</w:t>
            </w:r>
            <w:r w:rsidRPr="005842B7">
              <w:t>akirjaan. Jos jäsenvaltio sisällyttää sukupuolen tällaiseen asiakirjaan, olisi tapauksen mukaan käytettävä ICAO:n asiakirjan 9303 eritelmiä ”F”, ”M” tai ”X” taikka asianomaisen jäsenvaltion kielessä/kielissä käytettävää vastaavaa yksittäistä kirjainta</w:t>
            </w:r>
            <w:r w:rsidRPr="005842B7">
              <w:rPr>
                <w:b/>
                <w:i/>
              </w:rPr>
              <w:t xml:space="preserve"> Euro</w:t>
            </w:r>
            <w:r w:rsidRPr="005842B7">
              <w:rPr>
                <w:b/>
                <w:i/>
              </w:rPr>
              <w:t>opan unionin tuomioistuimen vakiintuneen oikeuskäytännön mukaisesti</w:t>
            </w:r>
            <w:r w:rsidRPr="005842B7">
              <w:rPr>
                <w:b/>
                <w:i/>
                <w:vertAlign w:val="superscript"/>
              </w:rPr>
              <w:t>1 a</w:t>
            </w:r>
            <w:r w:rsidRPr="005842B7">
              <w:t>.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_________________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1 a Unionin tuomioistuimen tuomio 4.10.2024, Mirin, C-4/23, ECLI:EU:C:2024:845.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lastRenderedPageBreak/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15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Tomáš Zdechovský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Johdanto-osan 25 a kappale (uusi)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(25 a)</w:t>
            </w:r>
            <w:r w:rsidRPr="005842B7">
              <w:tab/>
            </w:r>
            <w:r w:rsidRPr="005842B7">
              <w:rPr>
                <w:b/>
                <w:i/>
              </w:rPr>
              <w:t xml:space="preserve">Pätevän henkilöstön olisi saatava pakollista </w:t>
            </w:r>
            <w:r w:rsidRPr="005842B7">
              <w:rPr>
                <w:b/>
                <w:i/>
              </w:rPr>
              <w:t>koulutusta parhaista käytännöistä biometristen tunnisteiden keräämiseksi lapsilta ja haavoittuvassa asemassa olevilta henkilöiltä, jotta varmistetaan sukupuoli- ja ikäkohtaisten tarpeiden huomioon ottaminen kaikkien henkilöiden ihmisarvoa kunnioittaen.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16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Roberto Vannacci, António Tânger Corrêa, Susanna Ceccardi, Anna Maria Cisint, Nikola Bartůšek, Fabrice Leggeri, Tom Vandendriessche, Matthieu Valet</w:t>
      </w:r>
      <w:r w:rsidRPr="005842B7">
        <w:rPr>
          <w:rStyle w:val="HideTWBExt"/>
          <w:b w:val="0"/>
        </w:rPr>
        <w:t>&lt;/Membe</w:t>
      </w:r>
      <w:r w:rsidRPr="005842B7">
        <w:rPr>
          <w:rStyle w:val="HideTWBExt"/>
          <w:b w:val="0"/>
        </w:rPr>
        <w:t>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Johdanto-osan 26 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(26)</w:t>
            </w:r>
            <w:r w:rsidRPr="005842B7">
              <w:tab/>
              <w:t xml:space="preserve">Jos biometristen tunnisteiden keräämisessä ilmenee vaikeuksia, jäsenvaltioiden olisi varmistettava, että käytössä </w:t>
            </w:r>
            <w:r w:rsidRPr="005842B7">
              <w:t xml:space="preserve">on asianmukaiset menettelyt asianomaisen henkilön ihmisarvon kunnioittamiseksi. Sen vuoksi olisi otettava huomioon </w:t>
            </w:r>
            <w:r w:rsidRPr="005842B7">
              <w:rPr>
                <w:b/>
                <w:i/>
              </w:rPr>
              <w:t xml:space="preserve">sukupuoleen sekä </w:t>
            </w:r>
            <w:r w:rsidRPr="005842B7">
              <w:t>lasten ja haavoittuvassa asemassa olevien henkilöiden erityistarpeisiin liittyvät näkökohdat.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(26)</w:t>
            </w:r>
            <w:r w:rsidRPr="005842B7">
              <w:tab/>
              <w:t>Jos biometristen tunniste</w:t>
            </w:r>
            <w:r w:rsidRPr="005842B7">
              <w:t>iden keräämisessä ilmenee vaikeuksia, jäsenvaltioiden olisi varmistettava, että käytössä on asianmukaiset menettelyt asianomaisen henkilön ihmisarvon kunnioittamiseksi. Sen vuoksi olisi otettava huomioon lasten ja haavoittuvassa asemassa olevien henkilöide</w:t>
            </w:r>
            <w:r w:rsidRPr="005842B7">
              <w:t>n erityistarpeisiin liittyvät näkökohdat.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17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Paolo Inselvini, Alessandro Ciriani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lastRenderedPageBreak/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Johdanto-osan 26 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(26)</w:t>
            </w:r>
            <w:r w:rsidRPr="005842B7">
              <w:tab/>
              <w:t xml:space="preserve">Jos biometristen tunnisteiden keräämisessä ilmenee vaikeuksia, jäsenvaltioiden olisi varmistettava, että käytössä on asianmukaiset menettelyt asianomaisen henkilön ihmisarvon </w:t>
            </w:r>
            <w:r w:rsidRPr="005842B7">
              <w:t>kunnioittamiseksi. Sen vuoksi olisi otettava huomioon sukupuoleen sekä lasten ja haavoittuvassa asemassa olevien henkilöiden erityistarpeisiin liittyvät näkökohdat.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i/>
              </w:rPr>
              <w:t>(Tarkistus ei vaikuta suomenkieliseen versioon.)</w:t>
            </w:r>
            <w:r w:rsidRPr="005842B7">
              <w:tab/>
              <w:t xml:space="preserve"> 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{IT}</w:t>
      </w:r>
      <w:r w:rsidRPr="005842B7">
        <w:t>it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18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Roberto Vannacci, António Tânger Corrêa, Susanna Ceccardi, Anna Maria Cisint, Fabrice Leggeri, Tom Vandendriessche, Matthieu Valet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</w:t>
      </w:r>
      <w:r w:rsidRPr="005842B7">
        <w:t>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Johdanto-osan 28 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(28)</w:t>
            </w:r>
            <w:r w:rsidRPr="005842B7">
              <w:tab/>
              <w:t xml:space="preserve">Asiakirjan myöntävän jäsenvaltion kaksikirjaiminen maakoodi </w:t>
            </w:r>
            <w:r w:rsidRPr="005842B7">
              <w:rPr>
                <w:b/>
                <w:i/>
              </w:rPr>
              <w:t xml:space="preserve">negatiivina sinisessä suorakulmiossa kahdentoista keltaisen tähden ympäröimänä </w:t>
            </w:r>
            <w:r w:rsidRPr="005842B7">
              <w:t xml:space="preserve">olisi tunnus, joka </w:t>
            </w:r>
            <w:r w:rsidRPr="005842B7">
              <w:t>helpottaisi asiakirjan visuaalista tarkastusta erityisesti silloin, kun asiakirjan haltija käyttää oikeuttaan vapaaseen liikkuvuuteen.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(28)</w:t>
            </w:r>
            <w:r w:rsidRPr="005842B7">
              <w:tab/>
              <w:t>Asiakirjan myöntävän jäsenvaltion kaksikirjaiminen maakoodi olisi tunnus, joka helpottaisi asiakirjan visuaalista ta</w:t>
            </w:r>
            <w:r w:rsidRPr="005842B7">
              <w:t>rkastusta erityisesti silloin, kun asiakirjan haltija käyttää oikeuttaan vapaaseen liikkuvuuteen.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19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Tomáš Zdechovský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Johdanto-osan 32 a kappale (uusi)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lastRenderedPageBreak/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(32 a)</w:t>
            </w:r>
            <w:r w:rsidRPr="005842B7">
              <w:tab/>
            </w:r>
            <w:r w:rsidRPr="005842B7">
              <w:rPr>
                <w:b/>
                <w:i/>
              </w:rPr>
              <w:t xml:space="preserve">Tämän tavoitteen tukemiseksi komission olisi yhteistyössä jäsenvaltioiden kanssa varmistettava sähköisen tunnistamisen järjestelmien </w:t>
            </w:r>
            <w:r w:rsidRPr="005842B7">
              <w:rPr>
                <w:b/>
                <w:i/>
              </w:rPr>
              <w:t>yhdenmukaistaminen ja rajatylittävien sähköisten viranomaispalvelujen yhdentäminen. Näillä toimenpiteillä olisi parannettava henkilökorttien käytettävyyttä ja saavutettavuutta kaikkien unionin kansalaisten kannalta ja samalla säilytettävä saumaton toiminta</w:t>
            </w:r>
            <w:r w:rsidRPr="005842B7">
              <w:rPr>
                <w:b/>
                <w:i/>
              </w:rPr>
              <w:t xml:space="preserve"> ja täysi yhteentoimivuus kaikissa jäsenvaltioissa.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20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Malik Azmani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Johdanto-osan 43 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(43)</w:t>
            </w:r>
            <w:r w:rsidRPr="005842B7">
              <w:tab/>
              <w:t xml:space="preserve">Paremmasta lainsäädännöstä 13 päivänä huhtikuuta 2016 tehdyn toimielinten välisen sopimuksen mukaisesti komission olisi kuuden vuoden kuluttua asetuksen soveltamisen aloituspäivästä </w:t>
            </w:r>
            <w:r w:rsidRPr="005842B7">
              <w:t>tehtävä tätä asetusta koskeva arviointi erityisten seurantajärjestelyjen avulla kerättyjen tietojen perusteella, jotta voidaan arvioida asetuksen todellisia vaikutuksia ja mahdollisten lisätoimenpiteiden tarvetta. Jäsenvaltioiden olisi seurantaa varten ker</w:t>
            </w:r>
            <w:r w:rsidRPr="005842B7">
              <w:t>ättävä tilastoja myöntämiensä henkilökorttien ja oleskeluasiakirjojen lukumäärästä.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(43)</w:t>
            </w:r>
            <w:r w:rsidRPr="005842B7">
              <w:tab/>
            </w:r>
            <w:r w:rsidRPr="005842B7">
              <w:rPr>
                <w:b/>
                <w:i/>
              </w:rPr>
              <w:t>Komission olisi kahden ja yhdentoista vuoden kuluttua tämän asetuksen soveltamispäivästä annettava sen täytäntöönpanosta kertomus, jossa käsitellään myös turvallisuust</w:t>
            </w:r>
            <w:r w:rsidRPr="005842B7">
              <w:rPr>
                <w:b/>
                <w:i/>
              </w:rPr>
              <w:t>ason asianmukaisuutta ja otetaan huomioon sen vaikutus perusoikeuksiin ja tietosuojaperiaatteisiin.</w:t>
            </w:r>
            <w:r w:rsidRPr="005842B7">
              <w:t xml:space="preserve"> Paremmasta lainsäädännöstä 13 päivänä huhtikuuta 2016 tehdyn toimielinten välisen sopimuksen mukaisesti komission olisi kuuden vuoden kuluttua asetuksen sov</w:t>
            </w:r>
            <w:r w:rsidRPr="005842B7">
              <w:t>eltamisen aloituspäivästä</w:t>
            </w:r>
            <w:r w:rsidRPr="005842B7">
              <w:rPr>
                <w:b/>
                <w:i/>
              </w:rPr>
              <w:t xml:space="preserve"> ja sen jälkeen kuuden vuoden välein</w:t>
            </w:r>
            <w:r w:rsidRPr="005842B7">
              <w:t xml:space="preserve"> tehtävä tätä asetusta koskeva arviointi erityisten seurantajärjestelyjen avulla kerättyjen tietojen perusteella, jotta voidaan arvioida asetuksen todellisia vaikutuksia ja mahdollisten lisätoime</w:t>
            </w:r>
            <w:r w:rsidRPr="005842B7">
              <w:t xml:space="preserve">npiteiden tarvetta. Jäsenvaltioiden olisi seurantaa varten kerättävä tilastoja myöntämiensä henkilökorttien ja oleskeluasiakirjojen </w:t>
            </w:r>
            <w:r w:rsidRPr="005842B7">
              <w:lastRenderedPageBreak/>
              <w:t>lukumäärästä.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_________________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vertAlign w:val="superscript"/>
              </w:rPr>
              <w:t>9</w:t>
            </w:r>
            <w:r w:rsidRPr="005842B7">
              <w:t xml:space="preserve"> EUVL L 123, 12.5.2016, s. 1, ELI: </w:t>
            </w:r>
            <w:r w:rsidRPr="005842B7">
              <w:t>http://data.europa.eu/eli/agree_interinstit/2016/512/oj.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vertAlign w:val="superscript"/>
              </w:rPr>
              <w:t>9</w:t>
            </w:r>
            <w:r w:rsidRPr="005842B7">
              <w:t xml:space="preserve"> EUVL L 123, 12.5.2016, s. 1, ELI: http://data.europa.eu/eli/agree_interinstit/2016/512/oj.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21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Rob</w:t>
      </w:r>
      <w:r w:rsidRPr="005842B7">
        <w:t>erto Vannacci, António Tânger Corrêa, Susanna Ceccardi, Anna Maria Cisint, Nikola Bartůšek, Fabrice Leggeri, Tom Vandendriessche, Matthieu Valet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3 artikla – 2 kohta – 2 alakohta</w:t>
      </w:r>
      <w:r w:rsidRPr="005842B7">
        <w:rPr>
          <w:rStyle w:val="HideTWBExt"/>
        </w:rPr>
        <w:t>&lt;</w:t>
      </w:r>
      <w:r w:rsidRPr="005842B7">
        <w:rPr>
          <w:rStyle w:val="HideTWBExt"/>
        </w:rPr>
        <w:t>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Poiketen siitä, mitä ensimmäisessä alakohdassa säädetään, asiakirjan numero voidaan lisätä alueelle I ja henkilön sukupuolta koskeva merkintä on vapaaehtoinen.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Poistetaan.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22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Nadine Morano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3 artikla – 2 kohta – 2 alakohta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 xml:space="preserve">Poiketen siitä, mitä </w:t>
            </w:r>
            <w:r w:rsidRPr="005842B7">
              <w:t>ensimmäisessä alakohdassa säädetään, asiakirjan numero voidaan lisätä alueelle I</w:t>
            </w:r>
            <w:r w:rsidRPr="005842B7">
              <w:rPr>
                <w:b/>
                <w:i/>
              </w:rPr>
              <w:t xml:space="preserve"> ja henkilön sukupuolta koskeva merkintä on vapaaehtoinen</w:t>
            </w:r>
            <w:r w:rsidRPr="005842B7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Poiketen siitä, mitä ensimmäisessä alakohdassa säädetään, asiakirjan numero voidaan lisätä alueelle I.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{FR}</w:t>
      </w:r>
      <w:r w:rsidRPr="005842B7">
        <w:t>fr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23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lastRenderedPageBreak/>
        <w:t>&lt;RepeatBlock-By&gt;&lt;Members&gt;</w:t>
      </w:r>
      <w:r w:rsidRPr="005842B7">
        <w:t>Paolo Inselvini, Alessandro Ciriani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3 artikla – 2 kohta – 2 alakohta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Poiketen siitä, mitä ensimmäisessä alakohdassa säädetään, asiakirjan numero voidaan lisätä alueelle I ja henkilön sukupuolta koskeva merkintä on vapaaehtoinen.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i/>
              </w:rPr>
              <w:t>(Tarkistus ei vaikuta suomenkieliseen versioon.)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{IT}</w:t>
      </w:r>
      <w:r w:rsidRPr="005842B7">
        <w:t>it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24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Alessandro Zan, Krzysztof Śmiszek, Emma Rafowicz, Evin Incir, Cecilia Strada, Pina Picierno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</w:t>
      </w:r>
      <w:r w:rsidRPr="005842B7">
        <w:rPr>
          <w:rStyle w:val="HideTWBExt"/>
        </w:rPr>
        <w:t>e&gt;</w:t>
      </w:r>
      <w:r w:rsidRPr="005842B7">
        <w:t>3 artikla – 2 kohta – 2 alakohta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Poiketen siitä, mitä ensimmäisessä alakohdassa säädetään, asiakirjan numero voidaan lisätä alueelle I ja henkilön sukupuolta koskeva merkintä on vapaaehtoinen.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 xml:space="preserve">Poiketen siitä, mitä </w:t>
            </w:r>
            <w:r w:rsidRPr="005842B7">
              <w:t xml:space="preserve">ensimmäisessä alakohdassa säädetään, asiakirjan numero voidaan lisätä alueelle I ja henkilön sukupuolta koskeva merkintä on vapaaehtoinen. </w:t>
            </w:r>
            <w:r w:rsidRPr="005842B7">
              <w:rPr>
                <w:b/>
                <w:i/>
              </w:rPr>
              <w:t>Jos jäsenvaltio sisällyttää sukupuolen tässä asetuksessa tarkoitettuun asiakirjaan, tapauksen mukaan on käytettävä IC</w:t>
            </w:r>
            <w:r w:rsidRPr="005842B7">
              <w:rPr>
                <w:b/>
                <w:i/>
              </w:rPr>
              <w:t>AO:n asiakirjan 9303 eritelmiä ”F”, ”M” tai ”X” taikka asianomaisen jäsenvaltion virallisessa kielessä/kielissä käytettävää vastaavaa yksittäistä kirjainta.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25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Roberto Vannacci, António Tânger Corrêa, Susanna Ceccardi, Anna Maria Cisint, Fabrice Leggeri, Tom Vandendriessche, Matthieu Valet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3 artikla – 4 kohta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4.</w:t>
            </w:r>
            <w:r w:rsidRPr="005842B7">
              <w:tab/>
              <w:t>Henkilökortin etupuolella on oltava kortin myöntävän jäsenvaltion kaksikirjaiminen maakoodi</w:t>
            </w:r>
            <w:r w:rsidRPr="005842B7">
              <w:rPr>
                <w:b/>
                <w:i/>
              </w:rPr>
              <w:t xml:space="preserve"> negatiivina sinisessä suorakulmiossa ja 12 keltaisen tähden ympäröimänä</w:t>
            </w:r>
            <w:r w:rsidRPr="005842B7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4.</w:t>
            </w:r>
            <w:r w:rsidRPr="005842B7">
              <w:tab/>
              <w:t xml:space="preserve">Henkilökortin etupuolella on oltava kortin </w:t>
            </w:r>
            <w:r w:rsidRPr="005842B7">
              <w:t>myöntävän jäsenvaltion kaksikirjaiminen maakoodi.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26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Milan Uhrík, Ewa Zajączkowska-Hernik, Mary Khan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r w:rsidRPr="005842B7">
        <w:rPr>
          <w:rStyle w:val="HideTWBExt"/>
        </w:rPr>
        <w:t>&lt;AuNomDe&gt;</w:t>
      </w:r>
      <w:r w:rsidRPr="005842B7">
        <w:rPr>
          <w:rStyle w:val="HideTWBInt"/>
          <w:color w:val="auto"/>
        </w:rPr>
        <w:t>{ESN}</w:t>
      </w:r>
      <w:r w:rsidRPr="005842B7">
        <w:t>ESN-ryhmän puolesta</w:t>
      </w:r>
      <w:r w:rsidRPr="005842B7">
        <w:rPr>
          <w:rStyle w:val="HideTWBExt"/>
        </w:rPr>
        <w:t>&lt;/AuNomDe&gt;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3 artikla – 5 kohta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5.</w:t>
            </w:r>
            <w:r w:rsidRPr="005842B7">
              <w:tab/>
              <w:t xml:space="preserve">Henkilökortteihin on sisällyttävä erittäin turvallinen tallennusväline, joka sisältää kortin haltijan kasvokuvan </w:t>
            </w:r>
            <w:r w:rsidRPr="005842B7">
              <w:rPr>
                <w:b/>
                <w:i/>
              </w:rPr>
              <w:t xml:space="preserve">ja kaksi sormenjälkeä </w:t>
            </w:r>
            <w:r w:rsidRPr="005842B7">
              <w:t>yhteentoimivassa digitaalisessa muodossa. Jäsenvaltioiden on biometristen tunnisteiden keräämisessä sovellettava komission täytäntöönpanopäätöksessä C(2018) 7767</w:t>
            </w:r>
            <w:r w:rsidRPr="005842B7">
              <w:rPr>
                <w:vertAlign w:val="superscript"/>
              </w:rPr>
              <w:t>12</w:t>
            </w:r>
            <w:r w:rsidRPr="005842B7">
              <w:t>, sellaisena kuin sen on muutettuna komission täytäntöönpanopäätöksellä</w:t>
            </w:r>
            <w:r w:rsidRPr="005842B7">
              <w:t xml:space="preserve"> C(2021) 3726</w:t>
            </w:r>
            <w:r w:rsidRPr="005842B7">
              <w:rPr>
                <w:vertAlign w:val="superscript"/>
              </w:rPr>
              <w:t>13</w:t>
            </w:r>
            <w:r w:rsidRPr="005842B7">
              <w:t>, vahvistettuja teknisiä eritelmiä.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5.</w:t>
            </w:r>
            <w:r w:rsidRPr="005842B7">
              <w:tab/>
              <w:t>Henkilökortteihin on sisällyttävä erittäin turvallinen tallennusväline, joka sisältää kortin haltijan kasvokuvan yhteentoimivassa digitaalisessa muodossa. Jäsenvaltioiden on biometristen tunnisteiden ke</w:t>
            </w:r>
            <w:r w:rsidRPr="005842B7">
              <w:t>räämisessä sovellettava komission täytäntöönpanopäätöksessä C(2018) 7767</w:t>
            </w:r>
            <w:r w:rsidRPr="005842B7">
              <w:rPr>
                <w:vertAlign w:val="superscript"/>
              </w:rPr>
              <w:t>12</w:t>
            </w:r>
            <w:r w:rsidRPr="005842B7">
              <w:t>, sellaisena kuin sen on muutettuna komission täytäntöönpanopäätöksellä C(2021) 3726</w:t>
            </w:r>
            <w:r w:rsidRPr="005842B7">
              <w:rPr>
                <w:vertAlign w:val="superscript"/>
              </w:rPr>
              <w:t>13</w:t>
            </w:r>
            <w:r w:rsidRPr="005842B7">
              <w:t>, vahvistettuja teknisiä eritelmiä.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_________________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vertAlign w:val="superscript"/>
              </w:rPr>
              <w:t>12</w:t>
            </w:r>
            <w:r w:rsidRPr="005842B7">
              <w:t xml:space="preserve"> Komission täytäntöönpanopäätös C(2018) 7767, annettu 30 päivänä marraskuuta 2018, teknisistä eritelmistä kolmansien maiden kansalaisten oleskeluluvan yhtenäistä kaavaa varten ja päätöksen C(2002) 3069 kumoamisesta.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vertAlign w:val="superscript"/>
              </w:rPr>
              <w:t>12</w:t>
            </w:r>
            <w:r w:rsidRPr="005842B7">
              <w:t xml:space="preserve"> Komission täytäntöönpanopäätös C(2018</w:t>
            </w:r>
            <w:r w:rsidRPr="005842B7">
              <w:t>) 7767, annettu 30 päivänä marraskuuta 2018, teknisistä eritelmistä kolmansien maiden kansalaisten oleskeluluvan yhtenäistä kaavaa varten ja päätöksen C(2002) 3069 kumoamisesta.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vertAlign w:val="superscript"/>
              </w:rPr>
              <w:t>13</w:t>
            </w:r>
            <w:r w:rsidRPr="005842B7">
              <w:t xml:space="preserve"> Komission täytäntöönpanopäätös C(2021) 3726, annettu 4 päivänä kesäkuuta 2</w:t>
            </w:r>
            <w:r w:rsidRPr="005842B7">
              <w:t>021, täytäntöönpanopäätöksen C(2018) 7767 liitteen III muuttamisesta säännöksiä ja määräyksiä koskevien viittausten luettelon osalta.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vertAlign w:val="superscript"/>
              </w:rPr>
              <w:t>13</w:t>
            </w:r>
            <w:r w:rsidRPr="005842B7">
              <w:t xml:space="preserve"> Komission täytäntöönpanopäätös C(2021) 3726, annettu 4 päivänä kesäkuuta 2021, täytäntöönpanopäätöksen C(2018) 7767 lii</w:t>
            </w:r>
            <w:r w:rsidRPr="005842B7">
              <w:t>tteen III muuttamisesta säännöksiä ja määräyksiä koskevien viittausten luettelon osalta.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lastRenderedPageBreak/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pPr>
        <w:pStyle w:val="AmJustTitle"/>
      </w:pPr>
      <w:r w:rsidRPr="005842B7">
        <w:rPr>
          <w:rStyle w:val="HideTWBExt"/>
        </w:rPr>
        <w:t>&lt;TitreJust&gt;</w:t>
      </w:r>
      <w:r w:rsidRPr="005842B7">
        <w:t>Perustelu</w:t>
      </w:r>
      <w:r w:rsidRPr="005842B7">
        <w:rPr>
          <w:rStyle w:val="HideTWBExt"/>
        </w:rPr>
        <w:t>&lt;/TitreJust&gt;</w:t>
      </w:r>
    </w:p>
    <w:p w:rsidR="00E33FD9" w:rsidRPr="005842B7" w:rsidRDefault="005842B7" w:rsidP="00E33FD9">
      <w:pPr>
        <w:pStyle w:val="AmJustText"/>
      </w:pPr>
      <w:r w:rsidRPr="005842B7">
        <w:t xml:space="preserve">Tarkistuksella poistetaan velvoite tallentaa kaksi sormenjälkeä henkilökortteihin. </w:t>
      </w:r>
      <w:r w:rsidRPr="005842B7">
        <w:t xml:space="preserve">Se loukkaa liian </w:t>
      </w:r>
      <w:r w:rsidRPr="005842B7">
        <w:t xml:space="preserve">voimakkaasti kansalaisten oikeutta yksityisyyteen ja antaa yhä suurempia mahdollisuuksia valtion valvontaan. </w:t>
      </w:r>
      <w:r w:rsidRPr="005842B7">
        <w:t xml:space="preserve">Se muodostaa myös liian suuren kyberrikollisuuden riskin: </w:t>
      </w:r>
      <w:r w:rsidRPr="005842B7">
        <w:t>jos nämä sormenjäljet varastetaan, niitä voidaan käyttää maailmanlaajuisesti kaikenlais</w:t>
      </w:r>
      <w:r w:rsidRPr="005842B7">
        <w:t xml:space="preserve">iin henkilöllisyyspetoksiin. </w:t>
      </w:r>
      <w:r w:rsidRPr="005842B7">
        <w:t>Koska nämä sormenjäljet ovat ainutlaatuisia, niiden varastaminen olisi elinikäinen riski sen uhriksi joutuneelle kansalaiselle.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0"/>
        <w:keepNext/>
      </w:pPr>
      <w:r w:rsidRPr="005842B7">
        <w:rPr>
          <w:rStyle w:val="HideTWBExt"/>
          <w:b w:val="0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  <w:b w:val="0"/>
        </w:rPr>
        <w:t>&lt;NumAm&gt;</w:t>
      </w:r>
      <w:r w:rsidRPr="005842B7">
        <w:t>27</w:t>
      </w:r>
      <w:r w:rsidRPr="005842B7">
        <w:rPr>
          <w:rStyle w:val="HideTWBExt"/>
          <w:b w:val="0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Malik Azmani, Jeannette Balj</w:t>
      </w:r>
      <w:r w:rsidRPr="005842B7">
        <w:t>eu, Lucia Yar, Raquel García Hermida-Van Der Walle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r w:rsidRPr="005842B7">
        <w:rPr>
          <w:rStyle w:val="HideTWBExt"/>
        </w:rPr>
        <w:t>&lt;/RepeatBlock-By&gt;</w:t>
      </w:r>
    </w:p>
    <w:p w:rsidR="00E33FD9" w:rsidRPr="005842B7" w:rsidRDefault="005842B7" w:rsidP="00E33FD9">
      <w:pPr>
        <w:pStyle w:val="NormalBold"/>
        <w:keepNext/>
      </w:pPr>
      <w:r w:rsidRPr="005842B7">
        <w:rPr>
          <w:rStyle w:val="HideTWBExt"/>
          <w:b w:val="0"/>
        </w:rPr>
        <w:t>&lt;DocAmend&gt;</w:t>
      </w:r>
      <w:r w:rsidRPr="005842B7">
        <w:t>Ehdotus asetukseksi</w:t>
      </w:r>
      <w:r w:rsidRPr="005842B7">
        <w:rPr>
          <w:rStyle w:val="HideTWBExt"/>
          <w:b w:val="0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&lt;Article&gt;</w:t>
      </w:r>
      <w:r w:rsidRPr="005842B7">
        <w:t>3 artikla – 5 kohta</w:t>
      </w:r>
      <w:r w:rsidRPr="005842B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32BEE" w:rsidRPr="005842B7" w:rsidTr="00E275B2">
        <w:trPr>
          <w:jc w:val="center"/>
        </w:trPr>
        <w:tc>
          <w:tcPr>
            <w:tcW w:w="9752" w:type="dxa"/>
            <w:gridSpan w:val="2"/>
          </w:tcPr>
          <w:p w:rsidR="00E33FD9" w:rsidRPr="005842B7" w:rsidRDefault="00E33FD9" w:rsidP="00E275B2">
            <w:pPr>
              <w:keepNext/>
            </w:pP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5842B7" w:rsidP="00E275B2">
            <w:pPr>
              <w:pStyle w:val="ColumnHeading"/>
              <w:keepNext/>
            </w:pPr>
            <w:r w:rsidRPr="005842B7">
              <w:t>Komission teksti</w:t>
            </w: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ColumnHeading"/>
              <w:keepNext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5842B7" w:rsidP="00E275B2">
            <w:pPr>
              <w:pStyle w:val="Normal6"/>
            </w:pPr>
            <w:r w:rsidRPr="005842B7">
              <w:t>5.</w:t>
            </w:r>
            <w:r w:rsidRPr="005842B7">
              <w:tab/>
              <w:t xml:space="preserve">Henkilökortteihin on sisällyttävä erittäin turvallinen </w:t>
            </w:r>
            <w:r w:rsidRPr="005842B7">
              <w:t>tallennusväline, joka sisältää kortin haltijan kasvokuvan ja kaksi sormenjälkeä yhteentoimivassa digitaalisessa muodossa. Jäsenvaltioiden on biometristen tunnisteiden keräämisessä sovellettava komission täytäntöönpanopäätöksessä C(2018) 7767</w:t>
            </w:r>
            <w:r w:rsidRPr="005842B7">
              <w:rPr>
                <w:vertAlign w:val="superscript"/>
              </w:rPr>
              <w:t>12</w:t>
            </w:r>
            <w:r w:rsidRPr="005842B7">
              <w:t xml:space="preserve">, sellaisena </w:t>
            </w:r>
            <w:r w:rsidRPr="005842B7">
              <w:t>kuin sen on muutettuna komission täytäntöönpanopäätöksellä C(2021) 3726</w:t>
            </w:r>
            <w:r w:rsidRPr="005842B7">
              <w:rPr>
                <w:vertAlign w:val="superscript"/>
              </w:rPr>
              <w:t>13</w:t>
            </w:r>
            <w:r w:rsidRPr="005842B7">
              <w:t>, vahvistettuja teknisiä eritelmiä.</w:t>
            </w: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Normal6"/>
              <w:rPr>
                <w:szCs w:val="24"/>
              </w:rPr>
            </w:pPr>
            <w:r w:rsidRPr="005842B7">
              <w:t>5.</w:t>
            </w:r>
            <w:r w:rsidRPr="005842B7">
              <w:tab/>
              <w:t>Henkilökortteihin on sisällyttävä erittäin turvallinen tallennusväline, joka sisältää kortin haltijan kasvokuvan ja kaksi sormenjälkeä yhteentoi</w:t>
            </w:r>
            <w:r w:rsidRPr="005842B7">
              <w:t xml:space="preserve">mivassa digitaalisessa muodossa. Jäsenvaltioiden on </w:t>
            </w:r>
            <w:r w:rsidRPr="005842B7">
              <w:rPr>
                <w:b/>
                <w:i/>
              </w:rPr>
              <w:t xml:space="preserve">näiden kahdenlaisten </w:t>
            </w:r>
            <w:r w:rsidRPr="005842B7">
              <w:t>biometristen tunnisteiden keräämisessä sovellettava komission täytäntöönpanopäätöksessä C(2018) 7767</w:t>
            </w:r>
            <w:r w:rsidRPr="005842B7">
              <w:rPr>
                <w:vertAlign w:val="superscript"/>
              </w:rPr>
              <w:t>12</w:t>
            </w:r>
            <w:r w:rsidRPr="005842B7">
              <w:t xml:space="preserve">, sellaisena kuin sen on muutettuna komission täytäntöönpanopäätöksellä </w:t>
            </w:r>
            <w:r w:rsidRPr="005842B7">
              <w:t>C(2021) 3726</w:t>
            </w:r>
            <w:r w:rsidRPr="005842B7">
              <w:rPr>
                <w:vertAlign w:val="superscript"/>
              </w:rPr>
              <w:t>13</w:t>
            </w:r>
            <w:r w:rsidRPr="005842B7">
              <w:t>, vahvistettuja teknisiä eritelmiä.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5842B7" w:rsidP="00E275B2">
            <w:pPr>
              <w:pStyle w:val="Normal6"/>
            </w:pPr>
            <w:r w:rsidRPr="005842B7">
              <w:t>__________________</w:t>
            </w: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Normal6"/>
              <w:rPr>
                <w:szCs w:val="24"/>
              </w:rPr>
            </w:pPr>
            <w:r w:rsidRPr="005842B7">
              <w:t>__________________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5842B7" w:rsidP="00E275B2">
            <w:pPr>
              <w:pStyle w:val="Normal6"/>
            </w:pPr>
            <w:r w:rsidRPr="005842B7">
              <w:rPr>
                <w:vertAlign w:val="superscript"/>
              </w:rPr>
              <w:t>12</w:t>
            </w:r>
            <w:r w:rsidRPr="005842B7">
              <w:t xml:space="preserve"> Komission täytäntöönpanopäätös C(2018) 7767, annettu 30 päivänä marraskuuta 2018, teknisistä eritelmistä kolmansien maiden kansalaisten oleskeluluvan yhtenäistä kaavaa varten ja päätöksen C(2002) 3069 kumoamisesta.</w:t>
            </w: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Normal6"/>
              <w:rPr>
                <w:szCs w:val="24"/>
              </w:rPr>
            </w:pPr>
            <w:r w:rsidRPr="005842B7">
              <w:rPr>
                <w:vertAlign w:val="superscript"/>
              </w:rPr>
              <w:t>12</w:t>
            </w:r>
            <w:r w:rsidRPr="005842B7">
              <w:t xml:space="preserve"> Komission täytäntöönpanopäätös C(2018</w:t>
            </w:r>
            <w:r w:rsidRPr="005842B7">
              <w:t>) 7767, annettu 30 päivänä marraskuuta 2018, teknisistä eritelmistä kolmansien maiden kansalaisten oleskeluluvan yhtenäistä kaavaa varten ja päätöksen C(2002) 3069 kumoamisesta.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5842B7" w:rsidP="00E275B2">
            <w:pPr>
              <w:pStyle w:val="Normal6"/>
            </w:pPr>
            <w:r w:rsidRPr="005842B7">
              <w:rPr>
                <w:vertAlign w:val="superscript"/>
              </w:rPr>
              <w:t>13</w:t>
            </w:r>
            <w:r w:rsidRPr="005842B7">
              <w:t xml:space="preserve"> Komission täytäntöönpanopäätös C(2021) 3726, annettu 4 päivänä kesäkuuta 2</w:t>
            </w:r>
            <w:r w:rsidRPr="005842B7">
              <w:t>021, täytäntöönpanopäätöksen C(2018) 7767 liitteen III muuttamisesta säännöksiä ja määräyksiä koskevien viittausten luettelon osalta.</w:t>
            </w: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Normal6"/>
              <w:rPr>
                <w:szCs w:val="24"/>
              </w:rPr>
            </w:pPr>
            <w:r w:rsidRPr="005842B7">
              <w:rPr>
                <w:vertAlign w:val="superscript"/>
              </w:rPr>
              <w:t>13</w:t>
            </w:r>
            <w:r w:rsidRPr="005842B7">
              <w:t xml:space="preserve"> Komission täytäntöönpanopäätös C(2021) 3726, annettu 4 päivänä kesäkuuta 2021, täytäntöönpanopäätöksen C(2018) 7767 lii</w:t>
            </w:r>
            <w:r w:rsidRPr="005842B7">
              <w:t>tteen III muuttamisesta säännöksiä ja määräyksiä koskevien viittausten luettelon osalta.</w:t>
            </w:r>
          </w:p>
        </w:tc>
      </w:tr>
    </w:tbl>
    <w:p w:rsidR="00E33FD9" w:rsidRPr="005842B7" w:rsidRDefault="005842B7" w:rsidP="00E33FD9">
      <w:pPr>
        <w:pStyle w:val="Olang"/>
        <w:rPr>
          <w:sz w:val="24"/>
          <w:szCs w:val="24"/>
        </w:rPr>
      </w:pPr>
      <w:r w:rsidRPr="005842B7">
        <w:rPr>
          <w:sz w:val="24"/>
          <w:szCs w:val="24"/>
        </w:rPr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  <w:sz w:val="24"/>
          <w:szCs w:val="24"/>
        </w:rPr>
        <w:t>{EN}</w:t>
      </w:r>
      <w:r w:rsidRPr="005842B7">
        <w:rPr>
          <w:sz w:val="24"/>
          <w:szCs w:val="24"/>
        </w:rPr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lastRenderedPageBreak/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28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Estrella Galán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</w:t>
      </w:r>
      <w:r w:rsidRPr="005842B7">
        <w:t>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3 artikla – 7 kohta – 1 alakohta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 xml:space="preserve">Alle 12-vuotiaisiin lapsiin ei </w:t>
            </w:r>
            <w:r w:rsidRPr="005842B7">
              <w:rPr>
                <w:b/>
                <w:i/>
              </w:rPr>
              <w:t>tarvitse soveltaa</w:t>
            </w:r>
            <w:r w:rsidRPr="005842B7">
              <w:t xml:space="preserve"> sormenjälkien antamista koskevaa vaatimusta.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 xml:space="preserve">Alle 12-vuotiaisiin lapsiin ei </w:t>
            </w:r>
            <w:r w:rsidRPr="005842B7">
              <w:rPr>
                <w:b/>
                <w:i/>
              </w:rPr>
              <w:t>sovelleta</w:t>
            </w:r>
            <w:r w:rsidRPr="005842B7">
              <w:t xml:space="preserve"> sormenjälkien antamista koskevaa vaatimusta.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29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 xml:space="preserve">Roberto Vannacci, António Tânger Corrêa, Susanna Ceccardi, Anna Maria Cisint, Nikola Bartůšek, Fabrice </w:t>
      </w:r>
      <w:r w:rsidRPr="005842B7">
        <w:t>Leggeri, Tom Vandendriessche, Matthieu Valet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6 artikla – 1 kohta – e a alakohta (uusi)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e a)</w:t>
            </w:r>
            <w:r w:rsidRPr="005842B7">
              <w:tab/>
            </w:r>
            <w:r w:rsidRPr="005842B7">
              <w:rPr>
                <w:b/>
                <w:i/>
              </w:rPr>
              <w:t>haltijan sukupuoli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30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Roberto Vannacci, António Tânger Corrêa, Susanna Ceccardi, Anna Maria Cisint, Fabrice Leggeri, Tom Vandendriessche, Matthieu Valet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</w:t>
      </w:r>
      <w:r w:rsidRPr="005842B7">
        <w:t>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6 artikla – 1 kohta – h alakohta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h)</w:t>
            </w:r>
            <w:r w:rsidRPr="005842B7">
              <w:tab/>
              <w:t>etupuolella asiakirjan myöntäneen jäsenvaltion kaksikirjaiminen maakoodi</w:t>
            </w:r>
            <w:r w:rsidRPr="005842B7">
              <w:rPr>
                <w:b/>
                <w:i/>
              </w:rPr>
              <w:t xml:space="preserve"> negatiivina sinisessä suorakulmiossa ja kahdentoista keltaisen tähden ympäröimänä</w:t>
            </w:r>
            <w:r w:rsidRPr="005842B7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h)</w:t>
            </w:r>
            <w:r w:rsidRPr="005842B7">
              <w:tab/>
              <w:t>etupuolella asiakirjan myöntäneen jäsenvaltion kaksikirjaiminen maakoodi.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lastRenderedPageBreak/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31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Estrella Galán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10 artikla – 3 kohta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3.</w:t>
            </w:r>
            <w:r w:rsidRPr="005842B7">
              <w:tab/>
            </w:r>
            <w:r w:rsidRPr="005842B7">
              <w:rPr>
                <w:b/>
                <w:i/>
              </w:rPr>
              <w:t xml:space="preserve">Unionin oikeuden ja kansallisen lainsäädännön vaatimusten mukaista </w:t>
            </w:r>
            <w:r w:rsidRPr="005842B7">
              <w:rPr>
                <w:b/>
                <w:i/>
              </w:rPr>
              <w:t>käsittelyä lukuun ottamatta</w:t>
            </w:r>
            <w:r w:rsidRPr="005842B7">
              <w:t xml:space="preserve"> henkilökorttien tai oleskeluasiakirjojen yksilöllistämistä varten </w:t>
            </w:r>
            <w:r w:rsidRPr="005842B7">
              <w:rPr>
                <w:b/>
                <w:i/>
              </w:rPr>
              <w:t>tallennetut biometriset tunnisteet</w:t>
            </w:r>
            <w:r w:rsidRPr="005842B7">
              <w:t xml:space="preserve"> on säilytettävä erittäin turvallisesti ja ainoastaan asiakirjan noutopäivään asti ja joka tapauksessa enintään 90 päivää kyseis</w:t>
            </w:r>
            <w:r w:rsidRPr="005842B7">
              <w:t>en asiakirjan myöntämispäivästä. Tämän jälkeen biometriset tunnisteet on välittömästi poistettava tai hävitettävä.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3.</w:t>
            </w:r>
            <w:r w:rsidRPr="005842B7">
              <w:tab/>
              <w:t xml:space="preserve">Henkilökorttien tai oleskeluasiakirjojen yksilöllistämistä varten </w:t>
            </w:r>
            <w:r w:rsidRPr="005842B7">
              <w:rPr>
                <w:b/>
                <w:i/>
              </w:rPr>
              <w:t>tallennettuja biometrisiä tunnisteita käsitellään ainoastaan tätä tarkoi</w:t>
            </w:r>
            <w:r w:rsidRPr="005842B7">
              <w:rPr>
                <w:b/>
                <w:i/>
              </w:rPr>
              <w:t>tusta varten, ja ne</w:t>
            </w:r>
            <w:r w:rsidRPr="005842B7">
              <w:t xml:space="preserve"> on säilytettävä erittäin turvallisesti ja ainoastaan asiakirjan noutopäivään asti ja joka tapauksessa enintään 90 päivää kyseisen asiakirjan myöntämispäivästä. Tämän jälkeen biometriset tunnisteet on välittömästi poistettava tai hävitet</w:t>
            </w:r>
            <w:r w:rsidRPr="005842B7">
              <w:t>tävä.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32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Anna Strolenberg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r w:rsidRPr="005842B7">
        <w:rPr>
          <w:rStyle w:val="HideTWBExt"/>
        </w:rPr>
        <w:t>&lt;AuNomDe&gt;</w:t>
      </w:r>
      <w:r w:rsidRPr="005842B7">
        <w:rPr>
          <w:rStyle w:val="HideTWBInt"/>
          <w:color w:val="auto"/>
        </w:rPr>
        <w:t>{Greens/EFA}</w:t>
      </w:r>
      <w:r>
        <w:t>Verts/ALE-ryhmän puolesta</w:t>
      </w:r>
      <w:r w:rsidRPr="005842B7">
        <w:rPr>
          <w:rStyle w:val="HideTWBExt"/>
        </w:rPr>
        <w:t>&lt;/AuNomDe&gt;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10 artikla – 3 kohta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3.</w:t>
            </w:r>
            <w:r w:rsidRPr="005842B7">
              <w:tab/>
            </w:r>
            <w:r w:rsidRPr="005842B7">
              <w:rPr>
                <w:b/>
                <w:i/>
              </w:rPr>
              <w:t>Unionin oikeuden ja kansallisen lainsäädännön vaatimusten mukaista käsittelyä lukuun ottamatta</w:t>
            </w:r>
            <w:r w:rsidRPr="005842B7">
              <w:t xml:space="preserve"> henkilökorttien tai oleskeluasiakirjojen yksilöllistämistä varten </w:t>
            </w:r>
            <w:r w:rsidRPr="005842B7">
              <w:rPr>
                <w:b/>
                <w:i/>
              </w:rPr>
              <w:t>tallennetut biometriset tunnisteet</w:t>
            </w:r>
            <w:r w:rsidRPr="005842B7">
              <w:t xml:space="preserve"> on säilytettävä erittäin turvallisesti ja ainoastaan asiakirjan noutopäivään asti ja joka tapauksessa enintään 90 päivää kyseisen asiakirjan myöntämispäivästä. Tämän jälkeen biometriset tunnisteet on välittömästi poistett</w:t>
            </w:r>
            <w:r w:rsidRPr="005842B7">
              <w:t>ava tai hävitettävä.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3.</w:t>
            </w:r>
            <w:r w:rsidRPr="005842B7">
              <w:tab/>
              <w:t xml:space="preserve">Henkilökorttien tai oleskeluasiakirjojen yksilöllistämistä varten </w:t>
            </w:r>
            <w:r w:rsidRPr="005842B7">
              <w:rPr>
                <w:b/>
                <w:i/>
              </w:rPr>
              <w:t>tallennettuja biometrisiä tunnisteita käsitellään ainoastaan tätä tarkoitusta varten. Ne</w:t>
            </w:r>
            <w:r w:rsidRPr="005842B7">
              <w:t xml:space="preserve"> on säilytettävä erittäin turvallisesti ja ainoastaan asiakirjan noutopäivään </w:t>
            </w:r>
            <w:r w:rsidRPr="005842B7">
              <w:t>asti ja joka tapauksessa enintään 90 päivää kyseisen asiakirjan myöntämispäivästä. Tämän jälkeen biometriset tunnisteet on välittömästi poistettava tai hävitettävä.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lastRenderedPageBreak/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33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Francisco Assis, Krzysztof Śmiszek, Ana Catarina Mendes, Marco Tarquinio, Emma Rafowicz, Alessandro Zan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10 artikla – 3 kohta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3.</w:t>
            </w:r>
            <w:r w:rsidRPr="005842B7">
              <w:tab/>
            </w:r>
            <w:r w:rsidRPr="005842B7">
              <w:rPr>
                <w:b/>
                <w:i/>
              </w:rPr>
              <w:t>Unionin oikeuden ja kansallisen lainsäädännön vaatimusten mukaista käsittelyä lukuun ottamatta</w:t>
            </w:r>
            <w:r w:rsidRPr="005842B7">
              <w:t xml:space="preserve"> henkilökorttien tai oleskeluasiakirjojen yksilöllistämistä varten </w:t>
            </w:r>
            <w:r w:rsidRPr="005842B7">
              <w:rPr>
                <w:b/>
                <w:i/>
              </w:rPr>
              <w:t>tallennetut biometriset tunnisteet</w:t>
            </w:r>
            <w:r w:rsidRPr="005842B7">
              <w:t xml:space="preserve"> on säilytettävä erittäin turvallisesti ja ain</w:t>
            </w:r>
            <w:r w:rsidRPr="005842B7">
              <w:t>oastaan asiakirjan noutopäivään asti ja joka tapauksessa enintään 90 päivää kyseisen asiakirjan myöntämispäivästä. Tämän jälkeen biometriset tunnisteet on välittömästi poistettava tai hävitettävä.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3.</w:t>
            </w:r>
            <w:r w:rsidRPr="005842B7">
              <w:tab/>
              <w:t>Henkilökorttien tai oleskeluasiakirjojen yksilöllistämis</w:t>
            </w:r>
            <w:r w:rsidRPr="005842B7">
              <w:t xml:space="preserve">tä varten </w:t>
            </w:r>
            <w:r w:rsidRPr="005842B7">
              <w:rPr>
                <w:b/>
                <w:i/>
              </w:rPr>
              <w:t>tallennettuja biometrisiä tunnisteita käsitellään ainoastaan tätä tarkoitusta varten, ja ne</w:t>
            </w:r>
            <w:r w:rsidRPr="005842B7">
              <w:t xml:space="preserve"> on säilytettävä erittäin turvallisesti ja ainoastaan asiakirjan noutopäivään asti ja joka tapauksessa enintään 90 päivää kyseisen asiakirjan myöntämispäiv</w:t>
            </w:r>
            <w:r w:rsidRPr="005842B7">
              <w:t>ästä. Tämän jälkeen biometriset tunnisteet on välittömästi poistettava tai hävitettävä.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34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Tomáš Zdechovský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 xml:space="preserve">Ehdotus </w:t>
      </w:r>
      <w:r w:rsidRPr="005842B7">
        <w:t>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11 artikla – 4 kohta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4.</w:t>
            </w:r>
            <w:r w:rsidRPr="005842B7">
              <w:tab/>
              <w:t xml:space="preserve">Yhteistyö ulkoisten palveluntarjoajien kanssa ei sulje pois </w:t>
            </w:r>
            <w:r w:rsidRPr="005842B7">
              <w:rPr>
                <w:b/>
                <w:i/>
              </w:rPr>
              <w:t>unionin oikeudesta tai kansallisesta lainsäädännöstä johtuvaa mahdollista</w:t>
            </w:r>
            <w:r w:rsidRPr="005842B7">
              <w:t xml:space="preserve"> jäsenvaltion vastuuta henkilötietovelvoitteiden rikkomisesta.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4.</w:t>
            </w:r>
            <w:r w:rsidRPr="005842B7">
              <w:tab/>
              <w:t>Yhteistyö ulkoisten palveluntarjoajien kanssa ei sulje pois jäsenvaltion vastuuta.</w:t>
            </w:r>
            <w:r w:rsidRPr="005842B7">
              <w:rPr>
                <w:b/>
                <w:i/>
              </w:rPr>
              <w:t xml:space="preserve"> Jäsenvaltioiden on varmistettava, että kaikki ulkopuoliset palveluntarjoajat noudattavat unionin ja kansall</w:t>
            </w:r>
            <w:r w:rsidRPr="005842B7">
              <w:rPr>
                <w:b/>
                <w:i/>
              </w:rPr>
              <w:t>ista tietosuojalainsäädäntöä, ja olisi toteutettava lisätoimenpiteitä, joilla estetään luvaton pääsy henkilötietoihin tai niiden väärinkäyttö ulkoistettujen prosessien aikana.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lastRenderedPageBreak/>
        <w:t>&lt;/Amend&gt;</w:t>
      </w:r>
    </w:p>
    <w:p w:rsidR="00E33FD9" w:rsidRPr="005842B7" w:rsidRDefault="005842B7" w:rsidP="00E33FD9">
      <w:pPr>
        <w:pStyle w:val="AMNumberTabs0"/>
        <w:keepNext/>
      </w:pPr>
      <w:r w:rsidRPr="005842B7">
        <w:rPr>
          <w:rStyle w:val="HideTWBExt"/>
          <w:b w:val="0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  <w:b w:val="0"/>
        </w:rPr>
        <w:t>&lt;NumAm&gt;</w:t>
      </w:r>
      <w:r w:rsidRPr="005842B7">
        <w:t>35</w:t>
      </w:r>
      <w:r w:rsidRPr="005842B7">
        <w:rPr>
          <w:rStyle w:val="HideTWBExt"/>
          <w:b w:val="0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Malik Azmani, Jeannette Baljeu, Lucia Yar, Raquel García Hermida-Van Der Walle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r w:rsidRPr="005842B7">
        <w:rPr>
          <w:rStyle w:val="HideTWBExt"/>
        </w:rPr>
        <w:t>&lt;/RepeatBlock-By&gt;</w:t>
      </w:r>
    </w:p>
    <w:p w:rsidR="00E33FD9" w:rsidRPr="005842B7" w:rsidRDefault="005842B7" w:rsidP="00E33FD9">
      <w:pPr>
        <w:pStyle w:val="NormalBold"/>
        <w:keepNext/>
      </w:pPr>
      <w:r w:rsidRPr="005842B7">
        <w:rPr>
          <w:rStyle w:val="HideTWBExt"/>
          <w:b w:val="0"/>
        </w:rPr>
        <w:t>&lt;DocAmend&gt;</w:t>
      </w:r>
      <w:r w:rsidRPr="005842B7">
        <w:t>Ehdotus asetukseksi</w:t>
      </w:r>
      <w:r w:rsidRPr="005842B7">
        <w:rPr>
          <w:rStyle w:val="HideTWBExt"/>
          <w:b w:val="0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&lt;Article&gt;</w:t>
      </w:r>
      <w:r w:rsidRPr="005842B7">
        <w:t>11 artikla – 6 kohta – 1 alakohta – johdantokappale</w:t>
      </w:r>
      <w:r w:rsidRPr="005842B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32BEE" w:rsidRPr="005842B7" w:rsidTr="00E275B2">
        <w:trPr>
          <w:jc w:val="center"/>
        </w:trPr>
        <w:tc>
          <w:tcPr>
            <w:tcW w:w="9752" w:type="dxa"/>
            <w:gridSpan w:val="2"/>
          </w:tcPr>
          <w:p w:rsidR="00E33FD9" w:rsidRPr="005842B7" w:rsidRDefault="00E33FD9" w:rsidP="00E275B2">
            <w:pPr>
              <w:keepNext/>
            </w:pP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5842B7" w:rsidP="00E275B2">
            <w:pPr>
              <w:pStyle w:val="ColumnHeading"/>
              <w:keepNext/>
            </w:pPr>
            <w:r w:rsidRPr="005842B7">
              <w:t xml:space="preserve">Komission </w:t>
            </w:r>
            <w:r w:rsidRPr="005842B7">
              <w:t>teksti</w:t>
            </w: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ColumnHeading"/>
              <w:keepNext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5842B7" w:rsidP="00E275B2">
            <w:pPr>
              <w:pStyle w:val="Normal6"/>
            </w:pPr>
            <w:r w:rsidRPr="005842B7">
              <w:t xml:space="preserve">Henkilökorttien ja oleskeluasiakirjojen tallennusvälineeseen </w:t>
            </w:r>
            <w:r w:rsidRPr="005842B7">
              <w:rPr>
                <w:b/>
                <w:i/>
              </w:rPr>
              <w:t>tallennettuja biometrisiä tietoja</w:t>
            </w:r>
            <w:r w:rsidRPr="005842B7">
              <w:t xml:space="preserve"> saa käyttää ainoastaan unionin ja </w:t>
            </w:r>
            <w:r w:rsidRPr="005842B7">
              <w:rPr>
                <w:b/>
                <w:i/>
              </w:rPr>
              <w:t>kansallisen lainsäädännön</w:t>
            </w:r>
            <w:r w:rsidRPr="005842B7">
              <w:t xml:space="preserve"> mukaisesti seuraavien todentamiseen:</w:t>
            </w: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Normal6"/>
              <w:rPr>
                <w:szCs w:val="24"/>
              </w:rPr>
            </w:pPr>
            <w:r w:rsidRPr="005842B7">
              <w:t>Henkilökorttien ja oleskeluasiakirjojen tallen</w:t>
            </w:r>
            <w:r w:rsidRPr="005842B7">
              <w:t xml:space="preserve">nusvälineeseen </w:t>
            </w:r>
            <w:r w:rsidRPr="005842B7">
              <w:rPr>
                <w:b/>
                <w:i/>
              </w:rPr>
              <w:t>tallennettua haltijan kasvokuvaa</w:t>
            </w:r>
            <w:r w:rsidRPr="005842B7">
              <w:t xml:space="preserve"> saa käyttää ainoastaan </w:t>
            </w:r>
            <w:r w:rsidRPr="005842B7">
              <w:rPr>
                <w:b/>
                <w:i/>
              </w:rPr>
              <w:t xml:space="preserve">toimivaltaisten kansallisten viranomaisten, </w:t>
            </w:r>
            <w:r w:rsidRPr="005842B7">
              <w:t>unionin</w:t>
            </w:r>
            <w:r w:rsidRPr="005842B7">
              <w:rPr>
                <w:b/>
                <w:i/>
              </w:rPr>
              <w:t xml:space="preserve"> virastojen</w:t>
            </w:r>
            <w:r w:rsidRPr="005842B7">
              <w:t xml:space="preserve"> ja </w:t>
            </w:r>
            <w:r w:rsidRPr="005842B7">
              <w:rPr>
                <w:b/>
                <w:i/>
              </w:rPr>
              <w:t>yksityisten toimijoiden asianmukaisesti valtuutettu henkilöstö unionin tietosuojalainsäädännön</w:t>
            </w:r>
            <w:r w:rsidRPr="005842B7">
              <w:t xml:space="preserve"> mukaisesti seuraavien to</w:t>
            </w:r>
            <w:r w:rsidRPr="005842B7">
              <w:t>dentamiseen:</w:t>
            </w:r>
          </w:p>
        </w:tc>
      </w:tr>
    </w:tbl>
    <w:p w:rsidR="00E33FD9" w:rsidRPr="005842B7" w:rsidRDefault="005842B7" w:rsidP="00E33FD9">
      <w:pPr>
        <w:pStyle w:val="Olang"/>
        <w:rPr>
          <w:sz w:val="24"/>
          <w:szCs w:val="24"/>
        </w:rPr>
      </w:pPr>
      <w:r w:rsidRPr="005842B7">
        <w:rPr>
          <w:sz w:val="24"/>
          <w:szCs w:val="24"/>
        </w:rPr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  <w:sz w:val="24"/>
          <w:szCs w:val="24"/>
        </w:rPr>
        <w:t>{EN}</w:t>
      </w:r>
      <w:r w:rsidRPr="005842B7">
        <w:rPr>
          <w:sz w:val="24"/>
          <w:szCs w:val="24"/>
        </w:rPr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36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Estrella Galán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 xml:space="preserve">11 artikla – 6 kohta – 1 alakohta – </w:t>
      </w:r>
      <w:r w:rsidRPr="005842B7">
        <w:t>johdantokappale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Henkilökorttien ja oleskeluasiakirjojen tallennusvälineeseen tallennettuja biometrisiä tietoja saa käyttää ainoastaan unionin ja kansallisen lainsäädännön mukaisesti seuraavien todentamiseen: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 xml:space="preserve">Henkilökorttien ja oleskeluasiakirjojen tallennusvälineeseen tallennettuja biometrisiä tietoja saa käyttää ainoastaan unionin ja kansallisen lainsäädännön mukaisesti </w:t>
            </w:r>
            <w:r w:rsidRPr="005842B7">
              <w:rPr>
                <w:b/>
                <w:i/>
              </w:rPr>
              <w:t>toimivaltaisten kansallisten viranomaisten ja unionin virastojen asianmukaisesti valtuutet</w:t>
            </w:r>
            <w:r w:rsidRPr="005842B7">
              <w:rPr>
                <w:b/>
                <w:i/>
              </w:rPr>
              <w:t xml:space="preserve">tu henkilöstö </w:t>
            </w:r>
            <w:r w:rsidRPr="005842B7">
              <w:t>seuraavien todentamiseen: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37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Estrella Galán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11 artikla – 6 kohta</w:t>
      </w:r>
      <w:r w:rsidRPr="005842B7">
        <w:t xml:space="preserve"> – 2 alakohta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lastRenderedPageBreak/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Ainoastaan toimivaltaisten kansallisten viranomaisten ja unionin virastojen asianmukaisesti valtuutetulla henkilöstöllä on pääsy tallennusvälineeseen tallennettuihin kahteen sormenjälkeen.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Poistetaan.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pPr>
        <w:pStyle w:val="AmJustTitle"/>
      </w:pPr>
      <w:r w:rsidRPr="005842B7">
        <w:rPr>
          <w:rStyle w:val="HideTWBExt"/>
        </w:rPr>
        <w:t>&lt;TitreJust&gt;</w:t>
      </w:r>
      <w:r w:rsidRPr="005842B7">
        <w:t>Perustelu</w:t>
      </w:r>
      <w:r w:rsidRPr="005842B7">
        <w:rPr>
          <w:rStyle w:val="HideTWBExt"/>
        </w:rPr>
        <w:t>&lt;/TitreJust&gt;</w:t>
      </w:r>
    </w:p>
    <w:p w:rsidR="00E33FD9" w:rsidRPr="005842B7" w:rsidRDefault="005842B7" w:rsidP="00E33FD9">
      <w:pPr>
        <w:pStyle w:val="AmJustText"/>
      </w:pPr>
      <w:r w:rsidRPr="005842B7">
        <w:t xml:space="preserve">Molempia biometrisiä tietoja, sormenjälkiä ja kasvokuvia, saa käyttää ainoastaan tämän asetuksen soveltamiseksi, ja niitä saa käyttää ainoastaan toimivaltaisten kansallisten viranomaisten ja </w:t>
      </w:r>
      <w:r w:rsidRPr="005842B7">
        <w:t>unionin virastojen asianmukaisesti valtuutettu henkilöstö. Poistolla pyritään varmistamaan, ettei kasvokuvia jätetä säännösten soveltamisalan ulkopuolelle, jolloin kortinhaltijoiden ei sallita käyttää niitä tunnistautumiseen yksityisille toimijoille, jollo</w:t>
      </w:r>
      <w:r w:rsidRPr="005842B7">
        <w:t>in niillä olisi pääsy arkaluonteisiin biometrisiin tietoihin tämän asetuksen nojalla.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38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Anna Strolenberg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r w:rsidRPr="005842B7">
        <w:rPr>
          <w:rStyle w:val="HideTWBExt"/>
        </w:rPr>
        <w:t>&lt;AuNomDe&gt;</w:t>
      </w:r>
      <w:r w:rsidRPr="005842B7">
        <w:rPr>
          <w:rStyle w:val="HideTWBInt"/>
          <w:color w:val="auto"/>
        </w:rPr>
        <w:t>{Greens/EFA}</w:t>
      </w:r>
      <w:r w:rsidRPr="005842B7">
        <w:t>Verts/ALE-ryhmän puolesta</w:t>
      </w:r>
      <w:r w:rsidRPr="005842B7">
        <w:rPr>
          <w:rStyle w:val="HideTWBExt"/>
        </w:rPr>
        <w:t>&lt;/AuNomDe&gt;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</w:t>
      </w:r>
      <w:r w:rsidRPr="005842B7">
        <w:rPr>
          <w:rStyle w:val="HideTWBExt"/>
          <w:b w:val="0"/>
        </w:rPr>
        <w:t>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11 artikla – 6 kohta – 2 alakohta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 xml:space="preserve">Ainoastaan toimivaltaisten kansallisten viranomaisten ja unionin virastojen asianmukaisesti valtuutetulla henkilöstöllä on pääsy tallennusvälineeseen tallennettuihin </w:t>
            </w:r>
            <w:r w:rsidRPr="005842B7">
              <w:rPr>
                <w:b/>
                <w:i/>
              </w:rPr>
              <w:t>kahteen sormenjälkeen</w:t>
            </w:r>
            <w:r w:rsidRPr="005842B7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Ainoastaan toimivaltaisten kansallisten viranomaisten ja unionin vi</w:t>
            </w:r>
            <w:r w:rsidRPr="005842B7">
              <w:t xml:space="preserve">rastojen asianmukaisesti valtuutetulla henkilöstöllä on pääsy tallennusvälineeseen tallennettuihin </w:t>
            </w:r>
            <w:r w:rsidRPr="005842B7">
              <w:rPr>
                <w:b/>
                <w:i/>
              </w:rPr>
              <w:t>biometrisiin tietoihin</w:t>
            </w:r>
            <w:r w:rsidRPr="005842B7">
              <w:t>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0"/>
        <w:keepNext/>
      </w:pPr>
      <w:r w:rsidRPr="005842B7">
        <w:rPr>
          <w:rStyle w:val="HideTWBExt"/>
          <w:b w:val="0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  <w:b w:val="0"/>
        </w:rPr>
        <w:t>&lt;NumAm&gt;</w:t>
      </w:r>
      <w:r w:rsidRPr="005842B7">
        <w:t>39</w:t>
      </w:r>
      <w:r w:rsidRPr="005842B7">
        <w:rPr>
          <w:rStyle w:val="HideTWBExt"/>
          <w:b w:val="0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 xml:space="preserve">Malik Azmani, Jeannette </w:t>
      </w:r>
      <w:r w:rsidRPr="005842B7">
        <w:t>Baljeu, Lucia Yar, Raquel García Hermida-Van Der Walle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r w:rsidRPr="005842B7">
        <w:rPr>
          <w:rStyle w:val="HideTWBExt"/>
        </w:rPr>
        <w:t>&lt;/RepeatBlock-By&gt;</w:t>
      </w:r>
    </w:p>
    <w:p w:rsidR="00E33FD9" w:rsidRPr="005842B7" w:rsidRDefault="005842B7" w:rsidP="00E33FD9">
      <w:pPr>
        <w:pStyle w:val="NormalBold"/>
        <w:keepNext/>
      </w:pPr>
      <w:r w:rsidRPr="005842B7">
        <w:rPr>
          <w:rStyle w:val="HideTWBExt"/>
          <w:b w:val="0"/>
        </w:rPr>
        <w:t>&lt;DocAmend&gt;</w:t>
      </w:r>
      <w:r w:rsidRPr="005842B7">
        <w:t>Ehdotus asetukseksi</w:t>
      </w:r>
      <w:r w:rsidRPr="005842B7">
        <w:rPr>
          <w:rStyle w:val="HideTWBExt"/>
          <w:b w:val="0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&lt;Article&gt;</w:t>
      </w:r>
      <w:r w:rsidRPr="005842B7">
        <w:t>11 artikla – 6 kohta – 2 alakohta</w:t>
      </w:r>
      <w:r w:rsidRPr="005842B7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A32BEE" w:rsidRPr="005842B7" w:rsidTr="00E275B2">
        <w:trPr>
          <w:jc w:val="center"/>
        </w:trPr>
        <w:tc>
          <w:tcPr>
            <w:tcW w:w="9752" w:type="dxa"/>
            <w:gridSpan w:val="2"/>
          </w:tcPr>
          <w:p w:rsidR="00E33FD9" w:rsidRPr="005842B7" w:rsidRDefault="00E33FD9" w:rsidP="00E275B2">
            <w:pPr>
              <w:keepNext/>
            </w:pP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5842B7" w:rsidP="00E275B2">
            <w:pPr>
              <w:pStyle w:val="ColumnHeading"/>
              <w:keepNext/>
            </w:pPr>
            <w:r w:rsidRPr="005842B7">
              <w:t>Komission teksti</w:t>
            </w: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ColumnHeading"/>
              <w:keepNext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</w:tcPr>
          <w:p w:rsidR="00E33FD9" w:rsidRPr="005842B7" w:rsidRDefault="005842B7" w:rsidP="00E275B2">
            <w:pPr>
              <w:pStyle w:val="Normal6"/>
            </w:pPr>
            <w:r w:rsidRPr="005842B7">
              <w:t xml:space="preserve">Ainoastaan toimivaltaisten kansallisten </w:t>
            </w:r>
            <w:r w:rsidRPr="005842B7">
              <w:t>viranomaisten ja unionin virastojen asianmukaisesti valtuutetulla henkilöstöllä on pääsy tallennusvälineeseen tallennettuihin kahteen sormenjälkeen.</w:t>
            </w:r>
          </w:p>
        </w:tc>
        <w:tc>
          <w:tcPr>
            <w:tcW w:w="4876" w:type="dxa"/>
          </w:tcPr>
          <w:p w:rsidR="00E33FD9" w:rsidRPr="005842B7" w:rsidRDefault="005842B7" w:rsidP="00E275B2">
            <w:pPr>
              <w:pStyle w:val="Normal6"/>
              <w:rPr>
                <w:szCs w:val="24"/>
              </w:rPr>
            </w:pPr>
            <w:r w:rsidRPr="005842B7">
              <w:t>Ainoastaan toimivaltaisten kansallisten viranomaisten ja unionin virastojen asianmukaisesti valtuutetulla h</w:t>
            </w:r>
            <w:r w:rsidRPr="005842B7">
              <w:t xml:space="preserve">enkilöstöllä on pääsy tallennusvälineeseen tallennettuihin </w:t>
            </w:r>
            <w:r w:rsidRPr="005842B7">
              <w:rPr>
                <w:b/>
                <w:i/>
              </w:rPr>
              <w:t xml:space="preserve">haltijan </w:t>
            </w:r>
            <w:r w:rsidRPr="005842B7">
              <w:t>kahteen sormenjälkeen</w:t>
            </w:r>
            <w:r w:rsidRPr="005842B7">
              <w:rPr>
                <w:b/>
                <w:i/>
              </w:rPr>
              <w:t xml:space="preserve"> ensimmäisessä alakohdassa säädettyjä tarkoituksia varten ja unionin ja kansallisen tietosuojalainsäädännön mukaisesti</w:t>
            </w:r>
            <w:r w:rsidRPr="005842B7">
              <w:t>.</w:t>
            </w:r>
          </w:p>
        </w:tc>
      </w:tr>
    </w:tbl>
    <w:p w:rsidR="00E33FD9" w:rsidRPr="005842B7" w:rsidRDefault="005842B7" w:rsidP="00E33FD9">
      <w:pPr>
        <w:pStyle w:val="Olang"/>
        <w:rPr>
          <w:sz w:val="24"/>
          <w:szCs w:val="24"/>
        </w:rPr>
      </w:pPr>
      <w:r w:rsidRPr="005842B7">
        <w:rPr>
          <w:sz w:val="24"/>
          <w:szCs w:val="24"/>
        </w:rPr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  <w:sz w:val="24"/>
          <w:szCs w:val="24"/>
        </w:rPr>
        <w:t>{EN}</w:t>
      </w:r>
      <w:r w:rsidRPr="005842B7">
        <w:rPr>
          <w:sz w:val="24"/>
          <w:szCs w:val="24"/>
        </w:rPr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</w:t>
      </w:r>
      <w:r w:rsidRPr="005842B7">
        <w:rPr>
          <w:rStyle w:val="HideTWBExt"/>
        </w:rPr>
        <w:t>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40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Estrella Galán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11 artikla – 6 kohta – 2 a alakohta (uusi)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 xml:space="preserve">Jäsenvaltioiden on </w:t>
            </w:r>
            <w:r w:rsidRPr="005842B7">
              <w:rPr>
                <w:b/>
                <w:i/>
              </w:rPr>
              <w:t>ylläpidettävä luetteloa toimivaltaisista kansallisista viranomaisista, joilla on pääsy 3 artiklan 5 kohdassa tarkoitettuun tallennusvälineeseen tallennettuihin biometrisiin tietoihin, ja toimitettava se komissiolle vuosittain. Komissio julkaisee verkossa k</w:t>
            </w:r>
            <w:r w:rsidRPr="005842B7">
              <w:rPr>
                <w:b/>
                <w:i/>
              </w:rPr>
              <w:t>oosteen tällaisista kansallisista luetteloista.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41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Estrella Galán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13 artikla –</w:t>
      </w:r>
      <w:r w:rsidRPr="005842B7">
        <w:t xml:space="preserve"> otsikko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Arviointi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Raportointi ja</w:t>
            </w:r>
            <w:r w:rsidRPr="005842B7">
              <w:t xml:space="preserve"> arviointi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lastRenderedPageBreak/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42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Estrella Galán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 xml:space="preserve">Ehdotus </w:t>
      </w:r>
      <w:r w:rsidRPr="005842B7">
        <w:t>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13 artikla – 1 kohta – johdantokappale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1.</w:t>
            </w:r>
            <w:r w:rsidRPr="005842B7">
              <w:tab/>
              <w:t xml:space="preserve">Komissio arvioi tätä asetusta </w:t>
            </w:r>
            <w:r w:rsidRPr="005842B7">
              <w:rPr>
                <w:b/>
                <w:i/>
              </w:rPr>
              <w:t>aikaisintaan [</w:t>
            </w:r>
            <w:r w:rsidRPr="005842B7">
              <w:t>kuuden vuoden kuluttua asetuksen soveltamisen voimaantulosta</w:t>
            </w:r>
            <w:r w:rsidRPr="005842B7">
              <w:rPr>
                <w:b/>
                <w:i/>
              </w:rPr>
              <w:t>]</w:t>
            </w:r>
            <w:r w:rsidRPr="005842B7">
              <w:t xml:space="preserve"> ja esittää Euroopan parlamentille, neuvostolle ja Euroopan talous- ja sosiaalikomitealle kertomuksen tärkeimmistä havainnoista. Kertomuksessa tarkastellaan erityisesti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1.</w:t>
            </w:r>
            <w:r w:rsidRPr="005842B7">
              <w:tab/>
            </w:r>
            <w:r w:rsidRPr="005842B7">
              <w:rPr>
                <w:b/>
                <w:i/>
              </w:rPr>
              <w:t>Komissio antaa kahden ja 11 vuoden kuluttua tämän asetuksen soveltamispäivästä Euroo</w:t>
            </w:r>
            <w:r w:rsidRPr="005842B7">
              <w:rPr>
                <w:b/>
                <w:i/>
              </w:rPr>
              <w:t>pan parlamentille, neuvostolle ja Euroopan talous- ja sosiaalikomitealle kertomuksen tämän asetuksen täytäntöönpanosta ja erityisesti perusoikeuksien suojelusta ja henkilötietojen suojasta.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 xml:space="preserve">Komissio arvioi tätä asetusta kuuden vuoden kuluttua asetuksen soveltamisen voimaantulosta </w:t>
            </w:r>
            <w:r w:rsidRPr="005842B7">
              <w:rPr>
                <w:b/>
                <w:i/>
              </w:rPr>
              <w:t>ja sen jälkeen kuuden vuoden välein</w:t>
            </w:r>
            <w:r w:rsidRPr="005842B7">
              <w:t xml:space="preserve"> ja esittää Euroopan parlamentille, neuvostolle ja Euroopan talous- ja sosiaalikomitealle kertomuksen tärkeimmistä havainnoista. K</w:t>
            </w:r>
            <w:r w:rsidRPr="005842B7">
              <w:t>ertomuksessa tarkastellaan erityisesti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43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Malik Azmani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 xml:space="preserve">13 artikla – 1 kohta – </w:t>
      </w:r>
      <w:r w:rsidRPr="005842B7">
        <w:t>johdantokappale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1.</w:t>
            </w:r>
            <w:r w:rsidRPr="005842B7">
              <w:tab/>
              <w:t xml:space="preserve">Komissio arvioi tätä asetusta </w:t>
            </w:r>
            <w:r w:rsidRPr="005842B7">
              <w:rPr>
                <w:b/>
                <w:i/>
              </w:rPr>
              <w:t>aikaisintaan [</w:t>
            </w:r>
            <w:r w:rsidRPr="005842B7">
              <w:t>kuuden vuoden kuluttua asetuksen soveltamisen voimaantulosta</w:t>
            </w:r>
            <w:r w:rsidRPr="005842B7">
              <w:rPr>
                <w:b/>
                <w:i/>
              </w:rPr>
              <w:t>]</w:t>
            </w:r>
            <w:r w:rsidRPr="005842B7">
              <w:t xml:space="preserve"> ja esittää Euroopan parlamentille, neuvostolle ja Euroopan talous- ja sosiaalikomitealle kertomuksen tärkeimmistä havainnoista. Kertomuksessa tarkastellaan erityisesti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1.</w:t>
            </w:r>
            <w:r w:rsidRPr="005842B7">
              <w:tab/>
            </w:r>
            <w:r w:rsidRPr="005842B7">
              <w:rPr>
                <w:b/>
                <w:i/>
              </w:rPr>
              <w:t>Komissio antaa kahden ja 11 vuoden kuluttua tämän asetuksen soveltamispäivästä Euroo</w:t>
            </w:r>
            <w:r w:rsidRPr="005842B7">
              <w:rPr>
                <w:b/>
                <w:i/>
              </w:rPr>
              <w:t>pan parlamentille ja neuvostolle kertomuksen tämän asetuksen täytäntöönpanosta ja erityisesti perusoikeuksien suojelusta ja henkilötietojen suojasta.</w:t>
            </w:r>
            <w:r w:rsidRPr="005842B7">
              <w:t xml:space="preserve"> Komissio arvioi tätä asetusta kuuden vuoden kuluttua asetuksen soveltamisen voimaantulosta ja esittää Euro</w:t>
            </w:r>
            <w:r w:rsidRPr="005842B7">
              <w:t xml:space="preserve">opan parlamentille, neuvostolle </w:t>
            </w:r>
            <w:r w:rsidRPr="005842B7">
              <w:lastRenderedPageBreak/>
              <w:t>ja Euroopan talous- ja sosiaalikomitealle kertomuksen tärkeimmistä havainnoista. Kertomuksessa tarkastellaan erityisesti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lastRenderedPageBreak/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44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Francisco Assis, Krzysztof Śmiszek, Ana Catarina Mendes, Marco Tarquinio, Emma Rafowicz, Alessandro Zan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13 artikla – 1 kohta – johdantokappale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1.</w:t>
            </w:r>
            <w:r w:rsidRPr="005842B7">
              <w:tab/>
              <w:t xml:space="preserve">Komissio arvioi tätä asetusta </w:t>
            </w:r>
            <w:r w:rsidRPr="005842B7">
              <w:rPr>
                <w:b/>
                <w:i/>
              </w:rPr>
              <w:t>aikaisintaan [</w:t>
            </w:r>
            <w:r w:rsidRPr="005842B7">
              <w:t xml:space="preserve">kuuden vuoden </w:t>
            </w:r>
            <w:r w:rsidRPr="005842B7">
              <w:rPr>
                <w:b/>
                <w:i/>
              </w:rPr>
              <w:t>kuluttua</w:t>
            </w:r>
            <w:r w:rsidRPr="005842B7">
              <w:t xml:space="preserve"> asetuksen soveltamisen voimaantulosta] ja esittää Euroopan parlamentille, neuvostolle ja Euroopan talous- ja sosiaalikomitealle kertomuksen tärkeimmistä havainnoista. Kertomuk</w:t>
            </w:r>
            <w:r w:rsidRPr="005842B7">
              <w:t>sessa tarkastellaan erityisesti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t>1.</w:t>
            </w:r>
            <w:r w:rsidRPr="005842B7">
              <w:tab/>
              <w:t xml:space="preserve">Komissio arvioi tätä asetusta kuuden vuoden </w:t>
            </w:r>
            <w:r w:rsidRPr="005842B7">
              <w:rPr>
                <w:b/>
                <w:i/>
              </w:rPr>
              <w:t>kuluessa</w:t>
            </w:r>
            <w:r w:rsidRPr="005842B7">
              <w:t xml:space="preserve"> asetuksen soveltamisen voimaantulosta ja esittää Euroopan parlamentille, neuvostolle ja Euroopan talous- ja sosiaalikomitealle kertomuksen tärkeimmistä havainnoista. Ke</w:t>
            </w:r>
            <w:r w:rsidRPr="005842B7">
              <w:t>rtomuksessa tarkastellaan erityisesti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45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Roberto Vannacci, António Tânger Corrêa, Susanna Ceccardi, Anna Maria Cisint, Nikola Bartůšek, Fabrice Leggeri, Tom</w:t>
      </w:r>
      <w:r w:rsidRPr="005842B7">
        <w:t xml:space="preserve"> Vandendriessche, Matthieu Valet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13 artikla – 1 kohta – a alakohta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a)</w:t>
            </w:r>
            <w:r w:rsidRPr="005842B7">
              <w:tab/>
            </w:r>
            <w:r w:rsidRPr="005842B7">
              <w:rPr>
                <w:b/>
                <w:i/>
              </w:rPr>
              <w:t>asetuksen vaikutusta perusoikeuksiin;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Poistetaan.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46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Malik Azmani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lastRenderedPageBreak/>
        <w:t>&lt;Article&gt;</w:t>
      </w:r>
      <w:r w:rsidRPr="005842B7">
        <w:t>13 artikla – 1 kohta – d a alakohta (uusi)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d a)</w:t>
            </w:r>
            <w:r w:rsidRPr="005842B7">
              <w:tab/>
            </w:r>
            <w:r w:rsidRPr="005842B7">
              <w:rPr>
                <w:b/>
                <w:i/>
              </w:rPr>
              <w:t>tarvetta ottaa käyttöön väliaikaisesti käytettäville henkilöasiakirjoille yhteisiä turvaominaisuuksia niiden parempaa tunnustamista varten.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pPr>
        <w:pStyle w:val="AmNumberTabs"/>
      </w:pPr>
      <w:r w:rsidRPr="005842B7">
        <w:rPr>
          <w:rStyle w:val="HideTWBExt"/>
        </w:rPr>
        <w:t>&lt;Amend&gt;</w:t>
      </w:r>
      <w:r w:rsidRPr="005842B7">
        <w:t>Tarkistus</w:t>
      </w:r>
      <w:r w:rsidRPr="005842B7">
        <w:tab/>
      </w:r>
      <w:r w:rsidRPr="005842B7">
        <w:tab/>
      </w:r>
      <w:r w:rsidRPr="005842B7">
        <w:rPr>
          <w:rStyle w:val="HideTWBExt"/>
        </w:rPr>
        <w:t>&lt;NumAm&gt;</w:t>
      </w:r>
      <w:r w:rsidRPr="005842B7">
        <w:t>47</w:t>
      </w:r>
      <w:r w:rsidRPr="005842B7">
        <w:rPr>
          <w:rStyle w:val="HideTWBExt"/>
        </w:rPr>
        <w:t>&lt;/NumAm&gt;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&lt;RepeatBlock-By&gt;&lt;Members&gt;</w:t>
      </w:r>
      <w:r w:rsidRPr="005842B7">
        <w:t>Estrella Galán</w:t>
      </w:r>
      <w:r w:rsidRPr="005842B7">
        <w:rPr>
          <w:rStyle w:val="HideTWBExt"/>
          <w:b w:val="0"/>
        </w:rPr>
        <w:t>&lt;/Members&gt;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  <w:b w:val="0"/>
        </w:rPr>
        <w:t>&lt;/RepeatBlock-By&gt;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&lt;DocAmend&gt;</w:t>
      </w:r>
      <w:r w:rsidRPr="005842B7">
        <w:t>Ehdotus asetukseksi</w:t>
      </w:r>
      <w:r w:rsidRPr="005842B7">
        <w:rPr>
          <w:rStyle w:val="HideTWBExt"/>
        </w:rPr>
        <w:t>&lt;/DocAmend&gt;</w:t>
      </w:r>
    </w:p>
    <w:p w:rsidR="00E33FD9" w:rsidRPr="005842B7" w:rsidRDefault="005842B7" w:rsidP="00E33FD9">
      <w:pPr>
        <w:pStyle w:val="NormalBold"/>
      </w:pPr>
      <w:r w:rsidRPr="005842B7">
        <w:rPr>
          <w:rStyle w:val="HideTWBExt"/>
        </w:rPr>
        <w:t>&lt;Article&gt;</w:t>
      </w:r>
      <w:r w:rsidRPr="005842B7">
        <w:t>13 artikla – 1 kohta – d a alakohta (uusi)</w:t>
      </w:r>
      <w:r w:rsidRPr="005842B7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32BEE" w:rsidRPr="005842B7" w:rsidTr="00E275B2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/>
        </w:tc>
      </w:tr>
      <w:tr w:rsidR="00A32BEE" w:rsidRPr="005842B7" w:rsidTr="00E275B2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Komission teksti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AmColumnHeading"/>
            </w:pPr>
            <w:r w:rsidRPr="005842B7">
              <w:t>Tarkistus</w:t>
            </w:r>
          </w:p>
        </w:tc>
      </w:tr>
      <w:tr w:rsidR="00A32BEE" w:rsidRPr="005842B7" w:rsidTr="00E275B2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E33FD9" w:rsidP="00E275B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E33FD9" w:rsidRPr="005842B7" w:rsidRDefault="005842B7" w:rsidP="00E275B2">
            <w:pPr>
              <w:pStyle w:val="Normal6a"/>
            </w:pPr>
            <w:r w:rsidRPr="005842B7">
              <w:rPr>
                <w:b/>
                <w:i/>
              </w:rPr>
              <w:t>d a)</w:t>
            </w:r>
            <w:r w:rsidRPr="005842B7">
              <w:tab/>
            </w:r>
            <w:r w:rsidRPr="005842B7">
              <w:rPr>
                <w:b/>
                <w:i/>
              </w:rPr>
              <w:t xml:space="preserve">oleskelukortin mahdollista käyttöä </w:t>
            </w:r>
            <w:r w:rsidRPr="005842B7">
              <w:rPr>
                <w:b/>
                <w:i/>
              </w:rPr>
              <w:t>matkustusasiakirjana.</w:t>
            </w:r>
          </w:p>
        </w:tc>
      </w:tr>
    </w:tbl>
    <w:p w:rsidR="00E33FD9" w:rsidRPr="005842B7" w:rsidRDefault="005842B7" w:rsidP="00E33FD9">
      <w:pPr>
        <w:pStyle w:val="AmOrLang"/>
      </w:pPr>
      <w:r w:rsidRPr="005842B7">
        <w:t xml:space="preserve">Or. </w:t>
      </w:r>
      <w:r w:rsidRPr="005842B7">
        <w:rPr>
          <w:rStyle w:val="HideTWBExt"/>
        </w:rPr>
        <w:t>&lt;Original&gt;</w:t>
      </w:r>
      <w:r w:rsidRPr="005842B7">
        <w:rPr>
          <w:rStyle w:val="HideTWBInt"/>
        </w:rPr>
        <w:t>{EN}</w:t>
      </w:r>
      <w:r w:rsidRPr="005842B7">
        <w:t>en</w:t>
      </w:r>
      <w:r w:rsidRPr="005842B7">
        <w:rPr>
          <w:rStyle w:val="HideTWBExt"/>
        </w:rPr>
        <w:t>&lt;/Original&gt;</w:t>
      </w:r>
    </w:p>
    <w:p w:rsidR="00E33FD9" w:rsidRPr="005842B7" w:rsidRDefault="005842B7" w:rsidP="00E33FD9">
      <w:r w:rsidRPr="005842B7">
        <w:rPr>
          <w:rStyle w:val="HideTWBExt"/>
        </w:rPr>
        <w:t>&lt;/Amend&gt;</w:t>
      </w:r>
    </w:p>
    <w:p w:rsidR="00E33FD9" w:rsidRPr="005842B7" w:rsidRDefault="005842B7" w:rsidP="00E33FD9">
      <w:r w:rsidRPr="005842B7">
        <w:rPr>
          <w:rStyle w:val="HideTWBExt"/>
        </w:rPr>
        <w:t>&lt;/RepeatBlock-Amend&gt;</w:t>
      </w:r>
    </w:p>
    <w:p w:rsidR="00387D70" w:rsidRPr="005842B7" w:rsidRDefault="00387D70" w:rsidP="00E33FD9">
      <w:pPr>
        <w:pStyle w:val="CoverReference"/>
      </w:pPr>
      <w:bookmarkStart w:id="0" w:name="_GoBack"/>
      <w:bookmarkEnd w:id="0"/>
    </w:p>
    <w:sectPr w:rsidR="00387D70" w:rsidRPr="005842B7" w:rsidSect="000349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034909" w:rsidRDefault="005842B7">
      <w:r w:rsidRPr="00034909">
        <w:separator/>
      </w:r>
    </w:p>
  </w:endnote>
  <w:endnote w:type="continuationSeparator" w:id="0">
    <w:p w:rsidR="00000000" w:rsidRPr="00034909" w:rsidRDefault="005842B7">
      <w:r w:rsidRPr="0003490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909" w:rsidRPr="00034909" w:rsidRDefault="00034909" w:rsidP="00034909">
    <w:pPr>
      <w:pStyle w:val="EPFooter"/>
    </w:pPr>
    <w:r w:rsidRPr="00034909">
      <w:t>PE</w:t>
    </w:r>
    <w:r w:rsidRPr="00034909">
      <w:rPr>
        <w:rStyle w:val="HideTWBExt"/>
      </w:rPr>
      <w:t>&lt;NoPE&gt;</w:t>
    </w:r>
    <w:r w:rsidRPr="00034909">
      <w:t>766.918</w:t>
    </w:r>
    <w:r w:rsidRPr="00034909">
      <w:rPr>
        <w:rStyle w:val="HideTWBExt"/>
      </w:rPr>
      <w:t>&lt;/NoPE&gt;&lt;Version&gt;</w:t>
    </w:r>
    <w:r w:rsidRPr="00034909">
      <w:t>v02-00</w:t>
    </w:r>
    <w:r w:rsidRPr="00034909">
      <w:rPr>
        <w:rStyle w:val="HideTWBExt"/>
      </w:rPr>
      <w:t>&lt;/Version&gt;</w:t>
    </w:r>
    <w:r w:rsidRPr="00034909">
      <w:tab/>
    </w:r>
    <w:r w:rsidRPr="00034909">
      <w:fldChar w:fldCharType="begin"/>
    </w:r>
    <w:r w:rsidRPr="00034909">
      <w:instrText xml:space="preserve"> PAGE  \* MERGEFORMAT </w:instrText>
    </w:r>
    <w:r w:rsidRPr="00034909">
      <w:fldChar w:fldCharType="separate"/>
    </w:r>
    <w:r w:rsidR="005842B7">
      <w:rPr>
        <w:noProof/>
      </w:rPr>
      <w:t>26</w:t>
    </w:r>
    <w:r w:rsidRPr="00034909">
      <w:fldChar w:fldCharType="end"/>
    </w:r>
    <w:r w:rsidRPr="00034909">
      <w:t>/</w:t>
    </w:r>
    <w:fldSimple w:instr=" NUMPAGES  \* MERGEFORMAT ">
      <w:r w:rsidR="005842B7">
        <w:rPr>
          <w:noProof/>
        </w:rPr>
        <w:t>26</w:t>
      </w:r>
    </w:fldSimple>
    <w:r w:rsidRPr="00034909">
      <w:tab/>
    </w:r>
    <w:r w:rsidRPr="00034909">
      <w:rPr>
        <w:rStyle w:val="HideTWBExt"/>
      </w:rPr>
      <w:t>&lt;PathFdR&gt;</w:t>
    </w:r>
    <w:r w:rsidRPr="00034909">
      <w:t>AM\1314148FI.docx</w:t>
    </w:r>
    <w:r w:rsidRPr="00034909">
      <w:rPr>
        <w:rStyle w:val="HideTWBExt"/>
      </w:rPr>
      <w:t>&lt;/PathFdR&gt;</w:t>
    </w:r>
  </w:p>
  <w:p w:rsidR="00387D70" w:rsidRPr="00034909" w:rsidRDefault="00034909" w:rsidP="00034909">
    <w:pPr>
      <w:pStyle w:val="EPFooter2"/>
    </w:pPr>
    <w:r w:rsidRPr="00034909">
      <w:t>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909" w:rsidRPr="00034909" w:rsidRDefault="00034909" w:rsidP="00034909">
    <w:pPr>
      <w:pStyle w:val="EPFooter"/>
    </w:pPr>
    <w:r w:rsidRPr="00034909">
      <w:rPr>
        <w:rStyle w:val="HideTWBExt"/>
      </w:rPr>
      <w:t>&lt;PathFdR&gt;</w:t>
    </w:r>
    <w:r w:rsidRPr="00034909">
      <w:t>AM\1314148FI.docx</w:t>
    </w:r>
    <w:r w:rsidRPr="00034909">
      <w:rPr>
        <w:rStyle w:val="HideTWBExt"/>
      </w:rPr>
      <w:t>&lt;/PathFdR&gt;</w:t>
    </w:r>
    <w:r w:rsidRPr="00034909">
      <w:tab/>
    </w:r>
    <w:r w:rsidRPr="00034909">
      <w:fldChar w:fldCharType="begin"/>
    </w:r>
    <w:r w:rsidRPr="00034909">
      <w:instrText xml:space="preserve"> PAGE  \* MERGEFORMAT </w:instrText>
    </w:r>
    <w:r w:rsidRPr="00034909">
      <w:fldChar w:fldCharType="separate"/>
    </w:r>
    <w:r w:rsidR="005842B7">
      <w:rPr>
        <w:noProof/>
      </w:rPr>
      <w:t>25</w:t>
    </w:r>
    <w:r w:rsidRPr="00034909">
      <w:fldChar w:fldCharType="end"/>
    </w:r>
    <w:r w:rsidRPr="00034909">
      <w:t>/</w:t>
    </w:r>
    <w:fldSimple w:instr=" NUMPAGES  \* MERGEFORMAT ">
      <w:r w:rsidR="005842B7">
        <w:rPr>
          <w:noProof/>
        </w:rPr>
        <w:t>26</w:t>
      </w:r>
    </w:fldSimple>
    <w:r w:rsidRPr="00034909">
      <w:tab/>
      <w:t>PE</w:t>
    </w:r>
    <w:r w:rsidRPr="00034909">
      <w:rPr>
        <w:rStyle w:val="HideTWBExt"/>
      </w:rPr>
      <w:t>&lt;NoPE&gt;</w:t>
    </w:r>
    <w:r w:rsidRPr="00034909">
      <w:t>766.918</w:t>
    </w:r>
    <w:r w:rsidRPr="00034909">
      <w:rPr>
        <w:rStyle w:val="HideTWBExt"/>
      </w:rPr>
      <w:t>&lt;/NoPE&gt;&lt;Version&gt;</w:t>
    </w:r>
    <w:r w:rsidRPr="00034909">
      <w:t>v02-00</w:t>
    </w:r>
    <w:r w:rsidRPr="00034909">
      <w:rPr>
        <w:rStyle w:val="HideTWBExt"/>
      </w:rPr>
      <w:t>&lt;/Version&gt;</w:t>
    </w:r>
  </w:p>
  <w:p w:rsidR="00387D70" w:rsidRPr="00034909" w:rsidRDefault="00034909" w:rsidP="00034909">
    <w:pPr>
      <w:pStyle w:val="EPFooter2"/>
    </w:pPr>
    <w:r w:rsidRPr="00034909">
      <w:tab/>
    </w:r>
    <w:r w:rsidRPr="00034909"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909" w:rsidRPr="00034909" w:rsidRDefault="00034909" w:rsidP="00034909">
    <w:pPr>
      <w:pStyle w:val="EPFooter"/>
    </w:pPr>
    <w:r w:rsidRPr="00034909">
      <w:rPr>
        <w:rStyle w:val="HideTWBExt"/>
      </w:rPr>
      <w:t>&lt;PathFdR&gt;</w:t>
    </w:r>
    <w:r w:rsidRPr="00034909">
      <w:t>AM\1314148FI.docx</w:t>
    </w:r>
    <w:r w:rsidRPr="00034909">
      <w:rPr>
        <w:rStyle w:val="HideTWBExt"/>
      </w:rPr>
      <w:t>&lt;/PathFdR&gt;</w:t>
    </w:r>
    <w:r w:rsidRPr="00034909">
      <w:tab/>
    </w:r>
    <w:r w:rsidRPr="00034909">
      <w:tab/>
      <w:t>PE</w:t>
    </w:r>
    <w:r w:rsidRPr="00034909">
      <w:rPr>
        <w:rStyle w:val="HideTWBExt"/>
      </w:rPr>
      <w:t>&lt;NoPE&gt;</w:t>
    </w:r>
    <w:r w:rsidRPr="00034909">
      <w:t>766.918</w:t>
    </w:r>
    <w:r w:rsidRPr="00034909">
      <w:rPr>
        <w:rStyle w:val="HideTWBExt"/>
      </w:rPr>
      <w:t>&lt;/NoPE&gt;&lt;Version&gt;</w:t>
    </w:r>
    <w:r w:rsidRPr="00034909">
      <w:t>v02-00</w:t>
    </w:r>
    <w:r w:rsidRPr="00034909">
      <w:rPr>
        <w:rStyle w:val="HideTWBExt"/>
      </w:rPr>
      <w:t>&lt;/Version&gt;</w:t>
    </w:r>
  </w:p>
  <w:p w:rsidR="00387D70" w:rsidRPr="00034909" w:rsidRDefault="00034909" w:rsidP="00034909">
    <w:pPr>
      <w:pStyle w:val="EPFooter2"/>
    </w:pPr>
    <w:r w:rsidRPr="00034909">
      <w:t>FI</w:t>
    </w:r>
    <w:r w:rsidRPr="00034909">
      <w:tab/>
    </w:r>
    <w:r w:rsidRPr="00034909">
      <w:rPr>
        <w:b w:val="0"/>
        <w:i/>
        <w:color w:val="C0C0C0"/>
        <w:sz w:val="22"/>
      </w:rPr>
      <w:t>Moninaisuudessaan yhtenäinen</w:t>
    </w:r>
    <w:r w:rsidRPr="00034909">
      <w:tab/>
      <w:t>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034909" w:rsidRDefault="005842B7">
      <w:r w:rsidRPr="00034909">
        <w:separator/>
      </w:r>
    </w:p>
  </w:footnote>
  <w:footnote w:type="continuationSeparator" w:id="0">
    <w:p w:rsidR="00000000" w:rsidRPr="00034909" w:rsidRDefault="005842B7">
      <w:r w:rsidRPr="0003490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2B7" w:rsidRDefault="005842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2B7" w:rsidRDefault="005842B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2B7" w:rsidRDefault="005842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70F6E"/>
    <w:multiLevelType w:val="hybridMultilevel"/>
    <w:tmpl w:val="D982D3F0"/>
    <w:lvl w:ilvl="0" w:tplc="B3B0D3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58495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EAB6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8EF5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CA0E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4E58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24BA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228E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8891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pyToNetwork" w:val="-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14"/>
    <w:docVar w:name="TXTLANGUE" w:val="EN"/>
    <w:docVar w:name="TXTLANGUEMIN" w:val="en"/>
    <w:docVar w:name="TXTNRFIRSTAM" w:val="1"/>
    <w:docVar w:name="TXTNRLASTAM" w:val="47"/>
    <w:docVar w:name="TXTNRPE" w:val="766.918"/>
    <w:docVar w:name="TXTPEorAP" w:val="PE"/>
    <w:docVar w:name="TXTROUTE" w:val="AM\1314148EN.docx"/>
    <w:docVar w:name="TXTVERSION" w:val="02-00"/>
  </w:docVars>
  <w:rsids>
    <w:rsidRoot w:val="00A77B3E"/>
    <w:rsid w:val="00023E89"/>
    <w:rsid w:val="00034909"/>
    <w:rsid w:val="0004475B"/>
    <w:rsid w:val="00067FED"/>
    <w:rsid w:val="000E09C0"/>
    <w:rsid w:val="000E0C4C"/>
    <w:rsid w:val="000F2B3A"/>
    <w:rsid w:val="0014196E"/>
    <w:rsid w:val="00147121"/>
    <w:rsid w:val="0015175A"/>
    <w:rsid w:val="0017321F"/>
    <w:rsid w:val="00282D0D"/>
    <w:rsid w:val="002C6279"/>
    <w:rsid w:val="00324525"/>
    <w:rsid w:val="00352716"/>
    <w:rsid w:val="0038184E"/>
    <w:rsid w:val="00387D70"/>
    <w:rsid w:val="00425411"/>
    <w:rsid w:val="005842B7"/>
    <w:rsid w:val="005921BD"/>
    <w:rsid w:val="005B2D90"/>
    <w:rsid w:val="006971F3"/>
    <w:rsid w:val="0079008D"/>
    <w:rsid w:val="0086110B"/>
    <w:rsid w:val="008E06E7"/>
    <w:rsid w:val="0091671B"/>
    <w:rsid w:val="00941DDC"/>
    <w:rsid w:val="00946CB6"/>
    <w:rsid w:val="00950453"/>
    <w:rsid w:val="009704F7"/>
    <w:rsid w:val="009776B1"/>
    <w:rsid w:val="009E6328"/>
    <w:rsid w:val="00A32BEE"/>
    <w:rsid w:val="00A77B3E"/>
    <w:rsid w:val="00AB1048"/>
    <w:rsid w:val="00AE4B39"/>
    <w:rsid w:val="00AF7C01"/>
    <w:rsid w:val="00BC0170"/>
    <w:rsid w:val="00C72FA0"/>
    <w:rsid w:val="00C93BE4"/>
    <w:rsid w:val="00C947FC"/>
    <w:rsid w:val="00CA2A55"/>
    <w:rsid w:val="00CB43B3"/>
    <w:rsid w:val="00DD5C8A"/>
    <w:rsid w:val="00E10EB9"/>
    <w:rsid w:val="00E13998"/>
    <w:rsid w:val="00E20290"/>
    <w:rsid w:val="00E275B2"/>
    <w:rsid w:val="00E33FD9"/>
    <w:rsid w:val="00EB6F94"/>
    <w:rsid w:val="00EB7C04"/>
    <w:rsid w:val="00ED02DC"/>
    <w:rsid w:val="00EE456E"/>
    <w:rsid w:val="00EE7964"/>
    <w:rsid w:val="00F04EBB"/>
    <w:rsid w:val="00F321DF"/>
    <w:rsid w:val="00F60F33"/>
    <w:rsid w:val="00F94853"/>
    <w:rsid w:val="00FD3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5D365E7"/>
  <w15:docId w15:val="{C11962C7-7420-4224-9019-6915F0247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i-FI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Name">
    <w:name w:val="EPName"/>
    <w:basedOn w:val="Normal"/>
    <w:pPr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spacing w:after="480"/>
      <w:ind w:left="1416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customStyle="1" w:styleId="CoverDocType24a">
    <w:name w:val="CoverDocType24a"/>
    <w:basedOn w:val="Normal"/>
    <w:pPr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ind w:left="1416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spacing w:after="240"/>
    </w:pPr>
  </w:style>
  <w:style w:type="paragraph" w:styleId="Header">
    <w:name w:val="header"/>
    <w:basedOn w:val="Normal"/>
    <w:link w:val="HeaderChar"/>
    <w:unhideWhenUsed/>
    <w:rsid w:val="001517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5175A"/>
    <w:rPr>
      <w:sz w:val="24"/>
      <w:szCs w:val="24"/>
    </w:rPr>
  </w:style>
  <w:style w:type="paragraph" w:customStyle="1" w:styleId="Normal6">
    <w:name w:val="Normal6"/>
    <w:basedOn w:val="Normal"/>
    <w:link w:val="Normal6Char"/>
    <w:rsid w:val="0079008D"/>
    <w:pPr>
      <w:spacing w:after="120"/>
    </w:pPr>
    <w:rPr>
      <w:szCs w:val="20"/>
      <w:lang w:eastAsia="en-GB"/>
    </w:rPr>
  </w:style>
  <w:style w:type="paragraph" w:customStyle="1" w:styleId="Normal12Italic">
    <w:name w:val="Normal12Italic"/>
    <w:basedOn w:val="Normal"/>
    <w:rsid w:val="0079008D"/>
    <w:pPr>
      <w:spacing w:after="240"/>
    </w:pPr>
    <w:rPr>
      <w:i/>
      <w:noProof/>
      <w:szCs w:val="20"/>
      <w:lang w:eastAsia="en-GB"/>
    </w:rPr>
  </w:style>
  <w:style w:type="character" w:customStyle="1" w:styleId="NormalBoldChar">
    <w:name w:val="NormalBold Char"/>
    <w:basedOn w:val="DefaultParagraphFont"/>
    <w:link w:val="NormalBold"/>
    <w:rsid w:val="0079008D"/>
    <w:rPr>
      <w:b/>
      <w:sz w:val="24"/>
      <w:szCs w:val="24"/>
    </w:rPr>
  </w:style>
  <w:style w:type="character" w:customStyle="1" w:styleId="Normal6Char">
    <w:name w:val="Normal6 Char"/>
    <w:basedOn w:val="DefaultParagraphFont"/>
    <w:link w:val="Normal6"/>
    <w:rsid w:val="0079008D"/>
    <w:rPr>
      <w:sz w:val="24"/>
      <w:lang w:val="fi-FI" w:eastAsia="en-GB"/>
    </w:rPr>
  </w:style>
  <w:style w:type="paragraph" w:customStyle="1" w:styleId="ColumnHeading">
    <w:name w:val="ColumnHeading"/>
    <w:basedOn w:val="Normal"/>
    <w:rsid w:val="0079008D"/>
    <w:pPr>
      <w:spacing w:after="240"/>
      <w:jc w:val="center"/>
    </w:pPr>
    <w:rPr>
      <w:i/>
      <w:szCs w:val="20"/>
      <w:lang w:eastAsia="en-GB"/>
    </w:rPr>
  </w:style>
  <w:style w:type="paragraph" w:customStyle="1" w:styleId="AMNumberTabs0">
    <w:name w:val="AMNumberTabs"/>
    <w:basedOn w:val="Normal"/>
    <w:rsid w:val="0079008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  <w:lang w:eastAsia="en-GB"/>
    </w:rPr>
  </w:style>
  <w:style w:type="paragraph" w:customStyle="1" w:styleId="Olang">
    <w:name w:val="Olang"/>
    <w:rsid w:val="0079008D"/>
    <w:pPr>
      <w:jc w:val="right"/>
    </w:pPr>
    <w:rPr>
      <w:lang w:eastAsia="en-GB"/>
    </w:rPr>
  </w:style>
  <w:style w:type="paragraph" w:customStyle="1" w:styleId="JustificationTitle">
    <w:name w:val="JustificationTitle"/>
    <w:basedOn w:val="Normal"/>
    <w:next w:val="Normal"/>
    <w:rsid w:val="002C6279"/>
    <w:pPr>
      <w:keepNext/>
      <w:spacing w:before="240" w:after="240"/>
      <w:jc w:val="center"/>
    </w:pPr>
    <w:rPr>
      <w:i/>
      <w:noProof/>
      <w:szCs w:val="20"/>
      <w:lang w:eastAsia="en-GB"/>
    </w:rPr>
  </w:style>
  <w:style w:type="paragraph" w:styleId="BalloonText">
    <w:name w:val="Balloon Text"/>
    <w:basedOn w:val="Normal"/>
    <w:link w:val="BalloonTextChar"/>
    <w:semiHidden/>
    <w:unhideWhenUsed/>
    <w:rsid w:val="005921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921BD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semiHidden/>
    <w:unhideWhenUsed/>
    <w:rsid w:val="00C947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947FC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E33FD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33F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33FD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33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33F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CBC64-23F6-41C6-8138-A0F35CE8D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4174</Words>
  <Characters>34592</Characters>
  <Application>Microsoft Office Word</Application>
  <DocSecurity>0</DocSecurity>
  <Lines>1361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dcterms:created xsi:type="dcterms:W3CDTF">2025-02-14T11:36:00Z</dcterms:created>
  <dcterms:modified xsi:type="dcterms:W3CDTF">2025-02-14T11:36:00Z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1314148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106998</vt:lpwstr>
  </property>
  <property fmtid="{D5CDD505-2E9C-101B-9397-08002B2CF9AE}" pid="7" name="dmxml.render.traceId">
    <vt:lpwstr>677d08427179ddb555bd7d290adfc221</vt:lpwstr>
  </property>
  <property fmtid="{D5CDD505-2E9C-101B-9397-08002B2CF9AE}" pid="8" name="FooterPath">
    <vt:lpwstr>AM\1314148FI.docx</vt:lpwstr>
  </property>
  <property fmtid="{D5CDD505-2E9C-101B-9397-08002B2CF9AE}" pid="9" name="LastEdited with">
    <vt:lpwstr>10.0.0 Build [20241202]</vt:lpwstr>
  </property>
  <property fmtid="{D5CDD505-2E9C-101B-9397-08002B2CF9AE}" pid="10" name="PE Number">
    <vt:lpwstr>766.918</vt:lpwstr>
  </property>
  <property fmtid="{D5CDD505-2E9C-101B-9397-08002B2CF9AE}" pid="11" name="SDLStudio">
    <vt:lpwstr/>
  </property>
  <property fmtid="{D5CDD505-2E9C-101B-9397-08002B2CF9AE}" pid="12" name="SendToEpades">
    <vt:lpwstr>OK - 2025/01/31 10:51</vt:lpwstr>
  </property>
  <property fmtid="{D5CDD505-2E9C-101B-9397-08002B2CF9AE}" pid="13" name="UID">
    <vt:lpwstr>eu.europa.europarl-DIN1-2024-0000071725_02.00-en-01.00_text-xml</vt:lpwstr>
  </property>
  <property fmtid="{D5CDD505-2E9C-101B-9397-08002B2CF9AE}" pid="14" name="Bookout">
    <vt:lpwstr>OK - 2025/02/14 12:35</vt:lpwstr>
  </property>
</Properties>
</file>