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E4982">
        <w:trPr>
          <w:trHeight w:hRule="exact" w:val="1417"/>
          <w:jc w:val="center"/>
        </w:trPr>
        <w:tc>
          <w:tcPr>
            <w:tcW w:w="6804" w:type="dxa"/>
            <w:tcBorders>
              <w:top w:val="nil"/>
              <w:left w:val="nil"/>
              <w:bottom w:val="nil"/>
              <w:right w:val="nil"/>
            </w:tcBorders>
            <w:vAlign w:val="center"/>
          </w:tcPr>
          <w:p w:rsidR="00387D70" w:rsidRPr="00E9477D" w:rsidRDefault="00ED2F3D">
            <w:pPr>
              <w:pStyle w:val="EPName"/>
            </w:pPr>
            <w:r>
              <w:t>Parlamento europeo</w:t>
            </w:r>
          </w:p>
          <w:p w:rsidR="00387D70" w:rsidRPr="00E9477D" w:rsidRDefault="00ED2F3D">
            <w:pPr>
              <w:pStyle w:val="EPTerm"/>
            </w:pPr>
            <w:r>
              <w:t>2024-2029</w:t>
            </w:r>
          </w:p>
        </w:tc>
        <w:tc>
          <w:tcPr>
            <w:tcW w:w="2268" w:type="dxa"/>
            <w:tcBorders>
              <w:top w:val="nil"/>
              <w:left w:val="nil"/>
              <w:bottom w:val="nil"/>
              <w:right w:val="nil"/>
            </w:tcBorders>
          </w:tcPr>
          <w:p w:rsidR="00387D70" w:rsidRPr="00E9477D" w:rsidRDefault="00E609F4">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8" o:title=""/>
                </v:shape>
              </w:pict>
            </w:r>
          </w:p>
        </w:tc>
      </w:tr>
    </w:tbl>
    <w:p w:rsidR="00387D70" w:rsidRPr="00E9477D" w:rsidRDefault="00ED2F3D">
      <w:pPr>
        <w:pStyle w:val="LineTop"/>
      </w:pPr>
      <w:r>
        <w:t xml:space="preserve"> </w:t>
      </w:r>
    </w:p>
    <w:p w:rsidR="00387D70" w:rsidRPr="00E9477D" w:rsidRDefault="00ED2F3D">
      <w:pPr>
        <w:pStyle w:val="EPBody"/>
      </w:pPr>
      <w:r>
        <w:rPr>
          <w:rStyle w:val="HideTWBExt"/>
        </w:rPr>
        <w:t>&lt;Commission&gt;</w:t>
      </w:r>
      <w:r>
        <w:rPr>
          <w:rStyle w:val="HideTWBInt"/>
          <w:color w:val="auto"/>
        </w:rPr>
        <w:t>{LIBE}</w:t>
      </w:r>
      <w:r>
        <w:t>Commissione per le libertà civili, la giustizia e gli affari interni</w:t>
      </w:r>
      <w:r>
        <w:rPr>
          <w:rStyle w:val="HideTWBExt"/>
        </w:rPr>
        <w:t>&lt;/Commission&gt;</w:t>
      </w:r>
    </w:p>
    <w:p w:rsidR="00387D70" w:rsidRPr="00E9477D" w:rsidRDefault="00ED2F3D">
      <w:pPr>
        <w:pStyle w:val="LineBottom"/>
      </w:pPr>
      <w:r>
        <w:t xml:space="preserve"> </w:t>
      </w:r>
    </w:p>
    <w:p w:rsidR="00E33FD9" w:rsidRPr="00E9477D" w:rsidRDefault="00ED2F3D" w:rsidP="00E33FD9">
      <w:pPr>
        <w:pStyle w:val="CoverReference"/>
      </w:pPr>
      <w:r>
        <w:rPr>
          <w:rStyle w:val="HideTWBExt"/>
        </w:rPr>
        <w:t>&lt;RefProc&gt;</w:t>
      </w:r>
      <w:r>
        <w:t>2024/0187</w:t>
      </w:r>
      <w:r>
        <w:rPr>
          <w:rStyle w:val="HideTWBExt"/>
        </w:rPr>
        <w:t>&lt;/RefProc&gt;&lt;RefTypeProc&gt;</w:t>
      </w:r>
      <w:r>
        <w:t>(CNS)</w:t>
      </w:r>
      <w:r>
        <w:rPr>
          <w:rStyle w:val="HideTWBExt"/>
        </w:rPr>
        <w:t>&lt;/RefTypeProc&gt;</w:t>
      </w:r>
    </w:p>
    <w:p w:rsidR="00E33FD9" w:rsidRPr="00E9477D" w:rsidRDefault="00ED2F3D" w:rsidP="00E33FD9">
      <w:pPr>
        <w:pStyle w:val="CoverDate"/>
      </w:pPr>
      <w:r>
        <w:rPr>
          <w:rStyle w:val="HideTWBExt"/>
        </w:rPr>
        <w:t>&lt;Date&gt;</w:t>
      </w:r>
      <w:r>
        <w:rPr>
          <w:rStyle w:val="HideTWBInt"/>
          <w:color w:val="auto"/>
        </w:rPr>
        <w:t>{31/01/2025}</w:t>
      </w:r>
      <w:r>
        <w:t>31.01.2025</w:t>
      </w:r>
      <w:r>
        <w:rPr>
          <w:rStyle w:val="HideTWBExt"/>
        </w:rPr>
        <w:t>&lt;/Date&gt;</w:t>
      </w:r>
    </w:p>
    <w:p w:rsidR="00E33FD9" w:rsidRPr="00E9477D" w:rsidRDefault="00ED2F3D" w:rsidP="00E33FD9">
      <w:pPr>
        <w:pStyle w:val="CoverDocType"/>
      </w:pPr>
      <w:r>
        <w:rPr>
          <w:rStyle w:val="HideTWBExt"/>
        </w:rPr>
        <w:t>&lt;TypeAM&gt;</w:t>
      </w:r>
      <w:r>
        <w:t>EMENDAMENTI</w:t>
      </w:r>
      <w:r>
        <w:rPr>
          <w:rStyle w:val="HideTWBExt"/>
        </w:rPr>
        <w:t>&lt;/TypeAM&gt;</w:t>
      </w:r>
    </w:p>
    <w:p w:rsidR="00E33FD9" w:rsidRPr="00E9477D" w:rsidRDefault="00ED2F3D" w:rsidP="00E33FD9">
      <w:pPr>
        <w:pStyle w:val="CoverDocType24a"/>
      </w:pPr>
      <w:r>
        <w:rPr>
          <w:rStyle w:val="HideTWBExt"/>
        </w:rPr>
        <w:t>&lt;RangeAM&gt;</w:t>
      </w:r>
      <w:r>
        <w:t>1 - 47</w:t>
      </w:r>
      <w:r>
        <w:rPr>
          <w:rStyle w:val="HideTWBExt"/>
        </w:rPr>
        <w:t>&lt;/RangeAM&gt;</w:t>
      </w:r>
    </w:p>
    <w:p w:rsidR="00E33FD9" w:rsidRPr="00E9477D" w:rsidRDefault="00ED2F3D" w:rsidP="00E33FD9">
      <w:pPr>
        <w:pStyle w:val="CoverBold"/>
      </w:pPr>
      <w:r>
        <w:rPr>
          <w:rStyle w:val="HideTWBExt"/>
        </w:rPr>
        <w:t>&lt;TitreType&gt;</w:t>
      </w:r>
      <w:r>
        <w:t>Progetto di relazione</w:t>
      </w:r>
      <w:r>
        <w:rPr>
          <w:rStyle w:val="HideTWBExt"/>
        </w:rPr>
        <w:t>&lt;/TitreType&gt;</w:t>
      </w:r>
    </w:p>
    <w:p w:rsidR="00E33FD9" w:rsidRPr="00E9477D" w:rsidRDefault="00ED2F3D" w:rsidP="00E33FD9">
      <w:pPr>
        <w:pStyle w:val="CoverBold"/>
      </w:pPr>
      <w:r>
        <w:rPr>
          <w:rStyle w:val="HideTWBExt"/>
        </w:rPr>
        <w:t>&lt;Rapporteur&gt;</w:t>
      </w:r>
      <w:r>
        <w:t>Malik Azmani</w:t>
      </w:r>
      <w:r>
        <w:rPr>
          <w:rStyle w:val="HideTWBExt"/>
        </w:rPr>
        <w:t>&lt;/Rapporteur&gt;</w:t>
      </w:r>
    </w:p>
    <w:p w:rsidR="00E33FD9" w:rsidRPr="00E9477D" w:rsidRDefault="00ED2F3D" w:rsidP="00E33FD9">
      <w:pPr>
        <w:pStyle w:val="CoverNormal24a"/>
      </w:pPr>
      <w:r>
        <w:rPr>
          <w:rStyle w:val="HideTWBExt"/>
        </w:rPr>
        <w:t>&lt;DocRefPE&gt;</w:t>
      </w:r>
      <w:r>
        <w:t>(PE766.606v01-00)</w:t>
      </w:r>
      <w:r>
        <w:rPr>
          <w:rStyle w:val="HideTWBExt"/>
        </w:rPr>
        <w:t>&lt;/DocRefPE&gt;</w:t>
      </w:r>
    </w:p>
    <w:p w:rsidR="00E33FD9" w:rsidRPr="00E9477D" w:rsidRDefault="00ED2F3D" w:rsidP="00E33FD9">
      <w:pPr>
        <w:pStyle w:val="CoverNormal24a"/>
      </w:pPr>
      <w:r>
        <w:rPr>
          <w:rStyle w:val="HideTWBExt"/>
        </w:rPr>
        <w:t>&lt;Titre&gt;</w:t>
      </w:r>
      <w:r>
        <w:t>Rafforzamento della sicurezza delle carte d'identità dei cittadini dell'Unione e dei titoli</w:t>
      </w:r>
      <w:r>
        <w:t xml:space="preserve"> di soggiorno rilasciati ai cittadini dell'Unione e ai loro familiari che esercitano il diritto di libera circolazione</w:t>
      </w:r>
      <w:r>
        <w:rPr>
          <w:rStyle w:val="HideTWBExt"/>
        </w:rPr>
        <w:t>&lt;/Titre&gt;</w:t>
      </w:r>
    </w:p>
    <w:p w:rsidR="00E33FD9" w:rsidRPr="00E9477D" w:rsidRDefault="00ED2F3D" w:rsidP="00E33FD9">
      <w:pPr>
        <w:pStyle w:val="CoverNormal"/>
      </w:pPr>
      <w:r>
        <w:rPr>
          <w:rStyle w:val="HideTWBExt"/>
        </w:rPr>
        <w:t>&lt;DocAmend&gt;</w:t>
      </w:r>
      <w:r>
        <w:t>Proposta di regolamento</w:t>
      </w:r>
      <w:r>
        <w:rPr>
          <w:rStyle w:val="HideTWBExt"/>
        </w:rPr>
        <w:t>&lt;/DocAmend&gt;</w:t>
      </w:r>
    </w:p>
    <w:p w:rsidR="00E33FD9" w:rsidRPr="00E9477D" w:rsidRDefault="00ED2F3D" w:rsidP="00E33FD9">
      <w:pPr>
        <w:pStyle w:val="CoverNormal24a"/>
      </w:pPr>
      <w:r>
        <w:rPr>
          <w:rStyle w:val="HideTWBExt"/>
        </w:rPr>
        <w:t>&lt;DocRef&gt;</w:t>
      </w:r>
      <w:r>
        <w:t>(COM(2024)0316 – 2024/0187(CNS))</w:t>
      </w:r>
      <w:r>
        <w:rPr>
          <w:rStyle w:val="HideTWBExt"/>
        </w:rPr>
        <w:t>&lt;/DocRef&gt;</w:t>
      </w:r>
    </w:p>
    <w:p w:rsidR="00E33FD9" w:rsidRPr="00E609F4" w:rsidRDefault="00ED2F3D" w:rsidP="00E33FD9">
      <w:pPr>
        <w:ind w:left="567"/>
        <w:rPr>
          <w:lang w:val="pt-PT"/>
        </w:rPr>
      </w:pPr>
      <w:r w:rsidRPr="00E609F4">
        <w:rPr>
          <w:lang w:val="pt-PT"/>
        </w:rPr>
        <w:br w:type="page"/>
      </w:r>
      <w:r w:rsidRPr="00E609F4">
        <w:rPr>
          <w:lang w:val="pt-PT"/>
        </w:rPr>
        <w:lastRenderedPageBreak/>
        <w:t>AM_Com_LegReport</w:t>
      </w:r>
    </w:p>
    <w:p w:rsidR="00E33FD9" w:rsidRPr="00E609F4" w:rsidRDefault="00ED2F3D" w:rsidP="00E33FD9">
      <w:pPr>
        <w:pStyle w:val="AmNumberTabs"/>
        <w:rPr>
          <w:lang w:val="pt-PT"/>
        </w:rPr>
      </w:pPr>
      <w:r w:rsidRPr="00E609F4">
        <w:rPr>
          <w:lang w:val="pt-PT"/>
        </w:rPr>
        <w:br w:type="page"/>
      </w:r>
      <w:r w:rsidRPr="00E609F4">
        <w:rPr>
          <w:rStyle w:val="HideTWBExt"/>
          <w:lang w:val="pt-PT"/>
        </w:rPr>
        <w:lastRenderedPageBreak/>
        <w:t>&lt;RepeatBlock-Am</w:t>
      </w:r>
      <w:r w:rsidRPr="00E609F4">
        <w:rPr>
          <w:rStyle w:val="HideTWBExt"/>
          <w:lang w:val="pt-PT"/>
        </w:rPr>
        <w:t>end&gt;&lt;Amend&gt;</w:t>
      </w:r>
      <w:r w:rsidRPr="00E609F4">
        <w:rPr>
          <w:lang w:val="pt-PT"/>
        </w:rPr>
        <w:t>Emendamento</w:t>
      </w:r>
      <w:r w:rsidRPr="00E609F4">
        <w:rPr>
          <w:lang w:val="pt-PT"/>
        </w:rPr>
        <w:tab/>
      </w:r>
      <w:r w:rsidRPr="00E609F4">
        <w:rPr>
          <w:lang w:val="pt-PT"/>
        </w:rPr>
        <w:tab/>
      </w:r>
      <w:r w:rsidRPr="00E609F4">
        <w:rPr>
          <w:rStyle w:val="HideTWBExt"/>
          <w:lang w:val="pt-PT"/>
        </w:rPr>
        <w:t>&lt;NumAm&gt;</w:t>
      </w:r>
      <w:r w:rsidRPr="00E609F4">
        <w:rPr>
          <w:lang w:val="pt-PT"/>
        </w:rPr>
        <w:t>1</w:t>
      </w:r>
      <w:r w:rsidRPr="00E609F4">
        <w:rPr>
          <w:rStyle w:val="HideTWBExt"/>
          <w:lang w:val="pt-PT"/>
        </w:rPr>
        <w:t>&lt;/NumAm&gt;</w:t>
      </w:r>
    </w:p>
    <w:p w:rsidR="00E33FD9" w:rsidRPr="00E609F4" w:rsidRDefault="00ED2F3D" w:rsidP="00E33FD9">
      <w:pPr>
        <w:pStyle w:val="NormalBold"/>
        <w:rPr>
          <w:lang w:val="pt-PT"/>
        </w:rPr>
      </w:pPr>
      <w:r w:rsidRPr="00E609F4">
        <w:rPr>
          <w:rStyle w:val="HideTWBExt"/>
          <w:b w:val="0"/>
          <w:lang w:val="pt-PT"/>
        </w:rPr>
        <w:t>&lt;RepeatBlock-By&gt;&lt;Members&gt;</w:t>
      </w:r>
      <w:r w:rsidRPr="00E609F4">
        <w:rPr>
          <w:lang w:val="pt-PT"/>
        </w:rPr>
        <w:t>Malik Azmani</w:t>
      </w:r>
      <w:r w:rsidRPr="00E609F4">
        <w:rPr>
          <w:rStyle w:val="HideTWBExt"/>
          <w:b w:val="0"/>
          <w:lang w:val="pt-PT"/>
        </w:rPr>
        <w:t>&lt;/Members&gt;</w:t>
      </w:r>
    </w:p>
    <w:p w:rsidR="00E33FD9" w:rsidRPr="00E609F4" w:rsidRDefault="00ED2F3D" w:rsidP="00E33FD9">
      <w:pPr>
        <w:pStyle w:val="NormalBold"/>
        <w:rPr>
          <w:lang w:val="pt-PT"/>
        </w:rPr>
      </w:pPr>
      <w:r w:rsidRPr="00E609F4">
        <w:rPr>
          <w:rStyle w:val="HideTWBExt"/>
          <w:b w:val="0"/>
          <w:lang w:val="pt-PT"/>
        </w:rPr>
        <w:t>&lt;/RepeatBlock-By&gt;</w:t>
      </w:r>
    </w:p>
    <w:p w:rsidR="00E33FD9" w:rsidRPr="00E9477D" w:rsidRDefault="00ED2F3D" w:rsidP="00E33FD9">
      <w:pPr>
        <w:pStyle w:val="NormalBold"/>
      </w:pPr>
      <w:r>
        <w:rPr>
          <w:rStyle w:val="HideTWBExt"/>
        </w:rPr>
        <w:t>&lt;DocAmend&gt;</w:t>
      </w:r>
      <w:r>
        <w:t>Progetto di risoluzione legislativa</w:t>
      </w:r>
      <w:r>
        <w:rPr>
          <w:rStyle w:val="HideTWBExt"/>
        </w:rPr>
        <w:t>&lt;/DocAmend&gt;</w:t>
      </w:r>
    </w:p>
    <w:p w:rsidR="00E33FD9" w:rsidRPr="00E9477D" w:rsidRDefault="00ED2F3D" w:rsidP="00E33FD9">
      <w:pPr>
        <w:pStyle w:val="NormalBold"/>
      </w:pPr>
      <w:r>
        <w:rPr>
          <w:rStyle w:val="HideTWBExt"/>
        </w:rPr>
        <w:t>&lt;Article&gt;</w:t>
      </w:r>
      <w:r>
        <w:t>Visto 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Progetto di risoluzione legislativa</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33FD9" w:rsidP="00E275B2">
            <w:pPr>
              <w:pStyle w:val="Normal6a"/>
            </w:pPr>
          </w:p>
        </w:tc>
        <w:tc>
          <w:tcPr>
            <w:tcW w:w="4876" w:type="dxa"/>
            <w:tcBorders>
              <w:top w:val="nil"/>
              <w:left w:val="nil"/>
              <w:bottom w:val="nil"/>
              <w:right w:val="nil"/>
            </w:tcBorders>
          </w:tcPr>
          <w:p w:rsidR="00E33FD9" w:rsidRPr="00E9477D" w:rsidRDefault="00ED2F3D" w:rsidP="000E0C4C">
            <w:pPr>
              <w:pStyle w:val="Normal6a"/>
              <w:ind w:left="720" w:hanging="360"/>
            </w:pPr>
            <w:r>
              <w:rPr>
                <w:b/>
                <w:bCs/>
                <w:i/>
                <w:iCs/>
              </w:rPr>
              <w:t>–</w:t>
            </w:r>
            <w:r>
              <w:tab/>
            </w:r>
            <w:r>
              <w:rPr>
                <w:b/>
                <w:bCs/>
                <w:i/>
                <w:iCs/>
              </w:rPr>
              <w:t>visto il progetto del Consiglio (16877/24),</w:t>
            </w:r>
          </w:p>
        </w:tc>
      </w:tr>
    </w:tbl>
    <w:p w:rsidR="00E33FD9" w:rsidRPr="00E9477D" w:rsidRDefault="00ED2F3D" w:rsidP="00E33FD9">
      <w:pPr>
        <w:pStyle w:val="AmOrLang"/>
      </w:pPr>
      <w:r w:rsidRPr="00E9477D">
        <w:t xml:space="preserve">Or. </w:t>
      </w:r>
      <w:r w:rsidRPr="00E9477D">
        <w:rPr>
          <w:rStyle w:val="HideTWBExt"/>
        </w:rPr>
        <w:t>&lt;Original&gt;</w:t>
      </w:r>
      <w:r w:rsidRPr="00E9477D">
        <w:rPr>
          <w:rStyle w:val="HideTWBInt"/>
        </w:rPr>
        <w:t>{EN}</w:t>
      </w:r>
      <w:r w:rsidRPr="00E9477D">
        <w:t>en</w:t>
      </w:r>
      <w:r w:rsidRPr="00E9477D">
        <w:rPr>
          <w:rStyle w:val="HideTWBExt"/>
        </w:rPr>
        <w:t>&lt;/Original&gt;</w:t>
      </w:r>
    </w:p>
    <w:p w:rsidR="00E33FD9" w:rsidRPr="00E9477D" w:rsidRDefault="00ED2F3D" w:rsidP="00E33FD9">
      <w:r>
        <w:rPr>
          <w:rStyle w:val="HideTWBExt"/>
        </w:rPr>
        <w:t>&lt;/Amend&gt;</w:t>
      </w:r>
    </w:p>
    <w:p w:rsidR="00E33FD9" w:rsidRPr="00E9477D" w:rsidRDefault="00ED2F3D" w:rsidP="00E33FD9">
      <w:pPr>
        <w:pStyle w:val="AmNumberTabs"/>
      </w:pPr>
      <w:r>
        <w:rPr>
          <w:rStyle w:val="HideTWBExt"/>
        </w:rPr>
        <w:t>&lt;Amend&gt;</w:t>
      </w:r>
      <w:r>
        <w:t>Emendamento</w:t>
      </w:r>
      <w:r>
        <w:tab/>
      </w:r>
      <w:r>
        <w:tab/>
      </w:r>
      <w:r>
        <w:rPr>
          <w:rStyle w:val="HideTWBExt"/>
        </w:rPr>
        <w:t>&lt;NumAm&gt;</w:t>
      </w:r>
      <w:r>
        <w:t>2</w:t>
      </w:r>
      <w:r>
        <w:rPr>
          <w:rStyle w:val="HideTWBExt"/>
        </w:rPr>
        <w:t>&lt;/NumAm&gt;</w:t>
      </w:r>
    </w:p>
    <w:p w:rsidR="00E33FD9" w:rsidRPr="00E9477D" w:rsidRDefault="00ED2F3D" w:rsidP="00E33FD9">
      <w:pPr>
        <w:pStyle w:val="NormalBold"/>
      </w:pPr>
      <w:r>
        <w:rPr>
          <w:rStyle w:val="HideTWBExt"/>
          <w:b w:val="0"/>
        </w:rPr>
        <w:t>&lt;RepeatBlock-By&gt;&lt;Members&gt;</w:t>
      </w:r>
      <w:r>
        <w:t>Milan Uhrík, Ewa Zajączkowska-Hernik, Mary Khan</w:t>
      </w:r>
      <w:r>
        <w:rPr>
          <w:rStyle w:val="HideTWBExt"/>
          <w:b w:val="0"/>
        </w:rPr>
        <w:t>&lt;/Members&gt;</w:t>
      </w:r>
    </w:p>
    <w:p w:rsidR="00E33FD9" w:rsidRPr="00E9477D" w:rsidRDefault="00ED2F3D" w:rsidP="00E33FD9">
      <w:r>
        <w:rPr>
          <w:rStyle w:val="HideTWBExt"/>
        </w:rPr>
        <w:t>&lt;AuNomDe&gt;</w:t>
      </w:r>
      <w:r>
        <w:rPr>
          <w:rStyle w:val="HideTWBInt"/>
          <w:color w:val="auto"/>
        </w:rPr>
        <w:t>{ESN}</w:t>
      </w:r>
      <w:r>
        <w:t>a nome del gruppo ESN</w:t>
      </w:r>
      <w:r>
        <w:rPr>
          <w:rStyle w:val="HideTWBExt"/>
        </w:rPr>
        <w:t>&lt;/AuNomDe&gt;</w:t>
      </w:r>
    </w:p>
    <w:p w:rsidR="00E33FD9" w:rsidRPr="00E9477D" w:rsidRDefault="00ED2F3D" w:rsidP="00E33FD9">
      <w:pPr>
        <w:pStyle w:val="NormalBold"/>
      </w:pPr>
      <w:r>
        <w:rPr>
          <w:rStyle w:val="HideTWBExt"/>
          <w:b w:val="0"/>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Considerando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(16)</w:t>
            </w:r>
            <w:r>
              <w:tab/>
              <w:t>La memorizzazione di un'immagine del volto e di due impronte digitali ("dati biometrici") sulle carte d'identità e</w:t>
            </w:r>
            <w:r>
              <w:t xml:space="preserve"> di soggiorno</w:t>
            </w:r>
            <w:r>
              <w:rPr>
                <w:b/>
                <w:i/>
              </w:rPr>
              <w:t>, come già previsto</w:t>
            </w:r>
            <w:r>
              <w:t xml:space="preserve"> per </w:t>
            </w:r>
            <w:r>
              <w:rPr>
                <w:b/>
                <w:i/>
              </w:rPr>
              <w:t>i passaporti biometrici dei cittadini dell'Unione</w:t>
            </w:r>
            <w:r>
              <w:t xml:space="preserve"> e </w:t>
            </w:r>
            <w:r>
              <w:rPr>
                <w:b/>
                <w:i/>
              </w:rPr>
              <w:t>i permessi</w:t>
            </w:r>
            <w:r>
              <w:t xml:space="preserve"> di </w:t>
            </w:r>
            <w:r>
              <w:rPr>
                <w:b/>
                <w:i/>
              </w:rPr>
              <w:t>soggiorno biometrici rilasciati</w:t>
            </w:r>
            <w:r>
              <w:t xml:space="preserve"> a </w:t>
            </w:r>
            <w:r>
              <w:rPr>
                <w:b/>
                <w:i/>
              </w:rPr>
              <w:t>cittadini</w:t>
            </w:r>
            <w:r>
              <w:t xml:space="preserve"> di </w:t>
            </w:r>
            <w:r>
              <w:rPr>
                <w:b/>
                <w:i/>
              </w:rPr>
              <w:t>paesi terzi</w:t>
            </w:r>
            <w:r>
              <w:t xml:space="preserve">, è </w:t>
            </w:r>
            <w:r>
              <w:rPr>
                <w:b/>
                <w:i/>
              </w:rPr>
              <w:t>un metodo adeguato per unire un'identificazione e un'autenticazione affidabili a un minor r</w:t>
            </w:r>
            <w:r>
              <w:rPr>
                <w:b/>
                <w:i/>
              </w:rPr>
              <w:t>ischio</w:t>
            </w:r>
            <w:r>
              <w:t xml:space="preserve"> di frode, </w:t>
            </w:r>
            <w:r>
              <w:rPr>
                <w:b/>
                <w:i/>
              </w:rPr>
              <w:t>ai fini del rafforzamento della sicurezza delle carte d'identità e di soggiorno</w:t>
            </w:r>
            <w:r>
              <w:t xml:space="preserve">. </w:t>
            </w:r>
            <w:r>
              <w:rPr>
                <w:b/>
                <w:i/>
              </w:rPr>
              <w:t>Come confermato dalla</w:t>
            </w:r>
            <w:r>
              <w:t xml:space="preserve"> Corte di giustizia, l'inserimento obbligatorio delle impronte digitali sul supporto di memorizzazione è compatibile con i diritti fondam</w:t>
            </w:r>
            <w:r>
              <w:t>entali al rispetto della vita privata e alla protezione dei dati personali, garantiti dagli articoli 7 e 8 della Carta.</w:t>
            </w:r>
          </w:p>
        </w:tc>
        <w:tc>
          <w:tcPr>
            <w:tcW w:w="4876" w:type="dxa"/>
            <w:tcBorders>
              <w:top w:val="nil"/>
              <w:left w:val="nil"/>
              <w:bottom w:val="nil"/>
              <w:right w:val="nil"/>
            </w:tcBorders>
          </w:tcPr>
          <w:p w:rsidR="00E33FD9" w:rsidRPr="00E9477D" w:rsidRDefault="00ED2F3D" w:rsidP="00E275B2">
            <w:pPr>
              <w:pStyle w:val="Normal6a"/>
            </w:pPr>
            <w:r>
              <w:t>(16)</w:t>
            </w:r>
            <w:r>
              <w:tab/>
              <w:t>La memorizzazione di un'immagine del volto e di due impronte digitali ("dati biometrici") sulle carte d'identità e di soggiorno</w:t>
            </w:r>
            <w:r>
              <w:rPr>
                <w:b/>
                <w:i/>
              </w:rPr>
              <w:t xml:space="preserve"> non</w:t>
            </w:r>
            <w:r>
              <w:rPr>
                <w:b/>
                <w:i/>
              </w:rPr>
              <w:t xml:space="preserve"> è un metodo adeguato</w:t>
            </w:r>
            <w:r>
              <w:t xml:space="preserve"> per </w:t>
            </w:r>
            <w:r>
              <w:rPr>
                <w:b/>
                <w:i/>
              </w:rPr>
              <w:t>unire un'identificazione e un'autenticazione affidabili a un minor rischio di frode, ai fini del rafforzamento della sicurezza delle carte d'identità</w:t>
            </w:r>
            <w:r>
              <w:t xml:space="preserve"> e </w:t>
            </w:r>
            <w:r>
              <w:rPr>
                <w:b/>
                <w:i/>
              </w:rPr>
              <w:t>di soggiorno.</w:t>
            </w:r>
            <w:r>
              <w:t xml:space="preserve"> </w:t>
            </w:r>
            <w:r>
              <w:rPr>
                <w:b/>
                <w:i/>
              </w:rPr>
              <w:t>Si tratta di una violazione troppo grave del diritto al rispetto</w:t>
            </w:r>
            <w:r>
              <w:rPr>
                <w:b/>
                <w:i/>
              </w:rPr>
              <w:t xml:space="preserve"> della vita privata dei cittadini a vantaggio di possibilità sempre maggiori di controllo statale. Inoltre, il rischio di criminalità informatica è troppo importante: se tali impronte digitali venissero rubate dal supporto di memorizzazione della carta d'i</w:t>
            </w:r>
            <w:r>
              <w:rPr>
                <w:b/>
                <w:i/>
              </w:rPr>
              <w:t xml:space="preserve">dentità potrebbero essere utilizzate in tutto il mondo per ogni tipo di frode e furto d'identità. Poiché le impronte digitali sono uniche e non possono essere modificate, il loro furto costituirebbe un rischio permanente per il cittadino che ne è vittima. </w:t>
            </w:r>
            <w:r>
              <w:rPr>
                <w:b/>
                <w:i/>
              </w:rPr>
              <w:t>Benché la</w:t>
            </w:r>
            <w:r>
              <w:t xml:space="preserve"> Corte di giustizia</w:t>
            </w:r>
            <w:r>
              <w:rPr>
                <w:b/>
                <w:i/>
              </w:rPr>
              <w:t xml:space="preserve"> abbia confermato</w:t>
            </w:r>
            <w:r>
              <w:t xml:space="preserve">, </w:t>
            </w:r>
            <w:r>
              <w:rPr>
                <w:b/>
                <w:i/>
              </w:rPr>
              <w:t xml:space="preserve">sul piano strettamente </w:t>
            </w:r>
            <w:r>
              <w:rPr>
                <w:b/>
                <w:i/>
              </w:rPr>
              <w:lastRenderedPageBreak/>
              <w:t xml:space="preserve">giuridico, che </w:t>
            </w:r>
            <w:r>
              <w:t>l'inserimento obbligatorio delle impronte digitali sul supporto di memorizzazione è compatibile con i diritti fondamentali al rispetto della vita privata e alla protezione</w:t>
            </w:r>
            <w:r>
              <w:t xml:space="preserve"> dei dati personali, garantiti dagli articoli 7 e 8 della Carta</w:t>
            </w:r>
            <w:r>
              <w:rPr>
                <w:b/>
                <w:i/>
              </w:rPr>
              <w:t xml:space="preserve">, vi sono altri valori in gioco, tra cui la scelta fondamentale di privilegiare il rispetto della vita privata dei cittadini rispetto a possibilità sempre maggiori di controllo statale, nonché </w:t>
            </w:r>
            <w:r>
              <w:rPr>
                <w:b/>
                <w:i/>
              </w:rPr>
              <w:t>la rigorosa prevenzione di nuove forme di criminalità informatica</w:t>
            </w:r>
            <w:r>
              <w:t>.</w:t>
            </w:r>
          </w:p>
        </w:tc>
      </w:tr>
    </w:tbl>
    <w:p w:rsidR="00E33FD9" w:rsidRPr="00E9477D" w:rsidRDefault="00ED2F3D" w:rsidP="00E33FD9">
      <w:pPr>
        <w:pStyle w:val="AmOrLang"/>
      </w:pPr>
      <w:r w:rsidRPr="00E9477D">
        <w:lastRenderedPageBreak/>
        <w:t xml:space="preserve">Or. </w:t>
      </w:r>
      <w:r w:rsidRPr="00E9477D">
        <w:rPr>
          <w:rStyle w:val="HideTWBExt"/>
        </w:rPr>
        <w:t>&lt;Original&gt;</w:t>
      </w:r>
      <w:r w:rsidRPr="00E9477D">
        <w:rPr>
          <w:rStyle w:val="HideTWBInt"/>
        </w:rPr>
        <w:t>{EN}</w:t>
      </w:r>
      <w:r w:rsidRPr="00E9477D">
        <w:t>en</w:t>
      </w:r>
      <w:r w:rsidRPr="00E9477D">
        <w:rPr>
          <w:rStyle w:val="HideTWBExt"/>
        </w:rPr>
        <w:t>&lt;/Original&gt;</w:t>
      </w:r>
    </w:p>
    <w:p w:rsidR="00E33FD9" w:rsidRPr="00E9477D" w:rsidRDefault="00ED2F3D" w:rsidP="00E33FD9">
      <w:r>
        <w:rPr>
          <w:rStyle w:val="HideTWBExt"/>
        </w:rPr>
        <w:t>&lt;/Amend&gt;</w:t>
      </w:r>
    </w:p>
    <w:p w:rsidR="00E33FD9" w:rsidRPr="00E9477D" w:rsidRDefault="00ED2F3D" w:rsidP="00E33FD9">
      <w:pPr>
        <w:pStyle w:val="AmNumberTabs"/>
      </w:pPr>
      <w:r>
        <w:rPr>
          <w:rStyle w:val="HideTWBExt"/>
        </w:rPr>
        <w:t>&lt;Amend&gt;</w:t>
      </w:r>
      <w:r>
        <w:t>Emendamento</w:t>
      </w:r>
      <w:r>
        <w:tab/>
      </w:r>
      <w:r>
        <w:tab/>
      </w:r>
      <w:r>
        <w:rPr>
          <w:rStyle w:val="HideTWBExt"/>
        </w:rPr>
        <w:t>&lt;NumAm&gt;</w:t>
      </w:r>
      <w:r>
        <w:t>3</w:t>
      </w:r>
      <w:r>
        <w:rPr>
          <w:rStyle w:val="HideTWBExt"/>
        </w:rPr>
        <w:t>&lt;/NumAm&gt;</w:t>
      </w:r>
    </w:p>
    <w:p w:rsidR="00E33FD9" w:rsidRPr="00E9477D" w:rsidRDefault="00ED2F3D" w:rsidP="00E33FD9">
      <w:pPr>
        <w:pStyle w:val="NormalBold"/>
      </w:pPr>
      <w:r>
        <w:rPr>
          <w:rStyle w:val="HideTWBExt"/>
          <w:b w:val="0"/>
        </w:rPr>
        <w:t>&lt;RepeatBlock-By&gt;&lt;Members&gt;</w:t>
      </w:r>
      <w:r>
        <w:t>Francisco Assis, Krzysztof Śmiszek, Ana Catarina Mendes, Marco Tarquinio, Emma Rafowi</w:t>
      </w:r>
      <w:r>
        <w:t>cz, Alessandro Zan</w:t>
      </w:r>
      <w:r>
        <w:rPr>
          <w:rStyle w:val="HideTWBExt"/>
          <w:b w:val="0"/>
        </w:rPr>
        <w:t>&lt;/Members&gt;</w:t>
      </w:r>
    </w:p>
    <w:p w:rsidR="00E33FD9" w:rsidRPr="00E9477D" w:rsidRDefault="00ED2F3D" w:rsidP="00E33FD9">
      <w:pPr>
        <w:pStyle w:val="NormalBold"/>
      </w:pPr>
      <w:r>
        <w:rPr>
          <w:rStyle w:val="HideTWBExt"/>
          <w:b w:val="0"/>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Considerando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(19)</w:t>
            </w:r>
            <w:r>
              <w:tab/>
              <w:t xml:space="preserve">Il presente regolamento non fornisce una base giuridica per la costituzione o il </w:t>
            </w:r>
            <w:r>
              <w:t>mantenimento di banche dati a livello nazionale per la conservazione di dati biometrici negli Stati membri</w:t>
            </w:r>
            <w:r>
              <w:rPr>
                <w:b/>
                <w:i/>
              </w:rPr>
              <w:t>, che è una questione di diritto nazionale da trattare nel rispetto del diritto dell'Unione in materia</w:t>
            </w:r>
            <w:r>
              <w:t xml:space="preserve"> di </w:t>
            </w:r>
            <w:r>
              <w:rPr>
                <w:b/>
                <w:i/>
              </w:rPr>
              <w:t>protezione dei</w:t>
            </w:r>
            <w:r>
              <w:t xml:space="preserve"> dati</w:t>
            </w:r>
            <w:r>
              <w:rPr>
                <w:b/>
                <w:i/>
              </w:rPr>
              <w:t>, compresi</w:t>
            </w:r>
            <w:r>
              <w:t xml:space="preserve"> i </w:t>
            </w:r>
            <w:r>
              <w:rPr>
                <w:b/>
                <w:i/>
              </w:rPr>
              <w:t>requisiti di</w:t>
            </w:r>
            <w:r>
              <w:rPr>
                <w:b/>
                <w:i/>
              </w:rPr>
              <w:t xml:space="preserve"> necessità e proporzionalità.</w:t>
            </w:r>
            <w:r>
              <w:t xml:space="preserve"> </w:t>
            </w:r>
            <w:r>
              <w:rPr>
                <w:b/>
                <w:i/>
              </w:rPr>
              <w:t>Il</w:t>
            </w:r>
            <w:r>
              <w:t xml:space="preserve"> presente regolamento</w:t>
            </w:r>
            <w:r>
              <w:rPr>
                <w:b/>
                <w:i/>
              </w:rPr>
              <w:t>, inoltre,</w:t>
            </w:r>
            <w:r>
              <w:t xml:space="preserve"> non </w:t>
            </w:r>
            <w:r>
              <w:rPr>
                <w:b/>
                <w:i/>
              </w:rPr>
              <w:t>fornisce una base giuridica per la costituzione o il mantenimento di una banca</w:t>
            </w:r>
            <w:r>
              <w:t xml:space="preserve"> dati </w:t>
            </w:r>
            <w:r>
              <w:rPr>
                <w:b/>
                <w:i/>
              </w:rPr>
              <w:t xml:space="preserve">centralizzata </w:t>
            </w:r>
            <w:r>
              <w:t>a livello dell'Unione.</w:t>
            </w:r>
          </w:p>
        </w:tc>
        <w:tc>
          <w:tcPr>
            <w:tcW w:w="4876" w:type="dxa"/>
            <w:tcBorders>
              <w:top w:val="nil"/>
              <w:left w:val="nil"/>
              <w:bottom w:val="nil"/>
              <w:right w:val="nil"/>
            </w:tcBorders>
          </w:tcPr>
          <w:p w:rsidR="00E33FD9" w:rsidRPr="00E9477D" w:rsidRDefault="00ED2F3D" w:rsidP="00E275B2">
            <w:pPr>
              <w:pStyle w:val="Normal6a"/>
            </w:pPr>
            <w:r>
              <w:t>(19)</w:t>
            </w:r>
            <w:r>
              <w:tab/>
              <w:t>Il presente regolamento non fornisce una base giuridica per la</w:t>
            </w:r>
            <w:r>
              <w:t xml:space="preserve"> costituzione o il mantenimento di banche dati a livello nazionale per la conservazione di dati biometrici negli Stati membri</w:t>
            </w:r>
            <w:r>
              <w:rPr>
                <w:b/>
                <w:i/>
              </w:rPr>
              <w:t>.</w:t>
            </w:r>
            <w:r>
              <w:t xml:space="preserve"> </w:t>
            </w:r>
            <w:r>
              <w:rPr>
                <w:b/>
                <w:i/>
              </w:rPr>
              <w:t>Il presente regolamento, inoltre, non fornisce una base giuridica per la costituzione o il mantenimento</w:t>
            </w:r>
            <w:r>
              <w:t xml:space="preserve"> di </w:t>
            </w:r>
            <w:r>
              <w:rPr>
                <w:b/>
                <w:i/>
              </w:rPr>
              <w:t>una banca</w:t>
            </w:r>
            <w:r>
              <w:t xml:space="preserve"> dati</w:t>
            </w:r>
            <w:r>
              <w:rPr>
                <w:b/>
                <w:i/>
              </w:rPr>
              <w:t xml:space="preserve"> central</w:t>
            </w:r>
            <w:r>
              <w:rPr>
                <w:b/>
                <w:i/>
              </w:rPr>
              <w:t>izzata a livello dell'Unione.</w:t>
            </w:r>
            <w:r>
              <w:t xml:space="preserve"> </w:t>
            </w:r>
            <w:r>
              <w:rPr>
                <w:b/>
                <w:i/>
              </w:rPr>
              <w:t>I dati biometrici trattati ai fini del presente regolamento non dovrebbero essere trattati per altre finalità e non dovrebbero essere conservati in banche dati a livello nazionale o dell'Unione.</w:t>
            </w:r>
          </w:p>
        </w:tc>
      </w:tr>
    </w:tbl>
    <w:p w:rsidR="00E33FD9" w:rsidRPr="00E609F4" w:rsidRDefault="00ED2F3D" w:rsidP="00E33FD9">
      <w:pPr>
        <w:pStyle w:val="AmOrLang"/>
        <w:rPr>
          <w:lang w:val="sv-SE"/>
        </w:rPr>
      </w:pPr>
      <w:r w:rsidRPr="00E609F4">
        <w:rPr>
          <w:lang w:val="sv-SE"/>
        </w:rPr>
        <w:t xml:space="preserve">Or. </w:t>
      </w:r>
      <w:r w:rsidRPr="00E609F4">
        <w:rPr>
          <w:rStyle w:val="HideTWBExt"/>
          <w:lang w:val="sv-SE"/>
        </w:rPr>
        <w:t>&lt;Original&gt;</w:t>
      </w:r>
      <w:r w:rsidRPr="00E609F4">
        <w:rPr>
          <w:rStyle w:val="HideTWBInt"/>
          <w:lang w:val="sv-SE"/>
        </w:rPr>
        <w:t>{EN}</w:t>
      </w:r>
      <w:r w:rsidRPr="00E609F4">
        <w:rPr>
          <w:lang w:val="sv-SE"/>
        </w:rPr>
        <w:t>en</w:t>
      </w:r>
      <w:r w:rsidRPr="00E609F4">
        <w:rPr>
          <w:rStyle w:val="HideTWBExt"/>
          <w:lang w:val="sv-SE"/>
        </w:rPr>
        <w:t>&lt;/Original&gt;</w:t>
      </w:r>
    </w:p>
    <w:p w:rsidR="00E33FD9" w:rsidRPr="00E609F4" w:rsidRDefault="00ED2F3D" w:rsidP="00E33FD9">
      <w:pPr>
        <w:rPr>
          <w:lang w:val="sv-SE"/>
        </w:rPr>
      </w:pPr>
      <w:r w:rsidRPr="00E609F4">
        <w:rPr>
          <w:rStyle w:val="HideTWBExt"/>
          <w:lang w:val="sv-SE"/>
        </w:rPr>
        <w:t>&lt;/Amend&gt;</w:t>
      </w:r>
    </w:p>
    <w:p w:rsidR="00E33FD9" w:rsidRPr="00E609F4" w:rsidRDefault="00ED2F3D" w:rsidP="00E33FD9">
      <w:pPr>
        <w:pStyle w:val="AmNumberTabs"/>
        <w:rPr>
          <w:lang w:val="sv-SE"/>
        </w:rPr>
      </w:pPr>
      <w:r w:rsidRPr="00E609F4">
        <w:rPr>
          <w:rStyle w:val="HideTWBExt"/>
          <w:lang w:val="sv-SE"/>
        </w:rPr>
        <w:t>&lt;Amend&gt;</w:t>
      </w:r>
      <w:r w:rsidRPr="00E609F4">
        <w:rPr>
          <w:lang w:val="sv-SE"/>
        </w:rPr>
        <w:t>Emendamento</w:t>
      </w:r>
      <w:r w:rsidRPr="00E609F4">
        <w:rPr>
          <w:lang w:val="sv-SE"/>
        </w:rPr>
        <w:tab/>
      </w:r>
      <w:r w:rsidRPr="00E609F4">
        <w:rPr>
          <w:lang w:val="sv-SE"/>
        </w:rPr>
        <w:tab/>
      </w:r>
      <w:r w:rsidRPr="00E609F4">
        <w:rPr>
          <w:rStyle w:val="HideTWBExt"/>
          <w:lang w:val="sv-SE"/>
        </w:rPr>
        <w:t>&lt;NumAm&gt;</w:t>
      </w:r>
      <w:r w:rsidRPr="00E609F4">
        <w:rPr>
          <w:lang w:val="sv-SE"/>
        </w:rPr>
        <w:t>4</w:t>
      </w:r>
      <w:r w:rsidRPr="00E609F4">
        <w:rPr>
          <w:rStyle w:val="HideTWBExt"/>
          <w:lang w:val="sv-SE"/>
        </w:rPr>
        <w:t>&lt;/NumAm&gt;</w:t>
      </w:r>
    </w:p>
    <w:p w:rsidR="00E33FD9" w:rsidRPr="00E609F4" w:rsidRDefault="00ED2F3D" w:rsidP="00E33FD9">
      <w:pPr>
        <w:pStyle w:val="NormalBold"/>
        <w:rPr>
          <w:lang w:val="sv-SE"/>
        </w:rPr>
      </w:pPr>
      <w:r w:rsidRPr="00E609F4">
        <w:rPr>
          <w:rStyle w:val="HideTWBExt"/>
          <w:b w:val="0"/>
          <w:lang w:val="sv-SE"/>
        </w:rPr>
        <w:t>&lt;RepeatBlock-By&gt;&lt;Members&gt;</w:t>
      </w:r>
      <w:r w:rsidRPr="00E609F4">
        <w:rPr>
          <w:lang w:val="sv-SE"/>
        </w:rPr>
        <w:t>Anna Strolenberg</w:t>
      </w:r>
      <w:r w:rsidRPr="00E609F4">
        <w:rPr>
          <w:rStyle w:val="HideTWBExt"/>
          <w:b w:val="0"/>
          <w:lang w:val="sv-SE"/>
        </w:rPr>
        <w:t>&lt;/Members&gt;</w:t>
      </w:r>
    </w:p>
    <w:p w:rsidR="00E33FD9" w:rsidRPr="00E9477D" w:rsidRDefault="00ED2F3D" w:rsidP="00E33FD9">
      <w:r>
        <w:rPr>
          <w:rStyle w:val="HideTWBExt"/>
        </w:rPr>
        <w:t>&lt;AuNomDe&gt;</w:t>
      </w:r>
      <w:r>
        <w:rPr>
          <w:rStyle w:val="HideTWBInt"/>
          <w:color w:val="auto"/>
        </w:rPr>
        <w:t>{Greens/EFA}</w:t>
      </w:r>
      <w:r>
        <w:t>a nome del gruppo Verts/ALE</w:t>
      </w:r>
      <w:r>
        <w:rPr>
          <w:rStyle w:val="HideTWBExt"/>
        </w:rPr>
        <w:t>&lt;/AuNomDe&gt;</w:t>
      </w:r>
    </w:p>
    <w:p w:rsidR="00E33FD9" w:rsidRPr="00E9477D" w:rsidRDefault="00ED2F3D" w:rsidP="00E33FD9">
      <w:pPr>
        <w:pStyle w:val="NormalBold"/>
      </w:pPr>
      <w:r>
        <w:rPr>
          <w:rStyle w:val="HideTWBExt"/>
          <w:b w:val="0"/>
        </w:rPr>
        <w:lastRenderedPageBreak/>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Considerando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(19)</w:t>
            </w:r>
            <w:r>
              <w:tab/>
              <w:t>Il presente regolamento non fornisce una base giuridica per la costituzione o il mantenimento di banche dati a livello nazionale per la conservazione di dati biometrici negli Stati membri</w:t>
            </w:r>
            <w:r>
              <w:rPr>
                <w:b/>
                <w:i/>
              </w:rPr>
              <w:t xml:space="preserve">, che è una </w:t>
            </w:r>
            <w:r>
              <w:rPr>
                <w:b/>
                <w:i/>
              </w:rPr>
              <w:t>questione di diritto nazionale da trattare nel rispetto del diritto dell'Unione in materia</w:t>
            </w:r>
            <w:r>
              <w:t xml:space="preserve"> di </w:t>
            </w:r>
            <w:r>
              <w:rPr>
                <w:b/>
                <w:i/>
              </w:rPr>
              <w:t>protezione dei</w:t>
            </w:r>
            <w:r>
              <w:t xml:space="preserve"> dati</w:t>
            </w:r>
            <w:r>
              <w:rPr>
                <w:b/>
                <w:i/>
              </w:rPr>
              <w:t>, compresi</w:t>
            </w:r>
            <w:r>
              <w:t xml:space="preserve"> i </w:t>
            </w:r>
            <w:r>
              <w:rPr>
                <w:b/>
                <w:i/>
              </w:rPr>
              <w:t>requisiti di necessità e proporzionalità.</w:t>
            </w:r>
            <w:r>
              <w:t xml:space="preserve"> </w:t>
            </w:r>
            <w:r>
              <w:rPr>
                <w:b/>
                <w:i/>
              </w:rPr>
              <w:t>Il</w:t>
            </w:r>
            <w:r>
              <w:t xml:space="preserve"> presente regolamento</w:t>
            </w:r>
            <w:r>
              <w:rPr>
                <w:b/>
                <w:i/>
              </w:rPr>
              <w:t>, inoltre,</w:t>
            </w:r>
            <w:r>
              <w:t xml:space="preserve"> non </w:t>
            </w:r>
            <w:r>
              <w:rPr>
                <w:b/>
                <w:i/>
              </w:rPr>
              <w:t xml:space="preserve">fornisce una base giuridica per la costituzione o </w:t>
            </w:r>
            <w:r>
              <w:rPr>
                <w:b/>
                <w:i/>
              </w:rPr>
              <w:t>il mantenimento di una banca</w:t>
            </w:r>
            <w:r>
              <w:t xml:space="preserve"> dati </w:t>
            </w:r>
            <w:r>
              <w:rPr>
                <w:b/>
                <w:i/>
              </w:rPr>
              <w:t xml:space="preserve">centralizzata </w:t>
            </w:r>
            <w:r>
              <w:t>a livello dell'Unione.</w:t>
            </w:r>
          </w:p>
        </w:tc>
        <w:tc>
          <w:tcPr>
            <w:tcW w:w="4876" w:type="dxa"/>
            <w:tcBorders>
              <w:top w:val="nil"/>
              <w:left w:val="nil"/>
              <w:bottom w:val="nil"/>
              <w:right w:val="nil"/>
            </w:tcBorders>
          </w:tcPr>
          <w:p w:rsidR="00E33FD9" w:rsidRPr="00E9477D" w:rsidRDefault="00ED2F3D" w:rsidP="00E275B2">
            <w:pPr>
              <w:pStyle w:val="Normal6a"/>
            </w:pPr>
            <w:r>
              <w:t>(19)</w:t>
            </w:r>
            <w:r>
              <w:tab/>
              <w:t>Il presente regolamento non fornisce una base giuridica per la costituzione o il mantenimento di banche dati a livello nazionale per la conservazione di dati biometrici negli Stati</w:t>
            </w:r>
            <w:r>
              <w:t xml:space="preserve"> membri</w:t>
            </w:r>
            <w:r>
              <w:rPr>
                <w:b/>
                <w:i/>
              </w:rPr>
              <w:t>.</w:t>
            </w:r>
            <w:r>
              <w:t xml:space="preserve"> </w:t>
            </w:r>
            <w:r>
              <w:rPr>
                <w:b/>
                <w:i/>
              </w:rPr>
              <w:t>Il presente regolamento, inoltre, non fornisce una base giuridica per la costituzione o il mantenimento</w:t>
            </w:r>
            <w:r>
              <w:t xml:space="preserve"> di </w:t>
            </w:r>
            <w:r>
              <w:rPr>
                <w:b/>
                <w:i/>
              </w:rPr>
              <w:t>una banca</w:t>
            </w:r>
            <w:r>
              <w:t xml:space="preserve"> dati</w:t>
            </w:r>
            <w:r>
              <w:rPr>
                <w:b/>
                <w:i/>
              </w:rPr>
              <w:t xml:space="preserve"> centralizzata a livello dell'Unione.</w:t>
            </w:r>
            <w:r>
              <w:t xml:space="preserve"> </w:t>
            </w:r>
            <w:r>
              <w:rPr>
                <w:b/>
                <w:i/>
              </w:rPr>
              <w:t>I dati biometrici trattati ai fini del presente regolamento non dovrebbero essere tratta</w:t>
            </w:r>
            <w:r>
              <w:rPr>
                <w:b/>
                <w:i/>
              </w:rPr>
              <w:t>ti per altre finalità e non dovrebbero essere conservati in banche dati a livello nazionale o dell'Unione.</w:t>
            </w:r>
          </w:p>
        </w:tc>
      </w:tr>
    </w:tbl>
    <w:p w:rsidR="00E33FD9" w:rsidRPr="00E609F4" w:rsidRDefault="00ED2F3D" w:rsidP="00E33FD9">
      <w:pPr>
        <w:pStyle w:val="AmOrLang"/>
        <w:rPr>
          <w:lang w:val="es-ES"/>
        </w:rPr>
      </w:pPr>
      <w:r w:rsidRPr="00E609F4">
        <w:rPr>
          <w:lang w:val="es-ES"/>
        </w:rPr>
        <w:t xml:space="preserve">Or. </w:t>
      </w:r>
      <w:r w:rsidRPr="00E609F4">
        <w:rPr>
          <w:rStyle w:val="HideTWBExt"/>
          <w:lang w:val="es-ES"/>
        </w:rPr>
        <w:t>&lt;Original&gt;</w:t>
      </w:r>
      <w:r w:rsidRPr="00E609F4">
        <w:rPr>
          <w:rStyle w:val="HideTWBInt"/>
          <w:lang w:val="es-ES"/>
        </w:rPr>
        <w:t>{EN}</w:t>
      </w:r>
      <w:r w:rsidRPr="00E609F4">
        <w:rPr>
          <w:lang w:val="es-ES"/>
        </w:rPr>
        <w:t>en</w:t>
      </w:r>
      <w:r w:rsidRPr="00E609F4">
        <w:rPr>
          <w:rStyle w:val="HideTWBExt"/>
          <w:lang w:val="es-ES"/>
        </w:rPr>
        <w:t>&lt;/Original&gt;</w:t>
      </w:r>
    </w:p>
    <w:p w:rsidR="00E33FD9" w:rsidRPr="00E609F4" w:rsidRDefault="00ED2F3D" w:rsidP="00E33FD9">
      <w:pPr>
        <w:rPr>
          <w:lang w:val="es-ES"/>
        </w:rPr>
      </w:pPr>
      <w:r w:rsidRPr="00E609F4">
        <w:rPr>
          <w:rStyle w:val="HideTWBExt"/>
          <w:lang w:val="es-ES"/>
        </w:rPr>
        <w:t>&lt;/Amend&gt;</w:t>
      </w:r>
    </w:p>
    <w:p w:rsidR="00E33FD9" w:rsidRPr="00E609F4" w:rsidRDefault="00ED2F3D" w:rsidP="00E33FD9">
      <w:pPr>
        <w:pStyle w:val="AmNumberTabs"/>
        <w:rPr>
          <w:lang w:val="es-ES"/>
        </w:rPr>
      </w:pPr>
      <w:r w:rsidRPr="00E609F4">
        <w:rPr>
          <w:rStyle w:val="HideTWBExt"/>
          <w:lang w:val="es-ES"/>
        </w:rPr>
        <w:t>&lt;Amend&gt;</w:t>
      </w:r>
      <w:r w:rsidRPr="00E609F4">
        <w:rPr>
          <w:lang w:val="es-ES"/>
        </w:rPr>
        <w:t>Emendamento</w:t>
      </w:r>
      <w:r w:rsidRPr="00E609F4">
        <w:rPr>
          <w:lang w:val="es-ES"/>
        </w:rPr>
        <w:tab/>
      </w:r>
      <w:r w:rsidRPr="00E609F4">
        <w:rPr>
          <w:lang w:val="es-ES"/>
        </w:rPr>
        <w:tab/>
      </w:r>
      <w:r w:rsidRPr="00E609F4">
        <w:rPr>
          <w:rStyle w:val="HideTWBExt"/>
          <w:lang w:val="es-ES"/>
        </w:rPr>
        <w:t>&lt;NumAm&gt;</w:t>
      </w:r>
      <w:r w:rsidRPr="00E609F4">
        <w:rPr>
          <w:lang w:val="es-ES"/>
        </w:rPr>
        <w:t>5</w:t>
      </w:r>
      <w:r w:rsidRPr="00E609F4">
        <w:rPr>
          <w:rStyle w:val="HideTWBExt"/>
          <w:lang w:val="es-ES"/>
        </w:rPr>
        <w:t>&lt;/NumAm&gt;</w:t>
      </w:r>
    </w:p>
    <w:p w:rsidR="00E33FD9" w:rsidRPr="00E609F4" w:rsidRDefault="00ED2F3D" w:rsidP="00E33FD9">
      <w:pPr>
        <w:pStyle w:val="NormalBold"/>
        <w:rPr>
          <w:lang w:val="es-ES"/>
        </w:rPr>
      </w:pPr>
      <w:r w:rsidRPr="00E609F4">
        <w:rPr>
          <w:rStyle w:val="HideTWBExt"/>
          <w:b w:val="0"/>
          <w:lang w:val="es-ES"/>
        </w:rPr>
        <w:t>&lt;RepeatBlock-By&gt;&lt;Members&gt;</w:t>
      </w:r>
      <w:r w:rsidRPr="00E609F4">
        <w:rPr>
          <w:lang w:val="es-ES"/>
        </w:rPr>
        <w:t>Estrella Galán</w:t>
      </w:r>
      <w:r w:rsidRPr="00E609F4">
        <w:rPr>
          <w:rStyle w:val="HideTWBExt"/>
          <w:b w:val="0"/>
          <w:lang w:val="es-ES"/>
        </w:rPr>
        <w:t>&lt;/Members&gt;</w:t>
      </w:r>
    </w:p>
    <w:p w:rsidR="00E33FD9" w:rsidRPr="00E609F4" w:rsidRDefault="00ED2F3D" w:rsidP="00E33FD9">
      <w:pPr>
        <w:pStyle w:val="NormalBold"/>
        <w:rPr>
          <w:lang w:val="es-ES"/>
        </w:rPr>
      </w:pPr>
      <w:r w:rsidRPr="00E609F4">
        <w:rPr>
          <w:rStyle w:val="HideTWBExt"/>
          <w:b w:val="0"/>
          <w:lang w:val="es-ES"/>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Considerando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(19)</w:t>
            </w:r>
            <w:r>
              <w:tab/>
              <w:t>Il presente regolamento non fornisce una base giuridica per la costituzione o il mantenimento di banche dati a livello nazionale per</w:t>
            </w:r>
            <w:r>
              <w:t xml:space="preserve"> la conservazione di dati biometrici negli Stati membri</w:t>
            </w:r>
            <w:r>
              <w:rPr>
                <w:b/>
                <w:i/>
              </w:rPr>
              <w:t>, che è una questione di diritto nazionale da trattare nel rispetto del diritto dell'Unione in materia</w:t>
            </w:r>
            <w:r>
              <w:t xml:space="preserve"> di </w:t>
            </w:r>
            <w:r>
              <w:rPr>
                <w:b/>
                <w:i/>
              </w:rPr>
              <w:t>protezione dei</w:t>
            </w:r>
            <w:r>
              <w:t xml:space="preserve"> dati</w:t>
            </w:r>
            <w:r>
              <w:rPr>
                <w:b/>
                <w:i/>
              </w:rPr>
              <w:t>, compresi</w:t>
            </w:r>
            <w:r>
              <w:t xml:space="preserve"> i </w:t>
            </w:r>
            <w:r>
              <w:rPr>
                <w:b/>
                <w:i/>
              </w:rPr>
              <w:t>requisiti di necessità e proporzionalità.</w:t>
            </w:r>
            <w:r>
              <w:t xml:space="preserve"> </w:t>
            </w:r>
            <w:r>
              <w:rPr>
                <w:b/>
                <w:i/>
              </w:rPr>
              <w:t>Il</w:t>
            </w:r>
            <w:r>
              <w:t xml:space="preserve"> presente regolamen</w:t>
            </w:r>
            <w:r>
              <w:t>to</w:t>
            </w:r>
            <w:r>
              <w:rPr>
                <w:b/>
                <w:i/>
              </w:rPr>
              <w:t>, inoltre,</w:t>
            </w:r>
            <w:r>
              <w:t xml:space="preserve"> non </w:t>
            </w:r>
            <w:r>
              <w:rPr>
                <w:b/>
                <w:i/>
              </w:rPr>
              <w:t>fornisce una base giuridica per la costituzione o il mantenimento di una banca</w:t>
            </w:r>
            <w:r>
              <w:t xml:space="preserve"> dati </w:t>
            </w:r>
            <w:r>
              <w:rPr>
                <w:b/>
                <w:i/>
              </w:rPr>
              <w:t xml:space="preserve">centralizzata </w:t>
            </w:r>
            <w:r>
              <w:t>a livello dell'Unione.</w:t>
            </w:r>
          </w:p>
        </w:tc>
        <w:tc>
          <w:tcPr>
            <w:tcW w:w="4876" w:type="dxa"/>
            <w:tcBorders>
              <w:top w:val="nil"/>
              <w:left w:val="nil"/>
              <w:bottom w:val="nil"/>
              <w:right w:val="nil"/>
            </w:tcBorders>
          </w:tcPr>
          <w:p w:rsidR="00E33FD9" w:rsidRPr="00E9477D" w:rsidRDefault="00ED2F3D" w:rsidP="00E275B2">
            <w:pPr>
              <w:pStyle w:val="Normal6a"/>
            </w:pPr>
            <w:r>
              <w:t>(19)</w:t>
            </w:r>
            <w:r>
              <w:tab/>
              <w:t>Il presente regolamento non fornisce una base giuridica per la costituzione o il mantenimento di banche dati a li</w:t>
            </w:r>
            <w:r>
              <w:t>vello nazionale per la conservazione di dati biometrici negli Stati membri</w:t>
            </w:r>
            <w:r>
              <w:rPr>
                <w:b/>
                <w:i/>
              </w:rPr>
              <w:t>.</w:t>
            </w:r>
            <w:r>
              <w:t xml:space="preserve"> </w:t>
            </w:r>
            <w:r>
              <w:rPr>
                <w:b/>
                <w:i/>
              </w:rPr>
              <w:t>Il presente regolamento, inoltre, non fornisce una base giuridica per la costituzione o il mantenimento</w:t>
            </w:r>
            <w:r>
              <w:t xml:space="preserve"> di </w:t>
            </w:r>
            <w:r>
              <w:rPr>
                <w:b/>
                <w:i/>
              </w:rPr>
              <w:t>una banca</w:t>
            </w:r>
            <w:r>
              <w:t xml:space="preserve"> dati</w:t>
            </w:r>
            <w:r>
              <w:rPr>
                <w:b/>
                <w:i/>
              </w:rPr>
              <w:t xml:space="preserve"> centralizzata a livello dell'Unione.</w:t>
            </w:r>
            <w:r>
              <w:t xml:space="preserve"> </w:t>
            </w:r>
            <w:r>
              <w:rPr>
                <w:b/>
                <w:i/>
              </w:rPr>
              <w:t>I dati biometrici tra</w:t>
            </w:r>
            <w:r>
              <w:rPr>
                <w:b/>
                <w:i/>
              </w:rPr>
              <w:t>ttati ai fini del presente regolamento non dovrebbero essere trattati per altre finalità e non dovrebbero essere conservati in banche dati a livello nazionale o dell'Unione.</w:t>
            </w:r>
          </w:p>
        </w:tc>
      </w:tr>
    </w:tbl>
    <w:p w:rsidR="00E33FD9" w:rsidRPr="00E9477D" w:rsidRDefault="00ED2F3D" w:rsidP="00E33FD9">
      <w:pPr>
        <w:pStyle w:val="AmOrLang"/>
      </w:pPr>
      <w:r w:rsidRPr="00E9477D">
        <w:lastRenderedPageBreak/>
        <w:t xml:space="preserve">Or. </w:t>
      </w:r>
      <w:r w:rsidRPr="00E9477D">
        <w:rPr>
          <w:rStyle w:val="HideTWBExt"/>
        </w:rPr>
        <w:t>&lt;Original&gt;</w:t>
      </w:r>
      <w:r w:rsidRPr="00E9477D">
        <w:rPr>
          <w:rStyle w:val="HideTWBInt"/>
        </w:rPr>
        <w:t>{EN}</w:t>
      </w:r>
      <w:r w:rsidRPr="00E9477D">
        <w:t>en</w:t>
      </w:r>
      <w:r w:rsidRPr="00E9477D">
        <w:rPr>
          <w:rStyle w:val="HideTWBExt"/>
        </w:rPr>
        <w:t>&lt;/Original&gt;</w:t>
      </w:r>
    </w:p>
    <w:p w:rsidR="00E33FD9" w:rsidRPr="00E9477D" w:rsidRDefault="00ED2F3D" w:rsidP="00E33FD9">
      <w:r>
        <w:rPr>
          <w:rStyle w:val="HideTWBExt"/>
        </w:rPr>
        <w:t>&lt;/Amend&gt;</w:t>
      </w:r>
    </w:p>
    <w:p w:rsidR="00E33FD9" w:rsidRPr="00E9477D" w:rsidRDefault="00ED2F3D" w:rsidP="00E33FD9">
      <w:pPr>
        <w:pStyle w:val="AMNumberTabs0"/>
        <w:keepNext/>
      </w:pPr>
      <w:r>
        <w:rPr>
          <w:rStyle w:val="HideTWBExt"/>
          <w:b w:val="0"/>
        </w:rPr>
        <w:t>&lt;Amend&gt;</w:t>
      </w:r>
      <w:r>
        <w:t>Emendamento</w:t>
      </w:r>
      <w:r>
        <w:tab/>
      </w:r>
      <w:r>
        <w:tab/>
      </w:r>
      <w:r>
        <w:rPr>
          <w:rStyle w:val="HideTWBExt"/>
          <w:b w:val="0"/>
        </w:rPr>
        <w:t>&lt;NumAm&gt;</w:t>
      </w:r>
      <w:r>
        <w:t>6</w:t>
      </w:r>
      <w:r>
        <w:rPr>
          <w:rStyle w:val="HideTWBExt"/>
          <w:b w:val="0"/>
        </w:rPr>
        <w:t>&lt;/NumAm&gt;</w:t>
      </w:r>
    </w:p>
    <w:p w:rsidR="00E33FD9" w:rsidRPr="00E9477D" w:rsidRDefault="00ED2F3D" w:rsidP="00E33FD9">
      <w:pPr>
        <w:pStyle w:val="NormalBold"/>
      </w:pPr>
      <w:r>
        <w:rPr>
          <w:rStyle w:val="HideTWBExt"/>
          <w:b w:val="0"/>
        </w:rPr>
        <w:t>&lt;RepeatBlock-By&gt;&lt;Members&gt;</w:t>
      </w:r>
      <w:r>
        <w:t>Malik Azmani, Jeannette Baljeu, Lucia Yar, Raquel García Hermida-Van Der Walle</w:t>
      </w:r>
      <w:r>
        <w:rPr>
          <w:rStyle w:val="HideTWBExt"/>
          <w:b w:val="0"/>
        </w:rPr>
        <w:t>&lt;/Members&gt;</w:t>
      </w:r>
    </w:p>
    <w:p w:rsidR="00E33FD9" w:rsidRPr="00E9477D" w:rsidRDefault="00ED2F3D" w:rsidP="00E33FD9">
      <w:r>
        <w:rPr>
          <w:rStyle w:val="HideTWBExt"/>
        </w:rPr>
        <w:t>&lt;/RepeatBlock-By&gt;</w:t>
      </w:r>
    </w:p>
    <w:p w:rsidR="00E33FD9" w:rsidRPr="00E9477D" w:rsidRDefault="00ED2F3D" w:rsidP="00E33FD9">
      <w:pPr>
        <w:pStyle w:val="NormalBold"/>
        <w:keepNext/>
      </w:pPr>
      <w:r>
        <w:rPr>
          <w:rStyle w:val="HideTWBExt"/>
          <w:b w:val="0"/>
        </w:rPr>
        <w:t>&lt;DocAmend&gt;</w:t>
      </w:r>
      <w:r>
        <w:t>Proposta di regolamento</w:t>
      </w:r>
      <w:r>
        <w:rPr>
          <w:rStyle w:val="HideTWBExt"/>
          <w:b w:val="0"/>
        </w:rPr>
        <w:t>&lt;/DocAmend&gt;</w:t>
      </w:r>
    </w:p>
    <w:p w:rsidR="00E33FD9" w:rsidRPr="00E9477D" w:rsidRDefault="00ED2F3D" w:rsidP="00E33FD9">
      <w:pPr>
        <w:pStyle w:val="NormalBold"/>
      </w:pPr>
      <w:r>
        <w:rPr>
          <w:rStyle w:val="HideTWBExt"/>
          <w:b w:val="0"/>
        </w:rPr>
        <w:t>&lt;Article&gt;</w:t>
      </w:r>
      <w:r>
        <w:t>Considerando 20</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982" w:rsidTr="00E275B2">
        <w:trPr>
          <w:jc w:val="center"/>
        </w:trPr>
        <w:tc>
          <w:tcPr>
            <w:tcW w:w="9752" w:type="dxa"/>
            <w:gridSpan w:val="2"/>
          </w:tcPr>
          <w:p w:rsidR="00E33FD9" w:rsidRPr="00E9477D" w:rsidRDefault="00E33FD9" w:rsidP="00E275B2">
            <w:pPr>
              <w:keepNext/>
            </w:pPr>
          </w:p>
        </w:tc>
      </w:tr>
      <w:tr w:rsidR="00BE4982" w:rsidTr="00E275B2">
        <w:trPr>
          <w:jc w:val="center"/>
        </w:trPr>
        <w:tc>
          <w:tcPr>
            <w:tcW w:w="4876" w:type="dxa"/>
          </w:tcPr>
          <w:p w:rsidR="00E33FD9" w:rsidRPr="00E9477D" w:rsidRDefault="00ED2F3D" w:rsidP="00E275B2">
            <w:pPr>
              <w:pStyle w:val="ColumnHeading"/>
              <w:keepNext/>
            </w:pPr>
            <w:r>
              <w:t>Testo della Commissione</w:t>
            </w:r>
          </w:p>
        </w:tc>
        <w:tc>
          <w:tcPr>
            <w:tcW w:w="4876" w:type="dxa"/>
          </w:tcPr>
          <w:p w:rsidR="00E33FD9" w:rsidRPr="00E9477D" w:rsidRDefault="00ED2F3D" w:rsidP="00E275B2">
            <w:pPr>
              <w:pStyle w:val="ColumnHeading"/>
              <w:keepNext/>
            </w:pPr>
            <w:r>
              <w:t>Emendamento</w:t>
            </w:r>
          </w:p>
        </w:tc>
      </w:tr>
      <w:tr w:rsidR="00BE4982" w:rsidTr="00E275B2">
        <w:trPr>
          <w:jc w:val="center"/>
        </w:trPr>
        <w:tc>
          <w:tcPr>
            <w:tcW w:w="4876" w:type="dxa"/>
          </w:tcPr>
          <w:p w:rsidR="00E33FD9" w:rsidRPr="00E9477D" w:rsidRDefault="00ED2F3D" w:rsidP="00E275B2">
            <w:pPr>
              <w:pStyle w:val="Normal6"/>
            </w:pPr>
            <w:r>
              <w:t>(20)</w:t>
            </w:r>
            <w:r>
              <w:tab/>
            </w:r>
            <w:r>
              <w:rPr>
                <w:b/>
                <w:i/>
              </w:rPr>
              <w:t>Gli identificatori biometrici dovrebbero essere raccolti e conservati</w:t>
            </w:r>
            <w:r>
              <w:t xml:space="preserve"> nel supporto di memorizzazione delle carte d'identità e dei titoli di soggiorno </w:t>
            </w:r>
            <w:r>
              <w:rPr>
                <w:b/>
                <w:i/>
              </w:rPr>
              <w:t>ai fini della verifica dell'autenticità del documento e dell'identità del titolare.</w:t>
            </w:r>
            <w:r>
              <w:t xml:space="preserve"> </w:t>
            </w:r>
            <w:r>
              <w:rPr>
                <w:b/>
                <w:i/>
              </w:rPr>
              <w:t>Data la firma elettron</w:t>
            </w:r>
            <w:r>
              <w:rPr>
                <w:b/>
                <w:i/>
              </w:rPr>
              <w:t>ica sul supporto di memorizzazione delle carte d'identità, l'identificazione del titolare mediante il supporto di memorizzazione, che contiene gli stessi dati anagrafici stampati sul documento, è più affidabile di un controllo visivo del documento.</w:t>
            </w:r>
            <w:r>
              <w:t xml:space="preserve"> </w:t>
            </w:r>
            <w:r>
              <w:rPr>
                <w:b/>
                <w:i/>
              </w:rPr>
              <w:t>I citta</w:t>
            </w:r>
            <w:r>
              <w:rPr>
                <w:b/>
                <w:i/>
              </w:rPr>
              <w:t xml:space="preserve">dini dell'Unione dovrebbero pertanto essere autorizzati a utilizzare i dati conservati nel supporto di memorizzazione della loro carta d'identità per identificarsi nei confronti di enti privati. Tuttavia la verifica delle impronte digitali memorizzate sul </w:t>
            </w:r>
            <w:r>
              <w:rPr>
                <w:b/>
                <w:i/>
              </w:rPr>
              <w:t>supporto elettronico di memorizzazione dovrebbe essere effettuata soltanto da personale debitamente autorizzato e soltanto quando la legge prevede che sia necessario il documento</w:t>
            </w:r>
            <w:r>
              <w:t>.</w:t>
            </w:r>
          </w:p>
        </w:tc>
        <w:tc>
          <w:tcPr>
            <w:tcW w:w="4876" w:type="dxa"/>
          </w:tcPr>
          <w:p w:rsidR="00E33FD9" w:rsidRPr="00E9477D" w:rsidRDefault="00ED2F3D" w:rsidP="00E275B2">
            <w:pPr>
              <w:pStyle w:val="Normal6"/>
              <w:rPr>
                <w:szCs w:val="24"/>
              </w:rPr>
            </w:pPr>
            <w:r>
              <w:t>(20)</w:t>
            </w:r>
            <w:r>
              <w:tab/>
            </w:r>
            <w:r>
              <w:rPr>
                <w:b/>
                <w:i/>
              </w:rPr>
              <w:t>L'immagine del volto conservata</w:t>
            </w:r>
            <w:r>
              <w:t xml:space="preserve"> nel supporto di memorizzazione delle ca</w:t>
            </w:r>
            <w:r>
              <w:t xml:space="preserve">rte d'identità e dei titoli di soggiorno </w:t>
            </w:r>
            <w:r>
              <w:rPr>
                <w:b/>
                <w:i/>
              </w:rPr>
              <w:t>dovrebbe essere accessibile solo al personale debitamente autorizzato delle autorità nazionali competenti, delle agenzie dell'Unione e degli enti privati ai fini della verifica dell'autenticità</w:t>
            </w:r>
            <w:r>
              <w:t xml:space="preserve"> del </w:t>
            </w:r>
            <w:r>
              <w:rPr>
                <w:b/>
                <w:i/>
              </w:rPr>
              <w:t>documento e dell'</w:t>
            </w:r>
            <w:r>
              <w:rPr>
                <w:b/>
                <w:i/>
              </w:rPr>
              <w:t>identità del titolare.</w:t>
            </w:r>
            <w:r>
              <w:t xml:space="preserve"> </w:t>
            </w:r>
            <w:r>
              <w:rPr>
                <w:b/>
                <w:i/>
              </w:rPr>
              <w:t>Tale accesso dovrebbe essere conforme al diritto dell'Unione in materia di protezione dei dati. L'immagine del volto non dovrebbe essere conservata più a lungo di quanto necessario per tali scopi, dovrebbe essere cancellata non appen</w:t>
            </w:r>
            <w:r>
              <w:rPr>
                <w:b/>
                <w:i/>
              </w:rPr>
              <w:t>a tali finalità sono conseguite e non dovrebbe essere trasferita a paesi terzi o organizzazioni internazionali, a meno che ciò non sia consentito dal diritto dell'Unione in materia di protezione dei dati. Tali garanzie mirano ad assicurare un'adeguata prot</w:t>
            </w:r>
            <w:r>
              <w:rPr>
                <w:b/>
                <w:i/>
              </w:rPr>
              <w:t>ezione dell'immagine del volto senza vietarne l'uso</w:t>
            </w:r>
            <w:r>
              <w:t>.</w:t>
            </w:r>
          </w:p>
        </w:tc>
      </w:tr>
    </w:tbl>
    <w:p w:rsidR="00E33FD9" w:rsidRPr="00E609F4" w:rsidRDefault="00ED2F3D" w:rsidP="00E33FD9">
      <w:pPr>
        <w:pStyle w:val="AmOrLang"/>
        <w:rPr>
          <w:lang w:val="es-ES"/>
        </w:rPr>
      </w:pPr>
      <w:r w:rsidRPr="00E609F4">
        <w:rPr>
          <w:lang w:val="es-ES"/>
        </w:rPr>
        <w:t xml:space="preserve">Or. </w:t>
      </w:r>
      <w:r w:rsidRPr="00E609F4">
        <w:rPr>
          <w:rStyle w:val="HideTWBExt"/>
          <w:lang w:val="es-ES"/>
        </w:rPr>
        <w:t>&lt;Original&gt;</w:t>
      </w:r>
      <w:r w:rsidRPr="00E609F4">
        <w:rPr>
          <w:rStyle w:val="HideTWBInt"/>
          <w:lang w:val="es-ES"/>
        </w:rPr>
        <w:t>{EN}</w:t>
      </w:r>
      <w:r w:rsidRPr="00E609F4">
        <w:rPr>
          <w:lang w:val="es-ES"/>
        </w:rPr>
        <w:t>en</w:t>
      </w:r>
      <w:r w:rsidRPr="00E609F4">
        <w:rPr>
          <w:rStyle w:val="HideTWBExt"/>
          <w:lang w:val="es-ES"/>
        </w:rPr>
        <w:t>&lt;/Original&gt;</w:t>
      </w:r>
    </w:p>
    <w:p w:rsidR="00E33FD9" w:rsidRPr="00E609F4" w:rsidRDefault="00ED2F3D" w:rsidP="00E33FD9">
      <w:pPr>
        <w:rPr>
          <w:lang w:val="es-ES"/>
        </w:rPr>
      </w:pPr>
      <w:r w:rsidRPr="00E609F4">
        <w:rPr>
          <w:rStyle w:val="HideTWBExt"/>
          <w:lang w:val="es-ES"/>
        </w:rPr>
        <w:t>&lt;/Amend&gt;</w:t>
      </w:r>
    </w:p>
    <w:p w:rsidR="00E33FD9" w:rsidRPr="00E609F4" w:rsidRDefault="00ED2F3D" w:rsidP="00E33FD9">
      <w:pPr>
        <w:pStyle w:val="AmNumberTabs"/>
        <w:rPr>
          <w:lang w:val="es-ES"/>
        </w:rPr>
      </w:pPr>
      <w:r w:rsidRPr="00E609F4">
        <w:rPr>
          <w:rStyle w:val="HideTWBExt"/>
          <w:lang w:val="es-ES"/>
        </w:rPr>
        <w:t>&lt;Amend&gt;</w:t>
      </w:r>
      <w:r w:rsidRPr="00E609F4">
        <w:rPr>
          <w:lang w:val="es-ES"/>
        </w:rPr>
        <w:t>Emendamento</w:t>
      </w:r>
      <w:r w:rsidRPr="00E609F4">
        <w:rPr>
          <w:lang w:val="es-ES"/>
        </w:rPr>
        <w:tab/>
      </w:r>
      <w:r w:rsidRPr="00E609F4">
        <w:rPr>
          <w:lang w:val="es-ES"/>
        </w:rPr>
        <w:tab/>
      </w:r>
      <w:r w:rsidRPr="00E609F4">
        <w:rPr>
          <w:rStyle w:val="HideTWBExt"/>
          <w:lang w:val="es-ES"/>
        </w:rPr>
        <w:t>&lt;NumAm&gt;</w:t>
      </w:r>
      <w:r w:rsidRPr="00E609F4">
        <w:rPr>
          <w:lang w:val="es-ES"/>
        </w:rPr>
        <w:t>7</w:t>
      </w:r>
      <w:r w:rsidRPr="00E609F4">
        <w:rPr>
          <w:rStyle w:val="HideTWBExt"/>
          <w:lang w:val="es-ES"/>
        </w:rPr>
        <w:t>&lt;/NumAm&gt;</w:t>
      </w:r>
    </w:p>
    <w:p w:rsidR="00E33FD9" w:rsidRPr="00E609F4" w:rsidRDefault="00ED2F3D" w:rsidP="00E33FD9">
      <w:pPr>
        <w:pStyle w:val="NormalBold"/>
        <w:rPr>
          <w:lang w:val="es-ES"/>
        </w:rPr>
      </w:pPr>
      <w:r w:rsidRPr="00E609F4">
        <w:rPr>
          <w:rStyle w:val="HideTWBExt"/>
          <w:b w:val="0"/>
          <w:lang w:val="es-ES"/>
        </w:rPr>
        <w:t>&lt;RepeatBlock-By&gt;&lt;Members&gt;</w:t>
      </w:r>
      <w:r w:rsidRPr="00E609F4">
        <w:rPr>
          <w:lang w:val="es-ES"/>
        </w:rPr>
        <w:t>Estrella Galán</w:t>
      </w:r>
      <w:r w:rsidRPr="00E609F4">
        <w:rPr>
          <w:rStyle w:val="HideTWBExt"/>
          <w:b w:val="0"/>
          <w:lang w:val="es-ES"/>
        </w:rPr>
        <w:t>&lt;/Members&gt;</w:t>
      </w:r>
    </w:p>
    <w:p w:rsidR="00E33FD9" w:rsidRPr="00E609F4" w:rsidRDefault="00ED2F3D" w:rsidP="00E33FD9">
      <w:pPr>
        <w:pStyle w:val="NormalBold"/>
        <w:rPr>
          <w:lang w:val="es-ES"/>
        </w:rPr>
      </w:pPr>
      <w:r w:rsidRPr="00E609F4">
        <w:rPr>
          <w:rStyle w:val="HideTWBExt"/>
          <w:b w:val="0"/>
          <w:lang w:val="es-ES"/>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Co</w:t>
      </w:r>
      <w:r>
        <w:t>nsiderando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lastRenderedPageBreak/>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(20)</w:t>
            </w:r>
            <w:r>
              <w:tab/>
              <w:t xml:space="preserve">Gli identificatori biometrici dovrebbero essere raccolti e conservati nel supporto di memorizzazione delle carte d'identità e dei titoli di soggiorno ai fini della verifica </w:t>
            </w:r>
            <w:r>
              <w:t xml:space="preserve">dell'autenticità del documento e dell'identità del titolare. </w:t>
            </w:r>
            <w:r>
              <w:rPr>
                <w:b/>
                <w:i/>
              </w:rPr>
              <w:t>Data la firma elettronica sul supporto di memorizzazione delle carte d'identità, l'identificazione del titolare mediante il supporto di memorizzazione, che contiene gli stessi dati anagrafici sta</w:t>
            </w:r>
            <w:r>
              <w:rPr>
                <w:b/>
                <w:i/>
              </w:rPr>
              <w:t>mpati sul documento, è più affidabile di un controllo visivo del documento. I cittadini dell'Unione dovrebbero pertanto essere autorizzati a utilizzare i dati conservati nel supporto di memorizzazione della loro carta d'identità per identificarsi nei confr</w:t>
            </w:r>
            <w:r>
              <w:rPr>
                <w:b/>
                <w:i/>
              </w:rPr>
              <w:t>onti di enti privati. Tuttavia la verifica delle impronte digitali memorizzate sul supporto elettronico di memorizzazione</w:t>
            </w:r>
            <w:r>
              <w:t xml:space="preserve"> dovrebbe </w:t>
            </w:r>
            <w:r>
              <w:rPr>
                <w:b/>
                <w:i/>
              </w:rPr>
              <w:t>essere effettuata soltanto da personale debitamente autorizzato e soltanto quando la legge prevede che sia necessario il docu</w:t>
            </w:r>
            <w:r>
              <w:rPr>
                <w:b/>
                <w:i/>
              </w:rPr>
              <w:t>mento</w:t>
            </w:r>
            <w:r>
              <w:t>.</w:t>
            </w:r>
          </w:p>
        </w:tc>
        <w:tc>
          <w:tcPr>
            <w:tcW w:w="4876" w:type="dxa"/>
            <w:tcBorders>
              <w:top w:val="nil"/>
              <w:left w:val="nil"/>
              <w:bottom w:val="nil"/>
              <w:right w:val="nil"/>
            </w:tcBorders>
          </w:tcPr>
          <w:p w:rsidR="00E33FD9" w:rsidRPr="00E9477D" w:rsidRDefault="00ED2F3D" w:rsidP="00E275B2">
            <w:pPr>
              <w:pStyle w:val="Normal6a"/>
            </w:pPr>
            <w:r>
              <w:t>(20)</w:t>
            </w:r>
            <w:r>
              <w:tab/>
              <w:t xml:space="preserve">Gli identificatori biometrici dovrebbero essere raccolti e conservati nel supporto di memorizzazione delle carte d'identità e dei titoli di soggiorno ai fini della verifica dell'autenticità del documento e dell'identità del titolare. </w:t>
            </w:r>
            <w:r>
              <w:rPr>
                <w:b/>
                <w:i/>
              </w:rPr>
              <w:t xml:space="preserve">Tale </w:t>
            </w:r>
            <w:r>
              <w:rPr>
                <w:b/>
                <w:i/>
              </w:rPr>
              <w:t>verifica dovrebbe essere effettuata soltanto da personale debitamente autorizzato e soltanto quando la legge prevede che sia necessario il documento.</w:t>
            </w:r>
            <w:r>
              <w:t xml:space="preserve"> </w:t>
            </w:r>
            <w:r>
              <w:rPr>
                <w:b/>
                <w:i/>
              </w:rPr>
              <w:t>Inoltre, i dati biometrici memorizzati ai fini della personalizzazione delle carte d'identità o dei titoli</w:t>
            </w:r>
            <w:r>
              <w:rPr>
                <w:b/>
                <w:i/>
              </w:rPr>
              <w:t xml:space="preserve"> di soggiorno dovrebbero essere conservati in modo altamente sicuro e soltanto fino alla data di acquisizione del documento e, in ogni caso, per non oltre 90 giorni dalla data di rilascio di tale documento. Trascorso tale periodo, tali dati biometrici dovr</w:t>
            </w:r>
            <w:r>
              <w:rPr>
                <w:b/>
                <w:i/>
              </w:rPr>
              <w:t>ebbero essere immediatamente cancellati o distrutti. Ciò dovrebbe far salvo qualsiasi altro trattamento di tali dati in conformità del diritto dell'Unione e nazionale in materia di protezione dei dati.</w:t>
            </w:r>
          </w:p>
        </w:tc>
      </w:tr>
    </w:tbl>
    <w:p w:rsidR="00E33FD9" w:rsidRPr="00E9477D" w:rsidRDefault="00ED2F3D" w:rsidP="00E33FD9">
      <w:pPr>
        <w:pStyle w:val="AmOrLang"/>
      </w:pPr>
      <w:r w:rsidRPr="00E9477D">
        <w:t xml:space="preserve">Or. </w:t>
      </w:r>
      <w:r w:rsidRPr="00E9477D">
        <w:rPr>
          <w:rStyle w:val="HideTWBExt"/>
        </w:rPr>
        <w:t>&lt;Original&gt;</w:t>
      </w:r>
      <w:r w:rsidRPr="00E9477D">
        <w:rPr>
          <w:rStyle w:val="HideTWBInt"/>
        </w:rPr>
        <w:t>{EN}</w:t>
      </w:r>
      <w:r w:rsidRPr="00E9477D">
        <w:t>en</w:t>
      </w:r>
      <w:r w:rsidRPr="00E9477D">
        <w:rPr>
          <w:rStyle w:val="HideTWBExt"/>
        </w:rPr>
        <w:t>&lt;/Original&gt;</w:t>
      </w:r>
    </w:p>
    <w:p w:rsidR="00E33FD9" w:rsidRPr="00E9477D" w:rsidRDefault="00ED2F3D" w:rsidP="00E33FD9">
      <w:r>
        <w:rPr>
          <w:rStyle w:val="HideTWBExt"/>
        </w:rPr>
        <w:t>&lt;/Amend&gt;</w:t>
      </w:r>
    </w:p>
    <w:p w:rsidR="00E33FD9" w:rsidRPr="00E9477D" w:rsidRDefault="00ED2F3D" w:rsidP="00E33FD9">
      <w:pPr>
        <w:pStyle w:val="AMNumberTabs0"/>
        <w:keepNext/>
      </w:pPr>
      <w:r>
        <w:rPr>
          <w:rStyle w:val="HideTWBExt"/>
          <w:b w:val="0"/>
        </w:rPr>
        <w:t>&lt;Amend&gt;</w:t>
      </w:r>
      <w:r>
        <w:t>Emendamento</w:t>
      </w:r>
      <w:r>
        <w:tab/>
      </w:r>
      <w:r>
        <w:tab/>
      </w:r>
      <w:r>
        <w:rPr>
          <w:rStyle w:val="HideTWBExt"/>
          <w:b w:val="0"/>
        </w:rPr>
        <w:t>&lt;NumAm&gt;</w:t>
      </w:r>
      <w:r>
        <w:t>8</w:t>
      </w:r>
      <w:r>
        <w:rPr>
          <w:rStyle w:val="HideTWBExt"/>
          <w:b w:val="0"/>
        </w:rPr>
        <w:t>&lt;/NumAm&gt;</w:t>
      </w:r>
    </w:p>
    <w:p w:rsidR="00E33FD9" w:rsidRPr="00E9477D" w:rsidRDefault="00ED2F3D" w:rsidP="00E33FD9">
      <w:pPr>
        <w:pStyle w:val="NormalBold"/>
      </w:pPr>
      <w:r>
        <w:rPr>
          <w:rStyle w:val="HideTWBExt"/>
          <w:b w:val="0"/>
        </w:rPr>
        <w:t>&lt;RepeatBlock-By&gt;&lt;Members&gt;</w:t>
      </w:r>
      <w:r>
        <w:t>Malik Azmani, Jeannette Baljeu, Lucia Yar, Raquel García Hermida-Van Der Walle</w:t>
      </w:r>
      <w:r>
        <w:rPr>
          <w:rStyle w:val="HideTWBExt"/>
          <w:b w:val="0"/>
        </w:rPr>
        <w:t>&lt;/Members&gt;</w:t>
      </w:r>
    </w:p>
    <w:p w:rsidR="00E33FD9" w:rsidRPr="00E9477D" w:rsidRDefault="00ED2F3D" w:rsidP="00E33FD9">
      <w:r>
        <w:rPr>
          <w:rStyle w:val="HideTWBExt"/>
        </w:rPr>
        <w:t>&lt;/RepeatBlock-By&gt;</w:t>
      </w:r>
    </w:p>
    <w:p w:rsidR="00E33FD9" w:rsidRPr="00E9477D" w:rsidRDefault="00ED2F3D" w:rsidP="00E33FD9">
      <w:pPr>
        <w:pStyle w:val="NormalBold"/>
        <w:keepNext/>
      </w:pPr>
      <w:r>
        <w:rPr>
          <w:rStyle w:val="HideTWBExt"/>
          <w:b w:val="0"/>
        </w:rPr>
        <w:t>&lt;DocAmend&gt;</w:t>
      </w:r>
      <w:r>
        <w:t>Proposta di regolamento</w:t>
      </w:r>
      <w:r>
        <w:rPr>
          <w:rStyle w:val="HideTWBExt"/>
          <w:b w:val="0"/>
        </w:rPr>
        <w:t>&lt;/DocAmend&gt;</w:t>
      </w:r>
    </w:p>
    <w:p w:rsidR="00E33FD9" w:rsidRPr="00E9477D" w:rsidRDefault="00ED2F3D" w:rsidP="00E33FD9">
      <w:pPr>
        <w:pStyle w:val="NormalBold"/>
      </w:pPr>
      <w:r>
        <w:rPr>
          <w:rStyle w:val="HideTWBExt"/>
          <w:b w:val="0"/>
        </w:rPr>
        <w:t>&lt;Article&gt;</w:t>
      </w:r>
      <w:r>
        <w:t>Considerando 20 bis (nuovo)</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982" w:rsidTr="00E275B2">
        <w:trPr>
          <w:jc w:val="center"/>
        </w:trPr>
        <w:tc>
          <w:tcPr>
            <w:tcW w:w="9752" w:type="dxa"/>
            <w:gridSpan w:val="2"/>
          </w:tcPr>
          <w:p w:rsidR="00E33FD9" w:rsidRPr="00E9477D" w:rsidRDefault="00E33FD9" w:rsidP="00E275B2">
            <w:pPr>
              <w:keepNext/>
            </w:pPr>
          </w:p>
        </w:tc>
      </w:tr>
      <w:tr w:rsidR="00BE4982" w:rsidTr="00E275B2">
        <w:trPr>
          <w:jc w:val="center"/>
        </w:trPr>
        <w:tc>
          <w:tcPr>
            <w:tcW w:w="4876" w:type="dxa"/>
          </w:tcPr>
          <w:p w:rsidR="00E33FD9" w:rsidRPr="00E9477D" w:rsidRDefault="00ED2F3D" w:rsidP="00E275B2">
            <w:pPr>
              <w:pStyle w:val="ColumnHeading"/>
              <w:keepNext/>
            </w:pPr>
            <w:r>
              <w:t>Testo della Commissione</w:t>
            </w:r>
          </w:p>
        </w:tc>
        <w:tc>
          <w:tcPr>
            <w:tcW w:w="4876" w:type="dxa"/>
          </w:tcPr>
          <w:p w:rsidR="00E33FD9" w:rsidRPr="00E9477D" w:rsidRDefault="00ED2F3D" w:rsidP="00E275B2">
            <w:pPr>
              <w:pStyle w:val="ColumnHeading"/>
              <w:keepNext/>
            </w:pPr>
            <w:r>
              <w:t>Emendamento</w:t>
            </w:r>
          </w:p>
        </w:tc>
      </w:tr>
      <w:tr w:rsidR="00BE4982" w:rsidTr="00E275B2">
        <w:trPr>
          <w:jc w:val="center"/>
        </w:trPr>
        <w:tc>
          <w:tcPr>
            <w:tcW w:w="4876" w:type="dxa"/>
          </w:tcPr>
          <w:p w:rsidR="00E33FD9" w:rsidRPr="00E9477D" w:rsidRDefault="00E33FD9" w:rsidP="00E275B2">
            <w:pPr>
              <w:pStyle w:val="Normal6"/>
            </w:pPr>
          </w:p>
        </w:tc>
        <w:tc>
          <w:tcPr>
            <w:tcW w:w="4876" w:type="dxa"/>
          </w:tcPr>
          <w:p w:rsidR="00E33FD9" w:rsidRPr="00E9477D" w:rsidRDefault="00ED2F3D" w:rsidP="00E275B2">
            <w:pPr>
              <w:pStyle w:val="Normal6"/>
              <w:rPr>
                <w:szCs w:val="24"/>
              </w:rPr>
            </w:pPr>
            <w:r>
              <w:rPr>
                <w:b/>
                <w:i/>
              </w:rPr>
              <w:t>(20 bis)</w:t>
            </w:r>
            <w:r>
              <w:rPr>
                <w:b/>
                <w:i/>
              </w:rPr>
              <w:tab/>
              <w:t>La verifica delle impronte digitali memorizzate sul supporto elettronico di memorizzazione dovrebbe essere effettuata soltanto da personale debitamente autorizzato delle autorità nazionali competenti e delle a</w:t>
            </w:r>
            <w:r>
              <w:rPr>
                <w:b/>
                <w:i/>
              </w:rPr>
              <w:t xml:space="preserve">genzie dell'Unione e soltanto quando il diritto dell'Unione o nazionale prevede che sia </w:t>
            </w:r>
            <w:r>
              <w:rPr>
                <w:b/>
                <w:i/>
              </w:rPr>
              <w:lastRenderedPageBreak/>
              <w:t>necessario il documento.</w:t>
            </w:r>
          </w:p>
        </w:tc>
      </w:tr>
    </w:tbl>
    <w:p w:rsidR="00E33FD9" w:rsidRPr="00E609F4" w:rsidRDefault="00ED2F3D" w:rsidP="00E33FD9">
      <w:pPr>
        <w:pStyle w:val="Olang"/>
        <w:rPr>
          <w:sz w:val="24"/>
          <w:szCs w:val="24"/>
          <w:lang w:val="es-ES"/>
        </w:rPr>
      </w:pPr>
      <w:r w:rsidRPr="00E609F4">
        <w:rPr>
          <w:sz w:val="24"/>
          <w:szCs w:val="24"/>
          <w:lang w:val="es-ES"/>
        </w:rPr>
        <w:lastRenderedPageBreak/>
        <w:t xml:space="preserve">Or. </w:t>
      </w:r>
      <w:r w:rsidRPr="00E609F4">
        <w:rPr>
          <w:rStyle w:val="HideTWBExt"/>
          <w:lang w:val="es-ES"/>
        </w:rPr>
        <w:t>&lt;Original&gt;</w:t>
      </w:r>
      <w:r w:rsidRPr="00E609F4">
        <w:rPr>
          <w:rStyle w:val="HideTWBInt"/>
          <w:sz w:val="24"/>
          <w:szCs w:val="24"/>
          <w:lang w:val="es-ES"/>
        </w:rPr>
        <w:t>{EN}</w:t>
      </w:r>
      <w:r w:rsidRPr="00E609F4">
        <w:rPr>
          <w:sz w:val="24"/>
          <w:szCs w:val="24"/>
          <w:lang w:val="es-ES"/>
        </w:rPr>
        <w:t>en</w:t>
      </w:r>
      <w:r w:rsidRPr="00E609F4">
        <w:rPr>
          <w:rStyle w:val="HideTWBExt"/>
          <w:lang w:val="es-ES"/>
        </w:rPr>
        <w:t>&lt;/Original&gt;</w:t>
      </w:r>
    </w:p>
    <w:p w:rsidR="00E33FD9" w:rsidRPr="00E609F4" w:rsidRDefault="00ED2F3D" w:rsidP="00E33FD9">
      <w:pPr>
        <w:rPr>
          <w:lang w:val="es-ES"/>
        </w:rPr>
      </w:pPr>
      <w:r w:rsidRPr="00E609F4">
        <w:rPr>
          <w:rStyle w:val="HideTWBExt"/>
          <w:lang w:val="es-ES"/>
        </w:rPr>
        <w:t>&lt;/Amend&gt;</w:t>
      </w:r>
    </w:p>
    <w:p w:rsidR="00E33FD9" w:rsidRPr="00E609F4" w:rsidRDefault="00ED2F3D" w:rsidP="00E33FD9">
      <w:pPr>
        <w:pStyle w:val="AMNumberTabs0"/>
        <w:keepNext/>
        <w:rPr>
          <w:lang w:val="es-ES"/>
        </w:rPr>
      </w:pPr>
      <w:r w:rsidRPr="00E609F4">
        <w:rPr>
          <w:rStyle w:val="HideTWBExt"/>
          <w:b w:val="0"/>
          <w:lang w:val="es-ES"/>
        </w:rPr>
        <w:t>&lt;Amend&gt;</w:t>
      </w:r>
      <w:r w:rsidRPr="00E609F4">
        <w:rPr>
          <w:lang w:val="es-ES"/>
        </w:rPr>
        <w:t>Emendamento</w:t>
      </w:r>
      <w:r w:rsidRPr="00E609F4">
        <w:rPr>
          <w:lang w:val="es-ES"/>
        </w:rPr>
        <w:tab/>
      </w:r>
      <w:r w:rsidRPr="00E609F4">
        <w:rPr>
          <w:lang w:val="es-ES"/>
        </w:rPr>
        <w:tab/>
      </w:r>
      <w:r w:rsidRPr="00E609F4">
        <w:rPr>
          <w:rStyle w:val="HideTWBExt"/>
          <w:b w:val="0"/>
          <w:lang w:val="es-ES"/>
        </w:rPr>
        <w:t>&lt;NumAm&gt;</w:t>
      </w:r>
      <w:r w:rsidRPr="00E609F4">
        <w:rPr>
          <w:lang w:val="es-ES"/>
        </w:rPr>
        <w:t>9</w:t>
      </w:r>
      <w:r w:rsidRPr="00E609F4">
        <w:rPr>
          <w:rStyle w:val="HideTWBExt"/>
          <w:b w:val="0"/>
          <w:lang w:val="es-ES"/>
        </w:rPr>
        <w:t>&lt;/NumAm&gt;</w:t>
      </w:r>
    </w:p>
    <w:p w:rsidR="00E33FD9" w:rsidRPr="00E609F4" w:rsidRDefault="00ED2F3D" w:rsidP="00E33FD9">
      <w:pPr>
        <w:pStyle w:val="NormalBold"/>
        <w:rPr>
          <w:lang w:val="es-ES"/>
        </w:rPr>
      </w:pPr>
      <w:r w:rsidRPr="00E609F4">
        <w:rPr>
          <w:rStyle w:val="HideTWBExt"/>
          <w:b w:val="0"/>
          <w:lang w:val="es-ES"/>
        </w:rPr>
        <w:t>&lt;RepeatBlock-By&gt;&lt;Members&gt;</w:t>
      </w:r>
      <w:r w:rsidRPr="00E609F4">
        <w:rPr>
          <w:lang w:val="es-ES"/>
        </w:rPr>
        <w:t>Estrella Galán</w:t>
      </w:r>
      <w:r w:rsidRPr="00E609F4">
        <w:rPr>
          <w:rStyle w:val="HideTWBExt"/>
          <w:b w:val="0"/>
          <w:lang w:val="es-ES"/>
        </w:rPr>
        <w:t>&lt;/Members&gt;</w:t>
      </w:r>
    </w:p>
    <w:p w:rsidR="00E33FD9" w:rsidRPr="00E609F4" w:rsidRDefault="00ED2F3D" w:rsidP="00E33FD9">
      <w:pPr>
        <w:rPr>
          <w:lang w:val="es-ES"/>
        </w:rPr>
      </w:pPr>
      <w:r w:rsidRPr="00E609F4">
        <w:rPr>
          <w:rStyle w:val="HideTWBExt"/>
          <w:lang w:val="es-ES"/>
        </w:rPr>
        <w:t>&lt;/RepeatBlock-By&gt;</w:t>
      </w:r>
    </w:p>
    <w:p w:rsidR="00E33FD9" w:rsidRPr="00E9477D" w:rsidRDefault="00ED2F3D" w:rsidP="00E33FD9">
      <w:pPr>
        <w:pStyle w:val="NormalBold"/>
        <w:keepNext/>
      </w:pPr>
      <w:r>
        <w:rPr>
          <w:rStyle w:val="HideTWBExt"/>
          <w:b w:val="0"/>
        </w:rPr>
        <w:t>&lt;DocAmend&gt;</w:t>
      </w:r>
      <w:r>
        <w:t>Proposta di regolamento</w:t>
      </w:r>
      <w:r>
        <w:rPr>
          <w:rStyle w:val="HideTWBExt"/>
          <w:b w:val="0"/>
        </w:rPr>
        <w:t>&lt;/DocAmend&gt;</w:t>
      </w:r>
    </w:p>
    <w:p w:rsidR="00E33FD9" w:rsidRPr="00E9477D" w:rsidRDefault="00ED2F3D" w:rsidP="00E33FD9">
      <w:pPr>
        <w:pStyle w:val="NormalBold"/>
      </w:pPr>
      <w:r>
        <w:rPr>
          <w:rStyle w:val="HideTWBExt"/>
          <w:b w:val="0"/>
        </w:rPr>
        <w:t>&lt;Article&gt;</w:t>
      </w:r>
      <w:r>
        <w:t>Considerando 20 bis (nuovo)</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982" w:rsidTr="00E275B2">
        <w:trPr>
          <w:jc w:val="center"/>
        </w:trPr>
        <w:tc>
          <w:tcPr>
            <w:tcW w:w="9752" w:type="dxa"/>
            <w:gridSpan w:val="2"/>
          </w:tcPr>
          <w:p w:rsidR="00E33FD9" w:rsidRPr="00E9477D" w:rsidRDefault="00E33FD9" w:rsidP="00E275B2">
            <w:pPr>
              <w:keepNext/>
            </w:pPr>
          </w:p>
        </w:tc>
      </w:tr>
      <w:tr w:rsidR="00BE4982" w:rsidTr="00E275B2">
        <w:trPr>
          <w:jc w:val="center"/>
        </w:trPr>
        <w:tc>
          <w:tcPr>
            <w:tcW w:w="4876" w:type="dxa"/>
          </w:tcPr>
          <w:p w:rsidR="00E33FD9" w:rsidRPr="00E9477D" w:rsidRDefault="00ED2F3D" w:rsidP="00E275B2">
            <w:pPr>
              <w:pStyle w:val="ColumnHeading"/>
              <w:keepNext/>
            </w:pPr>
            <w:r>
              <w:t>Testo della Commissione</w:t>
            </w:r>
          </w:p>
        </w:tc>
        <w:tc>
          <w:tcPr>
            <w:tcW w:w="4876" w:type="dxa"/>
          </w:tcPr>
          <w:p w:rsidR="00E33FD9" w:rsidRPr="00E9477D" w:rsidRDefault="00ED2F3D" w:rsidP="00E275B2">
            <w:pPr>
              <w:pStyle w:val="ColumnHeading"/>
              <w:keepNext/>
            </w:pPr>
            <w:r>
              <w:t>Emendamento</w:t>
            </w:r>
          </w:p>
        </w:tc>
      </w:tr>
      <w:tr w:rsidR="00BE4982" w:rsidTr="00E275B2">
        <w:trPr>
          <w:jc w:val="center"/>
        </w:trPr>
        <w:tc>
          <w:tcPr>
            <w:tcW w:w="4876" w:type="dxa"/>
          </w:tcPr>
          <w:p w:rsidR="00E33FD9" w:rsidRPr="00E9477D" w:rsidRDefault="00E33FD9" w:rsidP="00E275B2">
            <w:pPr>
              <w:pStyle w:val="Normal6"/>
            </w:pPr>
          </w:p>
        </w:tc>
        <w:tc>
          <w:tcPr>
            <w:tcW w:w="4876" w:type="dxa"/>
          </w:tcPr>
          <w:p w:rsidR="00E33FD9" w:rsidRPr="00E9477D" w:rsidRDefault="00ED2F3D" w:rsidP="00E275B2">
            <w:pPr>
              <w:pStyle w:val="Normal6"/>
              <w:rPr>
                <w:szCs w:val="24"/>
              </w:rPr>
            </w:pPr>
            <w:r>
              <w:rPr>
                <w:b/>
                <w:i/>
              </w:rPr>
              <w:t>(20 bis)</w:t>
            </w:r>
            <w:r>
              <w:rPr>
                <w:b/>
                <w:i/>
              </w:rPr>
              <w:tab/>
              <w:t xml:space="preserve">I soggetti privati dovrebbero essere tenuti a ottenere il consenso del titolare per accedere </w:t>
            </w:r>
            <w:r>
              <w:rPr>
                <w:b/>
                <w:i/>
              </w:rPr>
              <w:t>all'immagine del volto. Il consenso dell'interessato dovrebbe pertanto essere inteso come una garanzia supplementare e non fornire di per sé una base giuridica per il trattamento da parte di soggetti privati.</w:t>
            </w:r>
          </w:p>
        </w:tc>
      </w:tr>
    </w:tbl>
    <w:p w:rsidR="00E33FD9" w:rsidRPr="00E9477D" w:rsidRDefault="00ED2F3D" w:rsidP="00E33FD9">
      <w:pPr>
        <w:pStyle w:val="Olang"/>
        <w:rPr>
          <w:sz w:val="24"/>
          <w:szCs w:val="24"/>
        </w:rPr>
      </w:pPr>
      <w:r w:rsidRPr="00E9477D">
        <w:rPr>
          <w:sz w:val="24"/>
          <w:szCs w:val="24"/>
        </w:rPr>
        <w:t xml:space="preserve">Or. </w:t>
      </w:r>
      <w:r w:rsidRPr="00E9477D">
        <w:rPr>
          <w:rStyle w:val="HideTWBExt"/>
        </w:rPr>
        <w:t>&lt;Original&gt;</w:t>
      </w:r>
      <w:r w:rsidRPr="00E9477D">
        <w:rPr>
          <w:rStyle w:val="HideTWBInt"/>
          <w:sz w:val="24"/>
          <w:szCs w:val="24"/>
        </w:rPr>
        <w:t>{EN}</w:t>
      </w:r>
      <w:r w:rsidRPr="00E9477D">
        <w:rPr>
          <w:sz w:val="24"/>
          <w:szCs w:val="24"/>
        </w:rPr>
        <w:t>en</w:t>
      </w:r>
      <w:r w:rsidRPr="00E9477D">
        <w:rPr>
          <w:rStyle w:val="HideTWBExt"/>
        </w:rPr>
        <w:t>&lt;/Original&gt;</w:t>
      </w:r>
    </w:p>
    <w:p w:rsidR="00E33FD9" w:rsidRPr="00E9477D" w:rsidRDefault="00ED2F3D" w:rsidP="00E33FD9">
      <w:pPr>
        <w:pStyle w:val="JustificationTitle"/>
        <w:rPr>
          <w:noProof w:val="0"/>
        </w:rPr>
      </w:pPr>
      <w:r>
        <w:rPr>
          <w:rStyle w:val="HideTWBExt"/>
          <w:i w:val="0"/>
        </w:rPr>
        <w:t>&lt;TitreJust&gt;</w:t>
      </w:r>
      <w:r>
        <w:t>Mot</w:t>
      </w:r>
      <w:r>
        <w:t>ivazione</w:t>
      </w:r>
      <w:r>
        <w:rPr>
          <w:rStyle w:val="HideTWBExt"/>
          <w:i w:val="0"/>
        </w:rPr>
        <w:t>&lt;/TitreJust&gt;</w:t>
      </w:r>
    </w:p>
    <w:p w:rsidR="00E33FD9" w:rsidRPr="00E9477D" w:rsidRDefault="00ED2F3D" w:rsidP="00E33FD9">
      <w:pPr>
        <w:pStyle w:val="Normal12Italic"/>
        <w:rPr>
          <w:noProof w:val="0"/>
        </w:rPr>
      </w:pPr>
      <w:r>
        <w:t>Il gruppo The Left continua a rifiutare la possibilità che soggetti privati abbiano accesso all'immagine del volto del titolare del documento. Tuttavia, alla luce degli emendamenti del Consiglio, questo emendameno specifico costituisce</w:t>
      </w:r>
      <w:r>
        <w:t xml:space="preserve"> una posizione "di ripiego" volta a circoscrivere il più possibile la posizione generale del Consiglio. Esso mira a mettere in evidenza le parti positive del testo del Consiglio, rafforzando i diritti degli interessati nel caso in cui soggeti privati otten</w:t>
      </w:r>
      <w:r>
        <w:t>gano l'accesso alle immagini del volto.</w:t>
      </w:r>
    </w:p>
    <w:p w:rsidR="00E33FD9" w:rsidRPr="00E9477D" w:rsidRDefault="00ED2F3D" w:rsidP="00E33FD9">
      <w:r>
        <w:rPr>
          <w:rStyle w:val="HideTWBExt"/>
        </w:rPr>
        <w:t>&lt;/Amend&gt;</w:t>
      </w:r>
    </w:p>
    <w:p w:rsidR="00E33FD9" w:rsidRPr="00E9477D" w:rsidRDefault="00ED2F3D" w:rsidP="00E33FD9">
      <w:pPr>
        <w:pStyle w:val="AMNumberTabs0"/>
        <w:keepNext/>
      </w:pPr>
      <w:r>
        <w:rPr>
          <w:rStyle w:val="HideTWBExt"/>
          <w:b w:val="0"/>
        </w:rPr>
        <w:t>&lt;Amend&gt;</w:t>
      </w:r>
      <w:r>
        <w:t>Emendamento</w:t>
      </w:r>
      <w:r>
        <w:tab/>
      </w:r>
      <w:r>
        <w:tab/>
      </w:r>
      <w:r>
        <w:rPr>
          <w:rStyle w:val="HideTWBExt"/>
          <w:b w:val="0"/>
        </w:rPr>
        <w:t>&lt;NumAm&gt;</w:t>
      </w:r>
      <w:r>
        <w:t>10</w:t>
      </w:r>
      <w:r>
        <w:rPr>
          <w:rStyle w:val="HideTWBExt"/>
          <w:b w:val="0"/>
        </w:rPr>
        <w:t>&lt;/NumAm&gt;</w:t>
      </w:r>
    </w:p>
    <w:p w:rsidR="00E33FD9" w:rsidRPr="00E9477D" w:rsidRDefault="00ED2F3D" w:rsidP="00E33FD9">
      <w:pPr>
        <w:pStyle w:val="NormalBold"/>
      </w:pPr>
      <w:r>
        <w:rPr>
          <w:rStyle w:val="HideTWBExt"/>
          <w:b w:val="0"/>
        </w:rPr>
        <w:t>&lt;RepeatBlock-By&gt;&lt;Members&gt;</w:t>
      </w:r>
      <w:r>
        <w:t>Estrella Galán</w:t>
      </w:r>
      <w:r>
        <w:rPr>
          <w:rStyle w:val="HideTWBExt"/>
          <w:b w:val="0"/>
        </w:rPr>
        <w:t>&lt;/Members&gt;</w:t>
      </w:r>
    </w:p>
    <w:p w:rsidR="00E33FD9" w:rsidRPr="00E9477D" w:rsidRDefault="00ED2F3D" w:rsidP="00E33FD9">
      <w:r>
        <w:rPr>
          <w:rStyle w:val="HideTWBExt"/>
        </w:rPr>
        <w:t>&lt;/RepeatBlock-By&gt;</w:t>
      </w:r>
    </w:p>
    <w:p w:rsidR="00E33FD9" w:rsidRPr="00E9477D" w:rsidRDefault="00ED2F3D" w:rsidP="00E33FD9">
      <w:pPr>
        <w:pStyle w:val="NormalBold"/>
        <w:keepNext/>
      </w:pPr>
      <w:r>
        <w:rPr>
          <w:rStyle w:val="HideTWBExt"/>
          <w:b w:val="0"/>
        </w:rPr>
        <w:t>&lt;DocAmend&gt;</w:t>
      </w:r>
      <w:r>
        <w:t>Proposta di regolamento</w:t>
      </w:r>
      <w:r>
        <w:rPr>
          <w:rStyle w:val="HideTWBExt"/>
          <w:b w:val="0"/>
        </w:rPr>
        <w:t>&lt;/DocAmend&gt;</w:t>
      </w:r>
    </w:p>
    <w:p w:rsidR="00E33FD9" w:rsidRPr="00E9477D" w:rsidRDefault="00ED2F3D" w:rsidP="00E33FD9">
      <w:pPr>
        <w:pStyle w:val="NormalBold"/>
      </w:pPr>
      <w:r>
        <w:rPr>
          <w:rStyle w:val="HideTWBExt"/>
          <w:b w:val="0"/>
        </w:rPr>
        <w:t>&lt;Article&gt;</w:t>
      </w:r>
      <w:r>
        <w:t>Considerando 20 ter (nuovo)</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982" w:rsidTr="00E275B2">
        <w:trPr>
          <w:jc w:val="center"/>
        </w:trPr>
        <w:tc>
          <w:tcPr>
            <w:tcW w:w="9752" w:type="dxa"/>
            <w:gridSpan w:val="2"/>
          </w:tcPr>
          <w:p w:rsidR="00E33FD9" w:rsidRPr="00E9477D" w:rsidRDefault="00E33FD9" w:rsidP="00E275B2">
            <w:pPr>
              <w:keepNext/>
            </w:pPr>
          </w:p>
        </w:tc>
      </w:tr>
      <w:tr w:rsidR="00BE4982" w:rsidTr="00E275B2">
        <w:trPr>
          <w:jc w:val="center"/>
        </w:trPr>
        <w:tc>
          <w:tcPr>
            <w:tcW w:w="4876" w:type="dxa"/>
          </w:tcPr>
          <w:p w:rsidR="00E33FD9" w:rsidRPr="00E9477D" w:rsidRDefault="00ED2F3D" w:rsidP="00E275B2">
            <w:pPr>
              <w:pStyle w:val="ColumnHeading"/>
              <w:keepNext/>
            </w:pPr>
            <w:r>
              <w:t xml:space="preserve">Testo </w:t>
            </w:r>
            <w:r>
              <w:t>della Commissione</w:t>
            </w:r>
          </w:p>
        </w:tc>
        <w:tc>
          <w:tcPr>
            <w:tcW w:w="4876" w:type="dxa"/>
          </w:tcPr>
          <w:p w:rsidR="00E33FD9" w:rsidRPr="00E9477D" w:rsidRDefault="00ED2F3D" w:rsidP="00E275B2">
            <w:pPr>
              <w:pStyle w:val="ColumnHeading"/>
              <w:keepNext/>
            </w:pPr>
            <w:r>
              <w:t>Emendamento</w:t>
            </w:r>
          </w:p>
        </w:tc>
      </w:tr>
      <w:tr w:rsidR="00BE4982" w:rsidTr="00E275B2">
        <w:trPr>
          <w:jc w:val="center"/>
        </w:trPr>
        <w:tc>
          <w:tcPr>
            <w:tcW w:w="4876" w:type="dxa"/>
          </w:tcPr>
          <w:p w:rsidR="00E33FD9" w:rsidRPr="00E9477D" w:rsidRDefault="00E33FD9" w:rsidP="00E275B2">
            <w:pPr>
              <w:pStyle w:val="Normal6"/>
            </w:pPr>
          </w:p>
        </w:tc>
        <w:tc>
          <w:tcPr>
            <w:tcW w:w="4876" w:type="dxa"/>
          </w:tcPr>
          <w:p w:rsidR="00E33FD9" w:rsidRPr="00E9477D" w:rsidRDefault="00ED2F3D" w:rsidP="00E275B2">
            <w:pPr>
              <w:pStyle w:val="Normal6"/>
              <w:rPr>
                <w:szCs w:val="24"/>
              </w:rPr>
            </w:pPr>
            <w:r>
              <w:rPr>
                <w:b/>
                <w:i/>
              </w:rPr>
              <w:t>(20 ter)</w:t>
            </w:r>
            <w:r>
              <w:rPr>
                <w:b/>
                <w:i/>
              </w:rPr>
              <w:tab/>
              <w:t xml:space="preserve">Quando la legge esige la presentazione di una carta d'identità o di un titolo di soggiorno, i soggetti privati dovrebbero poter accedere all'immagine del volto solo ai fini della verifica dell'identità del titolare </w:t>
            </w:r>
            <w:r>
              <w:rPr>
                <w:b/>
                <w:i/>
              </w:rPr>
              <w:t xml:space="preserve">e non dovrebbero conservare o trasmettere le immagini del </w:t>
            </w:r>
            <w:r>
              <w:rPr>
                <w:b/>
                <w:i/>
              </w:rPr>
              <w:lastRenderedPageBreak/>
              <w:t>volto.</w:t>
            </w:r>
          </w:p>
        </w:tc>
      </w:tr>
    </w:tbl>
    <w:p w:rsidR="00E33FD9" w:rsidRPr="00E9477D" w:rsidRDefault="00ED2F3D" w:rsidP="00E33FD9">
      <w:pPr>
        <w:pStyle w:val="Olang"/>
        <w:rPr>
          <w:sz w:val="24"/>
          <w:szCs w:val="24"/>
        </w:rPr>
      </w:pPr>
      <w:r w:rsidRPr="00E9477D">
        <w:rPr>
          <w:sz w:val="24"/>
          <w:szCs w:val="24"/>
        </w:rPr>
        <w:lastRenderedPageBreak/>
        <w:t xml:space="preserve">Or. </w:t>
      </w:r>
      <w:r w:rsidRPr="00E9477D">
        <w:rPr>
          <w:rStyle w:val="HideTWBExt"/>
        </w:rPr>
        <w:t>&lt;Original&gt;</w:t>
      </w:r>
      <w:r w:rsidRPr="00E9477D">
        <w:rPr>
          <w:rStyle w:val="HideTWBInt"/>
          <w:sz w:val="24"/>
          <w:szCs w:val="24"/>
        </w:rPr>
        <w:t>{EN}</w:t>
      </w:r>
      <w:r w:rsidRPr="00E9477D">
        <w:rPr>
          <w:sz w:val="24"/>
          <w:szCs w:val="24"/>
        </w:rPr>
        <w:t>en</w:t>
      </w:r>
      <w:r w:rsidRPr="00E9477D">
        <w:rPr>
          <w:rStyle w:val="HideTWBExt"/>
        </w:rPr>
        <w:t>&lt;/Original&gt;</w:t>
      </w:r>
    </w:p>
    <w:p w:rsidR="00E33FD9" w:rsidRPr="00E9477D" w:rsidRDefault="00ED2F3D" w:rsidP="00E33FD9">
      <w:pPr>
        <w:pStyle w:val="JustificationTitle"/>
        <w:rPr>
          <w:noProof w:val="0"/>
        </w:rPr>
      </w:pPr>
      <w:r>
        <w:rPr>
          <w:rStyle w:val="HideTWBExt"/>
          <w:i w:val="0"/>
        </w:rPr>
        <w:t>&lt;TitreJust&gt;</w:t>
      </w:r>
      <w:r>
        <w:t>Motivazione</w:t>
      </w:r>
      <w:r>
        <w:rPr>
          <w:rStyle w:val="HideTWBExt"/>
          <w:i w:val="0"/>
        </w:rPr>
        <w:t>&lt;/TitreJust&gt;</w:t>
      </w:r>
    </w:p>
    <w:p w:rsidR="00E33FD9" w:rsidRPr="00E9477D" w:rsidRDefault="00ED2F3D" w:rsidP="00E33FD9">
      <w:pPr>
        <w:pStyle w:val="Normal12Italic"/>
        <w:rPr>
          <w:noProof w:val="0"/>
        </w:rPr>
      </w:pPr>
      <w:r>
        <w:t xml:space="preserve">Il gruppo The Left continua a rifiutare la possibilità che soggetti privati abbiano accesso all'immagine del volto del </w:t>
      </w:r>
      <w:r>
        <w:t>titolare del documento. Tuttavia, alla luce degli emendamenti del Consiglio, questo emendameno specifico costituisce una posizione "di ripiego" volta a circoscrivere il più possibile la posizione del Consiglio.</w:t>
      </w:r>
    </w:p>
    <w:p w:rsidR="00E33FD9" w:rsidRPr="00E9477D" w:rsidRDefault="00ED2F3D" w:rsidP="00E33FD9">
      <w:r>
        <w:rPr>
          <w:rStyle w:val="HideTWBExt"/>
        </w:rPr>
        <w:t>&lt;/Amend&gt;</w:t>
      </w:r>
    </w:p>
    <w:p w:rsidR="00E33FD9" w:rsidRPr="00E9477D" w:rsidRDefault="00ED2F3D" w:rsidP="00E33FD9">
      <w:pPr>
        <w:pStyle w:val="AmNumberTabs"/>
      </w:pPr>
      <w:r>
        <w:rPr>
          <w:rStyle w:val="HideTWBExt"/>
        </w:rPr>
        <w:t>&lt;Amend&gt;</w:t>
      </w:r>
      <w:r>
        <w:t>Emendamento</w:t>
      </w:r>
      <w:r>
        <w:tab/>
      </w:r>
      <w:r>
        <w:tab/>
      </w:r>
      <w:r>
        <w:rPr>
          <w:rStyle w:val="HideTWBExt"/>
        </w:rPr>
        <w:t>&lt;NumAm&gt;</w:t>
      </w:r>
      <w:r>
        <w:t>11</w:t>
      </w:r>
      <w:r>
        <w:rPr>
          <w:rStyle w:val="HideTWBExt"/>
        </w:rPr>
        <w:t>&lt;/NumAm</w:t>
      </w:r>
      <w:r>
        <w:rPr>
          <w:rStyle w:val="HideTWBExt"/>
        </w:rPr>
        <w:t>&gt;</w:t>
      </w:r>
    </w:p>
    <w:p w:rsidR="00E33FD9" w:rsidRPr="00E9477D" w:rsidRDefault="00ED2F3D" w:rsidP="00E33FD9">
      <w:pPr>
        <w:pStyle w:val="NormalBold"/>
      </w:pPr>
      <w:r>
        <w:rPr>
          <w:rStyle w:val="HideTWBExt"/>
          <w:b w:val="0"/>
        </w:rPr>
        <w:t>&lt;RepeatBlock-By&gt;&lt;Members&gt;</w:t>
      </w:r>
      <w:r>
        <w:t>Roberto Vannacci, António Tânger Corrêa, Susanna Ceccardi, Anna Maria Cisint, Nikola Bartůšek, Fabrice Leggeri, Tom Vandendriessche, Matthieu Valet</w:t>
      </w:r>
      <w:r>
        <w:rPr>
          <w:rStyle w:val="HideTWBExt"/>
          <w:b w:val="0"/>
        </w:rPr>
        <w:t>&lt;/Members&gt;</w:t>
      </w:r>
    </w:p>
    <w:p w:rsidR="00E33FD9" w:rsidRPr="00E9477D" w:rsidRDefault="00ED2F3D" w:rsidP="00E33FD9">
      <w:pPr>
        <w:pStyle w:val="NormalBold"/>
      </w:pPr>
      <w:r>
        <w:rPr>
          <w:rStyle w:val="HideTWBExt"/>
          <w:b w:val="0"/>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w:t>
      </w:r>
      <w:r>
        <w:rPr>
          <w:rStyle w:val="HideTWBExt"/>
        </w:rPr>
        <w:t>&gt;</w:t>
      </w:r>
      <w:r>
        <w:t>Considerando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(22)</w:t>
            </w:r>
            <w:r>
              <w:tab/>
              <w:t xml:space="preserve">Ai fini del presente regolamento è opportuno </w:t>
            </w:r>
            <w:r>
              <w:rPr>
                <w:b/>
                <w:i/>
              </w:rPr>
              <w:t>tenere conto delle</w:t>
            </w:r>
            <w:r>
              <w:t xml:space="preserve"> prescrizioni tecniche del documento ICAO 9303 che garantiscono un'interoperabilità globale anche in relazione alla predisposizione alla lettura ottica e il ricorso all'ispezione visiva.</w:t>
            </w:r>
          </w:p>
        </w:tc>
        <w:tc>
          <w:tcPr>
            <w:tcW w:w="4876" w:type="dxa"/>
            <w:tcBorders>
              <w:top w:val="nil"/>
              <w:left w:val="nil"/>
              <w:bottom w:val="nil"/>
              <w:right w:val="nil"/>
            </w:tcBorders>
          </w:tcPr>
          <w:p w:rsidR="00E33FD9" w:rsidRPr="00E9477D" w:rsidRDefault="00ED2F3D" w:rsidP="00E275B2">
            <w:pPr>
              <w:pStyle w:val="Normal6a"/>
            </w:pPr>
            <w:r>
              <w:t>(22)</w:t>
            </w:r>
            <w:r>
              <w:tab/>
              <w:t xml:space="preserve">Ai fini del presente regolamento è opportuno </w:t>
            </w:r>
            <w:r>
              <w:rPr>
                <w:b/>
                <w:i/>
              </w:rPr>
              <w:t>prendere quale para</w:t>
            </w:r>
            <w:r>
              <w:rPr>
                <w:b/>
                <w:i/>
              </w:rPr>
              <w:t>metro di riferimento le</w:t>
            </w:r>
            <w:r>
              <w:t xml:space="preserve"> prescrizioni tecniche del documento ICAO 9303 che garantiscono un'interoperabilità globale anche in relazione alla predisposizione alla lettura ottica e il ricorso all'ispezione visiva.</w:t>
            </w:r>
          </w:p>
        </w:tc>
      </w:tr>
    </w:tbl>
    <w:p w:rsidR="00E33FD9" w:rsidRPr="00E9477D" w:rsidRDefault="00ED2F3D" w:rsidP="00E33FD9">
      <w:pPr>
        <w:pStyle w:val="AmOrLang"/>
      </w:pPr>
      <w:r w:rsidRPr="00E9477D">
        <w:t xml:space="preserve">Or. </w:t>
      </w:r>
      <w:r w:rsidRPr="00E9477D">
        <w:rPr>
          <w:rStyle w:val="HideTWBExt"/>
        </w:rPr>
        <w:t>&lt;Original&gt;</w:t>
      </w:r>
      <w:r w:rsidRPr="00E9477D">
        <w:rPr>
          <w:rStyle w:val="HideTWBInt"/>
        </w:rPr>
        <w:t>{EN}</w:t>
      </w:r>
      <w:r w:rsidRPr="00E9477D">
        <w:t>en</w:t>
      </w:r>
      <w:r w:rsidRPr="00E9477D">
        <w:rPr>
          <w:rStyle w:val="HideTWBExt"/>
        </w:rPr>
        <w:t>&lt;/Original&gt;</w:t>
      </w:r>
    </w:p>
    <w:p w:rsidR="00E33FD9" w:rsidRPr="00E9477D" w:rsidRDefault="00ED2F3D" w:rsidP="00E33FD9">
      <w:r>
        <w:rPr>
          <w:rStyle w:val="HideTWBExt"/>
        </w:rPr>
        <w:t>&lt;/Amend&gt;</w:t>
      </w:r>
    </w:p>
    <w:p w:rsidR="00E33FD9" w:rsidRPr="00E9477D" w:rsidRDefault="00ED2F3D" w:rsidP="00E33FD9">
      <w:pPr>
        <w:pStyle w:val="AmNumberTabs"/>
      </w:pPr>
      <w:r>
        <w:rPr>
          <w:rStyle w:val="HideTWBExt"/>
        </w:rPr>
        <w:t>&lt;Ame</w:t>
      </w:r>
      <w:r>
        <w:rPr>
          <w:rStyle w:val="HideTWBExt"/>
        </w:rPr>
        <w:t>nd&gt;</w:t>
      </w:r>
      <w:r>
        <w:t>Emendamento</w:t>
      </w:r>
      <w:r>
        <w:tab/>
      </w:r>
      <w:r>
        <w:tab/>
      </w:r>
      <w:r>
        <w:rPr>
          <w:rStyle w:val="HideTWBExt"/>
        </w:rPr>
        <w:t>&lt;NumAm&gt;</w:t>
      </w:r>
      <w:r>
        <w:t>12</w:t>
      </w:r>
      <w:r>
        <w:rPr>
          <w:rStyle w:val="HideTWBExt"/>
        </w:rPr>
        <w:t>&lt;/NumAm&gt;</w:t>
      </w:r>
    </w:p>
    <w:p w:rsidR="00E33FD9" w:rsidRPr="00E9477D" w:rsidRDefault="00ED2F3D" w:rsidP="00E33FD9">
      <w:pPr>
        <w:pStyle w:val="NormalBold"/>
      </w:pPr>
      <w:r>
        <w:rPr>
          <w:rStyle w:val="HideTWBExt"/>
          <w:b w:val="0"/>
        </w:rPr>
        <w:t>&lt;RepeatBlock-By&gt;&lt;Members&gt;</w:t>
      </w:r>
      <w:r>
        <w:t>Roberto Vannacci, António Tânger Corrêa, Susanna Ceccardi, Anna Maria Cisint, Fabrice Leggeri, András László, Tom Vandendriessche, Matthieu Valet</w:t>
      </w:r>
      <w:r>
        <w:rPr>
          <w:rStyle w:val="HideTWBExt"/>
          <w:b w:val="0"/>
        </w:rPr>
        <w:t>&lt;/Members&gt;</w:t>
      </w:r>
    </w:p>
    <w:p w:rsidR="00E33FD9" w:rsidRPr="00E9477D" w:rsidRDefault="00ED2F3D" w:rsidP="00E33FD9">
      <w:pPr>
        <w:pStyle w:val="NormalBold"/>
      </w:pPr>
      <w:r>
        <w:rPr>
          <w:rStyle w:val="HideTWBExt"/>
          <w:b w:val="0"/>
        </w:rPr>
        <w:t>&lt;/RepeatBlock-By&gt;</w:t>
      </w:r>
    </w:p>
    <w:p w:rsidR="00E33FD9" w:rsidRPr="00E9477D" w:rsidRDefault="00ED2F3D" w:rsidP="00E33FD9">
      <w:pPr>
        <w:pStyle w:val="NormalBold"/>
      </w:pPr>
      <w:r>
        <w:rPr>
          <w:rStyle w:val="HideTWBExt"/>
        </w:rPr>
        <w:t>&lt;DocAmend&gt;</w:t>
      </w:r>
      <w:r>
        <w:t xml:space="preserve">Proposta di </w:t>
      </w:r>
      <w:r>
        <w:t>regolamento</w:t>
      </w:r>
      <w:r>
        <w:rPr>
          <w:rStyle w:val="HideTWBExt"/>
        </w:rPr>
        <w:t>&lt;/DocAmend&gt;</w:t>
      </w:r>
    </w:p>
    <w:p w:rsidR="00E33FD9" w:rsidRPr="00E9477D" w:rsidRDefault="00ED2F3D" w:rsidP="00E33FD9">
      <w:pPr>
        <w:pStyle w:val="NormalBold"/>
      </w:pPr>
      <w:r>
        <w:rPr>
          <w:rStyle w:val="HideTWBExt"/>
        </w:rPr>
        <w:t>&lt;Article&gt;</w:t>
      </w:r>
      <w:r>
        <w:t>Considerando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(23)</w:t>
            </w:r>
            <w:r>
              <w:tab/>
              <w:t xml:space="preserve">Gli Stati membri dovrebbero </w:t>
            </w:r>
            <w:r>
              <w:rPr>
                <w:b/>
                <w:i/>
              </w:rPr>
              <w:t xml:space="preserve">poter decidere se </w:t>
            </w:r>
            <w:r>
              <w:t xml:space="preserve">includere il </w:t>
            </w:r>
            <w:r>
              <w:rPr>
                <w:b/>
                <w:i/>
              </w:rPr>
              <w:t>genere</w:t>
            </w:r>
            <w:r>
              <w:t xml:space="preserve"> di una persona in un documento contemplato dal presente regolamento</w:t>
            </w:r>
            <w:r>
              <w:rPr>
                <w:b/>
                <w:i/>
              </w:rPr>
              <w:t>. Se uno Stato membro</w:t>
            </w:r>
            <w:r>
              <w:rPr>
                <w:b/>
                <w:i/>
              </w:rPr>
              <w:t xml:space="preserve"> include il genere di una persona in tale documento, dovrebbero essere utilizzate le</w:t>
            </w:r>
            <w:r>
              <w:t xml:space="preserve"> specifiche </w:t>
            </w:r>
            <w:r>
              <w:rPr>
                <w:b/>
                <w:i/>
              </w:rPr>
              <w:t xml:space="preserve">"F", "M" o "X" </w:t>
            </w:r>
            <w:r>
              <w:t xml:space="preserve">di </w:t>
            </w:r>
            <w:r>
              <w:lastRenderedPageBreak/>
              <w:t>cui al documento ICAO 9303</w:t>
            </w:r>
            <w:r>
              <w:rPr>
                <w:b/>
                <w:i/>
              </w:rPr>
              <w:t xml:space="preserve"> o le corrispondenti singole iniziali utilizzate nella lingua o nelle lingue di tale Stato membro, a seconda dei cas</w:t>
            </w:r>
            <w:r>
              <w:rPr>
                <w:b/>
                <w:i/>
              </w:rPr>
              <w:t>i</w:t>
            </w:r>
            <w:r>
              <w:t>.</w:t>
            </w:r>
          </w:p>
        </w:tc>
        <w:tc>
          <w:tcPr>
            <w:tcW w:w="4876" w:type="dxa"/>
            <w:tcBorders>
              <w:top w:val="nil"/>
              <w:left w:val="nil"/>
              <w:bottom w:val="nil"/>
              <w:right w:val="nil"/>
            </w:tcBorders>
          </w:tcPr>
          <w:p w:rsidR="00E33FD9" w:rsidRPr="00E9477D" w:rsidRDefault="00ED2F3D" w:rsidP="00E275B2">
            <w:pPr>
              <w:pStyle w:val="Normal6a"/>
            </w:pPr>
            <w:r>
              <w:lastRenderedPageBreak/>
              <w:t>(23)</w:t>
            </w:r>
            <w:r>
              <w:tab/>
              <w:t xml:space="preserve">Gli Stati membri dovrebbero includere il </w:t>
            </w:r>
            <w:r>
              <w:rPr>
                <w:b/>
                <w:i/>
              </w:rPr>
              <w:t>sesso</w:t>
            </w:r>
            <w:r>
              <w:t xml:space="preserve"> di una persona in un documento contemplato dal presente regolamento</w:t>
            </w:r>
            <w:r>
              <w:rPr>
                <w:b/>
                <w:i/>
              </w:rPr>
              <w:t xml:space="preserve"> conformemente alle</w:t>
            </w:r>
            <w:r>
              <w:t xml:space="preserve"> specifiche di cui al documento ICAO 9303</w:t>
            </w:r>
            <w:r>
              <w:rPr>
                <w:b/>
                <w:i/>
              </w:rPr>
              <w:t>. L'indicazione del sesso del titolare sui documenti permette una più effi</w:t>
            </w:r>
            <w:r>
              <w:rPr>
                <w:b/>
                <w:i/>
              </w:rPr>
              <w:t xml:space="preserve">cace </w:t>
            </w:r>
            <w:r>
              <w:rPr>
                <w:b/>
                <w:i/>
              </w:rPr>
              <w:lastRenderedPageBreak/>
              <w:t>identificazione di quest'ultimo</w:t>
            </w:r>
            <w:r>
              <w:t>.</w:t>
            </w:r>
          </w:p>
        </w:tc>
      </w:tr>
    </w:tbl>
    <w:p w:rsidR="00E33FD9" w:rsidRPr="00E9477D" w:rsidRDefault="00ED2F3D" w:rsidP="00E33FD9">
      <w:pPr>
        <w:pStyle w:val="AmOrLang"/>
      </w:pPr>
      <w:r w:rsidRPr="00E9477D">
        <w:lastRenderedPageBreak/>
        <w:t xml:space="preserve">Or. </w:t>
      </w:r>
      <w:r w:rsidRPr="00E9477D">
        <w:rPr>
          <w:rStyle w:val="HideTWBExt"/>
        </w:rPr>
        <w:t>&lt;Original&gt;</w:t>
      </w:r>
      <w:r w:rsidRPr="00E9477D">
        <w:rPr>
          <w:rStyle w:val="HideTWBInt"/>
        </w:rPr>
        <w:t>{EN}</w:t>
      </w:r>
      <w:r w:rsidRPr="00E9477D">
        <w:t>en</w:t>
      </w:r>
      <w:r w:rsidRPr="00E9477D">
        <w:rPr>
          <w:rStyle w:val="HideTWBExt"/>
        </w:rPr>
        <w:t>&lt;/Original&gt;</w:t>
      </w:r>
    </w:p>
    <w:p w:rsidR="00E33FD9" w:rsidRPr="00E9477D" w:rsidRDefault="00ED2F3D" w:rsidP="00E33FD9">
      <w:r>
        <w:rPr>
          <w:rStyle w:val="HideTWBExt"/>
        </w:rPr>
        <w:t>&lt;/Amend&gt;</w:t>
      </w:r>
    </w:p>
    <w:p w:rsidR="00E33FD9" w:rsidRPr="00E9477D" w:rsidRDefault="00ED2F3D" w:rsidP="00E33FD9">
      <w:pPr>
        <w:pStyle w:val="AmNumberTabs"/>
      </w:pPr>
      <w:r>
        <w:rPr>
          <w:rStyle w:val="HideTWBExt"/>
        </w:rPr>
        <w:t>&lt;Amend&gt;</w:t>
      </w:r>
      <w:r>
        <w:t>Emendamento</w:t>
      </w:r>
      <w:r>
        <w:tab/>
      </w:r>
      <w:r>
        <w:tab/>
      </w:r>
      <w:r>
        <w:rPr>
          <w:rStyle w:val="HideTWBExt"/>
        </w:rPr>
        <w:t>&lt;NumAm&gt;</w:t>
      </w:r>
      <w:r>
        <w:t>13</w:t>
      </w:r>
      <w:r>
        <w:rPr>
          <w:rStyle w:val="HideTWBExt"/>
        </w:rPr>
        <w:t>&lt;/NumAm&gt;</w:t>
      </w:r>
    </w:p>
    <w:p w:rsidR="00E33FD9" w:rsidRPr="00E9477D" w:rsidRDefault="00ED2F3D" w:rsidP="00E33FD9">
      <w:pPr>
        <w:pStyle w:val="NormalBold"/>
      </w:pPr>
      <w:r>
        <w:rPr>
          <w:rStyle w:val="HideTWBExt"/>
          <w:b w:val="0"/>
        </w:rPr>
        <w:t>&lt;RepeatBlock-By&gt;&lt;Members&gt;</w:t>
      </w:r>
      <w:r>
        <w:t>Paolo Inselvini, Alessandro Ciriani</w:t>
      </w:r>
      <w:r>
        <w:rPr>
          <w:rStyle w:val="HideTWBExt"/>
          <w:b w:val="0"/>
        </w:rPr>
        <w:t>&lt;/Members&gt;</w:t>
      </w:r>
    </w:p>
    <w:p w:rsidR="00E33FD9" w:rsidRPr="00E9477D" w:rsidRDefault="00ED2F3D" w:rsidP="00E33FD9">
      <w:pPr>
        <w:pStyle w:val="NormalBold"/>
      </w:pPr>
      <w:r>
        <w:rPr>
          <w:rStyle w:val="HideTWBExt"/>
          <w:b w:val="0"/>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Considerando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(23)</w:t>
            </w:r>
            <w:r>
              <w:tab/>
              <w:t xml:space="preserve">Gli Stati membri dovrebbero poter decidere se includere il </w:t>
            </w:r>
            <w:r>
              <w:rPr>
                <w:b/>
                <w:i/>
              </w:rPr>
              <w:t>genere</w:t>
            </w:r>
            <w:r>
              <w:t xml:space="preserve"> di una persona in un documento contemplato dal presente regolamento. Se uno Stato membro include il </w:t>
            </w:r>
            <w:r>
              <w:rPr>
                <w:b/>
                <w:i/>
              </w:rPr>
              <w:t>genere</w:t>
            </w:r>
            <w:r>
              <w:t xml:space="preserve"> di una persona in tale documento, dovrebbero essere utilizzate le specifiche "F"</w:t>
            </w:r>
            <w:r>
              <w:rPr>
                <w:b/>
                <w:i/>
              </w:rPr>
              <w:t>, "M"</w:t>
            </w:r>
            <w:r>
              <w:t xml:space="preserve"> o </w:t>
            </w:r>
            <w:r>
              <w:rPr>
                <w:b/>
                <w:i/>
              </w:rPr>
              <w:t>"X" di cui al documento ICAO 9303</w:t>
            </w:r>
            <w:r>
              <w:t xml:space="preserve"> o le corrispondenti singole iniziali utilizzate nella lingua o nelle lingue di tale Stato membro, a seconda dei casi.</w:t>
            </w:r>
          </w:p>
        </w:tc>
        <w:tc>
          <w:tcPr>
            <w:tcW w:w="4876" w:type="dxa"/>
            <w:tcBorders>
              <w:top w:val="nil"/>
              <w:left w:val="nil"/>
              <w:bottom w:val="nil"/>
              <w:right w:val="nil"/>
            </w:tcBorders>
          </w:tcPr>
          <w:p w:rsidR="00E33FD9" w:rsidRPr="00E9477D" w:rsidRDefault="00ED2F3D" w:rsidP="00E275B2">
            <w:pPr>
              <w:pStyle w:val="Normal6a"/>
            </w:pPr>
            <w:r>
              <w:t>(23)</w:t>
            </w:r>
            <w:r>
              <w:tab/>
              <w:t xml:space="preserve">Gli Stati </w:t>
            </w:r>
            <w:r>
              <w:t xml:space="preserve">membri dovrebbero poter decidere se includere il </w:t>
            </w:r>
            <w:r>
              <w:rPr>
                <w:b/>
                <w:i/>
              </w:rPr>
              <w:t>sesso</w:t>
            </w:r>
            <w:r>
              <w:t xml:space="preserve"> di una persona in un documento contemplato dal presente regolamento. Se uno Stato membro include il </w:t>
            </w:r>
            <w:r>
              <w:rPr>
                <w:b/>
                <w:i/>
              </w:rPr>
              <w:t>sesso</w:t>
            </w:r>
            <w:r>
              <w:t xml:space="preserve"> di una persona in tale documento, dovrebbero essere utilizzate le specifiche "F" o </w:t>
            </w:r>
            <w:r>
              <w:rPr>
                <w:b/>
                <w:i/>
              </w:rPr>
              <w:t>"M"</w:t>
            </w:r>
            <w:r>
              <w:t xml:space="preserve"> o le cor</w:t>
            </w:r>
            <w:r>
              <w:t>rispondenti singole iniziali utilizzate nella lingua o nelle lingue di tale Stato membro, a seconda dei casi.</w:t>
            </w:r>
          </w:p>
        </w:tc>
      </w:tr>
    </w:tbl>
    <w:p w:rsidR="00E33FD9" w:rsidRPr="00E9477D" w:rsidRDefault="00ED2F3D" w:rsidP="00E33FD9">
      <w:pPr>
        <w:pStyle w:val="AmOrLang"/>
      </w:pPr>
      <w:r w:rsidRPr="00E9477D">
        <w:t xml:space="preserve">Or. </w:t>
      </w:r>
      <w:r w:rsidRPr="00E9477D">
        <w:rPr>
          <w:rStyle w:val="HideTWBExt"/>
        </w:rPr>
        <w:t>&lt;Original&gt;</w:t>
      </w:r>
      <w:r w:rsidRPr="00E9477D">
        <w:rPr>
          <w:rStyle w:val="HideTWBInt"/>
        </w:rPr>
        <w:t>{IT}</w:t>
      </w:r>
      <w:r w:rsidRPr="00E9477D">
        <w:t>it</w:t>
      </w:r>
      <w:r w:rsidRPr="00E9477D">
        <w:rPr>
          <w:rStyle w:val="HideTWBExt"/>
        </w:rPr>
        <w:t>&lt;/Original&gt;</w:t>
      </w:r>
    </w:p>
    <w:p w:rsidR="00E33FD9" w:rsidRPr="00E9477D" w:rsidRDefault="00ED2F3D" w:rsidP="00E33FD9">
      <w:r>
        <w:rPr>
          <w:rStyle w:val="HideTWBExt"/>
        </w:rPr>
        <w:t>&lt;/Amend&gt;</w:t>
      </w:r>
    </w:p>
    <w:p w:rsidR="00E33FD9" w:rsidRPr="00E9477D" w:rsidRDefault="00ED2F3D" w:rsidP="00E33FD9">
      <w:pPr>
        <w:pStyle w:val="AmNumberTabs"/>
      </w:pPr>
      <w:r>
        <w:rPr>
          <w:rStyle w:val="HideTWBExt"/>
        </w:rPr>
        <w:t>&lt;Amend&gt;</w:t>
      </w:r>
      <w:r>
        <w:t>Emendamento</w:t>
      </w:r>
      <w:r>
        <w:tab/>
      </w:r>
      <w:r>
        <w:tab/>
      </w:r>
      <w:r>
        <w:rPr>
          <w:rStyle w:val="HideTWBExt"/>
        </w:rPr>
        <w:t>&lt;NumAm&gt;</w:t>
      </w:r>
      <w:r>
        <w:t>14</w:t>
      </w:r>
      <w:r>
        <w:rPr>
          <w:rStyle w:val="HideTWBExt"/>
        </w:rPr>
        <w:t>&lt;/NumAm&gt;</w:t>
      </w:r>
    </w:p>
    <w:p w:rsidR="00E33FD9" w:rsidRPr="00E9477D" w:rsidRDefault="00ED2F3D" w:rsidP="00E33FD9">
      <w:pPr>
        <w:pStyle w:val="NormalBold"/>
      </w:pPr>
      <w:r>
        <w:rPr>
          <w:rStyle w:val="HideTWBExt"/>
          <w:b w:val="0"/>
        </w:rPr>
        <w:t>&lt;RepeatBlock-By&gt;&lt;Members&gt;</w:t>
      </w:r>
      <w:r>
        <w:t xml:space="preserve">Alessandro Zan, Krzysztof Śmiszek, Emma </w:t>
      </w:r>
      <w:r>
        <w:t>Rafowicz, Evin Incir, Cecilia Strada, Pina Picierno</w:t>
      </w:r>
      <w:r>
        <w:rPr>
          <w:rStyle w:val="HideTWBExt"/>
          <w:b w:val="0"/>
        </w:rPr>
        <w:t>&lt;/Members&gt;</w:t>
      </w:r>
    </w:p>
    <w:p w:rsidR="00E33FD9" w:rsidRPr="00E9477D" w:rsidRDefault="00ED2F3D" w:rsidP="00E33FD9">
      <w:pPr>
        <w:pStyle w:val="NormalBold"/>
      </w:pPr>
      <w:r>
        <w:rPr>
          <w:rStyle w:val="HideTWBExt"/>
          <w:b w:val="0"/>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Considerando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(23)</w:t>
            </w:r>
            <w:r>
              <w:tab/>
              <w:t xml:space="preserve">Gli Stati membri dovrebbero poter decidere se </w:t>
            </w:r>
            <w:r>
              <w:t xml:space="preserve">includere il genere di una persona in un documento contemplato dal presente regolamento. Se uno Stato membro include il genere di una persona in tale documento, dovrebbero essere utilizzate le specifiche "F", "M" o "X" di </w:t>
            </w:r>
            <w:r>
              <w:lastRenderedPageBreak/>
              <w:t>cui al documento ICAO 9303 o le co</w:t>
            </w:r>
            <w:r>
              <w:t>rrispondenti singole iniziali utilizzate nella lingua o nelle lingue di tale Stato membro, a seconda dei casi.</w:t>
            </w:r>
          </w:p>
        </w:tc>
        <w:tc>
          <w:tcPr>
            <w:tcW w:w="4876" w:type="dxa"/>
            <w:tcBorders>
              <w:top w:val="nil"/>
              <w:left w:val="nil"/>
              <w:bottom w:val="nil"/>
              <w:right w:val="nil"/>
            </w:tcBorders>
          </w:tcPr>
          <w:p w:rsidR="00E33FD9" w:rsidRPr="00E9477D" w:rsidRDefault="00ED2F3D" w:rsidP="00E275B2">
            <w:pPr>
              <w:pStyle w:val="Normal6a"/>
            </w:pPr>
            <w:r>
              <w:lastRenderedPageBreak/>
              <w:t>(23)</w:t>
            </w:r>
            <w:r>
              <w:tab/>
              <w:t>Gli Stati membri dovrebbero poter decidere se includere il genere di una persona in un documento contemplato dal presente regolamento. Se un</w:t>
            </w:r>
            <w:r>
              <w:t xml:space="preserve">o Stato membro include il genere di una persona in tale documento, dovrebbero essere utilizzate le specifiche "F", "M" o "X" di </w:t>
            </w:r>
            <w:r>
              <w:lastRenderedPageBreak/>
              <w:t>cui al documento ICAO 9303 o le corrispondenti singole iniziali utilizzate nella lingua o nelle lingue di tale Stato membro, a s</w:t>
            </w:r>
            <w:r>
              <w:t>econda dei casi</w:t>
            </w:r>
            <w:r>
              <w:rPr>
                <w:b/>
                <w:i/>
              </w:rPr>
              <w:t>, conformemente alla giurisprudenza della Corte di giustizia</w:t>
            </w:r>
            <w:r>
              <w:rPr>
                <w:b/>
                <w:i/>
                <w:vertAlign w:val="superscript"/>
              </w:rPr>
              <w:t>1 bis</w:t>
            </w:r>
            <w:r>
              <w:t>.</w:t>
            </w:r>
          </w:p>
        </w:tc>
      </w:tr>
      <w:tr w:rsidR="00BE4982" w:rsidTr="00E275B2">
        <w:trPr>
          <w:jc w:val="center"/>
        </w:trPr>
        <w:tc>
          <w:tcPr>
            <w:tcW w:w="4876" w:type="dxa"/>
            <w:tcBorders>
              <w:top w:val="nil"/>
              <w:left w:val="nil"/>
              <w:bottom w:val="nil"/>
              <w:right w:val="nil"/>
            </w:tcBorders>
          </w:tcPr>
          <w:p w:rsidR="00E33FD9" w:rsidRPr="00E9477D" w:rsidRDefault="00E33FD9" w:rsidP="00E275B2"/>
        </w:tc>
        <w:tc>
          <w:tcPr>
            <w:tcW w:w="4876" w:type="dxa"/>
            <w:tcBorders>
              <w:top w:val="nil"/>
              <w:left w:val="nil"/>
              <w:bottom w:val="nil"/>
              <w:right w:val="nil"/>
            </w:tcBorders>
          </w:tcPr>
          <w:p w:rsidR="00E33FD9" w:rsidRPr="00E9477D" w:rsidRDefault="00ED2F3D" w:rsidP="00E275B2">
            <w:pPr>
              <w:pStyle w:val="Normal6a"/>
            </w:pPr>
            <w:r>
              <w:rPr>
                <w:b/>
                <w:i/>
              </w:rPr>
              <w:t>_________________</w:t>
            </w:r>
          </w:p>
        </w:tc>
      </w:tr>
      <w:tr w:rsidR="00BE4982" w:rsidTr="00E275B2">
        <w:trPr>
          <w:jc w:val="center"/>
        </w:trPr>
        <w:tc>
          <w:tcPr>
            <w:tcW w:w="4876" w:type="dxa"/>
            <w:tcBorders>
              <w:top w:val="nil"/>
              <w:left w:val="nil"/>
              <w:bottom w:val="nil"/>
              <w:right w:val="nil"/>
            </w:tcBorders>
          </w:tcPr>
          <w:p w:rsidR="00E33FD9" w:rsidRPr="00E9477D" w:rsidRDefault="00E33FD9" w:rsidP="00E275B2"/>
        </w:tc>
        <w:tc>
          <w:tcPr>
            <w:tcW w:w="4876" w:type="dxa"/>
            <w:tcBorders>
              <w:top w:val="nil"/>
              <w:left w:val="nil"/>
              <w:bottom w:val="nil"/>
              <w:right w:val="nil"/>
            </w:tcBorders>
          </w:tcPr>
          <w:p w:rsidR="00E33FD9" w:rsidRPr="00E9477D" w:rsidRDefault="00ED2F3D" w:rsidP="00E275B2">
            <w:pPr>
              <w:pStyle w:val="Normal6a"/>
            </w:pPr>
            <w:r>
              <w:rPr>
                <w:b/>
                <w:i/>
                <w:vertAlign w:val="superscript"/>
              </w:rPr>
              <w:t>1 bis</w:t>
            </w:r>
            <w:r>
              <w:rPr>
                <w:b/>
                <w:i/>
              </w:rPr>
              <w:t xml:space="preserve"> Sentenza della Corte di giustizia del 4 ottobre 2024, Mirin, C-4/23, ECLI:EU:C:2024:845.</w:t>
            </w:r>
          </w:p>
        </w:tc>
      </w:tr>
    </w:tbl>
    <w:p w:rsidR="00E33FD9" w:rsidRPr="00E609F4" w:rsidRDefault="00ED2F3D" w:rsidP="00E33FD9">
      <w:pPr>
        <w:pStyle w:val="AmOrLang"/>
        <w:rPr>
          <w:lang w:val="es-ES"/>
        </w:rPr>
      </w:pPr>
      <w:r w:rsidRPr="00E609F4">
        <w:rPr>
          <w:lang w:val="es-ES"/>
        </w:rPr>
        <w:t xml:space="preserve">Or. </w:t>
      </w:r>
      <w:r w:rsidRPr="00E609F4">
        <w:rPr>
          <w:rStyle w:val="HideTWBExt"/>
          <w:lang w:val="es-ES"/>
        </w:rPr>
        <w:t>&lt;Original&gt;</w:t>
      </w:r>
      <w:r w:rsidRPr="00E609F4">
        <w:rPr>
          <w:rStyle w:val="HideTWBInt"/>
          <w:lang w:val="es-ES"/>
        </w:rPr>
        <w:t>{EN}</w:t>
      </w:r>
      <w:r w:rsidRPr="00E609F4">
        <w:rPr>
          <w:lang w:val="es-ES"/>
        </w:rPr>
        <w:t>en</w:t>
      </w:r>
      <w:r w:rsidRPr="00E609F4">
        <w:rPr>
          <w:rStyle w:val="HideTWBExt"/>
          <w:lang w:val="es-ES"/>
        </w:rPr>
        <w:t>&lt;/Original&gt;</w:t>
      </w:r>
    </w:p>
    <w:p w:rsidR="00E33FD9" w:rsidRPr="00E609F4" w:rsidRDefault="00ED2F3D" w:rsidP="00E33FD9">
      <w:pPr>
        <w:rPr>
          <w:lang w:val="es-ES"/>
        </w:rPr>
      </w:pPr>
      <w:r w:rsidRPr="00E609F4">
        <w:rPr>
          <w:rStyle w:val="HideTWBExt"/>
          <w:lang w:val="es-ES"/>
        </w:rPr>
        <w:t>&lt;/Amend&gt;</w:t>
      </w:r>
    </w:p>
    <w:p w:rsidR="00E33FD9" w:rsidRPr="00E609F4" w:rsidRDefault="00ED2F3D" w:rsidP="00E33FD9">
      <w:pPr>
        <w:pStyle w:val="AmNumberTabs"/>
        <w:rPr>
          <w:lang w:val="es-ES"/>
        </w:rPr>
      </w:pPr>
      <w:r w:rsidRPr="00E609F4">
        <w:rPr>
          <w:rStyle w:val="HideTWBExt"/>
          <w:lang w:val="es-ES"/>
        </w:rPr>
        <w:t>&lt;Amend&gt;</w:t>
      </w:r>
      <w:r w:rsidRPr="00E609F4">
        <w:rPr>
          <w:lang w:val="es-ES"/>
        </w:rPr>
        <w:t>Emendamento</w:t>
      </w:r>
      <w:r w:rsidRPr="00E609F4">
        <w:rPr>
          <w:lang w:val="es-ES"/>
        </w:rPr>
        <w:tab/>
      </w:r>
      <w:r w:rsidRPr="00E609F4">
        <w:rPr>
          <w:lang w:val="es-ES"/>
        </w:rPr>
        <w:tab/>
      </w:r>
      <w:r w:rsidRPr="00E609F4">
        <w:rPr>
          <w:rStyle w:val="HideTWBExt"/>
          <w:lang w:val="es-ES"/>
        </w:rPr>
        <w:t>&lt;NumAm&gt;</w:t>
      </w:r>
      <w:r w:rsidRPr="00E609F4">
        <w:rPr>
          <w:lang w:val="es-ES"/>
        </w:rPr>
        <w:t>15</w:t>
      </w:r>
      <w:r w:rsidRPr="00E609F4">
        <w:rPr>
          <w:rStyle w:val="HideTWBExt"/>
          <w:lang w:val="es-ES"/>
        </w:rPr>
        <w:t>&lt;/NumAm&gt;</w:t>
      </w:r>
    </w:p>
    <w:p w:rsidR="00E33FD9" w:rsidRPr="00E609F4" w:rsidRDefault="00ED2F3D" w:rsidP="00E33FD9">
      <w:pPr>
        <w:pStyle w:val="NormalBold"/>
        <w:rPr>
          <w:lang w:val="es-ES"/>
        </w:rPr>
      </w:pPr>
      <w:r w:rsidRPr="00E609F4">
        <w:rPr>
          <w:rStyle w:val="HideTWBExt"/>
          <w:b w:val="0"/>
          <w:lang w:val="es-ES"/>
        </w:rPr>
        <w:t>&lt;RepeatBlock-By&gt;&lt;Members&gt;</w:t>
      </w:r>
      <w:r w:rsidRPr="00E609F4">
        <w:rPr>
          <w:lang w:val="es-ES"/>
        </w:rPr>
        <w:t>Tomáš Zdechovský</w:t>
      </w:r>
      <w:r w:rsidRPr="00E609F4">
        <w:rPr>
          <w:rStyle w:val="HideTWBExt"/>
          <w:b w:val="0"/>
          <w:lang w:val="es-ES"/>
        </w:rPr>
        <w:t>&lt;/Members&gt;</w:t>
      </w:r>
    </w:p>
    <w:p w:rsidR="00E33FD9" w:rsidRPr="00E609F4" w:rsidRDefault="00ED2F3D" w:rsidP="00E33FD9">
      <w:pPr>
        <w:pStyle w:val="NormalBold"/>
        <w:rPr>
          <w:lang w:val="es-ES"/>
        </w:rPr>
      </w:pPr>
      <w:r w:rsidRPr="00E609F4">
        <w:rPr>
          <w:rStyle w:val="HideTWBExt"/>
          <w:b w:val="0"/>
          <w:lang w:val="es-ES"/>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Considerando 25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33FD9" w:rsidP="00E275B2">
            <w:pPr>
              <w:pStyle w:val="Normal6a"/>
            </w:pPr>
          </w:p>
        </w:tc>
        <w:tc>
          <w:tcPr>
            <w:tcW w:w="4876" w:type="dxa"/>
            <w:tcBorders>
              <w:top w:val="nil"/>
              <w:left w:val="nil"/>
              <w:bottom w:val="nil"/>
              <w:right w:val="nil"/>
            </w:tcBorders>
          </w:tcPr>
          <w:p w:rsidR="00E33FD9" w:rsidRPr="00E9477D" w:rsidRDefault="00ED2F3D" w:rsidP="00E275B2">
            <w:pPr>
              <w:pStyle w:val="Normal6a"/>
            </w:pPr>
            <w:r>
              <w:rPr>
                <w:b/>
                <w:i/>
              </w:rPr>
              <w:t>(25 bis)</w:t>
            </w:r>
            <w:r>
              <w:tab/>
            </w:r>
            <w:r>
              <w:rPr>
                <w:b/>
                <w:i/>
              </w:rPr>
              <w:t xml:space="preserve">Il personale </w:t>
            </w:r>
            <w:r>
              <w:rPr>
                <w:b/>
                <w:i/>
              </w:rPr>
              <w:t>qualificato dovrebbe ricevere una formazione obbligatoria sulle migliori pratiche per l'acquisizione degli identificatori biometrici dei minori e delle persone vulnerabili, mostrando sensibilità alle esigenze specifiche legate al genere e all'età nel rispe</w:t>
            </w:r>
            <w:r>
              <w:rPr>
                <w:b/>
                <w:i/>
              </w:rPr>
              <w:t>tto della dignità di tutti gli individui.</w:t>
            </w:r>
          </w:p>
        </w:tc>
      </w:tr>
    </w:tbl>
    <w:p w:rsidR="00E33FD9" w:rsidRPr="00E9477D" w:rsidRDefault="00ED2F3D" w:rsidP="00E33FD9">
      <w:pPr>
        <w:pStyle w:val="AmOrLang"/>
      </w:pPr>
      <w:r w:rsidRPr="00E9477D">
        <w:t xml:space="preserve">Or. </w:t>
      </w:r>
      <w:r w:rsidRPr="00E9477D">
        <w:rPr>
          <w:rStyle w:val="HideTWBExt"/>
        </w:rPr>
        <w:t>&lt;Original&gt;</w:t>
      </w:r>
      <w:r w:rsidRPr="00E9477D">
        <w:rPr>
          <w:rStyle w:val="HideTWBInt"/>
        </w:rPr>
        <w:t>{EN}</w:t>
      </w:r>
      <w:r w:rsidRPr="00E9477D">
        <w:t>en</w:t>
      </w:r>
      <w:r w:rsidRPr="00E9477D">
        <w:rPr>
          <w:rStyle w:val="HideTWBExt"/>
        </w:rPr>
        <w:t>&lt;/Original&gt;</w:t>
      </w:r>
    </w:p>
    <w:p w:rsidR="00E33FD9" w:rsidRPr="00E9477D" w:rsidRDefault="00ED2F3D" w:rsidP="00E33FD9">
      <w:r>
        <w:rPr>
          <w:rStyle w:val="HideTWBExt"/>
        </w:rPr>
        <w:t>&lt;/Amend&gt;</w:t>
      </w:r>
    </w:p>
    <w:p w:rsidR="00E33FD9" w:rsidRPr="00E9477D" w:rsidRDefault="00ED2F3D" w:rsidP="00E33FD9">
      <w:pPr>
        <w:pStyle w:val="AmNumberTabs"/>
      </w:pPr>
      <w:r>
        <w:rPr>
          <w:rStyle w:val="HideTWBExt"/>
        </w:rPr>
        <w:t>&lt;Amend&gt;</w:t>
      </w:r>
      <w:r>
        <w:t>Emendamento</w:t>
      </w:r>
      <w:r>
        <w:tab/>
      </w:r>
      <w:r>
        <w:tab/>
      </w:r>
      <w:r>
        <w:rPr>
          <w:rStyle w:val="HideTWBExt"/>
        </w:rPr>
        <w:t>&lt;NumAm&gt;</w:t>
      </w:r>
      <w:r>
        <w:t>16</w:t>
      </w:r>
      <w:r>
        <w:rPr>
          <w:rStyle w:val="HideTWBExt"/>
        </w:rPr>
        <w:t>&lt;/NumAm&gt;</w:t>
      </w:r>
    </w:p>
    <w:p w:rsidR="00E33FD9" w:rsidRPr="00E9477D" w:rsidRDefault="00ED2F3D" w:rsidP="00E33FD9">
      <w:pPr>
        <w:pStyle w:val="NormalBold"/>
      </w:pPr>
      <w:r>
        <w:rPr>
          <w:rStyle w:val="HideTWBExt"/>
          <w:b w:val="0"/>
        </w:rPr>
        <w:t>&lt;RepeatBlock-By&gt;&lt;Members&gt;</w:t>
      </w:r>
      <w:r>
        <w:t xml:space="preserve">Roberto Vannacci, António Tânger Corrêa, Susanna Ceccardi, Anna Maria Cisint, Nikola Bartůšek, Fabrice </w:t>
      </w:r>
      <w:r>
        <w:t>Leggeri, Tom Vandendriessche, Matthieu Valet</w:t>
      </w:r>
      <w:r>
        <w:rPr>
          <w:rStyle w:val="HideTWBExt"/>
          <w:b w:val="0"/>
        </w:rPr>
        <w:t>&lt;/Members&gt;</w:t>
      </w:r>
    </w:p>
    <w:p w:rsidR="00E33FD9" w:rsidRPr="00E9477D" w:rsidRDefault="00ED2F3D" w:rsidP="00E33FD9">
      <w:pPr>
        <w:pStyle w:val="NormalBold"/>
      </w:pPr>
      <w:r>
        <w:rPr>
          <w:rStyle w:val="HideTWBExt"/>
          <w:b w:val="0"/>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Considerando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(26)</w:t>
            </w:r>
            <w:r>
              <w:tab/>
              <w:t xml:space="preserve">In caso di difficoltà nell'acquisizione degli </w:t>
            </w:r>
            <w:r>
              <w:t xml:space="preserve">identificatori </w:t>
            </w:r>
            <w:r>
              <w:lastRenderedPageBreak/>
              <w:t xml:space="preserve">biometrici, gli Stati membri dovrebbero assicurare che siano predisposte procedure appropriate per rispettare la dignità della persona interessata. Pertanto, è opportuno tenere conto di considerazioni specifiche relative </w:t>
            </w:r>
            <w:r>
              <w:rPr>
                <w:b/>
                <w:i/>
              </w:rPr>
              <w:t xml:space="preserve">al genere e </w:t>
            </w:r>
            <w:r>
              <w:t>alle esi</w:t>
            </w:r>
            <w:r>
              <w:t>genze specifiche dei minori e delle persone vulnerabili.</w:t>
            </w:r>
          </w:p>
        </w:tc>
        <w:tc>
          <w:tcPr>
            <w:tcW w:w="4876" w:type="dxa"/>
            <w:tcBorders>
              <w:top w:val="nil"/>
              <w:left w:val="nil"/>
              <w:bottom w:val="nil"/>
              <w:right w:val="nil"/>
            </w:tcBorders>
          </w:tcPr>
          <w:p w:rsidR="00E33FD9" w:rsidRPr="00E9477D" w:rsidRDefault="00ED2F3D" w:rsidP="00E275B2">
            <w:pPr>
              <w:pStyle w:val="Normal6a"/>
            </w:pPr>
            <w:r>
              <w:lastRenderedPageBreak/>
              <w:t>(26)</w:t>
            </w:r>
            <w:r>
              <w:tab/>
              <w:t xml:space="preserve">In caso di difficoltà nell'acquisizione degli identificatori </w:t>
            </w:r>
            <w:r>
              <w:lastRenderedPageBreak/>
              <w:t>biometrici, gli Stati membri dovrebbero assicurare che siano predisposte procedure appropriate per rispettare la dignità della person</w:t>
            </w:r>
            <w:r>
              <w:t>a interessata. Pertanto, è opportuno tenere conto di considerazioni specifiche relative alle esigenze specifiche dei minori e delle persone vulnerabili.</w:t>
            </w:r>
          </w:p>
        </w:tc>
      </w:tr>
    </w:tbl>
    <w:p w:rsidR="00E33FD9" w:rsidRPr="00E9477D" w:rsidRDefault="00ED2F3D" w:rsidP="00E33FD9">
      <w:pPr>
        <w:pStyle w:val="AmOrLang"/>
      </w:pPr>
      <w:r w:rsidRPr="00E9477D">
        <w:lastRenderedPageBreak/>
        <w:t xml:space="preserve">Or. </w:t>
      </w:r>
      <w:r w:rsidRPr="00E9477D">
        <w:rPr>
          <w:rStyle w:val="HideTWBExt"/>
        </w:rPr>
        <w:t>&lt;Original&gt;</w:t>
      </w:r>
      <w:r w:rsidRPr="00E9477D">
        <w:rPr>
          <w:rStyle w:val="HideTWBInt"/>
        </w:rPr>
        <w:t>{EN}</w:t>
      </w:r>
      <w:r w:rsidRPr="00E9477D">
        <w:t>en</w:t>
      </w:r>
      <w:r w:rsidRPr="00E9477D">
        <w:rPr>
          <w:rStyle w:val="HideTWBExt"/>
        </w:rPr>
        <w:t>&lt;/Original&gt;</w:t>
      </w:r>
    </w:p>
    <w:p w:rsidR="00E33FD9" w:rsidRPr="00E9477D" w:rsidRDefault="00ED2F3D" w:rsidP="00E33FD9">
      <w:r>
        <w:rPr>
          <w:rStyle w:val="HideTWBExt"/>
        </w:rPr>
        <w:t>&lt;/Amend&gt;</w:t>
      </w:r>
    </w:p>
    <w:p w:rsidR="00E33FD9" w:rsidRPr="00E9477D" w:rsidRDefault="00ED2F3D" w:rsidP="00E33FD9">
      <w:pPr>
        <w:pStyle w:val="AmNumberTabs"/>
      </w:pPr>
      <w:r>
        <w:rPr>
          <w:rStyle w:val="HideTWBExt"/>
        </w:rPr>
        <w:t>&lt;Amend&gt;</w:t>
      </w:r>
      <w:r>
        <w:t>Emendamento</w:t>
      </w:r>
      <w:r>
        <w:tab/>
      </w:r>
      <w:r>
        <w:tab/>
      </w:r>
      <w:r>
        <w:rPr>
          <w:rStyle w:val="HideTWBExt"/>
        </w:rPr>
        <w:t>&lt;NumAm&gt;</w:t>
      </w:r>
      <w:r>
        <w:t>17</w:t>
      </w:r>
      <w:r>
        <w:rPr>
          <w:rStyle w:val="HideTWBExt"/>
        </w:rPr>
        <w:t>&lt;/NumAm&gt;</w:t>
      </w:r>
    </w:p>
    <w:p w:rsidR="00E33FD9" w:rsidRPr="00E9477D" w:rsidRDefault="00ED2F3D" w:rsidP="00E33FD9">
      <w:pPr>
        <w:pStyle w:val="NormalBold"/>
      </w:pPr>
      <w:r>
        <w:rPr>
          <w:rStyle w:val="HideTWBExt"/>
          <w:b w:val="0"/>
        </w:rPr>
        <w:t>&lt;RepeatBlock-By&gt;&lt;Members&gt;</w:t>
      </w:r>
      <w:r>
        <w:t>Paolo Inselvini, Alessandro Ciriani</w:t>
      </w:r>
      <w:r>
        <w:rPr>
          <w:rStyle w:val="HideTWBExt"/>
          <w:b w:val="0"/>
        </w:rPr>
        <w:t>&lt;/Members&gt;</w:t>
      </w:r>
    </w:p>
    <w:p w:rsidR="00E33FD9" w:rsidRPr="00E9477D" w:rsidRDefault="00ED2F3D" w:rsidP="00E33FD9">
      <w:pPr>
        <w:pStyle w:val="NormalBold"/>
      </w:pPr>
      <w:r>
        <w:rPr>
          <w:rStyle w:val="HideTWBExt"/>
          <w:b w:val="0"/>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Considerando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(26)</w:t>
            </w:r>
            <w:r>
              <w:tab/>
              <w:t xml:space="preserve">In caso di difficoltà nell'acquisizione </w:t>
            </w:r>
            <w:r>
              <w:t xml:space="preserve">degli identificatori biometrici, gli Stati membri dovrebbero assicurare che siano predisposte procedure appropriate per rispettare la dignità della persona interessata. Pertanto, è opportuno tenere conto di considerazioni specifiche relative al </w:t>
            </w:r>
            <w:r>
              <w:rPr>
                <w:b/>
                <w:i/>
              </w:rPr>
              <w:t>genere</w:t>
            </w:r>
            <w:r>
              <w:t xml:space="preserve"> e al</w:t>
            </w:r>
            <w:r>
              <w:t>le esigenze specifiche dei minori e delle persone vulnerabili.</w:t>
            </w:r>
          </w:p>
        </w:tc>
        <w:tc>
          <w:tcPr>
            <w:tcW w:w="4876" w:type="dxa"/>
            <w:tcBorders>
              <w:top w:val="nil"/>
              <w:left w:val="nil"/>
              <w:bottom w:val="nil"/>
              <w:right w:val="nil"/>
            </w:tcBorders>
          </w:tcPr>
          <w:p w:rsidR="00E33FD9" w:rsidRPr="00E9477D" w:rsidRDefault="00ED2F3D" w:rsidP="00E275B2">
            <w:pPr>
              <w:pStyle w:val="Normal6a"/>
            </w:pPr>
            <w:r>
              <w:t>(26)</w:t>
            </w:r>
            <w:r>
              <w:tab/>
              <w:t xml:space="preserve">In caso di difficoltà nell'acquisizione degli identificatori biometrici, gli Stati membri dovrebbero assicurare che siano predisposte procedure appropriate per rispettare la dignità della </w:t>
            </w:r>
            <w:r>
              <w:t xml:space="preserve">persona interessata. Pertanto, è opportuno tenere conto di considerazioni specifiche relative al </w:t>
            </w:r>
            <w:r>
              <w:rPr>
                <w:b/>
                <w:i/>
              </w:rPr>
              <w:t>sesso</w:t>
            </w:r>
            <w:r>
              <w:t xml:space="preserve"> e alle esigenze specifiche dei minori e delle persone vulnerabili.</w:t>
            </w:r>
          </w:p>
        </w:tc>
      </w:tr>
    </w:tbl>
    <w:p w:rsidR="00E33FD9" w:rsidRPr="00E9477D" w:rsidRDefault="00ED2F3D" w:rsidP="00E33FD9">
      <w:pPr>
        <w:pStyle w:val="AmOrLang"/>
      </w:pPr>
      <w:r w:rsidRPr="00E9477D">
        <w:t xml:space="preserve">Or. </w:t>
      </w:r>
      <w:r w:rsidRPr="00E9477D">
        <w:rPr>
          <w:rStyle w:val="HideTWBExt"/>
        </w:rPr>
        <w:t>&lt;Original&gt;</w:t>
      </w:r>
      <w:r w:rsidRPr="00E9477D">
        <w:rPr>
          <w:rStyle w:val="HideTWBInt"/>
        </w:rPr>
        <w:t>{IT}</w:t>
      </w:r>
      <w:r w:rsidRPr="00E9477D">
        <w:t>it</w:t>
      </w:r>
      <w:r w:rsidRPr="00E9477D">
        <w:rPr>
          <w:rStyle w:val="HideTWBExt"/>
        </w:rPr>
        <w:t>&lt;/Original&gt;</w:t>
      </w:r>
    </w:p>
    <w:p w:rsidR="00E33FD9" w:rsidRPr="00E9477D" w:rsidRDefault="00ED2F3D" w:rsidP="00E33FD9">
      <w:r>
        <w:rPr>
          <w:rStyle w:val="HideTWBExt"/>
        </w:rPr>
        <w:t>&lt;/Amend&gt;</w:t>
      </w:r>
    </w:p>
    <w:p w:rsidR="00E33FD9" w:rsidRPr="00E9477D" w:rsidRDefault="00ED2F3D" w:rsidP="00E33FD9">
      <w:pPr>
        <w:pStyle w:val="AmNumberTabs"/>
      </w:pPr>
      <w:r>
        <w:rPr>
          <w:rStyle w:val="HideTWBExt"/>
        </w:rPr>
        <w:t>&lt;Amend&gt;</w:t>
      </w:r>
      <w:r>
        <w:t>Emendamento</w:t>
      </w:r>
      <w:r>
        <w:tab/>
      </w:r>
      <w:r>
        <w:tab/>
      </w:r>
      <w:r>
        <w:rPr>
          <w:rStyle w:val="HideTWBExt"/>
        </w:rPr>
        <w:t>&lt;NumAm&gt;</w:t>
      </w:r>
      <w:r>
        <w:t>18</w:t>
      </w:r>
      <w:r>
        <w:rPr>
          <w:rStyle w:val="HideTWBExt"/>
        </w:rPr>
        <w:t>&lt;/NumAm&gt;</w:t>
      </w:r>
    </w:p>
    <w:p w:rsidR="00E33FD9" w:rsidRPr="00E9477D" w:rsidRDefault="00ED2F3D" w:rsidP="00E33FD9">
      <w:pPr>
        <w:pStyle w:val="NormalBold"/>
      </w:pPr>
      <w:r>
        <w:rPr>
          <w:rStyle w:val="HideTWBExt"/>
          <w:b w:val="0"/>
        </w:rPr>
        <w:t>&lt;RepeatBlock-By&gt;&lt;Members&gt;</w:t>
      </w:r>
      <w:r>
        <w:t>Roberto Vannacci, António Tânger Corrêa, Susanna Ceccardi, Anna Maria Cisint, Fabrice Leggeri, Tom Vandendriessche, Matthieu Valet</w:t>
      </w:r>
      <w:r>
        <w:rPr>
          <w:rStyle w:val="HideTWBExt"/>
          <w:b w:val="0"/>
        </w:rPr>
        <w:t>&lt;/Members&gt;</w:t>
      </w:r>
    </w:p>
    <w:p w:rsidR="00E33FD9" w:rsidRPr="00E9477D" w:rsidRDefault="00ED2F3D" w:rsidP="00E33FD9">
      <w:pPr>
        <w:pStyle w:val="NormalBold"/>
      </w:pPr>
      <w:r>
        <w:rPr>
          <w:rStyle w:val="HideTWBExt"/>
          <w:b w:val="0"/>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Considerando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(28)</w:t>
            </w:r>
            <w:r>
              <w:tab/>
              <w:t xml:space="preserve">Un segno distintivo che consiste nel codice a due lettere dello Stato membro che rilascia il documento </w:t>
            </w:r>
            <w:r>
              <w:rPr>
                <w:b/>
                <w:i/>
              </w:rPr>
              <w:t xml:space="preserve">stampato in negativo in un rettangolo blu e circondato da dodici stelle gialle, </w:t>
            </w:r>
            <w:r>
              <w:t xml:space="preserve">agevola </w:t>
            </w:r>
            <w:r>
              <w:t xml:space="preserve">l'ispezione visiva del documento, in particolare </w:t>
            </w:r>
            <w:r>
              <w:lastRenderedPageBreak/>
              <w:t>quando il titolare esercita il diritto di libera circolazione.</w:t>
            </w:r>
          </w:p>
        </w:tc>
        <w:tc>
          <w:tcPr>
            <w:tcW w:w="4876" w:type="dxa"/>
            <w:tcBorders>
              <w:top w:val="nil"/>
              <w:left w:val="nil"/>
              <w:bottom w:val="nil"/>
              <w:right w:val="nil"/>
            </w:tcBorders>
          </w:tcPr>
          <w:p w:rsidR="00E33FD9" w:rsidRPr="00E9477D" w:rsidRDefault="00ED2F3D" w:rsidP="00E275B2">
            <w:pPr>
              <w:pStyle w:val="Normal6a"/>
            </w:pPr>
            <w:r>
              <w:lastRenderedPageBreak/>
              <w:t>(28)</w:t>
            </w:r>
            <w:r>
              <w:tab/>
              <w:t>Un segno distintivo che consiste nel codice a due lettere dello Stato membro che rilascia il documento agevola l'ispezione visiva del docum</w:t>
            </w:r>
            <w:r>
              <w:t>ento, in particolare quando il titolare esercita il diritto di libera circolazione.</w:t>
            </w:r>
          </w:p>
        </w:tc>
      </w:tr>
    </w:tbl>
    <w:p w:rsidR="00E33FD9" w:rsidRPr="00E609F4" w:rsidRDefault="00ED2F3D" w:rsidP="00E33FD9">
      <w:pPr>
        <w:pStyle w:val="AmOrLang"/>
        <w:rPr>
          <w:lang w:val="es-ES"/>
        </w:rPr>
      </w:pPr>
      <w:r w:rsidRPr="00E609F4">
        <w:rPr>
          <w:lang w:val="es-ES"/>
        </w:rPr>
        <w:t xml:space="preserve">Or. </w:t>
      </w:r>
      <w:r w:rsidRPr="00E609F4">
        <w:rPr>
          <w:rStyle w:val="HideTWBExt"/>
          <w:lang w:val="es-ES"/>
        </w:rPr>
        <w:t>&lt;Original&gt;</w:t>
      </w:r>
      <w:r w:rsidRPr="00E609F4">
        <w:rPr>
          <w:rStyle w:val="HideTWBInt"/>
          <w:lang w:val="es-ES"/>
        </w:rPr>
        <w:t>{EN}</w:t>
      </w:r>
      <w:r w:rsidRPr="00E609F4">
        <w:rPr>
          <w:lang w:val="es-ES"/>
        </w:rPr>
        <w:t>en</w:t>
      </w:r>
      <w:r w:rsidRPr="00E609F4">
        <w:rPr>
          <w:rStyle w:val="HideTWBExt"/>
          <w:lang w:val="es-ES"/>
        </w:rPr>
        <w:t>&lt;/Original&gt;</w:t>
      </w:r>
    </w:p>
    <w:p w:rsidR="00E33FD9" w:rsidRPr="00E609F4" w:rsidRDefault="00ED2F3D" w:rsidP="00E33FD9">
      <w:pPr>
        <w:rPr>
          <w:lang w:val="es-ES"/>
        </w:rPr>
      </w:pPr>
      <w:r w:rsidRPr="00E609F4">
        <w:rPr>
          <w:rStyle w:val="HideTWBExt"/>
          <w:lang w:val="es-ES"/>
        </w:rPr>
        <w:t>&lt;/Amend&gt;</w:t>
      </w:r>
    </w:p>
    <w:p w:rsidR="00E33FD9" w:rsidRPr="00E609F4" w:rsidRDefault="00ED2F3D" w:rsidP="00E33FD9">
      <w:pPr>
        <w:pStyle w:val="AmNumberTabs"/>
        <w:rPr>
          <w:lang w:val="es-ES"/>
        </w:rPr>
      </w:pPr>
      <w:r w:rsidRPr="00E609F4">
        <w:rPr>
          <w:rStyle w:val="HideTWBExt"/>
          <w:lang w:val="es-ES"/>
        </w:rPr>
        <w:t>&lt;Amend&gt;</w:t>
      </w:r>
      <w:r w:rsidRPr="00E609F4">
        <w:rPr>
          <w:lang w:val="es-ES"/>
        </w:rPr>
        <w:t>Emendamento</w:t>
      </w:r>
      <w:r w:rsidRPr="00E609F4">
        <w:rPr>
          <w:lang w:val="es-ES"/>
        </w:rPr>
        <w:tab/>
      </w:r>
      <w:r w:rsidRPr="00E609F4">
        <w:rPr>
          <w:lang w:val="es-ES"/>
        </w:rPr>
        <w:tab/>
      </w:r>
      <w:r w:rsidRPr="00E609F4">
        <w:rPr>
          <w:rStyle w:val="HideTWBExt"/>
          <w:lang w:val="es-ES"/>
        </w:rPr>
        <w:t>&lt;NumAm&gt;</w:t>
      </w:r>
      <w:r w:rsidRPr="00E609F4">
        <w:rPr>
          <w:lang w:val="es-ES"/>
        </w:rPr>
        <w:t>19</w:t>
      </w:r>
      <w:r w:rsidRPr="00E609F4">
        <w:rPr>
          <w:rStyle w:val="HideTWBExt"/>
          <w:lang w:val="es-ES"/>
        </w:rPr>
        <w:t>&lt;/NumAm&gt;</w:t>
      </w:r>
    </w:p>
    <w:p w:rsidR="00E33FD9" w:rsidRPr="00E609F4" w:rsidRDefault="00ED2F3D" w:rsidP="00E33FD9">
      <w:pPr>
        <w:pStyle w:val="NormalBold"/>
        <w:rPr>
          <w:lang w:val="es-ES"/>
        </w:rPr>
      </w:pPr>
      <w:r w:rsidRPr="00E609F4">
        <w:rPr>
          <w:rStyle w:val="HideTWBExt"/>
          <w:b w:val="0"/>
          <w:lang w:val="es-ES"/>
        </w:rPr>
        <w:t>&lt;RepeatBlock-By&gt;&lt;Members&gt;</w:t>
      </w:r>
      <w:r w:rsidRPr="00E609F4">
        <w:rPr>
          <w:lang w:val="es-ES"/>
        </w:rPr>
        <w:t>Tomáš Zdechovský</w:t>
      </w:r>
      <w:r w:rsidRPr="00E609F4">
        <w:rPr>
          <w:rStyle w:val="HideTWBExt"/>
          <w:b w:val="0"/>
          <w:lang w:val="es-ES"/>
        </w:rPr>
        <w:t>&lt;/Members&gt;</w:t>
      </w:r>
    </w:p>
    <w:p w:rsidR="00E33FD9" w:rsidRPr="00E609F4" w:rsidRDefault="00ED2F3D" w:rsidP="00E33FD9">
      <w:pPr>
        <w:pStyle w:val="NormalBold"/>
        <w:rPr>
          <w:lang w:val="es-ES"/>
        </w:rPr>
      </w:pPr>
      <w:r w:rsidRPr="00E609F4">
        <w:rPr>
          <w:rStyle w:val="HideTWBExt"/>
          <w:b w:val="0"/>
          <w:lang w:val="es-ES"/>
        </w:rPr>
        <w:t>&lt;/RepeatBlock-By&gt;</w:t>
      </w:r>
    </w:p>
    <w:p w:rsidR="00E33FD9" w:rsidRPr="00E9477D" w:rsidRDefault="00ED2F3D" w:rsidP="00E33FD9">
      <w:pPr>
        <w:pStyle w:val="NormalBold"/>
      </w:pPr>
      <w:r>
        <w:rPr>
          <w:rStyle w:val="HideTWBExt"/>
        </w:rPr>
        <w:t>&lt;DocAmend&gt;</w:t>
      </w:r>
      <w:r>
        <w:t xml:space="preserve">Proposta di </w:t>
      </w:r>
      <w:r>
        <w:t>regolamento</w:t>
      </w:r>
      <w:r>
        <w:rPr>
          <w:rStyle w:val="HideTWBExt"/>
        </w:rPr>
        <w:t>&lt;/DocAmend&gt;</w:t>
      </w:r>
    </w:p>
    <w:p w:rsidR="00E33FD9" w:rsidRPr="00E9477D" w:rsidRDefault="00ED2F3D" w:rsidP="00E33FD9">
      <w:pPr>
        <w:pStyle w:val="NormalBold"/>
      </w:pPr>
      <w:r>
        <w:rPr>
          <w:rStyle w:val="HideTWBExt"/>
        </w:rPr>
        <w:t>&lt;Article&gt;</w:t>
      </w:r>
      <w:r>
        <w:t>Considerando 32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33FD9" w:rsidP="00E275B2">
            <w:pPr>
              <w:pStyle w:val="Normal6a"/>
            </w:pPr>
          </w:p>
        </w:tc>
        <w:tc>
          <w:tcPr>
            <w:tcW w:w="4876" w:type="dxa"/>
            <w:tcBorders>
              <w:top w:val="nil"/>
              <w:left w:val="nil"/>
              <w:bottom w:val="nil"/>
              <w:right w:val="nil"/>
            </w:tcBorders>
          </w:tcPr>
          <w:p w:rsidR="00E33FD9" w:rsidRPr="00E9477D" w:rsidRDefault="00ED2F3D" w:rsidP="00E275B2">
            <w:pPr>
              <w:pStyle w:val="Normal6a"/>
            </w:pPr>
            <w:r>
              <w:rPr>
                <w:b/>
                <w:i/>
              </w:rPr>
              <w:t>(32 bis)</w:t>
            </w:r>
            <w:r>
              <w:tab/>
            </w:r>
            <w:r>
              <w:rPr>
                <w:b/>
                <w:i/>
              </w:rPr>
              <w:t xml:space="preserve">A sostegno di tale obiettivo, la Commissione, in collaborazione con gli Stati membri, dovrebbe garantire l'armonizzazione dei sistemi di </w:t>
            </w:r>
            <w:r>
              <w:rPr>
                <w:b/>
                <w:i/>
              </w:rPr>
              <w:t>identificazione elettronica e l'integrazione dei servizi di amministrazione in linea transfrontalieri. Tali misure dovrebbero migliorare la fruibilità e l'accessibilità delle carte d'identità per tutti i cittadini dell'Unione, mantenendo al contempo una fu</w:t>
            </w:r>
            <w:r>
              <w:rPr>
                <w:b/>
                <w:i/>
              </w:rPr>
              <w:t>nzionalità senza interruzioni e la piena interoperabilità in tutti gli Stati membri.</w:t>
            </w:r>
          </w:p>
        </w:tc>
      </w:tr>
    </w:tbl>
    <w:p w:rsidR="00E33FD9" w:rsidRPr="00E609F4" w:rsidRDefault="00ED2F3D" w:rsidP="00E33FD9">
      <w:pPr>
        <w:pStyle w:val="AmOrLang"/>
        <w:rPr>
          <w:lang w:val="es-ES"/>
        </w:rPr>
      </w:pPr>
      <w:r w:rsidRPr="00E609F4">
        <w:rPr>
          <w:lang w:val="es-ES"/>
        </w:rPr>
        <w:t xml:space="preserve">Or. </w:t>
      </w:r>
      <w:r w:rsidRPr="00E609F4">
        <w:rPr>
          <w:rStyle w:val="HideTWBExt"/>
          <w:lang w:val="es-ES"/>
        </w:rPr>
        <w:t>&lt;Original&gt;</w:t>
      </w:r>
      <w:r w:rsidRPr="00E609F4">
        <w:rPr>
          <w:rStyle w:val="HideTWBInt"/>
          <w:lang w:val="es-ES"/>
        </w:rPr>
        <w:t>{EN}</w:t>
      </w:r>
      <w:r w:rsidRPr="00E609F4">
        <w:rPr>
          <w:lang w:val="es-ES"/>
        </w:rPr>
        <w:t>en</w:t>
      </w:r>
      <w:r w:rsidRPr="00E609F4">
        <w:rPr>
          <w:rStyle w:val="HideTWBExt"/>
          <w:lang w:val="es-ES"/>
        </w:rPr>
        <w:t>&lt;/Original&gt;</w:t>
      </w:r>
    </w:p>
    <w:p w:rsidR="00E33FD9" w:rsidRPr="00E609F4" w:rsidRDefault="00ED2F3D" w:rsidP="00E33FD9">
      <w:pPr>
        <w:rPr>
          <w:lang w:val="es-ES"/>
        </w:rPr>
      </w:pPr>
      <w:r w:rsidRPr="00E609F4">
        <w:rPr>
          <w:rStyle w:val="HideTWBExt"/>
          <w:lang w:val="es-ES"/>
        </w:rPr>
        <w:t>&lt;/Amend&gt;</w:t>
      </w:r>
    </w:p>
    <w:p w:rsidR="00E33FD9" w:rsidRPr="00E609F4" w:rsidRDefault="00ED2F3D" w:rsidP="00E33FD9">
      <w:pPr>
        <w:pStyle w:val="AmNumberTabs"/>
        <w:rPr>
          <w:lang w:val="es-ES"/>
        </w:rPr>
      </w:pPr>
      <w:r w:rsidRPr="00E609F4">
        <w:rPr>
          <w:rStyle w:val="HideTWBExt"/>
          <w:lang w:val="es-ES"/>
        </w:rPr>
        <w:t>&lt;Amend&gt;</w:t>
      </w:r>
      <w:r w:rsidRPr="00E609F4">
        <w:rPr>
          <w:lang w:val="es-ES"/>
        </w:rPr>
        <w:t>Emendamento</w:t>
      </w:r>
      <w:r w:rsidRPr="00E609F4">
        <w:rPr>
          <w:lang w:val="es-ES"/>
        </w:rPr>
        <w:tab/>
      </w:r>
      <w:r w:rsidRPr="00E609F4">
        <w:rPr>
          <w:lang w:val="es-ES"/>
        </w:rPr>
        <w:tab/>
      </w:r>
      <w:r w:rsidRPr="00E609F4">
        <w:rPr>
          <w:rStyle w:val="HideTWBExt"/>
          <w:lang w:val="es-ES"/>
        </w:rPr>
        <w:t>&lt;NumAm&gt;</w:t>
      </w:r>
      <w:r w:rsidRPr="00E609F4">
        <w:rPr>
          <w:lang w:val="es-ES"/>
        </w:rPr>
        <w:t>20</w:t>
      </w:r>
      <w:r w:rsidRPr="00E609F4">
        <w:rPr>
          <w:rStyle w:val="HideTWBExt"/>
          <w:lang w:val="es-ES"/>
        </w:rPr>
        <w:t>&lt;/NumAm&gt;</w:t>
      </w:r>
    </w:p>
    <w:p w:rsidR="00E33FD9" w:rsidRPr="00E609F4" w:rsidRDefault="00ED2F3D" w:rsidP="00E33FD9">
      <w:pPr>
        <w:pStyle w:val="NormalBold"/>
        <w:rPr>
          <w:lang w:val="es-ES"/>
        </w:rPr>
      </w:pPr>
      <w:r w:rsidRPr="00E609F4">
        <w:rPr>
          <w:rStyle w:val="HideTWBExt"/>
          <w:b w:val="0"/>
          <w:lang w:val="es-ES"/>
        </w:rPr>
        <w:t>&lt;RepeatBlock-By&gt;&lt;Members&gt;</w:t>
      </w:r>
      <w:r w:rsidRPr="00E609F4">
        <w:rPr>
          <w:lang w:val="es-ES"/>
        </w:rPr>
        <w:t>Malik Azmani</w:t>
      </w:r>
      <w:r w:rsidRPr="00E609F4">
        <w:rPr>
          <w:rStyle w:val="HideTWBExt"/>
          <w:b w:val="0"/>
          <w:lang w:val="es-ES"/>
        </w:rPr>
        <w:t>&lt;/Members&gt;</w:t>
      </w:r>
    </w:p>
    <w:p w:rsidR="00E33FD9" w:rsidRPr="00E609F4" w:rsidRDefault="00ED2F3D" w:rsidP="00E33FD9">
      <w:pPr>
        <w:pStyle w:val="NormalBold"/>
        <w:rPr>
          <w:lang w:val="es-ES"/>
        </w:rPr>
      </w:pPr>
      <w:r w:rsidRPr="00E609F4">
        <w:rPr>
          <w:rStyle w:val="HideTWBExt"/>
          <w:b w:val="0"/>
          <w:lang w:val="es-ES"/>
        </w:rPr>
        <w:t>&lt;/RepeatBlock-By&gt;</w:t>
      </w:r>
    </w:p>
    <w:p w:rsidR="00E33FD9" w:rsidRPr="00E9477D" w:rsidRDefault="00ED2F3D" w:rsidP="00E33FD9">
      <w:pPr>
        <w:pStyle w:val="NormalBold"/>
      </w:pPr>
      <w:r>
        <w:rPr>
          <w:rStyle w:val="HideTWBExt"/>
        </w:rPr>
        <w:t>&lt;DocAmend&gt;</w:t>
      </w:r>
      <w:r>
        <w:t xml:space="preserve">Proposta di </w:t>
      </w:r>
      <w:r>
        <w:t>regolamento</w:t>
      </w:r>
      <w:r>
        <w:rPr>
          <w:rStyle w:val="HideTWBExt"/>
        </w:rPr>
        <w:t>&lt;/DocAmend&gt;</w:t>
      </w:r>
    </w:p>
    <w:p w:rsidR="00E33FD9" w:rsidRPr="00E9477D" w:rsidRDefault="00ED2F3D" w:rsidP="00E33FD9">
      <w:pPr>
        <w:pStyle w:val="NormalBold"/>
      </w:pPr>
      <w:r>
        <w:rPr>
          <w:rStyle w:val="HideTWBExt"/>
        </w:rPr>
        <w:t>&lt;Article&gt;</w:t>
      </w:r>
      <w:r>
        <w:t>Considerando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(43)</w:t>
            </w:r>
            <w:r>
              <w:tab/>
              <w:t>In conformità dell'accordo interistituzionale "Legiferare meglio" del 13</w:t>
            </w:r>
            <w:r>
              <w:rPr>
                <w:b/>
                <w:i/>
              </w:rPr>
              <w:t> </w:t>
            </w:r>
            <w:r>
              <w:t>aprile 2016</w:t>
            </w:r>
            <w:r>
              <w:rPr>
                <w:vertAlign w:val="superscript"/>
              </w:rPr>
              <w:t>9</w:t>
            </w:r>
            <w:r>
              <w:t xml:space="preserve">, </w:t>
            </w:r>
            <w:r>
              <w:rPr>
                <w:b/>
                <w:i/>
              </w:rPr>
              <w:t xml:space="preserve">non prima di </w:t>
            </w:r>
            <w:r>
              <w:t xml:space="preserve">sei anni dopo la data di applicazione del presente </w:t>
            </w:r>
            <w:r>
              <w:t>regolamento la Commissione dovrebbe effettuare una valutazione del presente regolamento</w:t>
            </w:r>
            <w:r>
              <w:rPr>
                <w:b/>
                <w:i/>
              </w:rPr>
              <w:t>, anche</w:t>
            </w:r>
            <w:r>
              <w:t xml:space="preserve"> sulla base di informazioni raccolte tramite specifici </w:t>
            </w:r>
            <w:r>
              <w:lastRenderedPageBreak/>
              <w:t>dispositivi di monitoraggio</w:t>
            </w:r>
            <w:r>
              <w:rPr>
                <w:b/>
                <w:i/>
              </w:rPr>
              <w:t>,</w:t>
            </w:r>
            <w:r>
              <w:t xml:space="preserve"> per valutare l'effettiva incidenza del presente regolamento e l'esigenza di ul</w:t>
            </w:r>
            <w:r>
              <w:t>teriori interventi. Ai fini del monitoraggio, gli Stati membri dovrebbero raccogliere statistiche sul numero di carte d'identità e titoli di soggiorno che hanno emesso.</w:t>
            </w:r>
          </w:p>
        </w:tc>
        <w:tc>
          <w:tcPr>
            <w:tcW w:w="4876" w:type="dxa"/>
            <w:tcBorders>
              <w:top w:val="nil"/>
              <w:left w:val="nil"/>
              <w:bottom w:val="nil"/>
              <w:right w:val="nil"/>
            </w:tcBorders>
          </w:tcPr>
          <w:p w:rsidR="00E33FD9" w:rsidRPr="00E9477D" w:rsidRDefault="00ED2F3D" w:rsidP="00E275B2">
            <w:pPr>
              <w:pStyle w:val="Normal6a"/>
            </w:pPr>
            <w:r>
              <w:lastRenderedPageBreak/>
              <w:t>(43)</w:t>
            </w:r>
            <w:r>
              <w:tab/>
            </w:r>
            <w:r>
              <w:rPr>
                <w:b/>
                <w:i/>
              </w:rPr>
              <w:t>La Commissione dovrebbe riferire sull'applicazione del presente regolamento rispet</w:t>
            </w:r>
            <w:r>
              <w:rPr>
                <w:b/>
                <w:i/>
              </w:rPr>
              <w:t xml:space="preserve">tivamente due anni dopo e undici anni dopo la data della sua applicazione, pronunciandosi anche sull'adeguatezza del livello di sicurezza, tenendo conto del suo impatto sui diritti fondamentali e dei principi in materia di </w:t>
            </w:r>
            <w:r>
              <w:rPr>
                <w:b/>
                <w:i/>
              </w:rPr>
              <w:lastRenderedPageBreak/>
              <w:t>protezione dei dati.</w:t>
            </w:r>
            <w:r>
              <w:t xml:space="preserve"> In conformit</w:t>
            </w:r>
            <w:r>
              <w:t>à dell'accordo interistituzionale "Legiferare meglio" del 13</w:t>
            </w:r>
            <w:r>
              <w:rPr>
                <w:b/>
                <w:i/>
              </w:rPr>
              <w:t xml:space="preserve"> </w:t>
            </w:r>
            <w:r>
              <w:t>aprile 2016</w:t>
            </w:r>
            <w:r>
              <w:rPr>
                <w:vertAlign w:val="superscript"/>
              </w:rPr>
              <w:t>9</w:t>
            </w:r>
            <w:r>
              <w:t>, sei anni dopo la data di applicazione del presente regolamento</w:t>
            </w:r>
            <w:r>
              <w:rPr>
                <w:b/>
                <w:i/>
              </w:rPr>
              <w:t>, e in seguito ogni sei anni,</w:t>
            </w:r>
            <w:r>
              <w:t xml:space="preserve"> la Commissione dovrebbe effettuare una valutazione del presente regolamento sulla base di</w:t>
            </w:r>
            <w:r>
              <w:t xml:space="preserve"> informazioni raccolte tramite specifici dispositivi di monitoraggio per valutare l'effettiva incidenza del presente regolamento e l'esigenza di ulteriori interventi. Ai fini del monitoraggio, gli Stati membri dovrebbero raccogliere statistiche sul numero </w:t>
            </w:r>
            <w:r>
              <w:t>di carte d'identità e titoli di soggiorno che hanno emesso.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rPr>
                <w:b/>
                <w:i/>
              </w:rPr>
              <w:lastRenderedPageBreak/>
              <w:t>_________________</w:t>
            </w:r>
          </w:p>
        </w:tc>
        <w:tc>
          <w:tcPr>
            <w:tcW w:w="4876" w:type="dxa"/>
            <w:tcBorders>
              <w:top w:val="nil"/>
              <w:left w:val="nil"/>
              <w:bottom w:val="nil"/>
              <w:right w:val="nil"/>
            </w:tcBorders>
          </w:tcPr>
          <w:p w:rsidR="00E33FD9" w:rsidRPr="00E9477D" w:rsidRDefault="00ED2F3D" w:rsidP="00E275B2">
            <w:pPr>
              <w:pStyle w:val="Normal6a"/>
            </w:pPr>
            <w:r>
              <w:rPr>
                <w:b/>
                <w:i/>
              </w:rPr>
              <w:t>_________________</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rPr>
                <w:vertAlign w:val="superscript"/>
              </w:rPr>
              <w:t>9</w:t>
            </w:r>
            <w:r>
              <w:t xml:space="preserve"> GU L 123 del 12.5.2016, pag. 1, ELI: http://data.europa.eu/eli/agree_interinstit/2016/512/oj.</w:t>
            </w:r>
          </w:p>
        </w:tc>
        <w:tc>
          <w:tcPr>
            <w:tcW w:w="4876" w:type="dxa"/>
            <w:tcBorders>
              <w:top w:val="nil"/>
              <w:left w:val="nil"/>
              <w:bottom w:val="nil"/>
              <w:right w:val="nil"/>
            </w:tcBorders>
          </w:tcPr>
          <w:p w:rsidR="00E33FD9" w:rsidRPr="00E9477D" w:rsidRDefault="00ED2F3D" w:rsidP="00E275B2">
            <w:pPr>
              <w:pStyle w:val="Normal6a"/>
            </w:pPr>
            <w:r>
              <w:rPr>
                <w:vertAlign w:val="superscript"/>
              </w:rPr>
              <w:t>9</w:t>
            </w:r>
            <w:r>
              <w:t xml:space="preserve"> GU L 123 del 12.5.2016, pag. 1, ELI: </w:t>
            </w:r>
            <w:r>
              <w:t>http://data.europa.eu/eli/agree_interinstit/2016/512/oj.</w:t>
            </w:r>
          </w:p>
        </w:tc>
      </w:tr>
    </w:tbl>
    <w:p w:rsidR="00E33FD9" w:rsidRPr="00E9477D" w:rsidRDefault="00ED2F3D" w:rsidP="00E33FD9">
      <w:pPr>
        <w:pStyle w:val="AmOrLang"/>
      </w:pPr>
      <w:r w:rsidRPr="00E9477D">
        <w:t xml:space="preserve">Or. </w:t>
      </w:r>
      <w:r w:rsidRPr="00E9477D">
        <w:rPr>
          <w:rStyle w:val="HideTWBExt"/>
        </w:rPr>
        <w:t>&lt;Original&gt;</w:t>
      </w:r>
      <w:r w:rsidRPr="00E9477D">
        <w:rPr>
          <w:rStyle w:val="HideTWBInt"/>
        </w:rPr>
        <w:t>{EN}</w:t>
      </w:r>
      <w:r w:rsidRPr="00E9477D">
        <w:t>en</w:t>
      </w:r>
      <w:r w:rsidRPr="00E9477D">
        <w:rPr>
          <w:rStyle w:val="HideTWBExt"/>
        </w:rPr>
        <w:t>&lt;/Original&gt;</w:t>
      </w:r>
    </w:p>
    <w:p w:rsidR="00E33FD9" w:rsidRPr="00E9477D" w:rsidRDefault="00ED2F3D" w:rsidP="00E33FD9">
      <w:r>
        <w:rPr>
          <w:rStyle w:val="HideTWBExt"/>
        </w:rPr>
        <w:t>&lt;/Amend&gt;</w:t>
      </w:r>
    </w:p>
    <w:p w:rsidR="00E33FD9" w:rsidRPr="00E9477D" w:rsidRDefault="00ED2F3D" w:rsidP="00E33FD9">
      <w:pPr>
        <w:pStyle w:val="AmNumberTabs"/>
      </w:pPr>
      <w:r>
        <w:rPr>
          <w:rStyle w:val="HideTWBExt"/>
        </w:rPr>
        <w:t>&lt;Amend&gt;</w:t>
      </w:r>
      <w:r>
        <w:t>Emendamento</w:t>
      </w:r>
      <w:r>
        <w:tab/>
      </w:r>
      <w:r>
        <w:tab/>
      </w:r>
      <w:r>
        <w:rPr>
          <w:rStyle w:val="HideTWBExt"/>
        </w:rPr>
        <w:t>&lt;NumAm&gt;</w:t>
      </w:r>
      <w:r>
        <w:t>21</w:t>
      </w:r>
      <w:r>
        <w:rPr>
          <w:rStyle w:val="HideTWBExt"/>
        </w:rPr>
        <w:t>&lt;/NumAm&gt;</w:t>
      </w:r>
    </w:p>
    <w:p w:rsidR="00E33FD9" w:rsidRPr="00E9477D" w:rsidRDefault="00ED2F3D" w:rsidP="00E33FD9">
      <w:pPr>
        <w:pStyle w:val="NormalBold"/>
      </w:pPr>
      <w:r>
        <w:rPr>
          <w:rStyle w:val="HideTWBExt"/>
          <w:b w:val="0"/>
        </w:rPr>
        <w:t>&lt;RepeatBlock-By&gt;&lt;Members&gt;</w:t>
      </w:r>
      <w:r>
        <w:t>Roberto Vannacci, António Tânger Corrêa, Susanna Ceccardi, Anna Maria Cisint, Nikola Bartůšek,</w:t>
      </w:r>
      <w:r>
        <w:t xml:space="preserve"> Fabrice Leggeri, Tom Vandendriessche, Matthieu Valet</w:t>
      </w:r>
      <w:r>
        <w:rPr>
          <w:rStyle w:val="HideTWBExt"/>
          <w:b w:val="0"/>
        </w:rPr>
        <w:t>&lt;/Members&gt;</w:t>
      </w:r>
    </w:p>
    <w:p w:rsidR="00E33FD9" w:rsidRPr="00E9477D" w:rsidRDefault="00ED2F3D" w:rsidP="00E33FD9">
      <w:pPr>
        <w:pStyle w:val="NormalBold"/>
      </w:pPr>
      <w:r>
        <w:rPr>
          <w:rStyle w:val="HideTWBExt"/>
          <w:b w:val="0"/>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Articolo 3 – paragrafo 2 – comma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rPr>
                <w:b/>
                <w:i/>
              </w:rPr>
              <w:t xml:space="preserve">In deroga al primo comma, il numero </w:t>
            </w:r>
            <w:r>
              <w:rPr>
                <w:b/>
                <w:i/>
              </w:rPr>
              <w:t>del documento può essere inserito nella zona I e la designazione del genere di una persona è facoltativa.</w:t>
            </w:r>
          </w:p>
        </w:tc>
        <w:tc>
          <w:tcPr>
            <w:tcW w:w="4876" w:type="dxa"/>
            <w:tcBorders>
              <w:top w:val="nil"/>
              <w:left w:val="nil"/>
              <w:bottom w:val="nil"/>
              <w:right w:val="nil"/>
            </w:tcBorders>
          </w:tcPr>
          <w:p w:rsidR="00E33FD9" w:rsidRPr="00E9477D" w:rsidRDefault="00ED2F3D" w:rsidP="00E275B2">
            <w:pPr>
              <w:pStyle w:val="Normal6a"/>
            </w:pPr>
            <w:r>
              <w:rPr>
                <w:b/>
                <w:i/>
              </w:rPr>
              <w:t>soppresso</w:t>
            </w:r>
          </w:p>
        </w:tc>
      </w:tr>
    </w:tbl>
    <w:p w:rsidR="00E33FD9" w:rsidRPr="00E9477D" w:rsidRDefault="00ED2F3D" w:rsidP="00E33FD9">
      <w:pPr>
        <w:pStyle w:val="AmOrLang"/>
      </w:pPr>
      <w:r w:rsidRPr="00E9477D">
        <w:t xml:space="preserve">Or. </w:t>
      </w:r>
      <w:r w:rsidRPr="00E9477D">
        <w:rPr>
          <w:rStyle w:val="HideTWBExt"/>
        </w:rPr>
        <w:t>&lt;Original&gt;</w:t>
      </w:r>
      <w:r w:rsidRPr="00E9477D">
        <w:rPr>
          <w:rStyle w:val="HideTWBInt"/>
        </w:rPr>
        <w:t>{EN}</w:t>
      </w:r>
      <w:r w:rsidRPr="00E9477D">
        <w:t>en</w:t>
      </w:r>
      <w:r w:rsidRPr="00E9477D">
        <w:rPr>
          <w:rStyle w:val="HideTWBExt"/>
        </w:rPr>
        <w:t>&lt;/Original&gt;</w:t>
      </w:r>
    </w:p>
    <w:p w:rsidR="00E33FD9" w:rsidRPr="00E9477D" w:rsidRDefault="00ED2F3D" w:rsidP="00E33FD9">
      <w:r>
        <w:rPr>
          <w:rStyle w:val="HideTWBExt"/>
        </w:rPr>
        <w:t>&lt;/Amend&gt;</w:t>
      </w:r>
    </w:p>
    <w:p w:rsidR="00E33FD9" w:rsidRPr="00E9477D" w:rsidRDefault="00ED2F3D" w:rsidP="00E33FD9">
      <w:pPr>
        <w:pStyle w:val="AmNumberTabs"/>
      </w:pPr>
      <w:r>
        <w:rPr>
          <w:rStyle w:val="HideTWBExt"/>
        </w:rPr>
        <w:t>&lt;Amend&gt;</w:t>
      </w:r>
      <w:r>
        <w:t>Emendamento</w:t>
      </w:r>
      <w:r>
        <w:tab/>
      </w:r>
      <w:r>
        <w:tab/>
      </w:r>
      <w:r>
        <w:rPr>
          <w:rStyle w:val="HideTWBExt"/>
        </w:rPr>
        <w:t>&lt;NumAm&gt;</w:t>
      </w:r>
      <w:r>
        <w:t>22</w:t>
      </w:r>
      <w:r>
        <w:rPr>
          <w:rStyle w:val="HideTWBExt"/>
        </w:rPr>
        <w:t>&lt;/NumAm&gt;</w:t>
      </w:r>
    </w:p>
    <w:p w:rsidR="00E33FD9" w:rsidRPr="00E9477D" w:rsidRDefault="00ED2F3D" w:rsidP="00E33FD9">
      <w:pPr>
        <w:pStyle w:val="NormalBold"/>
      </w:pPr>
      <w:r>
        <w:rPr>
          <w:rStyle w:val="HideTWBExt"/>
          <w:b w:val="0"/>
        </w:rPr>
        <w:t>&lt;RepeatBlock-By&gt;&lt;Members&gt;</w:t>
      </w:r>
      <w:r>
        <w:t>Nadine Morano</w:t>
      </w:r>
      <w:r>
        <w:rPr>
          <w:rStyle w:val="HideTWBExt"/>
          <w:b w:val="0"/>
        </w:rPr>
        <w:t>&lt;/Members&gt;</w:t>
      </w:r>
    </w:p>
    <w:p w:rsidR="00E33FD9" w:rsidRPr="00E9477D" w:rsidRDefault="00ED2F3D" w:rsidP="00E33FD9">
      <w:pPr>
        <w:pStyle w:val="NormalBold"/>
      </w:pPr>
      <w:r>
        <w:rPr>
          <w:rStyle w:val="HideTWBExt"/>
          <w:b w:val="0"/>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Articolo 3 – paragrafo 2 – comma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lastRenderedPageBreak/>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In deroga al primo comma, il numero del documento può essere inserito nella zona I</w:t>
            </w:r>
            <w:r>
              <w:rPr>
                <w:b/>
                <w:i/>
              </w:rPr>
              <w:t xml:space="preserve"> e la designazione del genere di una persona è facoltativa</w:t>
            </w:r>
            <w:r>
              <w:t>.</w:t>
            </w:r>
          </w:p>
        </w:tc>
        <w:tc>
          <w:tcPr>
            <w:tcW w:w="4876" w:type="dxa"/>
            <w:tcBorders>
              <w:top w:val="nil"/>
              <w:left w:val="nil"/>
              <w:bottom w:val="nil"/>
              <w:right w:val="nil"/>
            </w:tcBorders>
          </w:tcPr>
          <w:p w:rsidR="00E33FD9" w:rsidRPr="00E9477D" w:rsidRDefault="00ED2F3D" w:rsidP="00E275B2">
            <w:pPr>
              <w:pStyle w:val="Normal6a"/>
            </w:pPr>
            <w:r>
              <w:t>In deroga al primo comma, il numero del documento può essere inserito nella zona I.</w:t>
            </w:r>
          </w:p>
        </w:tc>
      </w:tr>
    </w:tbl>
    <w:p w:rsidR="00E33FD9" w:rsidRPr="00E9477D" w:rsidRDefault="00ED2F3D" w:rsidP="00E33FD9">
      <w:pPr>
        <w:pStyle w:val="AmOrLang"/>
      </w:pPr>
      <w:r w:rsidRPr="00E9477D">
        <w:t xml:space="preserve">Or. </w:t>
      </w:r>
      <w:r w:rsidRPr="00E9477D">
        <w:rPr>
          <w:rStyle w:val="HideTWBExt"/>
        </w:rPr>
        <w:t>&lt;Original&gt;</w:t>
      </w:r>
      <w:r w:rsidRPr="00E9477D">
        <w:rPr>
          <w:rStyle w:val="HideTWBInt"/>
        </w:rPr>
        <w:t>{FR}</w:t>
      </w:r>
      <w:r w:rsidRPr="00E9477D">
        <w:t>fr</w:t>
      </w:r>
      <w:r w:rsidRPr="00E9477D">
        <w:rPr>
          <w:rStyle w:val="HideTWBExt"/>
        </w:rPr>
        <w:t>&lt;/Original&gt;</w:t>
      </w:r>
    </w:p>
    <w:p w:rsidR="00E33FD9" w:rsidRPr="00E9477D" w:rsidRDefault="00ED2F3D" w:rsidP="00E33FD9">
      <w:r>
        <w:rPr>
          <w:rStyle w:val="HideTWBExt"/>
        </w:rPr>
        <w:t>&lt;/Amend&gt;</w:t>
      </w:r>
    </w:p>
    <w:p w:rsidR="00E33FD9" w:rsidRPr="00E9477D" w:rsidRDefault="00ED2F3D" w:rsidP="00E33FD9">
      <w:pPr>
        <w:pStyle w:val="AmNumberTabs"/>
      </w:pPr>
      <w:r>
        <w:rPr>
          <w:rStyle w:val="HideTWBExt"/>
        </w:rPr>
        <w:t>&lt;Amend&gt;</w:t>
      </w:r>
      <w:r>
        <w:t>Emendamento</w:t>
      </w:r>
      <w:r>
        <w:tab/>
      </w:r>
      <w:r>
        <w:tab/>
      </w:r>
      <w:r>
        <w:rPr>
          <w:rStyle w:val="HideTWBExt"/>
        </w:rPr>
        <w:t>&lt;NumAm&gt;</w:t>
      </w:r>
      <w:r>
        <w:t>23</w:t>
      </w:r>
      <w:r>
        <w:rPr>
          <w:rStyle w:val="HideTWBExt"/>
        </w:rPr>
        <w:t>&lt;/NumAm&gt;</w:t>
      </w:r>
    </w:p>
    <w:p w:rsidR="00E33FD9" w:rsidRPr="00E9477D" w:rsidRDefault="00ED2F3D" w:rsidP="00E33FD9">
      <w:pPr>
        <w:pStyle w:val="NormalBold"/>
      </w:pPr>
      <w:r>
        <w:rPr>
          <w:rStyle w:val="HideTWBExt"/>
          <w:b w:val="0"/>
        </w:rPr>
        <w:t>&lt;RepeatBlock-By&gt;&lt;Members&gt;</w:t>
      </w:r>
      <w:r>
        <w:t xml:space="preserve">Paolo </w:t>
      </w:r>
      <w:r>
        <w:t>Inselvini, Alessandro Ciriani</w:t>
      </w:r>
      <w:r>
        <w:rPr>
          <w:rStyle w:val="HideTWBExt"/>
          <w:b w:val="0"/>
        </w:rPr>
        <w:t>&lt;/Members&gt;</w:t>
      </w:r>
    </w:p>
    <w:p w:rsidR="00E33FD9" w:rsidRPr="00E9477D" w:rsidRDefault="00ED2F3D" w:rsidP="00E33FD9">
      <w:pPr>
        <w:pStyle w:val="NormalBold"/>
      </w:pPr>
      <w:r>
        <w:rPr>
          <w:rStyle w:val="HideTWBExt"/>
          <w:b w:val="0"/>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Articolo 3 – paragrafo 2 – comma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 xml:space="preserve">In deroga al primo comma, il numero del documento può essere inserito nella zona I e la designazione del </w:t>
            </w:r>
            <w:r>
              <w:rPr>
                <w:b/>
                <w:i/>
              </w:rPr>
              <w:t>genere</w:t>
            </w:r>
            <w:r>
              <w:t xml:space="preserve"> di una persona è facoltativa.</w:t>
            </w:r>
          </w:p>
        </w:tc>
        <w:tc>
          <w:tcPr>
            <w:tcW w:w="4876" w:type="dxa"/>
            <w:tcBorders>
              <w:top w:val="nil"/>
              <w:left w:val="nil"/>
              <w:bottom w:val="nil"/>
              <w:right w:val="nil"/>
            </w:tcBorders>
          </w:tcPr>
          <w:p w:rsidR="00E33FD9" w:rsidRPr="00E9477D" w:rsidRDefault="00ED2F3D" w:rsidP="00E275B2">
            <w:pPr>
              <w:pStyle w:val="Normal6a"/>
            </w:pPr>
            <w:r>
              <w:t xml:space="preserve">In deroga al primo comma, il numero del documento può essere inserito nella zona I e la designazione del </w:t>
            </w:r>
            <w:r>
              <w:rPr>
                <w:b/>
                <w:i/>
              </w:rPr>
              <w:t>sesso</w:t>
            </w:r>
            <w:r>
              <w:t xml:space="preserve"> di </w:t>
            </w:r>
            <w:r>
              <w:t>una persona è facoltativa.</w:t>
            </w:r>
          </w:p>
        </w:tc>
      </w:tr>
    </w:tbl>
    <w:p w:rsidR="00E33FD9" w:rsidRPr="00E9477D" w:rsidRDefault="00ED2F3D" w:rsidP="00E33FD9">
      <w:pPr>
        <w:pStyle w:val="AmOrLang"/>
      </w:pPr>
      <w:r w:rsidRPr="00E9477D">
        <w:t xml:space="preserve">Or. </w:t>
      </w:r>
      <w:r w:rsidRPr="00E9477D">
        <w:rPr>
          <w:rStyle w:val="HideTWBExt"/>
        </w:rPr>
        <w:t>&lt;Original&gt;</w:t>
      </w:r>
      <w:r w:rsidRPr="00E9477D">
        <w:rPr>
          <w:rStyle w:val="HideTWBInt"/>
        </w:rPr>
        <w:t>{IT}</w:t>
      </w:r>
      <w:r w:rsidRPr="00E9477D">
        <w:t>it</w:t>
      </w:r>
      <w:r w:rsidRPr="00E9477D">
        <w:rPr>
          <w:rStyle w:val="HideTWBExt"/>
        </w:rPr>
        <w:t>&lt;/Original&gt;</w:t>
      </w:r>
    </w:p>
    <w:p w:rsidR="00E33FD9" w:rsidRPr="00E9477D" w:rsidRDefault="00ED2F3D" w:rsidP="00E33FD9">
      <w:r>
        <w:rPr>
          <w:rStyle w:val="HideTWBExt"/>
        </w:rPr>
        <w:t>&lt;/Amend&gt;</w:t>
      </w:r>
    </w:p>
    <w:p w:rsidR="00E33FD9" w:rsidRPr="00E9477D" w:rsidRDefault="00ED2F3D" w:rsidP="00E33FD9">
      <w:pPr>
        <w:pStyle w:val="AmNumberTabs"/>
      </w:pPr>
      <w:r>
        <w:rPr>
          <w:rStyle w:val="HideTWBExt"/>
        </w:rPr>
        <w:t>&lt;Amend&gt;</w:t>
      </w:r>
      <w:r>
        <w:t>Emendamento</w:t>
      </w:r>
      <w:r>
        <w:tab/>
      </w:r>
      <w:r>
        <w:tab/>
      </w:r>
      <w:r>
        <w:rPr>
          <w:rStyle w:val="HideTWBExt"/>
        </w:rPr>
        <w:t>&lt;NumAm&gt;</w:t>
      </w:r>
      <w:r>
        <w:t>24</w:t>
      </w:r>
      <w:r>
        <w:rPr>
          <w:rStyle w:val="HideTWBExt"/>
        </w:rPr>
        <w:t>&lt;/NumAm&gt;</w:t>
      </w:r>
    </w:p>
    <w:p w:rsidR="00E33FD9" w:rsidRPr="00E9477D" w:rsidRDefault="00ED2F3D" w:rsidP="00E33FD9">
      <w:pPr>
        <w:pStyle w:val="NormalBold"/>
      </w:pPr>
      <w:r>
        <w:rPr>
          <w:rStyle w:val="HideTWBExt"/>
          <w:b w:val="0"/>
        </w:rPr>
        <w:t>&lt;RepeatBlock-By&gt;&lt;Members&gt;</w:t>
      </w:r>
      <w:r>
        <w:t>Alessandro Zan, Krzysztof Śmiszek, Emma Rafowicz, Evin Incir, Cecilia Strada, Pina Picierno</w:t>
      </w:r>
      <w:r>
        <w:rPr>
          <w:rStyle w:val="HideTWBExt"/>
          <w:b w:val="0"/>
        </w:rPr>
        <w:t>&lt;/Members&gt;</w:t>
      </w:r>
    </w:p>
    <w:p w:rsidR="00E33FD9" w:rsidRPr="00E9477D" w:rsidRDefault="00ED2F3D" w:rsidP="00E33FD9">
      <w:pPr>
        <w:pStyle w:val="NormalBold"/>
      </w:pPr>
      <w:r>
        <w:rPr>
          <w:rStyle w:val="HideTWBExt"/>
          <w:b w:val="0"/>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Articolo 3 – paragrafo 2 – comma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In deroga al primo comma, il numero del documento può essere inserito nella zona I e la designazione del genere di una</w:t>
            </w:r>
            <w:r>
              <w:t xml:space="preserve"> persona è facoltativa.</w:t>
            </w:r>
          </w:p>
        </w:tc>
        <w:tc>
          <w:tcPr>
            <w:tcW w:w="4876" w:type="dxa"/>
            <w:tcBorders>
              <w:top w:val="nil"/>
              <w:left w:val="nil"/>
              <w:bottom w:val="nil"/>
              <w:right w:val="nil"/>
            </w:tcBorders>
          </w:tcPr>
          <w:p w:rsidR="00E33FD9" w:rsidRPr="00E9477D" w:rsidRDefault="00ED2F3D" w:rsidP="00E275B2">
            <w:pPr>
              <w:pStyle w:val="Normal6a"/>
            </w:pPr>
            <w:r>
              <w:t xml:space="preserve">In deroga al primo comma, il numero del documento può essere inserito nella zona I e la designazione del genere di una persona è facoltativa. </w:t>
            </w:r>
            <w:r>
              <w:rPr>
                <w:b/>
                <w:i/>
              </w:rPr>
              <w:t>Se uno Stato membro include il genere di una persona in un documento contemplato dal prese</w:t>
            </w:r>
            <w:r>
              <w:rPr>
                <w:b/>
                <w:i/>
              </w:rPr>
              <w:t>nte regolamento, sono utilizzate le specifiche "F", "M" o "X" di cui al documento ICAO 9303 o le corrispondenti singole iniziali utilizzate nella lingua o nelle lingue ufficiali di tale Stato membro, a seconda dei casi.</w:t>
            </w:r>
          </w:p>
        </w:tc>
      </w:tr>
    </w:tbl>
    <w:p w:rsidR="00E33FD9" w:rsidRPr="00E9477D" w:rsidRDefault="00ED2F3D" w:rsidP="00E33FD9">
      <w:pPr>
        <w:pStyle w:val="AmOrLang"/>
      </w:pPr>
      <w:r w:rsidRPr="00E9477D">
        <w:lastRenderedPageBreak/>
        <w:t xml:space="preserve">Or. </w:t>
      </w:r>
      <w:r w:rsidRPr="00E9477D">
        <w:rPr>
          <w:rStyle w:val="HideTWBExt"/>
        </w:rPr>
        <w:t>&lt;Original&gt;</w:t>
      </w:r>
      <w:r w:rsidRPr="00E9477D">
        <w:rPr>
          <w:rStyle w:val="HideTWBInt"/>
        </w:rPr>
        <w:t>{EN}</w:t>
      </w:r>
      <w:r w:rsidRPr="00E9477D">
        <w:t>en</w:t>
      </w:r>
      <w:r w:rsidRPr="00E9477D">
        <w:rPr>
          <w:rStyle w:val="HideTWBExt"/>
        </w:rPr>
        <w:t>&lt;/Original&gt;</w:t>
      </w:r>
    </w:p>
    <w:p w:rsidR="00E33FD9" w:rsidRPr="00E9477D" w:rsidRDefault="00ED2F3D" w:rsidP="00E33FD9">
      <w:r>
        <w:rPr>
          <w:rStyle w:val="HideTWBExt"/>
        </w:rPr>
        <w:t>&lt;/Amend&gt;</w:t>
      </w:r>
    </w:p>
    <w:p w:rsidR="00E33FD9" w:rsidRPr="00E9477D" w:rsidRDefault="00ED2F3D" w:rsidP="00E33FD9">
      <w:pPr>
        <w:pStyle w:val="AmNumberTabs"/>
      </w:pPr>
      <w:r>
        <w:rPr>
          <w:rStyle w:val="HideTWBExt"/>
        </w:rPr>
        <w:t>&lt;Amend&gt;</w:t>
      </w:r>
      <w:r>
        <w:t>Emendamento</w:t>
      </w:r>
      <w:r>
        <w:tab/>
      </w:r>
      <w:r>
        <w:tab/>
      </w:r>
      <w:r>
        <w:rPr>
          <w:rStyle w:val="HideTWBExt"/>
        </w:rPr>
        <w:t>&lt;NumAm&gt;</w:t>
      </w:r>
      <w:r>
        <w:t>25</w:t>
      </w:r>
      <w:r>
        <w:rPr>
          <w:rStyle w:val="HideTWBExt"/>
        </w:rPr>
        <w:t>&lt;/NumAm&gt;</w:t>
      </w:r>
    </w:p>
    <w:p w:rsidR="00E33FD9" w:rsidRPr="00E9477D" w:rsidRDefault="00ED2F3D" w:rsidP="00E33FD9">
      <w:pPr>
        <w:pStyle w:val="NormalBold"/>
      </w:pPr>
      <w:r>
        <w:rPr>
          <w:rStyle w:val="HideTWBExt"/>
          <w:b w:val="0"/>
        </w:rPr>
        <w:t>&lt;RepeatBlock-By&gt;&lt;Members&gt;</w:t>
      </w:r>
      <w:r>
        <w:t>Roberto Vannacci, António Tânger Corrêa, Susanna Ceccardi, Anna Maria Cisint, Fabrice Leggeri, Tom Vandendriessche, Matthieu Valet</w:t>
      </w:r>
      <w:r>
        <w:rPr>
          <w:rStyle w:val="HideTWBExt"/>
          <w:b w:val="0"/>
        </w:rPr>
        <w:t>&lt;/Members&gt;</w:t>
      </w:r>
    </w:p>
    <w:p w:rsidR="00E33FD9" w:rsidRPr="00E9477D" w:rsidRDefault="00ED2F3D" w:rsidP="00E33FD9">
      <w:pPr>
        <w:pStyle w:val="NormalBold"/>
      </w:pPr>
      <w:r>
        <w:rPr>
          <w:rStyle w:val="HideTWBExt"/>
          <w:b w:val="0"/>
        </w:rPr>
        <w:t>&lt;/RepeatBlock-By&gt;</w:t>
      </w:r>
    </w:p>
    <w:p w:rsidR="00E33FD9" w:rsidRPr="00E9477D" w:rsidRDefault="00ED2F3D" w:rsidP="00E33FD9">
      <w:pPr>
        <w:pStyle w:val="NormalBold"/>
      </w:pPr>
      <w:r>
        <w:rPr>
          <w:rStyle w:val="HideTWBExt"/>
        </w:rPr>
        <w:t>&lt;DocAmend&gt;</w:t>
      </w:r>
      <w:r>
        <w:t>Proposta di reg</w:t>
      </w:r>
      <w:r>
        <w:t>olamento</w:t>
      </w:r>
      <w:r>
        <w:rPr>
          <w:rStyle w:val="HideTWBExt"/>
        </w:rPr>
        <w:t>&lt;/DocAmend&gt;</w:t>
      </w:r>
    </w:p>
    <w:p w:rsidR="00E33FD9" w:rsidRPr="00E9477D" w:rsidRDefault="00ED2F3D" w:rsidP="00E33FD9">
      <w:pPr>
        <w:pStyle w:val="NormalBold"/>
      </w:pPr>
      <w:r>
        <w:rPr>
          <w:rStyle w:val="HideTWBExt"/>
        </w:rPr>
        <w:t>&lt;Article&gt;</w:t>
      </w:r>
      <w:r>
        <w:t>Articolo 3 – 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4.</w:t>
            </w:r>
            <w:r>
              <w:tab/>
              <w:t>La carta d'identità reca, sul recto, il codice a due lettere dello Stato membro di rilascio</w:t>
            </w:r>
            <w:r>
              <w:rPr>
                <w:b/>
                <w:i/>
              </w:rPr>
              <w:t>, stampato in negativo in un rettangolo blu e circondato da</w:t>
            </w:r>
            <w:r>
              <w:rPr>
                <w:b/>
                <w:i/>
              </w:rPr>
              <w:t xml:space="preserve"> dodici stelle gialle</w:t>
            </w:r>
            <w:r>
              <w:t>.</w:t>
            </w:r>
          </w:p>
        </w:tc>
        <w:tc>
          <w:tcPr>
            <w:tcW w:w="4876" w:type="dxa"/>
            <w:tcBorders>
              <w:top w:val="nil"/>
              <w:left w:val="nil"/>
              <w:bottom w:val="nil"/>
              <w:right w:val="nil"/>
            </w:tcBorders>
          </w:tcPr>
          <w:p w:rsidR="00E33FD9" w:rsidRPr="00E9477D" w:rsidRDefault="00ED2F3D" w:rsidP="00E275B2">
            <w:pPr>
              <w:pStyle w:val="Normal6a"/>
            </w:pPr>
            <w:r>
              <w:t>4.</w:t>
            </w:r>
            <w:r>
              <w:tab/>
              <w:t>La carta d'identità reca, sul recto, il codice a due lettere dello Stato membro di rilascio.</w:t>
            </w:r>
          </w:p>
        </w:tc>
      </w:tr>
    </w:tbl>
    <w:p w:rsidR="00E33FD9" w:rsidRPr="00E9477D" w:rsidRDefault="00ED2F3D" w:rsidP="00E33FD9">
      <w:pPr>
        <w:pStyle w:val="AmOrLang"/>
      </w:pPr>
      <w:r w:rsidRPr="00E9477D">
        <w:t xml:space="preserve">Or. </w:t>
      </w:r>
      <w:r w:rsidRPr="00E9477D">
        <w:rPr>
          <w:rStyle w:val="HideTWBExt"/>
        </w:rPr>
        <w:t>&lt;Original&gt;</w:t>
      </w:r>
      <w:r w:rsidRPr="00E9477D">
        <w:rPr>
          <w:rStyle w:val="HideTWBInt"/>
        </w:rPr>
        <w:t>{EN}</w:t>
      </w:r>
      <w:r w:rsidRPr="00E9477D">
        <w:t>en</w:t>
      </w:r>
      <w:r w:rsidRPr="00E9477D">
        <w:rPr>
          <w:rStyle w:val="HideTWBExt"/>
        </w:rPr>
        <w:t>&lt;/Original&gt;</w:t>
      </w:r>
    </w:p>
    <w:p w:rsidR="00E33FD9" w:rsidRPr="00E9477D" w:rsidRDefault="00ED2F3D" w:rsidP="00E33FD9">
      <w:r>
        <w:rPr>
          <w:rStyle w:val="HideTWBExt"/>
        </w:rPr>
        <w:t>&lt;/Amend&gt;</w:t>
      </w:r>
    </w:p>
    <w:p w:rsidR="00E33FD9" w:rsidRPr="00E9477D" w:rsidRDefault="00ED2F3D" w:rsidP="00E33FD9">
      <w:pPr>
        <w:pStyle w:val="AmNumberTabs"/>
      </w:pPr>
      <w:r>
        <w:rPr>
          <w:rStyle w:val="HideTWBExt"/>
        </w:rPr>
        <w:t>&lt;Amend&gt;</w:t>
      </w:r>
      <w:r>
        <w:t>Emendamento</w:t>
      </w:r>
      <w:r>
        <w:tab/>
      </w:r>
      <w:r>
        <w:tab/>
      </w:r>
      <w:r>
        <w:rPr>
          <w:rStyle w:val="HideTWBExt"/>
        </w:rPr>
        <w:t>&lt;NumAm&gt;</w:t>
      </w:r>
      <w:r>
        <w:t>26</w:t>
      </w:r>
      <w:r>
        <w:rPr>
          <w:rStyle w:val="HideTWBExt"/>
        </w:rPr>
        <w:t>&lt;/NumAm&gt;</w:t>
      </w:r>
    </w:p>
    <w:p w:rsidR="00E33FD9" w:rsidRPr="00E9477D" w:rsidRDefault="00ED2F3D" w:rsidP="00E33FD9">
      <w:pPr>
        <w:pStyle w:val="NormalBold"/>
      </w:pPr>
      <w:r>
        <w:rPr>
          <w:rStyle w:val="HideTWBExt"/>
          <w:b w:val="0"/>
        </w:rPr>
        <w:t>&lt;RepeatBlock-By&gt;&lt;Members&gt;</w:t>
      </w:r>
      <w:r>
        <w:t xml:space="preserve">Milan Uhrík, Ewa </w:t>
      </w:r>
      <w:r>
        <w:t>Zajączkowska-Hernik, Mary Khan</w:t>
      </w:r>
      <w:r>
        <w:rPr>
          <w:rStyle w:val="HideTWBExt"/>
          <w:b w:val="0"/>
        </w:rPr>
        <w:t>&lt;/Members&gt;</w:t>
      </w:r>
    </w:p>
    <w:p w:rsidR="00E33FD9" w:rsidRPr="00E9477D" w:rsidRDefault="00ED2F3D" w:rsidP="00E33FD9">
      <w:r>
        <w:rPr>
          <w:rStyle w:val="HideTWBExt"/>
        </w:rPr>
        <w:t>&lt;AuNomDe&gt;</w:t>
      </w:r>
      <w:r>
        <w:rPr>
          <w:rStyle w:val="HideTWBInt"/>
          <w:color w:val="auto"/>
        </w:rPr>
        <w:t>{ESN}</w:t>
      </w:r>
      <w:r>
        <w:t>a nome del gruppo ESN</w:t>
      </w:r>
      <w:r>
        <w:rPr>
          <w:rStyle w:val="HideTWBExt"/>
        </w:rPr>
        <w:t>&lt;/AuNomDe&gt;</w:t>
      </w:r>
    </w:p>
    <w:p w:rsidR="00E33FD9" w:rsidRPr="00E9477D" w:rsidRDefault="00ED2F3D" w:rsidP="00E33FD9">
      <w:pPr>
        <w:pStyle w:val="NormalBold"/>
      </w:pPr>
      <w:r>
        <w:rPr>
          <w:rStyle w:val="HideTWBExt"/>
          <w:b w:val="0"/>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Articolo 3 – 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5.</w:t>
            </w:r>
            <w:r>
              <w:tab/>
            </w:r>
            <w:r>
              <w:t xml:space="preserve">Le carte d'identità hanno un supporto di memorizzazione altamente protetto che contiene un'immagine del volto del titolare </w:t>
            </w:r>
            <w:r>
              <w:rPr>
                <w:b/>
                <w:i/>
              </w:rPr>
              <w:t xml:space="preserve">e due impronte digitali </w:t>
            </w:r>
            <w:r>
              <w:t>in formato interoperativo digitale. Per il rilevamento degli identificatori biometrici, gli Stati membri appl</w:t>
            </w:r>
            <w:r>
              <w:t>icano le prescrizioni tecniche stabilite dalla decisione di esecuzione C(2018) 7767 della Commissione</w:t>
            </w:r>
            <w:r>
              <w:rPr>
                <w:vertAlign w:val="superscript"/>
              </w:rPr>
              <w:t>12</w:t>
            </w:r>
            <w:r>
              <w:t>, quale modificata dalla decisione di esecuzione C(2021) 3726 della Commissione</w:t>
            </w:r>
            <w:r>
              <w:rPr>
                <w:vertAlign w:val="superscript"/>
              </w:rPr>
              <w:t>13</w:t>
            </w:r>
            <w:r>
              <w:t>.</w:t>
            </w:r>
          </w:p>
        </w:tc>
        <w:tc>
          <w:tcPr>
            <w:tcW w:w="4876" w:type="dxa"/>
            <w:tcBorders>
              <w:top w:val="nil"/>
              <w:left w:val="nil"/>
              <w:bottom w:val="nil"/>
              <w:right w:val="nil"/>
            </w:tcBorders>
          </w:tcPr>
          <w:p w:rsidR="00E33FD9" w:rsidRPr="00E9477D" w:rsidRDefault="00ED2F3D" w:rsidP="00E275B2">
            <w:pPr>
              <w:pStyle w:val="Normal6a"/>
            </w:pPr>
            <w:r>
              <w:t>5.</w:t>
            </w:r>
            <w:r>
              <w:tab/>
              <w:t>Le carte d'identità hanno un supporto di memorizzazione altamente p</w:t>
            </w:r>
            <w:r>
              <w:t>rotetto che contiene un'immagine del volto del titolare in formato interoperativo digitale. Per il rilevamento degli identificatori biometrici, gli Stati membri applicano le prescrizioni tecniche stabilite dalla decisione di esecuzione C(2018) 7767 della C</w:t>
            </w:r>
            <w:r>
              <w:t>ommissione</w:t>
            </w:r>
            <w:r>
              <w:rPr>
                <w:vertAlign w:val="superscript"/>
              </w:rPr>
              <w:t>12</w:t>
            </w:r>
            <w:r>
              <w:t>, quale modificata dalla decisione di esecuzione C(2021) 3726 della Commissione</w:t>
            </w:r>
            <w:r>
              <w:rPr>
                <w:vertAlign w:val="superscript"/>
              </w:rPr>
              <w:t>13</w:t>
            </w:r>
            <w:r>
              <w:t>.</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rPr>
                <w:b/>
                <w:i/>
              </w:rPr>
              <w:t>_________________</w:t>
            </w:r>
          </w:p>
        </w:tc>
        <w:tc>
          <w:tcPr>
            <w:tcW w:w="4876" w:type="dxa"/>
            <w:tcBorders>
              <w:top w:val="nil"/>
              <w:left w:val="nil"/>
              <w:bottom w:val="nil"/>
              <w:right w:val="nil"/>
            </w:tcBorders>
          </w:tcPr>
          <w:p w:rsidR="00E33FD9" w:rsidRPr="00E9477D" w:rsidRDefault="00ED2F3D" w:rsidP="00E275B2">
            <w:pPr>
              <w:pStyle w:val="Normal6a"/>
            </w:pPr>
            <w:r>
              <w:rPr>
                <w:b/>
                <w:i/>
              </w:rPr>
              <w:t>_________________</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rPr>
                <w:vertAlign w:val="superscript"/>
              </w:rPr>
              <w:t>12</w:t>
            </w:r>
            <w:r>
              <w:t xml:space="preserve"> Decisione di esecuzione C(2018) 7767 della Commissione, del 30 novembre 2018, che stabilisce le prescrizioni tecniche del modello uniforme di permesso di </w:t>
            </w:r>
            <w:r>
              <w:lastRenderedPageBreak/>
              <w:t>soggiorno rilasciato a cittadini di paesi terzi che modifica la decisione C(2002) 3069.</w:t>
            </w:r>
          </w:p>
        </w:tc>
        <w:tc>
          <w:tcPr>
            <w:tcW w:w="4876" w:type="dxa"/>
            <w:tcBorders>
              <w:top w:val="nil"/>
              <w:left w:val="nil"/>
              <w:bottom w:val="nil"/>
              <w:right w:val="nil"/>
            </w:tcBorders>
          </w:tcPr>
          <w:p w:rsidR="00E33FD9" w:rsidRPr="00E9477D" w:rsidRDefault="00ED2F3D" w:rsidP="00E275B2">
            <w:pPr>
              <w:pStyle w:val="Normal6a"/>
            </w:pPr>
            <w:r>
              <w:rPr>
                <w:vertAlign w:val="superscript"/>
              </w:rPr>
              <w:lastRenderedPageBreak/>
              <w:t>12</w:t>
            </w:r>
            <w:r>
              <w:t xml:space="preserve"> Decisione </w:t>
            </w:r>
            <w:r>
              <w:t xml:space="preserve">di esecuzione C(2018) 7767 della Commissione, del 30 novembre 2018, che stabilisce le prescrizioni tecniche del modello uniforme di permesso di </w:t>
            </w:r>
            <w:r>
              <w:lastRenderedPageBreak/>
              <w:t>soggiorno rilasciato a cittadini di paesi terzi che modifica la decisione C(2002) 3069.</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rPr>
                <w:vertAlign w:val="superscript"/>
              </w:rPr>
              <w:lastRenderedPageBreak/>
              <w:t>13</w:t>
            </w:r>
            <w:r>
              <w:t xml:space="preserve"> Decisione di esecuzi</w:t>
            </w:r>
            <w:r>
              <w:t>one C(2021) 3726 della Commissione, del 4 giugno 2021, che modifica l'allegato III della decisione di esecuzione C(2018) 7767 per quanto riguarda l'elenco dei riferimenti normativi.</w:t>
            </w:r>
          </w:p>
        </w:tc>
        <w:tc>
          <w:tcPr>
            <w:tcW w:w="4876" w:type="dxa"/>
            <w:tcBorders>
              <w:top w:val="nil"/>
              <w:left w:val="nil"/>
              <w:bottom w:val="nil"/>
              <w:right w:val="nil"/>
            </w:tcBorders>
          </w:tcPr>
          <w:p w:rsidR="00E33FD9" w:rsidRPr="00E9477D" w:rsidRDefault="00ED2F3D" w:rsidP="00E275B2">
            <w:pPr>
              <w:pStyle w:val="Normal6a"/>
            </w:pPr>
            <w:r>
              <w:rPr>
                <w:vertAlign w:val="superscript"/>
              </w:rPr>
              <w:t>13</w:t>
            </w:r>
            <w:r>
              <w:t xml:space="preserve"> Decisione di esecuzione C(2021) 3726 della Commissione, del 4 giugno 20</w:t>
            </w:r>
            <w:r>
              <w:t>21, che modifica l'allegato III della decisione di esecuzione C(2018) 7767 per quanto riguarda l'elenco dei riferimenti normativi.</w:t>
            </w:r>
          </w:p>
        </w:tc>
      </w:tr>
    </w:tbl>
    <w:p w:rsidR="00E33FD9" w:rsidRPr="00E9477D" w:rsidRDefault="00ED2F3D" w:rsidP="00E33FD9">
      <w:pPr>
        <w:pStyle w:val="AmOrLang"/>
      </w:pPr>
      <w:r w:rsidRPr="00E9477D">
        <w:t xml:space="preserve">Or. </w:t>
      </w:r>
      <w:r w:rsidRPr="00E9477D">
        <w:rPr>
          <w:rStyle w:val="HideTWBExt"/>
        </w:rPr>
        <w:t>&lt;Original&gt;</w:t>
      </w:r>
      <w:r w:rsidRPr="00E9477D">
        <w:rPr>
          <w:rStyle w:val="HideTWBInt"/>
        </w:rPr>
        <w:t>{EN}</w:t>
      </w:r>
      <w:r w:rsidRPr="00E9477D">
        <w:t>en</w:t>
      </w:r>
      <w:r w:rsidRPr="00E9477D">
        <w:rPr>
          <w:rStyle w:val="HideTWBExt"/>
        </w:rPr>
        <w:t>&lt;/Original&gt;</w:t>
      </w:r>
    </w:p>
    <w:p w:rsidR="00E33FD9" w:rsidRPr="00E9477D" w:rsidRDefault="00ED2F3D" w:rsidP="00E33FD9">
      <w:pPr>
        <w:pStyle w:val="AmJustTitle"/>
      </w:pPr>
      <w:r>
        <w:rPr>
          <w:rStyle w:val="HideTWBExt"/>
        </w:rPr>
        <w:t>&lt;TitreJust&gt;</w:t>
      </w:r>
      <w:r>
        <w:t>Motivazione</w:t>
      </w:r>
      <w:r>
        <w:rPr>
          <w:rStyle w:val="HideTWBExt"/>
        </w:rPr>
        <w:t>&lt;/TitreJust&gt;</w:t>
      </w:r>
    </w:p>
    <w:p w:rsidR="00E33FD9" w:rsidRPr="00E9477D" w:rsidRDefault="00ED2F3D" w:rsidP="00E33FD9">
      <w:pPr>
        <w:pStyle w:val="AmJustText"/>
      </w:pPr>
      <w:r>
        <w:t>Il presente emendamento sopprime l'obbligo di memorizzare</w:t>
      </w:r>
      <w:r>
        <w:t xml:space="preserve"> due impronte di</w:t>
      </w:r>
      <w:r w:rsidR="00E609F4">
        <w:t xml:space="preserve">gitali nelle carte d'identità. </w:t>
      </w:r>
      <w:r>
        <w:t xml:space="preserve">Si tratta di una violazione troppo grave del diritto al rispetto della vita privata dei cittadini a vantaggio di possibilità sempre </w:t>
      </w:r>
      <w:r w:rsidR="00E609F4">
        <w:t xml:space="preserve">maggiori di controllo statale. </w:t>
      </w:r>
      <w:r>
        <w:t>Inoltre, il rischio di criminalità informati</w:t>
      </w:r>
      <w:r w:rsidR="00E609F4">
        <w:t xml:space="preserve">ca è troppo importante: </w:t>
      </w:r>
      <w:r>
        <w:t>se tali impronte digitali venissero rubate potrebbero essere utilizzate in tutto il mondo per ogni tipo</w:t>
      </w:r>
      <w:r w:rsidR="00E609F4">
        <w:t xml:space="preserve"> di frode legata all'identità. </w:t>
      </w:r>
      <w:bookmarkStart w:id="0" w:name="_GoBack"/>
      <w:bookmarkEnd w:id="0"/>
      <w:r>
        <w:t>Poiché le impronte digitali sono uniche, il loro furto costituirebbe un rischio permanente per i</w:t>
      </w:r>
      <w:r>
        <w:t>l cittadino che ne è vittima.</w:t>
      </w:r>
    </w:p>
    <w:p w:rsidR="00E33FD9" w:rsidRPr="00E9477D" w:rsidRDefault="00ED2F3D" w:rsidP="00E33FD9">
      <w:r>
        <w:rPr>
          <w:rStyle w:val="HideTWBExt"/>
        </w:rPr>
        <w:t>&lt;/Amend&gt;</w:t>
      </w:r>
    </w:p>
    <w:p w:rsidR="00E33FD9" w:rsidRPr="00E9477D" w:rsidRDefault="00ED2F3D" w:rsidP="00E33FD9">
      <w:pPr>
        <w:pStyle w:val="AMNumberTabs0"/>
        <w:keepNext/>
      </w:pPr>
      <w:r>
        <w:rPr>
          <w:rStyle w:val="HideTWBExt"/>
          <w:b w:val="0"/>
        </w:rPr>
        <w:t>&lt;Amend&gt;</w:t>
      </w:r>
      <w:r>
        <w:t>Emendamento</w:t>
      </w:r>
      <w:r>
        <w:tab/>
      </w:r>
      <w:r>
        <w:tab/>
      </w:r>
      <w:r>
        <w:rPr>
          <w:rStyle w:val="HideTWBExt"/>
          <w:b w:val="0"/>
        </w:rPr>
        <w:t>&lt;NumAm&gt;</w:t>
      </w:r>
      <w:r>
        <w:t>27</w:t>
      </w:r>
      <w:r>
        <w:rPr>
          <w:rStyle w:val="HideTWBExt"/>
          <w:b w:val="0"/>
        </w:rPr>
        <w:t>&lt;/NumAm&gt;</w:t>
      </w:r>
    </w:p>
    <w:p w:rsidR="00E33FD9" w:rsidRPr="00E9477D" w:rsidRDefault="00ED2F3D" w:rsidP="00E33FD9">
      <w:pPr>
        <w:pStyle w:val="NormalBold"/>
      </w:pPr>
      <w:r>
        <w:rPr>
          <w:rStyle w:val="HideTWBExt"/>
          <w:b w:val="0"/>
        </w:rPr>
        <w:t>&lt;RepeatBlock-By&gt;&lt;Members&gt;</w:t>
      </w:r>
      <w:r>
        <w:t>Malik Azmani, Jeannette Baljeu, Lucia Yar, Raquel García Hermida-Van Der Walle</w:t>
      </w:r>
      <w:r>
        <w:rPr>
          <w:rStyle w:val="HideTWBExt"/>
          <w:b w:val="0"/>
        </w:rPr>
        <w:t>&lt;/Members&gt;</w:t>
      </w:r>
    </w:p>
    <w:p w:rsidR="00E33FD9" w:rsidRPr="00E9477D" w:rsidRDefault="00ED2F3D" w:rsidP="00E33FD9">
      <w:r>
        <w:rPr>
          <w:rStyle w:val="HideTWBExt"/>
        </w:rPr>
        <w:t>&lt;/RepeatBlock-By&gt;</w:t>
      </w:r>
    </w:p>
    <w:p w:rsidR="00E33FD9" w:rsidRPr="00E9477D" w:rsidRDefault="00ED2F3D" w:rsidP="00E33FD9">
      <w:pPr>
        <w:pStyle w:val="NormalBold"/>
        <w:keepNext/>
      </w:pPr>
      <w:r>
        <w:rPr>
          <w:rStyle w:val="HideTWBExt"/>
          <w:b w:val="0"/>
        </w:rPr>
        <w:t>&lt;DocAmend&gt;</w:t>
      </w:r>
      <w:r>
        <w:t>Proposta di regolamento</w:t>
      </w:r>
      <w:r>
        <w:rPr>
          <w:rStyle w:val="HideTWBExt"/>
          <w:b w:val="0"/>
        </w:rPr>
        <w:t>&lt;/DocAmend&gt;</w:t>
      </w:r>
    </w:p>
    <w:p w:rsidR="00E33FD9" w:rsidRPr="00E9477D" w:rsidRDefault="00ED2F3D" w:rsidP="00E33FD9">
      <w:pPr>
        <w:pStyle w:val="NormalBold"/>
      </w:pPr>
      <w:r>
        <w:rPr>
          <w:rStyle w:val="HideTWBExt"/>
          <w:b w:val="0"/>
        </w:rPr>
        <w:t>&lt;Article&gt;</w:t>
      </w:r>
      <w:r>
        <w:t>Articolo 3 – paragrafo 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982" w:rsidTr="00E275B2">
        <w:trPr>
          <w:jc w:val="center"/>
        </w:trPr>
        <w:tc>
          <w:tcPr>
            <w:tcW w:w="9752" w:type="dxa"/>
            <w:gridSpan w:val="2"/>
          </w:tcPr>
          <w:p w:rsidR="00E33FD9" w:rsidRPr="00E9477D" w:rsidRDefault="00E33FD9" w:rsidP="00E275B2">
            <w:pPr>
              <w:keepNext/>
            </w:pPr>
          </w:p>
        </w:tc>
      </w:tr>
      <w:tr w:rsidR="00BE4982" w:rsidTr="00E275B2">
        <w:trPr>
          <w:jc w:val="center"/>
        </w:trPr>
        <w:tc>
          <w:tcPr>
            <w:tcW w:w="4876" w:type="dxa"/>
          </w:tcPr>
          <w:p w:rsidR="00E33FD9" w:rsidRPr="00E9477D" w:rsidRDefault="00ED2F3D" w:rsidP="00E275B2">
            <w:pPr>
              <w:pStyle w:val="ColumnHeading"/>
              <w:keepNext/>
            </w:pPr>
            <w:r>
              <w:t>Testo della Commissione</w:t>
            </w:r>
          </w:p>
        </w:tc>
        <w:tc>
          <w:tcPr>
            <w:tcW w:w="4876" w:type="dxa"/>
          </w:tcPr>
          <w:p w:rsidR="00E33FD9" w:rsidRPr="00E9477D" w:rsidRDefault="00ED2F3D" w:rsidP="00E275B2">
            <w:pPr>
              <w:pStyle w:val="ColumnHeading"/>
              <w:keepNext/>
            </w:pPr>
            <w:r>
              <w:t>Emendamento</w:t>
            </w:r>
          </w:p>
        </w:tc>
      </w:tr>
      <w:tr w:rsidR="00BE4982" w:rsidTr="00E275B2">
        <w:trPr>
          <w:jc w:val="center"/>
        </w:trPr>
        <w:tc>
          <w:tcPr>
            <w:tcW w:w="4876" w:type="dxa"/>
          </w:tcPr>
          <w:p w:rsidR="00E33FD9" w:rsidRPr="00E9477D" w:rsidRDefault="00ED2F3D" w:rsidP="00E275B2">
            <w:pPr>
              <w:pStyle w:val="Normal6"/>
            </w:pPr>
            <w:r>
              <w:t>5.</w:t>
            </w:r>
            <w:r>
              <w:tab/>
              <w:t>Le carte d'identità hanno un supporto di memorizzazione altamente protetto che contiene un'immagine del volto del titolare e due impronte digitali in formato interoperati</w:t>
            </w:r>
            <w:r>
              <w:t xml:space="preserve">vo digitale. Per il rilevamento </w:t>
            </w:r>
            <w:r>
              <w:rPr>
                <w:b/>
                <w:i/>
              </w:rPr>
              <w:t>degli</w:t>
            </w:r>
            <w:r>
              <w:t xml:space="preserve"> identificatori biometrici, gli Stati membri applicano le prescrizioni tecniche stabilite dalla decisione di esecuzione C(2018)</w:t>
            </w:r>
            <w:r>
              <w:rPr>
                <w:b/>
                <w:i/>
              </w:rPr>
              <w:t xml:space="preserve"> </w:t>
            </w:r>
            <w:r>
              <w:t>7767 della Commissione</w:t>
            </w:r>
            <w:r>
              <w:rPr>
                <w:vertAlign w:val="superscript"/>
              </w:rPr>
              <w:t>12</w:t>
            </w:r>
            <w:r>
              <w:t>, quale modificata dalla decisione di esecuzione C(2021) 3726 della</w:t>
            </w:r>
            <w:r>
              <w:t xml:space="preserve"> Commissione</w:t>
            </w:r>
            <w:r>
              <w:rPr>
                <w:vertAlign w:val="superscript"/>
              </w:rPr>
              <w:t>13</w:t>
            </w:r>
            <w:r>
              <w:t>.</w:t>
            </w:r>
          </w:p>
        </w:tc>
        <w:tc>
          <w:tcPr>
            <w:tcW w:w="4876" w:type="dxa"/>
          </w:tcPr>
          <w:p w:rsidR="00E33FD9" w:rsidRPr="00E9477D" w:rsidRDefault="00ED2F3D" w:rsidP="00E275B2">
            <w:pPr>
              <w:pStyle w:val="Normal6"/>
              <w:rPr>
                <w:szCs w:val="24"/>
              </w:rPr>
            </w:pPr>
            <w:r>
              <w:t>5.</w:t>
            </w:r>
            <w:r>
              <w:tab/>
              <w:t xml:space="preserve">Le carte d'identità hanno un supporto di memorizzazione altamente protetto che contiene un'immagine del volto del titolare e due impronte digitali in formato interoperativo digitale. Per il rilevamento </w:t>
            </w:r>
            <w:r>
              <w:rPr>
                <w:b/>
                <w:i/>
              </w:rPr>
              <w:t>di questi due tipi di</w:t>
            </w:r>
            <w:r>
              <w:t xml:space="preserve"> identificator</w:t>
            </w:r>
            <w:r>
              <w:t>i biometrici, gli Stati membri applicano le prescrizioni tecniche stabilite dalla decisione di esecuzione C(2018)</w:t>
            </w:r>
            <w:r>
              <w:rPr>
                <w:b/>
                <w:i/>
              </w:rPr>
              <w:t> </w:t>
            </w:r>
            <w:r>
              <w:t>7767 della Commissione</w:t>
            </w:r>
            <w:r>
              <w:rPr>
                <w:vertAlign w:val="superscript"/>
              </w:rPr>
              <w:t>12</w:t>
            </w:r>
            <w:r>
              <w:t>, quale modificata dalla decisione di esecuzione C(2021) 3726 della Commissione</w:t>
            </w:r>
            <w:r>
              <w:rPr>
                <w:vertAlign w:val="superscript"/>
              </w:rPr>
              <w:t>13</w:t>
            </w:r>
            <w:r>
              <w:t>.</w:t>
            </w:r>
          </w:p>
        </w:tc>
      </w:tr>
      <w:tr w:rsidR="00BE4982" w:rsidTr="00E275B2">
        <w:trPr>
          <w:jc w:val="center"/>
        </w:trPr>
        <w:tc>
          <w:tcPr>
            <w:tcW w:w="4876" w:type="dxa"/>
          </w:tcPr>
          <w:p w:rsidR="00E33FD9" w:rsidRPr="00E9477D" w:rsidRDefault="00ED2F3D" w:rsidP="00E275B2">
            <w:pPr>
              <w:pStyle w:val="Normal6"/>
            </w:pPr>
            <w:r>
              <w:t>__________________</w:t>
            </w:r>
          </w:p>
        </w:tc>
        <w:tc>
          <w:tcPr>
            <w:tcW w:w="4876" w:type="dxa"/>
          </w:tcPr>
          <w:p w:rsidR="00E33FD9" w:rsidRPr="00E9477D" w:rsidRDefault="00ED2F3D" w:rsidP="00E275B2">
            <w:pPr>
              <w:pStyle w:val="Normal6"/>
              <w:rPr>
                <w:szCs w:val="24"/>
              </w:rPr>
            </w:pPr>
            <w:r>
              <w:t>__________________</w:t>
            </w:r>
          </w:p>
        </w:tc>
      </w:tr>
      <w:tr w:rsidR="00BE4982" w:rsidTr="00E275B2">
        <w:trPr>
          <w:jc w:val="center"/>
        </w:trPr>
        <w:tc>
          <w:tcPr>
            <w:tcW w:w="4876" w:type="dxa"/>
          </w:tcPr>
          <w:p w:rsidR="00E33FD9" w:rsidRPr="00E9477D" w:rsidRDefault="00ED2F3D" w:rsidP="00E275B2">
            <w:pPr>
              <w:pStyle w:val="Normal6"/>
            </w:pPr>
            <w:r>
              <w:rPr>
                <w:vertAlign w:val="superscript"/>
              </w:rPr>
              <w:t>12</w:t>
            </w:r>
            <w:r>
              <w:t xml:space="preserve"> Decisione di esecuzione C(2018) 7767 della Commissione, del 30 novembre 2018, che stabilisce le prescrizioni tecniche del modello uniforme di permesso di </w:t>
            </w:r>
            <w:r>
              <w:lastRenderedPageBreak/>
              <w:t>soggiorno rilasciato a cittadini di paesi terzi che modifica la decisione C(2002) 3069.</w:t>
            </w:r>
          </w:p>
        </w:tc>
        <w:tc>
          <w:tcPr>
            <w:tcW w:w="4876" w:type="dxa"/>
          </w:tcPr>
          <w:p w:rsidR="00E33FD9" w:rsidRPr="00E9477D" w:rsidRDefault="00ED2F3D" w:rsidP="00E275B2">
            <w:pPr>
              <w:pStyle w:val="Normal6"/>
              <w:rPr>
                <w:szCs w:val="24"/>
              </w:rPr>
            </w:pPr>
            <w:r>
              <w:rPr>
                <w:vertAlign w:val="superscript"/>
              </w:rPr>
              <w:lastRenderedPageBreak/>
              <w:t>12</w:t>
            </w:r>
            <w:r>
              <w:t xml:space="preserve"> Decisione </w:t>
            </w:r>
            <w:r>
              <w:t xml:space="preserve">di esecuzione C(2018) 7767 della Commissione, del 30 novembre 2018, che stabilisce le prescrizioni tecniche del modello uniforme di permesso di </w:t>
            </w:r>
            <w:r>
              <w:lastRenderedPageBreak/>
              <w:t>soggiorno rilasciato a cittadini di paesi terzi che modifica la decisione C(2002) 3069.</w:t>
            </w:r>
          </w:p>
        </w:tc>
      </w:tr>
      <w:tr w:rsidR="00BE4982" w:rsidTr="00E275B2">
        <w:trPr>
          <w:jc w:val="center"/>
        </w:trPr>
        <w:tc>
          <w:tcPr>
            <w:tcW w:w="4876" w:type="dxa"/>
          </w:tcPr>
          <w:p w:rsidR="00E33FD9" w:rsidRPr="00E9477D" w:rsidRDefault="00ED2F3D" w:rsidP="00E275B2">
            <w:pPr>
              <w:pStyle w:val="Normal6"/>
            </w:pPr>
            <w:r>
              <w:rPr>
                <w:vertAlign w:val="superscript"/>
              </w:rPr>
              <w:lastRenderedPageBreak/>
              <w:t>13</w:t>
            </w:r>
            <w:r>
              <w:t xml:space="preserve"> Decisione di esecuzi</w:t>
            </w:r>
            <w:r>
              <w:t>one C(2021) 3726 della Commissione, del 4 giugno 2021, che modifica l'allegato III della decisione di esecuzione C(2018) 7767 per quanto riguarda l'elenco dei riferimenti normativi.</w:t>
            </w:r>
          </w:p>
        </w:tc>
        <w:tc>
          <w:tcPr>
            <w:tcW w:w="4876" w:type="dxa"/>
          </w:tcPr>
          <w:p w:rsidR="00E33FD9" w:rsidRPr="00E9477D" w:rsidRDefault="00ED2F3D" w:rsidP="00E275B2">
            <w:pPr>
              <w:pStyle w:val="Normal6"/>
              <w:rPr>
                <w:szCs w:val="24"/>
              </w:rPr>
            </w:pPr>
            <w:r>
              <w:rPr>
                <w:vertAlign w:val="superscript"/>
              </w:rPr>
              <w:t>13</w:t>
            </w:r>
            <w:r>
              <w:t xml:space="preserve"> Decisione di esecuzione C(2021) 3726 della Commissione, del 4 giugno 20</w:t>
            </w:r>
            <w:r>
              <w:t>21, che modifica l'allegato III della decisione di esecuzione C(2018) 7767 per quanto riguarda l'elenco dei riferimenti normativi.</w:t>
            </w:r>
          </w:p>
        </w:tc>
      </w:tr>
    </w:tbl>
    <w:p w:rsidR="00E33FD9" w:rsidRPr="00E609F4" w:rsidRDefault="00ED2F3D" w:rsidP="00E33FD9">
      <w:pPr>
        <w:pStyle w:val="Olang"/>
        <w:rPr>
          <w:sz w:val="24"/>
          <w:szCs w:val="24"/>
          <w:lang w:val="es-ES"/>
        </w:rPr>
      </w:pPr>
      <w:r w:rsidRPr="00E609F4">
        <w:rPr>
          <w:sz w:val="24"/>
          <w:szCs w:val="24"/>
          <w:lang w:val="es-ES"/>
        </w:rPr>
        <w:t xml:space="preserve">Or. </w:t>
      </w:r>
      <w:r w:rsidRPr="00E609F4">
        <w:rPr>
          <w:rStyle w:val="HideTWBExt"/>
          <w:lang w:val="es-ES"/>
        </w:rPr>
        <w:t>&lt;Original&gt;</w:t>
      </w:r>
      <w:r w:rsidRPr="00E609F4">
        <w:rPr>
          <w:rStyle w:val="HideTWBInt"/>
          <w:sz w:val="24"/>
          <w:szCs w:val="24"/>
          <w:lang w:val="es-ES"/>
        </w:rPr>
        <w:t>{EN}</w:t>
      </w:r>
      <w:r w:rsidRPr="00E609F4">
        <w:rPr>
          <w:sz w:val="24"/>
          <w:szCs w:val="24"/>
          <w:lang w:val="es-ES"/>
        </w:rPr>
        <w:t>en</w:t>
      </w:r>
      <w:r w:rsidRPr="00E609F4">
        <w:rPr>
          <w:rStyle w:val="HideTWBExt"/>
          <w:lang w:val="es-ES"/>
        </w:rPr>
        <w:t>&lt;/Original&gt;</w:t>
      </w:r>
    </w:p>
    <w:p w:rsidR="00E33FD9" w:rsidRPr="00E609F4" w:rsidRDefault="00ED2F3D" w:rsidP="00E33FD9">
      <w:pPr>
        <w:rPr>
          <w:lang w:val="es-ES"/>
        </w:rPr>
      </w:pPr>
      <w:r w:rsidRPr="00E609F4">
        <w:rPr>
          <w:rStyle w:val="HideTWBExt"/>
          <w:lang w:val="es-ES"/>
        </w:rPr>
        <w:t>&lt;/Amend&gt;</w:t>
      </w:r>
    </w:p>
    <w:p w:rsidR="00E33FD9" w:rsidRPr="00E609F4" w:rsidRDefault="00ED2F3D" w:rsidP="00E33FD9">
      <w:pPr>
        <w:pStyle w:val="AmNumberTabs"/>
        <w:rPr>
          <w:lang w:val="es-ES"/>
        </w:rPr>
      </w:pPr>
      <w:r w:rsidRPr="00E609F4">
        <w:rPr>
          <w:rStyle w:val="HideTWBExt"/>
          <w:lang w:val="es-ES"/>
        </w:rPr>
        <w:t>&lt;Amend&gt;</w:t>
      </w:r>
      <w:r w:rsidRPr="00E609F4">
        <w:rPr>
          <w:lang w:val="es-ES"/>
        </w:rPr>
        <w:t>Emendamento</w:t>
      </w:r>
      <w:r w:rsidRPr="00E609F4">
        <w:rPr>
          <w:lang w:val="es-ES"/>
        </w:rPr>
        <w:tab/>
      </w:r>
      <w:r w:rsidRPr="00E609F4">
        <w:rPr>
          <w:lang w:val="es-ES"/>
        </w:rPr>
        <w:tab/>
      </w:r>
      <w:r w:rsidRPr="00E609F4">
        <w:rPr>
          <w:rStyle w:val="HideTWBExt"/>
          <w:lang w:val="es-ES"/>
        </w:rPr>
        <w:t>&lt;NumAm&gt;</w:t>
      </w:r>
      <w:r w:rsidRPr="00E609F4">
        <w:rPr>
          <w:lang w:val="es-ES"/>
        </w:rPr>
        <w:t>28</w:t>
      </w:r>
      <w:r w:rsidRPr="00E609F4">
        <w:rPr>
          <w:rStyle w:val="HideTWBExt"/>
          <w:lang w:val="es-ES"/>
        </w:rPr>
        <w:t>&lt;/NumAm&gt;</w:t>
      </w:r>
    </w:p>
    <w:p w:rsidR="00E33FD9" w:rsidRPr="00E609F4" w:rsidRDefault="00ED2F3D" w:rsidP="00E33FD9">
      <w:pPr>
        <w:pStyle w:val="NormalBold"/>
        <w:rPr>
          <w:lang w:val="es-ES"/>
        </w:rPr>
      </w:pPr>
      <w:r w:rsidRPr="00E609F4">
        <w:rPr>
          <w:rStyle w:val="HideTWBExt"/>
          <w:b w:val="0"/>
          <w:lang w:val="es-ES"/>
        </w:rPr>
        <w:t>&lt;RepeatBlock-By&gt;&lt;Members&gt;</w:t>
      </w:r>
      <w:r w:rsidRPr="00E609F4">
        <w:rPr>
          <w:lang w:val="es-ES"/>
        </w:rPr>
        <w:t>Estrella Galán</w:t>
      </w:r>
      <w:r w:rsidRPr="00E609F4">
        <w:rPr>
          <w:rStyle w:val="HideTWBExt"/>
          <w:b w:val="0"/>
          <w:lang w:val="es-ES"/>
        </w:rPr>
        <w:t>&lt;/Memb</w:t>
      </w:r>
      <w:r w:rsidRPr="00E609F4">
        <w:rPr>
          <w:rStyle w:val="HideTWBExt"/>
          <w:b w:val="0"/>
          <w:lang w:val="es-ES"/>
        </w:rPr>
        <w:t>ers&gt;</w:t>
      </w:r>
    </w:p>
    <w:p w:rsidR="00E33FD9" w:rsidRPr="00E609F4" w:rsidRDefault="00ED2F3D" w:rsidP="00E33FD9">
      <w:pPr>
        <w:pStyle w:val="NormalBold"/>
        <w:rPr>
          <w:lang w:val="es-ES"/>
        </w:rPr>
      </w:pPr>
      <w:r w:rsidRPr="00E609F4">
        <w:rPr>
          <w:rStyle w:val="HideTWBExt"/>
          <w:b w:val="0"/>
          <w:lang w:val="es-ES"/>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Articolo 3 – paragrafo 7 – comma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 xml:space="preserve">I minori di età inferiore a dodici anni </w:t>
            </w:r>
            <w:r>
              <w:rPr>
                <w:b/>
                <w:i/>
              </w:rPr>
              <w:t>possono essere</w:t>
            </w:r>
            <w:r>
              <w:t xml:space="preserve"> esentati dall'obbligo di rilevamento delle impronte digitali.</w:t>
            </w:r>
          </w:p>
        </w:tc>
        <w:tc>
          <w:tcPr>
            <w:tcW w:w="4876" w:type="dxa"/>
            <w:tcBorders>
              <w:top w:val="nil"/>
              <w:left w:val="nil"/>
              <w:bottom w:val="nil"/>
              <w:right w:val="nil"/>
            </w:tcBorders>
          </w:tcPr>
          <w:p w:rsidR="00E33FD9" w:rsidRPr="00E9477D" w:rsidRDefault="00ED2F3D" w:rsidP="00E275B2">
            <w:pPr>
              <w:pStyle w:val="Normal6a"/>
            </w:pPr>
            <w:r>
              <w:t xml:space="preserve">I minori di età inferiore a dodici anni </w:t>
            </w:r>
            <w:r>
              <w:rPr>
                <w:b/>
                <w:i/>
              </w:rPr>
              <w:t>sono</w:t>
            </w:r>
            <w:r>
              <w:t xml:space="preserve"> esentati dall'obbligo di rilevamento delle impronte digitali.</w:t>
            </w:r>
          </w:p>
        </w:tc>
      </w:tr>
    </w:tbl>
    <w:p w:rsidR="00E33FD9" w:rsidRPr="00E9477D" w:rsidRDefault="00ED2F3D" w:rsidP="00E33FD9">
      <w:pPr>
        <w:pStyle w:val="AmOrLang"/>
      </w:pPr>
      <w:r w:rsidRPr="00E9477D">
        <w:t xml:space="preserve">Or. </w:t>
      </w:r>
      <w:r w:rsidRPr="00E9477D">
        <w:rPr>
          <w:rStyle w:val="HideTWBExt"/>
        </w:rPr>
        <w:t>&lt;Original&gt;</w:t>
      </w:r>
      <w:r w:rsidRPr="00E9477D">
        <w:rPr>
          <w:rStyle w:val="HideTWBInt"/>
        </w:rPr>
        <w:t>{EN}</w:t>
      </w:r>
      <w:r w:rsidRPr="00E9477D">
        <w:t>en</w:t>
      </w:r>
      <w:r w:rsidRPr="00E9477D">
        <w:rPr>
          <w:rStyle w:val="HideTWBExt"/>
        </w:rPr>
        <w:t>&lt;/Original&gt;</w:t>
      </w:r>
    </w:p>
    <w:p w:rsidR="00E33FD9" w:rsidRPr="00E9477D" w:rsidRDefault="00ED2F3D" w:rsidP="00E33FD9">
      <w:r>
        <w:rPr>
          <w:rStyle w:val="HideTWBExt"/>
        </w:rPr>
        <w:t>&lt;/Amend&gt;</w:t>
      </w:r>
    </w:p>
    <w:p w:rsidR="00E33FD9" w:rsidRPr="00E9477D" w:rsidRDefault="00ED2F3D" w:rsidP="00E33FD9">
      <w:pPr>
        <w:pStyle w:val="AmNumberTabs"/>
      </w:pPr>
      <w:r>
        <w:rPr>
          <w:rStyle w:val="HideTWBExt"/>
        </w:rPr>
        <w:t>&lt;Amend&gt;</w:t>
      </w:r>
      <w:r>
        <w:t>Emendamento</w:t>
      </w:r>
      <w:r>
        <w:tab/>
      </w:r>
      <w:r>
        <w:tab/>
      </w:r>
      <w:r>
        <w:rPr>
          <w:rStyle w:val="HideTWBExt"/>
        </w:rPr>
        <w:t>&lt;NumAm&gt;</w:t>
      </w:r>
      <w:r>
        <w:t>29</w:t>
      </w:r>
      <w:r>
        <w:rPr>
          <w:rStyle w:val="HideTWBExt"/>
        </w:rPr>
        <w:t>&lt;/NumAm&gt;</w:t>
      </w:r>
    </w:p>
    <w:p w:rsidR="00E33FD9" w:rsidRPr="00E9477D" w:rsidRDefault="00ED2F3D" w:rsidP="00E33FD9">
      <w:pPr>
        <w:pStyle w:val="NormalBold"/>
      </w:pPr>
      <w:r>
        <w:rPr>
          <w:rStyle w:val="HideTWBExt"/>
          <w:b w:val="0"/>
        </w:rPr>
        <w:t>&lt;RepeatBlock-By&gt;&lt;Members&gt;</w:t>
      </w:r>
      <w:r>
        <w:t>Roberto Vannacci, António Tânger Corrêa, Susanna Ceccardi, Anna Maria Cisint, Nikola Bartůšek, Fabrice Leggeri, Tom Vandendriessche, Matthieu Valet</w:t>
      </w:r>
      <w:r>
        <w:rPr>
          <w:rStyle w:val="HideTWBExt"/>
          <w:b w:val="0"/>
        </w:rPr>
        <w:t>&lt;/Members&gt;</w:t>
      </w:r>
    </w:p>
    <w:p w:rsidR="00E33FD9" w:rsidRPr="00E9477D" w:rsidRDefault="00ED2F3D" w:rsidP="00E33FD9">
      <w:pPr>
        <w:pStyle w:val="NormalBold"/>
      </w:pPr>
      <w:r>
        <w:rPr>
          <w:rStyle w:val="HideTWBExt"/>
          <w:b w:val="0"/>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A</w:t>
      </w:r>
      <w:r>
        <w:t>rticolo 6 – comma 1 – lettera e bis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33FD9" w:rsidP="00E275B2">
            <w:pPr>
              <w:pStyle w:val="Normal6a"/>
            </w:pPr>
          </w:p>
        </w:tc>
        <w:tc>
          <w:tcPr>
            <w:tcW w:w="4876" w:type="dxa"/>
            <w:tcBorders>
              <w:top w:val="nil"/>
              <w:left w:val="nil"/>
              <w:bottom w:val="nil"/>
              <w:right w:val="nil"/>
            </w:tcBorders>
          </w:tcPr>
          <w:p w:rsidR="00E33FD9" w:rsidRPr="00E9477D" w:rsidRDefault="00ED2F3D" w:rsidP="00E275B2">
            <w:pPr>
              <w:pStyle w:val="Normal6a"/>
            </w:pPr>
            <w:r>
              <w:rPr>
                <w:b/>
                <w:i/>
              </w:rPr>
              <w:t>(e bis)</w:t>
            </w:r>
            <w:r>
              <w:tab/>
            </w:r>
            <w:r>
              <w:rPr>
                <w:b/>
                <w:i/>
              </w:rPr>
              <w:t>il sesso del titolare;</w:t>
            </w:r>
          </w:p>
        </w:tc>
      </w:tr>
    </w:tbl>
    <w:p w:rsidR="00E33FD9" w:rsidRPr="00E9477D" w:rsidRDefault="00ED2F3D" w:rsidP="00E33FD9">
      <w:pPr>
        <w:pStyle w:val="AmOrLang"/>
      </w:pPr>
      <w:r w:rsidRPr="00E9477D">
        <w:t xml:space="preserve">Or. </w:t>
      </w:r>
      <w:r w:rsidRPr="00E9477D">
        <w:rPr>
          <w:rStyle w:val="HideTWBExt"/>
        </w:rPr>
        <w:t>&lt;Original&gt;</w:t>
      </w:r>
      <w:r w:rsidRPr="00E9477D">
        <w:rPr>
          <w:rStyle w:val="HideTWBInt"/>
        </w:rPr>
        <w:t>{EN}</w:t>
      </w:r>
      <w:r w:rsidRPr="00E9477D">
        <w:t>en</w:t>
      </w:r>
      <w:r w:rsidRPr="00E9477D">
        <w:rPr>
          <w:rStyle w:val="HideTWBExt"/>
        </w:rPr>
        <w:t>&lt;/Original&gt;</w:t>
      </w:r>
    </w:p>
    <w:p w:rsidR="00E33FD9" w:rsidRPr="00E9477D" w:rsidRDefault="00ED2F3D" w:rsidP="00E33FD9">
      <w:r>
        <w:rPr>
          <w:rStyle w:val="HideTWBExt"/>
        </w:rPr>
        <w:t>&lt;/Amend&gt;</w:t>
      </w:r>
    </w:p>
    <w:p w:rsidR="00E33FD9" w:rsidRPr="00E9477D" w:rsidRDefault="00ED2F3D" w:rsidP="00E33FD9">
      <w:pPr>
        <w:pStyle w:val="AmNumberTabs"/>
      </w:pPr>
      <w:r>
        <w:rPr>
          <w:rStyle w:val="HideTWBExt"/>
        </w:rPr>
        <w:t>&lt;Amend&gt;</w:t>
      </w:r>
      <w:r>
        <w:t>Emendamento</w:t>
      </w:r>
      <w:r>
        <w:tab/>
      </w:r>
      <w:r>
        <w:tab/>
      </w:r>
      <w:r>
        <w:rPr>
          <w:rStyle w:val="HideTWBExt"/>
        </w:rPr>
        <w:t>&lt;NumAm&gt;</w:t>
      </w:r>
      <w:r>
        <w:t>30</w:t>
      </w:r>
      <w:r>
        <w:rPr>
          <w:rStyle w:val="HideTWBExt"/>
        </w:rPr>
        <w:t>&lt;/NumAm&gt;</w:t>
      </w:r>
    </w:p>
    <w:p w:rsidR="00E33FD9" w:rsidRPr="00E9477D" w:rsidRDefault="00ED2F3D" w:rsidP="00E33FD9">
      <w:pPr>
        <w:pStyle w:val="NormalBold"/>
      </w:pPr>
      <w:r>
        <w:rPr>
          <w:rStyle w:val="HideTWBExt"/>
          <w:b w:val="0"/>
        </w:rPr>
        <w:t>&lt;RepeatBlock-By&gt;&lt;Members&gt;</w:t>
      </w:r>
      <w:r>
        <w:t xml:space="preserve">Roberto Vannacci, António </w:t>
      </w:r>
      <w:r>
        <w:t>Tânger Corrêa, Susanna Ceccardi, Anna Maria Cisint, Fabrice Leggeri, Tom Vandendriessche, Matthieu Valet</w:t>
      </w:r>
      <w:r>
        <w:rPr>
          <w:rStyle w:val="HideTWBExt"/>
          <w:b w:val="0"/>
        </w:rPr>
        <w:t>&lt;/Members&gt;</w:t>
      </w:r>
    </w:p>
    <w:p w:rsidR="00E33FD9" w:rsidRPr="00E9477D" w:rsidRDefault="00ED2F3D" w:rsidP="00E33FD9">
      <w:pPr>
        <w:pStyle w:val="NormalBold"/>
      </w:pPr>
      <w:r>
        <w:rPr>
          <w:rStyle w:val="HideTWBExt"/>
          <w:b w:val="0"/>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Articolo 6 – comma 1 – lettera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lastRenderedPageBreak/>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(h)</w:t>
            </w:r>
            <w:r>
              <w:tab/>
              <w:t>sul recto, il codice a due lettere dello Stato membro che rilascia il documento</w:t>
            </w:r>
            <w:r>
              <w:rPr>
                <w:b/>
                <w:i/>
              </w:rPr>
              <w:t>, stampato in negativo in un rettangolo blu e circondato da dodici stelle gialle</w:t>
            </w:r>
            <w:r>
              <w:t>.</w:t>
            </w:r>
          </w:p>
        </w:tc>
        <w:tc>
          <w:tcPr>
            <w:tcW w:w="4876" w:type="dxa"/>
            <w:tcBorders>
              <w:top w:val="nil"/>
              <w:left w:val="nil"/>
              <w:bottom w:val="nil"/>
              <w:right w:val="nil"/>
            </w:tcBorders>
          </w:tcPr>
          <w:p w:rsidR="00E33FD9" w:rsidRPr="00E9477D" w:rsidRDefault="00ED2F3D" w:rsidP="00E275B2">
            <w:pPr>
              <w:pStyle w:val="Normal6a"/>
            </w:pPr>
            <w:r>
              <w:t>(h)</w:t>
            </w:r>
            <w:r>
              <w:tab/>
              <w:t xml:space="preserve">sul recto, il codice a due lettere dello Stato membro che rilascia il </w:t>
            </w:r>
            <w:r>
              <w:t>documento.</w:t>
            </w:r>
          </w:p>
        </w:tc>
      </w:tr>
    </w:tbl>
    <w:p w:rsidR="00E33FD9" w:rsidRPr="00E609F4" w:rsidRDefault="00ED2F3D" w:rsidP="00E33FD9">
      <w:pPr>
        <w:pStyle w:val="AmOrLang"/>
        <w:rPr>
          <w:lang w:val="es-ES"/>
        </w:rPr>
      </w:pPr>
      <w:r w:rsidRPr="00E609F4">
        <w:rPr>
          <w:lang w:val="es-ES"/>
        </w:rPr>
        <w:t xml:space="preserve">Or. </w:t>
      </w:r>
      <w:r w:rsidRPr="00E609F4">
        <w:rPr>
          <w:rStyle w:val="HideTWBExt"/>
          <w:lang w:val="es-ES"/>
        </w:rPr>
        <w:t>&lt;Original&gt;</w:t>
      </w:r>
      <w:r w:rsidRPr="00E609F4">
        <w:rPr>
          <w:rStyle w:val="HideTWBInt"/>
          <w:lang w:val="es-ES"/>
        </w:rPr>
        <w:t>{EN}</w:t>
      </w:r>
      <w:r w:rsidRPr="00E609F4">
        <w:rPr>
          <w:lang w:val="es-ES"/>
        </w:rPr>
        <w:t>en</w:t>
      </w:r>
      <w:r w:rsidRPr="00E609F4">
        <w:rPr>
          <w:rStyle w:val="HideTWBExt"/>
          <w:lang w:val="es-ES"/>
        </w:rPr>
        <w:t>&lt;/Original&gt;</w:t>
      </w:r>
    </w:p>
    <w:p w:rsidR="00E33FD9" w:rsidRPr="00E609F4" w:rsidRDefault="00ED2F3D" w:rsidP="00E33FD9">
      <w:pPr>
        <w:rPr>
          <w:lang w:val="es-ES"/>
        </w:rPr>
      </w:pPr>
      <w:r w:rsidRPr="00E609F4">
        <w:rPr>
          <w:rStyle w:val="HideTWBExt"/>
          <w:lang w:val="es-ES"/>
        </w:rPr>
        <w:t>&lt;/Amend&gt;</w:t>
      </w:r>
    </w:p>
    <w:p w:rsidR="00E33FD9" w:rsidRPr="00E609F4" w:rsidRDefault="00ED2F3D" w:rsidP="00E33FD9">
      <w:pPr>
        <w:pStyle w:val="AmNumberTabs"/>
        <w:rPr>
          <w:lang w:val="es-ES"/>
        </w:rPr>
      </w:pPr>
      <w:r w:rsidRPr="00E609F4">
        <w:rPr>
          <w:rStyle w:val="HideTWBExt"/>
          <w:lang w:val="es-ES"/>
        </w:rPr>
        <w:t>&lt;Amend&gt;</w:t>
      </w:r>
      <w:r w:rsidRPr="00E609F4">
        <w:rPr>
          <w:lang w:val="es-ES"/>
        </w:rPr>
        <w:t>Emendamento</w:t>
      </w:r>
      <w:r w:rsidRPr="00E609F4">
        <w:rPr>
          <w:lang w:val="es-ES"/>
        </w:rPr>
        <w:tab/>
      </w:r>
      <w:r w:rsidRPr="00E609F4">
        <w:rPr>
          <w:lang w:val="es-ES"/>
        </w:rPr>
        <w:tab/>
      </w:r>
      <w:r w:rsidRPr="00E609F4">
        <w:rPr>
          <w:rStyle w:val="HideTWBExt"/>
          <w:lang w:val="es-ES"/>
        </w:rPr>
        <w:t>&lt;NumAm&gt;</w:t>
      </w:r>
      <w:r w:rsidRPr="00E609F4">
        <w:rPr>
          <w:lang w:val="es-ES"/>
        </w:rPr>
        <w:t>31</w:t>
      </w:r>
      <w:r w:rsidRPr="00E609F4">
        <w:rPr>
          <w:rStyle w:val="HideTWBExt"/>
          <w:lang w:val="es-ES"/>
        </w:rPr>
        <w:t>&lt;/NumAm&gt;</w:t>
      </w:r>
    </w:p>
    <w:p w:rsidR="00E33FD9" w:rsidRPr="00E609F4" w:rsidRDefault="00ED2F3D" w:rsidP="00E33FD9">
      <w:pPr>
        <w:pStyle w:val="NormalBold"/>
        <w:rPr>
          <w:lang w:val="es-ES"/>
        </w:rPr>
      </w:pPr>
      <w:r w:rsidRPr="00E609F4">
        <w:rPr>
          <w:rStyle w:val="HideTWBExt"/>
          <w:b w:val="0"/>
          <w:lang w:val="es-ES"/>
        </w:rPr>
        <w:t>&lt;RepeatBlock-By&gt;&lt;Members&gt;</w:t>
      </w:r>
      <w:r w:rsidRPr="00E609F4">
        <w:rPr>
          <w:lang w:val="es-ES"/>
        </w:rPr>
        <w:t>Estrella Galán</w:t>
      </w:r>
      <w:r w:rsidRPr="00E609F4">
        <w:rPr>
          <w:rStyle w:val="HideTWBExt"/>
          <w:b w:val="0"/>
          <w:lang w:val="es-ES"/>
        </w:rPr>
        <w:t>&lt;/Members&gt;</w:t>
      </w:r>
    </w:p>
    <w:p w:rsidR="00E33FD9" w:rsidRPr="00E609F4" w:rsidRDefault="00ED2F3D" w:rsidP="00E33FD9">
      <w:pPr>
        <w:pStyle w:val="NormalBold"/>
        <w:rPr>
          <w:lang w:val="es-ES"/>
        </w:rPr>
      </w:pPr>
      <w:r w:rsidRPr="00E609F4">
        <w:rPr>
          <w:rStyle w:val="HideTWBExt"/>
          <w:b w:val="0"/>
          <w:lang w:val="es-ES"/>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Articolo 10 – 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w:t>
            </w:r>
            <w:r>
              <w:t xml:space="preserve">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3.</w:t>
            </w:r>
            <w:r>
              <w:tab/>
            </w:r>
            <w:r>
              <w:rPr>
                <w:b/>
                <w:i/>
              </w:rPr>
              <w:t>Fatta salva la necessità di trattamento ai sensi del diritto dell'Unione e nazionale,</w:t>
            </w:r>
            <w:r>
              <w:t xml:space="preserve"> gli identificatori biometrici memorizzati ai fini della personalizzazione delle carte d'identità o dei titoli di soggiorno sono conserv</w:t>
            </w:r>
            <w:r>
              <w:t>ati in modo altamente sicuro e solo fino alla data di ritiro del documento e, in ogni caso, non oltre 90 giorni dalla data di rilascio. Trascorso tale periodo, tali identificatori biometrici sono immediatamente cancellati o distrutti.</w:t>
            </w:r>
          </w:p>
        </w:tc>
        <w:tc>
          <w:tcPr>
            <w:tcW w:w="4876" w:type="dxa"/>
            <w:tcBorders>
              <w:top w:val="nil"/>
              <w:left w:val="nil"/>
              <w:bottom w:val="nil"/>
              <w:right w:val="nil"/>
            </w:tcBorders>
          </w:tcPr>
          <w:p w:rsidR="00E33FD9" w:rsidRPr="00E9477D" w:rsidRDefault="00ED2F3D" w:rsidP="00E275B2">
            <w:pPr>
              <w:pStyle w:val="Normal6a"/>
            </w:pPr>
            <w:r>
              <w:t>3.</w:t>
            </w:r>
            <w:r>
              <w:tab/>
              <w:t>Gli identificatori</w:t>
            </w:r>
            <w:r>
              <w:t xml:space="preserve"> biometrici memorizzati ai fini della personalizzazione delle carte d'identità o dei titoli di soggiorno</w:t>
            </w:r>
            <w:r>
              <w:rPr>
                <w:b/>
                <w:i/>
              </w:rPr>
              <w:t xml:space="preserve"> sono trattati esclusivamente per tale finalità e</w:t>
            </w:r>
            <w:r>
              <w:t xml:space="preserve"> sono conservati in modo altamente sicuro e solo fino alla data di ritiro del documento e, in ogni caso</w:t>
            </w:r>
            <w:r>
              <w:t>, non oltre 90 giorni dalla data di rilascio. Trascorso tale periodo, tali identificatori biometrici sono immediatamente cancellati o distrutti.</w:t>
            </w:r>
          </w:p>
        </w:tc>
      </w:tr>
    </w:tbl>
    <w:p w:rsidR="00E33FD9" w:rsidRPr="00E609F4" w:rsidRDefault="00ED2F3D" w:rsidP="00E33FD9">
      <w:pPr>
        <w:pStyle w:val="AmOrLang"/>
        <w:rPr>
          <w:lang w:val="sv-SE"/>
        </w:rPr>
      </w:pPr>
      <w:r w:rsidRPr="00E609F4">
        <w:rPr>
          <w:lang w:val="sv-SE"/>
        </w:rPr>
        <w:t xml:space="preserve">Or. </w:t>
      </w:r>
      <w:r w:rsidRPr="00E609F4">
        <w:rPr>
          <w:rStyle w:val="HideTWBExt"/>
          <w:lang w:val="sv-SE"/>
        </w:rPr>
        <w:t>&lt;Original&gt;</w:t>
      </w:r>
      <w:r w:rsidRPr="00E609F4">
        <w:rPr>
          <w:rStyle w:val="HideTWBInt"/>
          <w:lang w:val="sv-SE"/>
        </w:rPr>
        <w:t>{EN}</w:t>
      </w:r>
      <w:r w:rsidRPr="00E609F4">
        <w:rPr>
          <w:lang w:val="sv-SE"/>
        </w:rPr>
        <w:t>en</w:t>
      </w:r>
      <w:r w:rsidRPr="00E609F4">
        <w:rPr>
          <w:rStyle w:val="HideTWBExt"/>
          <w:lang w:val="sv-SE"/>
        </w:rPr>
        <w:t>&lt;/Original&gt;</w:t>
      </w:r>
    </w:p>
    <w:p w:rsidR="00E33FD9" w:rsidRPr="00E609F4" w:rsidRDefault="00ED2F3D" w:rsidP="00E33FD9">
      <w:pPr>
        <w:rPr>
          <w:lang w:val="sv-SE"/>
        </w:rPr>
      </w:pPr>
      <w:r w:rsidRPr="00E609F4">
        <w:rPr>
          <w:rStyle w:val="HideTWBExt"/>
          <w:lang w:val="sv-SE"/>
        </w:rPr>
        <w:t>&lt;/Amend&gt;</w:t>
      </w:r>
    </w:p>
    <w:p w:rsidR="00E33FD9" w:rsidRPr="00E609F4" w:rsidRDefault="00ED2F3D" w:rsidP="00E33FD9">
      <w:pPr>
        <w:pStyle w:val="AmNumberTabs"/>
        <w:rPr>
          <w:lang w:val="sv-SE"/>
        </w:rPr>
      </w:pPr>
      <w:r w:rsidRPr="00E609F4">
        <w:rPr>
          <w:rStyle w:val="HideTWBExt"/>
          <w:lang w:val="sv-SE"/>
        </w:rPr>
        <w:t>&lt;Amend&gt;</w:t>
      </w:r>
      <w:r w:rsidRPr="00E609F4">
        <w:rPr>
          <w:lang w:val="sv-SE"/>
        </w:rPr>
        <w:t>Emendamento</w:t>
      </w:r>
      <w:r w:rsidRPr="00E609F4">
        <w:rPr>
          <w:lang w:val="sv-SE"/>
        </w:rPr>
        <w:tab/>
      </w:r>
      <w:r w:rsidRPr="00E609F4">
        <w:rPr>
          <w:lang w:val="sv-SE"/>
        </w:rPr>
        <w:tab/>
      </w:r>
      <w:r w:rsidRPr="00E609F4">
        <w:rPr>
          <w:rStyle w:val="HideTWBExt"/>
          <w:lang w:val="sv-SE"/>
        </w:rPr>
        <w:t>&lt;NumAm&gt;</w:t>
      </w:r>
      <w:r w:rsidRPr="00E609F4">
        <w:rPr>
          <w:lang w:val="sv-SE"/>
        </w:rPr>
        <w:t>32</w:t>
      </w:r>
      <w:r w:rsidRPr="00E609F4">
        <w:rPr>
          <w:rStyle w:val="HideTWBExt"/>
          <w:lang w:val="sv-SE"/>
        </w:rPr>
        <w:t>&lt;/NumAm&gt;</w:t>
      </w:r>
    </w:p>
    <w:p w:rsidR="00E33FD9" w:rsidRPr="00E609F4" w:rsidRDefault="00ED2F3D" w:rsidP="00E33FD9">
      <w:pPr>
        <w:pStyle w:val="NormalBold"/>
        <w:rPr>
          <w:lang w:val="sv-SE"/>
        </w:rPr>
      </w:pPr>
      <w:r w:rsidRPr="00E609F4">
        <w:rPr>
          <w:rStyle w:val="HideTWBExt"/>
          <w:b w:val="0"/>
          <w:lang w:val="sv-SE"/>
        </w:rPr>
        <w:t>&lt;RepeatBlock-By&gt;&lt;Members&gt;</w:t>
      </w:r>
      <w:r w:rsidRPr="00E609F4">
        <w:rPr>
          <w:lang w:val="sv-SE"/>
        </w:rPr>
        <w:t xml:space="preserve">Anna </w:t>
      </w:r>
      <w:r w:rsidRPr="00E609F4">
        <w:rPr>
          <w:lang w:val="sv-SE"/>
        </w:rPr>
        <w:t>Strolenberg</w:t>
      </w:r>
      <w:r w:rsidRPr="00E609F4">
        <w:rPr>
          <w:rStyle w:val="HideTWBExt"/>
          <w:b w:val="0"/>
          <w:lang w:val="sv-SE"/>
        </w:rPr>
        <w:t>&lt;/Members&gt;</w:t>
      </w:r>
    </w:p>
    <w:p w:rsidR="00E33FD9" w:rsidRPr="00E9477D" w:rsidRDefault="00ED2F3D" w:rsidP="00E33FD9">
      <w:r>
        <w:rPr>
          <w:rStyle w:val="HideTWBExt"/>
        </w:rPr>
        <w:t>&lt;AuNomDe&gt;</w:t>
      </w:r>
      <w:r>
        <w:rPr>
          <w:rStyle w:val="HideTWBInt"/>
          <w:color w:val="auto"/>
        </w:rPr>
        <w:t>{Greens/EFA}</w:t>
      </w:r>
      <w:r>
        <w:t>a nome del gruppo Verts/ALE</w:t>
      </w:r>
      <w:r>
        <w:rPr>
          <w:rStyle w:val="HideTWBExt"/>
        </w:rPr>
        <w:t>&lt;/AuNomDe&gt;</w:t>
      </w:r>
    </w:p>
    <w:p w:rsidR="00E33FD9" w:rsidRPr="00E9477D" w:rsidRDefault="00ED2F3D" w:rsidP="00E33FD9">
      <w:pPr>
        <w:pStyle w:val="NormalBold"/>
      </w:pPr>
      <w:r>
        <w:rPr>
          <w:rStyle w:val="HideTWBExt"/>
          <w:b w:val="0"/>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Articolo 10 – 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3.</w:t>
            </w:r>
            <w:r>
              <w:tab/>
            </w:r>
            <w:r>
              <w:rPr>
                <w:b/>
                <w:i/>
              </w:rPr>
              <w:t xml:space="preserve">Fatta salva la necessità </w:t>
            </w:r>
            <w:r>
              <w:rPr>
                <w:b/>
                <w:i/>
              </w:rPr>
              <w:t>di trattamento ai sensi del diritto dell'Unione e nazionale,</w:t>
            </w:r>
            <w:r>
              <w:t xml:space="preserve"> gli identificatori biometrici </w:t>
            </w:r>
            <w:r>
              <w:lastRenderedPageBreak/>
              <w:t>memorizzati ai fini della personalizzazione delle carte d'identità o dei titoli di soggiorno sono conservati in modo altamente sicuro e solo fino alla data di ritiro</w:t>
            </w:r>
            <w:r>
              <w:t xml:space="preserve"> del documento e, in ogni caso, non oltre 90 giorni dalla data di rilascio. Trascorso tale periodo, tali identificatori biometrici sono immediatamente cancellati o distrutti.</w:t>
            </w:r>
          </w:p>
        </w:tc>
        <w:tc>
          <w:tcPr>
            <w:tcW w:w="4876" w:type="dxa"/>
            <w:tcBorders>
              <w:top w:val="nil"/>
              <w:left w:val="nil"/>
              <w:bottom w:val="nil"/>
              <w:right w:val="nil"/>
            </w:tcBorders>
          </w:tcPr>
          <w:p w:rsidR="00E33FD9" w:rsidRPr="00E9477D" w:rsidRDefault="00ED2F3D" w:rsidP="00E275B2">
            <w:pPr>
              <w:pStyle w:val="Normal6a"/>
            </w:pPr>
            <w:r>
              <w:lastRenderedPageBreak/>
              <w:t>3.</w:t>
            </w:r>
            <w:r>
              <w:tab/>
              <w:t>Gli identificatori biometrici memorizzati ai fini della personalizzazione dell</w:t>
            </w:r>
            <w:r>
              <w:t xml:space="preserve">e carte d'identità o dei titoli di </w:t>
            </w:r>
            <w:r>
              <w:lastRenderedPageBreak/>
              <w:t>soggiorno</w:t>
            </w:r>
            <w:r>
              <w:rPr>
                <w:b/>
                <w:i/>
              </w:rPr>
              <w:t xml:space="preserve"> sono trattati esclusivamente per tale finalità. Essi</w:t>
            </w:r>
            <w:r>
              <w:t xml:space="preserve"> sono conservati in modo altamente sicuro e solo fino alla data di ritiro del documento e, in ogni caso, non oltre 90 giorni dalla data di rilascio. Trascorso </w:t>
            </w:r>
            <w:r>
              <w:t>tale periodo, tali identificatori biometrici sono immediatamente cancellati o distrutti.</w:t>
            </w:r>
          </w:p>
        </w:tc>
      </w:tr>
    </w:tbl>
    <w:p w:rsidR="00E33FD9" w:rsidRPr="00E9477D" w:rsidRDefault="00ED2F3D" w:rsidP="00E33FD9">
      <w:pPr>
        <w:pStyle w:val="AmOrLang"/>
      </w:pPr>
      <w:r w:rsidRPr="00E9477D">
        <w:lastRenderedPageBreak/>
        <w:t xml:space="preserve">Or. </w:t>
      </w:r>
      <w:r w:rsidRPr="00E9477D">
        <w:rPr>
          <w:rStyle w:val="HideTWBExt"/>
        </w:rPr>
        <w:t>&lt;Original&gt;</w:t>
      </w:r>
      <w:r w:rsidRPr="00E9477D">
        <w:rPr>
          <w:rStyle w:val="HideTWBInt"/>
        </w:rPr>
        <w:t>{EN}</w:t>
      </w:r>
      <w:r w:rsidRPr="00E9477D">
        <w:t>en</w:t>
      </w:r>
      <w:r w:rsidRPr="00E9477D">
        <w:rPr>
          <w:rStyle w:val="HideTWBExt"/>
        </w:rPr>
        <w:t>&lt;/Original&gt;</w:t>
      </w:r>
    </w:p>
    <w:p w:rsidR="00E33FD9" w:rsidRPr="00E9477D" w:rsidRDefault="00ED2F3D" w:rsidP="00E33FD9">
      <w:r>
        <w:rPr>
          <w:rStyle w:val="HideTWBExt"/>
        </w:rPr>
        <w:t>&lt;/Amend&gt;</w:t>
      </w:r>
    </w:p>
    <w:p w:rsidR="00E33FD9" w:rsidRPr="00E9477D" w:rsidRDefault="00ED2F3D" w:rsidP="00E33FD9">
      <w:pPr>
        <w:pStyle w:val="AmNumberTabs"/>
      </w:pPr>
      <w:r>
        <w:rPr>
          <w:rStyle w:val="HideTWBExt"/>
        </w:rPr>
        <w:t>&lt;Amend&gt;</w:t>
      </w:r>
      <w:r>
        <w:t>Emendamento</w:t>
      </w:r>
      <w:r>
        <w:tab/>
      </w:r>
      <w:r>
        <w:tab/>
      </w:r>
      <w:r>
        <w:rPr>
          <w:rStyle w:val="HideTWBExt"/>
        </w:rPr>
        <w:t>&lt;NumAm&gt;</w:t>
      </w:r>
      <w:r>
        <w:t>33</w:t>
      </w:r>
      <w:r>
        <w:rPr>
          <w:rStyle w:val="HideTWBExt"/>
        </w:rPr>
        <w:t>&lt;/NumAm&gt;</w:t>
      </w:r>
    </w:p>
    <w:p w:rsidR="00E33FD9" w:rsidRPr="00E9477D" w:rsidRDefault="00ED2F3D" w:rsidP="00E33FD9">
      <w:pPr>
        <w:pStyle w:val="NormalBold"/>
      </w:pPr>
      <w:r>
        <w:rPr>
          <w:rStyle w:val="HideTWBExt"/>
          <w:b w:val="0"/>
        </w:rPr>
        <w:t>&lt;RepeatBlock-By&gt;&lt;Members&gt;</w:t>
      </w:r>
      <w:r>
        <w:t>Francisco Assis, Krzysztof Śmiszek, Ana Catarina Mendes, Marco</w:t>
      </w:r>
      <w:r>
        <w:t xml:space="preserve"> Tarquinio, Emma Rafowicz, Alessandro Zan</w:t>
      </w:r>
      <w:r>
        <w:rPr>
          <w:rStyle w:val="HideTWBExt"/>
          <w:b w:val="0"/>
        </w:rPr>
        <w:t>&lt;/Members&gt;</w:t>
      </w:r>
    </w:p>
    <w:p w:rsidR="00E33FD9" w:rsidRPr="00E9477D" w:rsidRDefault="00ED2F3D" w:rsidP="00E33FD9">
      <w:pPr>
        <w:pStyle w:val="NormalBold"/>
      </w:pPr>
      <w:r>
        <w:rPr>
          <w:rStyle w:val="HideTWBExt"/>
          <w:b w:val="0"/>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Articolo 10 – 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3.</w:t>
            </w:r>
            <w:r>
              <w:tab/>
            </w:r>
            <w:r>
              <w:rPr>
                <w:b/>
                <w:i/>
              </w:rPr>
              <w:t xml:space="preserve">Fatta salva la necessità di trattamento ai sensi del </w:t>
            </w:r>
            <w:r>
              <w:rPr>
                <w:b/>
                <w:i/>
              </w:rPr>
              <w:t>diritto dell'Unione e nazionale,</w:t>
            </w:r>
            <w:r>
              <w:t xml:space="preserve"> gli identificatori biometrici memorizzati ai fini della personalizzazione delle carte d'identità o dei titoli di soggiorno sono conservati in modo altamente sicuro e solo fino alla data di ritiro del documento e, in ogni ca</w:t>
            </w:r>
            <w:r>
              <w:t>so, non oltre 90 giorni dalla data di rilascio. Trascorso tale periodo, tali identificatori biometrici sono immediatamente cancellati o distrutti.</w:t>
            </w:r>
          </w:p>
        </w:tc>
        <w:tc>
          <w:tcPr>
            <w:tcW w:w="4876" w:type="dxa"/>
            <w:tcBorders>
              <w:top w:val="nil"/>
              <w:left w:val="nil"/>
              <w:bottom w:val="nil"/>
              <w:right w:val="nil"/>
            </w:tcBorders>
          </w:tcPr>
          <w:p w:rsidR="00E33FD9" w:rsidRPr="00E9477D" w:rsidRDefault="00ED2F3D" w:rsidP="00E275B2">
            <w:pPr>
              <w:pStyle w:val="Normal6a"/>
            </w:pPr>
            <w:r>
              <w:t>3.</w:t>
            </w:r>
            <w:r>
              <w:tab/>
              <w:t>Gli identificatori biometrici memorizzati ai fini della personalizzazione delle carte d'identità o dei tit</w:t>
            </w:r>
            <w:r>
              <w:t>oli di soggiorno</w:t>
            </w:r>
            <w:r>
              <w:rPr>
                <w:b/>
                <w:i/>
              </w:rPr>
              <w:t xml:space="preserve"> sono trattati esclusivamente per tale finalità e</w:t>
            </w:r>
            <w:r>
              <w:t xml:space="preserve"> sono conservati in modo altamente sicuro e solo fino alla data di ritiro del documento e, in ogni caso, non oltre 90 giorni dalla data di rilascio. Trascorso tale periodo, tali identificator</w:t>
            </w:r>
            <w:r>
              <w:t>i biometrici sono immediatamente cancellati o distrutti.</w:t>
            </w:r>
          </w:p>
        </w:tc>
      </w:tr>
    </w:tbl>
    <w:p w:rsidR="00E33FD9" w:rsidRPr="00E609F4" w:rsidRDefault="00ED2F3D" w:rsidP="00E33FD9">
      <w:pPr>
        <w:pStyle w:val="AmOrLang"/>
        <w:rPr>
          <w:lang w:val="es-ES"/>
        </w:rPr>
      </w:pPr>
      <w:r w:rsidRPr="00E609F4">
        <w:rPr>
          <w:lang w:val="es-ES"/>
        </w:rPr>
        <w:t xml:space="preserve">Or. </w:t>
      </w:r>
      <w:r w:rsidRPr="00E609F4">
        <w:rPr>
          <w:rStyle w:val="HideTWBExt"/>
          <w:lang w:val="es-ES"/>
        </w:rPr>
        <w:t>&lt;Original&gt;</w:t>
      </w:r>
      <w:r w:rsidRPr="00E609F4">
        <w:rPr>
          <w:rStyle w:val="HideTWBInt"/>
          <w:lang w:val="es-ES"/>
        </w:rPr>
        <w:t>{EN}</w:t>
      </w:r>
      <w:r w:rsidRPr="00E609F4">
        <w:rPr>
          <w:lang w:val="es-ES"/>
        </w:rPr>
        <w:t>en</w:t>
      </w:r>
      <w:r w:rsidRPr="00E609F4">
        <w:rPr>
          <w:rStyle w:val="HideTWBExt"/>
          <w:lang w:val="es-ES"/>
        </w:rPr>
        <w:t>&lt;/Original&gt;</w:t>
      </w:r>
    </w:p>
    <w:p w:rsidR="00E33FD9" w:rsidRPr="00E609F4" w:rsidRDefault="00ED2F3D" w:rsidP="00E33FD9">
      <w:pPr>
        <w:rPr>
          <w:lang w:val="es-ES"/>
        </w:rPr>
      </w:pPr>
      <w:r w:rsidRPr="00E609F4">
        <w:rPr>
          <w:rStyle w:val="HideTWBExt"/>
          <w:lang w:val="es-ES"/>
        </w:rPr>
        <w:t>&lt;/Amend&gt;</w:t>
      </w:r>
    </w:p>
    <w:p w:rsidR="00E33FD9" w:rsidRPr="00E609F4" w:rsidRDefault="00ED2F3D" w:rsidP="00E33FD9">
      <w:pPr>
        <w:pStyle w:val="AmNumberTabs"/>
        <w:rPr>
          <w:lang w:val="es-ES"/>
        </w:rPr>
      </w:pPr>
      <w:r w:rsidRPr="00E609F4">
        <w:rPr>
          <w:rStyle w:val="HideTWBExt"/>
          <w:lang w:val="es-ES"/>
        </w:rPr>
        <w:t>&lt;Amend&gt;</w:t>
      </w:r>
      <w:r w:rsidRPr="00E609F4">
        <w:rPr>
          <w:lang w:val="es-ES"/>
        </w:rPr>
        <w:t>Emendamento</w:t>
      </w:r>
      <w:r w:rsidRPr="00E609F4">
        <w:rPr>
          <w:lang w:val="es-ES"/>
        </w:rPr>
        <w:tab/>
      </w:r>
      <w:r w:rsidRPr="00E609F4">
        <w:rPr>
          <w:lang w:val="es-ES"/>
        </w:rPr>
        <w:tab/>
      </w:r>
      <w:r w:rsidRPr="00E609F4">
        <w:rPr>
          <w:rStyle w:val="HideTWBExt"/>
          <w:lang w:val="es-ES"/>
        </w:rPr>
        <w:t>&lt;NumAm&gt;</w:t>
      </w:r>
      <w:r w:rsidRPr="00E609F4">
        <w:rPr>
          <w:lang w:val="es-ES"/>
        </w:rPr>
        <w:t>34</w:t>
      </w:r>
      <w:r w:rsidRPr="00E609F4">
        <w:rPr>
          <w:rStyle w:val="HideTWBExt"/>
          <w:lang w:val="es-ES"/>
        </w:rPr>
        <w:t>&lt;/NumAm&gt;</w:t>
      </w:r>
    </w:p>
    <w:p w:rsidR="00E33FD9" w:rsidRPr="00E609F4" w:rsidRDefault="00ED2F3D" w:rsidP="00E33FD9">
      <w:pPr>
        <w:pStyle w:val="NormalBold"/>
        <w:rPr>
          <w:lang w:val="es-ES"/>
        </w:rPr>
      </w:pPr>
      <w:r w:rsidRPr="00E609F4">
        <w:rPr>
          <w:rStyle w:val="HideTWBExt"/>
          <w:b w:val="0"/>
          <w:lang w:val="es-ES"/>
        </w:rPr>
        <w:t>&lt;RepeatBlock-By&gt;&lt;Members&gt;</w:t>
      </w:r>
      <w:r w:rsidRPr="00E609F4">
        <w:rPr>
          <w:lang w:val="es-ES"/>
        </w:rPr>
        <w:t>Tomáš Zdechovský</w:t>
      </w:r>
      <w:r w:rsidRPr="00E609F4">
        <w:rPr>
          <w:rStyle w:val="HideTWBExt"/>
          <w:b w:val="0"/>
          <w:lang w:val="es-ES"/>
        </w:rPr>
        <w:t>&lt;/Members&gt;</w:t>
      </w:r>
    </w:p>
    <w:p w:rsidR="00E33FD9" w:rsidRPr="00E609F4" w:rsidRDefault="00ED2F3D" w:rsidP="00E33FD9">
      <w:pPr>
        <w:pStyle w:val="NormalBold"/>
        <w:rPr>
          <w:lang w:val="es-ES"/>
        </w:rPr>
      </w:pPr>
      <w:r w:rsidRPr="00E609F4">
        <w:rPr>
          <w:rStyle w:val="HideTWBExt"/>
          <w:b w:val="0"/>
          <w:lang w:val="es-ES"/>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Articolo 11 – 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4.</w:t>
            </w:r>
            <w:r>
              <w:tab/>
              <w:t>La cooperazione con i fornitori esterni di servizi non esclude la responsabilità dello Stato membro</w:t>
            </w:r>
            <w:r>
              <w:rPr>
                <w:b/>
                <w:i/>
              </w:rPr>
              <w:t xml:space="preserve"> che possa derivare dal</w:t>
            </w:r>
            <w:r>
              <w:t xml:space="preserve"> diritto dell'Unione </w:t>
            </w:r>
            <w:r>
              <w:rPr>
                <w:b/>
                <w:i/>
              </w:rPr>
              <w:t>o</w:t>
            </w:r>
            <w:r>
              <w:t xml:space="preserve"> nazionale in </w:t>
            </w:r>
            <w:r>
              <w:rPr>
                <w:b/>
                <w:i/>
              </w:rPr>
              <w:t>caso</w:t>
            </w:r>
            <w:r>
              <w:t xml:space="preserve"> di </w:t>
            </w:r>
            <w:r>
              <w:rPr>
                <w:b/>
                <w:i/>
              </w:rPr>
              <w:t>violazione degli obblighi in materia di</w:t>
            </w:r>
            <w:r>
              <w:t xml:space="preserve"> dati personali.</w:t>
            </w:r>
          </w:p>
        </w:tc>
        <w:tc>
          <w:tcPr>
            <w:tcW w:w="4876" w:type="dxa"/>
            <w:tcBorders>
              <w:top w:val="nil"/>
              <w:left w:val="nil"/>
              <w:bottom w:val="nil"/>
              <w:right w:val="nil"/>
            </w:tcBorders>
          </w:tcPr>
          <w:p w:rsidR="00E33FD9" w:rsidRPr="00E9477D" w:rsidRDefault="00ED2F3D" w:rsidP="00E275B2">
            <w:pPr>
              <w:pStyle w:val="Normal6a"/>
            </w:pPr>
            <w:r>
              <w:t>4.</w:t>
            </w:r>
            <w:r>
              <w:tab/>
              <w:t>La cooperazione con i fornitori esterni di servizi non esclude la responsabilità dello Stato membro</w:t>
            </w:r>
            <w:r>
              <w:rPr>
                <w:b/>
                <w:i/>
              </w:rPr>
              <w:t>. Gli Stati membri provvedono affinché tutti i fornitori esterni rispettino il</w:t>
            </w:r>
            <w:r>
              <w:t xml:space="preserve"> diritto dell'Unione</w:t>
            </w:r>
            <w:r>
              <w:t xml:space="preserve"> </w:t>
            </w:r>
            <w:r>
              <w:rPr>
                <w:b/>
                <w:i/>
              </w:rPr>
              <w:t>e</w:t>
            </w:r>
            <w:r>
              <w:t xml:space="preserve"> nazionale in </w:t>
            </w:r>
            <w:r>
              <w:rPr>
                <w:b/>
                <w:i/>
              </w:rPr>
              <w:t>materia</w:t>
            </w:r>
            <w:r>
              <w:t xml:space="preserve"> di </w:t>
            </w:r>
            <w:r>
              <w:rPr>
                <w:b/>
                <w:i/>
              </w:rPr>
              <w:t>protezione dei dati, e sono adottate misure supplementari per prevenire qualsiasi accesso non autorizzato ai</w:t>
            </w:r>
            <w:r>
              <w:t xml:space="preserve"> dati personali</w:t>
            </w:r>
            <w:r>
              <w:rPr>
                <w:b/>
                <w:i/>
              </w:rPr>
              <w:t xml:space="preserve"> o qualsiasi uso improprio degli stessi durante i processi esternalizzati</w:t>
            </w:r>
            <w:r>
              <w:t>.</w:t>
            </w:r>
          </w:p>
        </w:tc>
      </w:tr>
    </w:tbl>
    <w:p w:rsidR="00E33FD9" w:rsidRPr="00E9477D" w:rsidRDefault="00ED2F3D" w:rsidP="00E33FD9">
      <w:pPr>
        <w:pStyle w:val="AmOrLang"/>
      </w:pPr>
      <w:r w:rsidRPr="00E9477D">
        <w:t xml:space="preserve">Or. </w:t>
      </w:r>
      <w:r w:rsidRPr="00E9477D">
        <w:rPr>
          <w:rStyle w:val="HideTWBExt"/>
        </w:rPr>
        <w:t>&lt;Original&gt;</w:t>
      </w:r>
      <w:r w:rsidRPr="00E9477D">
        <w:rPr>
          <w:rStyle w:val="HideTWBInt"/>
        </w:rPr>
        <w:t>{EN}</w:t>
      </w:r>
      <w:r w:rsidRPr="00E9477D">
        <w:t>en</w:t>
      </w:r>
      <w:r w:rsidRPr="00E9477D">
        <w:rPr>
          <w:rStyle w:val="HideTWBExt"/>
        </w:rPr>
        <w:t>&lt;/Original&gt;</w:t>
      </w:r>
    </w:p>
    <w:p w:rsidR="00E33FD9" w:rsidRPr="00E9477D" w:rsidRDefault="00ED2F3D" w:rsidP="00E33FD9">
      <w:r>
        <w:rPr>
          <w:rStyle w:val="HideTWBExt"/>
        </w:rPr>
        <w:t>&lt;/Amend&gt;</w:t>
      </w:r>
    </w:p>
    <w:p w:rsidR="00E33FD9" w:rsidRPr="00E9477D" w:rsidRDefault="00ED2F3D" w:rsidP="00E33FD9">
      <w:pPr>
        <w:pStyle w:val="AMNumberTabs0"/>
        <w:keepNext/>
      </w:pPr>
      <w:r>
        <w:rPr>
          <w:rStyle w:val="HideTWBExt"/>
          <w:b w:val="0"/>
        </w:rPr>
        <w:t>&lt;Amend&gt;</w:t>
      </w:r>
      <w:r>
        <w:t>Emendamento</w:t>
      </w:r>
      <w:r>
        <w:tab/>
      </w:r>
      <w:r>
        <w:tab/>
      </w:r>
      <w:r>
        <w:rPr>
          <w:rStyle w:val="HideTWBExt"/>
          <w:b w:val="0"/>
        </w:rPr>
        <w:t>&lt;NumAm&gt;</w:t>
      </w:r>
      <w:r>
        <w:t>35</w:t>
      </w:r>
      <w:r>
        <w:rPr>
          <w:rStyle w:val="HideTWBExt"/>
          <w:b w:val="0"/>
        </w:rPr>
        <w:t>&lt;/NumAm&gt;</w:t>
      </w:r>
    </w:p>
    <w:p w:rsidR="00E33FD9" w:rsidRPr="00E9477D" w:rsidRDefault="00ED2F3D" w:rsidP="00E33FD9">
      <w:pPr>
        <w:pStyle w:val="NormalBold"/>
      </w:pPr>
      <w:r>
        <w:rPr>
          <w:rStyle w:val="HideTWBExt"/>
          <w:b w:val="0"/>
        </w:rPr>
        <w:t>&lt;RepeatBlock-By&gt;&lt;Members&gt;</w:t>
      </w:r>
      <w:r>
        <w:t>Malik Azmani, Jeannette Baljeu, Lucia Yar, Raquel García Hermida-Van Der Walle</w:t>
      </w:r>
      <w:r>
        <w:rPr>
          <w:rStyle w:val="HideTWBExt"/>
          <w:b w:val="0"/>
        </w:rPr>
        <w:t>&lt;/Members&gt;</w:t>
      </w:r>
    </w:p>
    <w:p w:rsidR="00E33FD9" w:rsidRPr="00E9477D" w:rsidRDefault="00ED2F3D" w:rsidP="00E33FD9">
      <w:r>
        <w:rPr>
          <w:rStyle w:val="HideTWBExt"/>
        </w:rPr>
        <w:t>&lt;/RepeatBlock-By&gt;</w:t>
      </w:r>
    </w:p>
    <w:p w:rsidR="00E33FD9" w:rsidRPr="00E9477D" w:rsidRDefault="00ED2F3D" w:rsidP="00E33FD9">
      <w:pPr>
        <w:pStyle w:val="NormalBold"/>
        <w:keepNext/>
      </w:pPr>
      <w:r>
        <w:rPr>
          <w:rStyle w:val="HideTWBExt"/>
          <w:b w:val="0"/>
        </w:rPr>
        <w:t>&lt;DocAmend&gt;</w:t>
      </w:r>
      <w:r>
        <w:t>Proposta di regolamento</w:t>
      </w:r>
      <w:r>
        <w:rPr>
          <w:rStyle w:val="HideTWBExt"/>
          <w:b w:val="0"/>
        </w:rPr>
        <w:t>&lt;/DocAmend&gt;</w:t>
      </w:r>
    </w:p>
    <w:p w:rsidR="00E33FD9" w:rsidRPr="00E9477D" w:rsidRDefault="00ED2F3D" w:rsidP="00E33FD9">
      <w:pPr>
        <w:pStyle w:val="NormalBold"/>
      </w:pPr>
      <w:r>
        <w:rPr>
          <w:rStyle w:val="HideTWBExt"/>
          <w:b w:val="0"/>
        </w:rPr>
        <w:t>&lt;Article&gt;</w:t>
      </w:r>
      <w:r>
        <w:t>Articolo 11</w:t>
      </w:r>
      <w:r>
        <w:t xml:space="preserve"> – paragrafo 6 – comma 1 – parte introduttiva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982" w:rsidTr="00E275B2">
        <w:trPr>
          <w:jc w:val="center"/>
        </w:trPr>
        <w:tc>
          <w:tcPr>
            <w:tcW w:w="9752" w:type="dxa"/>
            <w:gridSpan w:val="2"/>
          </w:tcPr>
          <w:p w:rsidR="00E33FD9" w:rsidRPr="00E9477D" w:rsidRDefault="00E33FD9" w:rsidP="00E275B2">
            <w:pPr>
              <w:keepNext/>
            </w:pPr>
          </w:p>
        </w:tc>
      </w:tr>
      <w:tr w:rsidR="00BE4982" w:rsidTr="00E275B2">
        <w:trPr>
          <w:jc w:val="center"/>
        </w:trPr>
        <w:tc>
          <w:tcPr>
            <w:tcW w:w="4876" w:type="dxa"/>
          </w:tcPr>
          <w:p w:rsidR="00E33FD9" w:rsidRPr="00E9477D" w:rsidRDefault="00ED2F3D" w:rsidP="00E275B2">
            <w:pPr>
              <w:pStyle w:val="ColumnHeading"/>
              <w:keepNext/>
            </w:pPr>
            <w:r>
              <w:t>Testo della Commissione</w:t>
            </w:r>
          </w:p>
        </w:tc>
        <w:tc>
          <w:tcPr>
            <w:tcW w:w="4876" w:type="dxa"/>
          </w:tcPr>
          <w:p w:rsidR="00E33FD9" w:rsidRPr="00E9477D" w:rsidRDefault="00ED2F3D" w:rsidP="00E275B2">
            <w:pPr>
              <w:pStyle w:val="ColumnHeading"/>
              <w:keepNext/>
            </w:pPr>
            <w:r>
              <w:t>Emendamento</w:t>
            </w:r>
          </w:p>
        </w:tc>
      </w:tr>
      <w:tr w:rsidR="00BE4982" w:rsidTr="00E275B2">
        <w:trPr>
          <w:jc w:val="center"/>
        </w:trPr>
        <w:tc>
          <w:tcPr>
            <w:tcW w:w="4876" w:type="dxa"/>
          </w:tcPr>
          <w:p w:rsidR="00E33FD9" w:rsidRPr="00E9477D" w:rsidRDefault="00ED2F3D" w:rsidP="00E275B2">
            <w:pPr>
              <w:pStyle w:val="Normal6"/>
            </w:pPr>
            <w:r>
              <w:rPr>
                <w:b/>
                <w:i/>
              </w:rPr>
              <w:t>I dati biometrici conservati</w:t>
            </w:r>
            <w:r>
              <w:t xml:space="preserve"> nel supporto di memorizzazione delle carte d'identità e dei titoli di soggiorno </w:t>
            </w:r>
            <w:r>
              <w:rPr>
                <w:b/>
                <w:i/>
              </w:rPr>
              <w:t>possono</w:t>
            </w:r>
            <w:r>
              <w:t xml:space="preserve"> essere </w:t>
            </w:r>
            <w:r>
              <w:rPr>
                <w:b/>
                <w:i/>
              </w:rPr>
              <w:t>usati esclusivamente</w:t>
            </w:r>
            <w:r>
              <w:t xml:space="preserve"> in conformità del diritto dell'Unione </w:t>
            </w:r>
            <w:r>
              <w:rPr>
                <w:b/>
                <w:i/>
              </w:rPr>
              <w:t>e della legislazione nazionale</w:t>
            </w:r>
            <w:r>
              <w:t xml:space="preserve"> allo scopo di verificare:</w:t>
            </w:r>
          </w:p>
        </w:tc>
        <w:tc>
          <w:tcPr>
            <w:tcW w:w="4876" w:type="dxa"/>
          </w:tcPr>
          <w:p w:rsidR="00E33FD9" w:rsidRPr="00E9477D" w:rsidRDefault="00ED2F3D" w:rsidP="00E275B2">
            <w:pPr>
              <w:pStyle w:val="Normal6"/>
              <w:rPr>
                <w:szCs w:val="24"/>
              </w:rPr>
            </w:pPr>
            <w:r>
              <w:rPr>
                <w:b/>
                <w:i/>
              </w:rPr>
              <w:t>L'immagine del volto del titolare conservata</w:t>
            </w:r>
            <w:r>
              <w:t xml:space="preserve"> nel supporto di memorizzazione delle carte d'identità e dei titoli di soggiorno </w:t>
            </w:r>
            <w:r>
              <w:rPr>
                <w:b/>
                <w:i/>
              </w:rPr>
              <w:t>dovrebbe</w:t>
            </w:r>
            <w:r>
              <w:t xml:space="preserve"> essere </w:t>
            </w:r>
            <w:r>
              <w:rPr>
                <w:b/>
                <w:i/>
              </w:rPr>
              <w:t>accessibile solo al</w:t>
            </w:r>
            <w:r>
              <w:rPr>
                <w:b/>
                <w:i/>
              </w:rPr>
              <w:t xml:space="preserve"> personale debitamente autorizzato delle autorità nazionali competenti, delle agenzie dell'Unione e degli enti privati</w:t>
            </w:r>
            <w:r>
              <w:t xml:space="preserve"> in conformità del diritto dell'Unione </w:t>
            </w:r>
            <w:r>
              <w:rPr>
                <w:b/>
                <w:i/>
              </w:rPr>
              <w:t>in materia di protezione dei dati</w:t>
            </w:r>
            <w:r>
              <w:t xml:space="preserve"> allo scopo di verificare:</w:t>
            </w:r>
          </w:p>
        </w:tc>
      </w:tr>
    </w:tbl>
    <w:p w:rsidR="00E33FD9" w:rsidRPr="00E609F4" w:rsidRDefault="00ED2F3D" w:rsidP="00E33FD9">
      <w:pPr>
        <w:pStyle w:val="Olang"/>
        <w:rPr>
          <w:sz w:val="24"/>
          <w:szCs w:val="24"/>
          <w:lang w:val="es-ES"/>
        </w:rPr>
      </w:pPr>
      <w:r w:rsidRPr="00E609F4">
        <w:rPr>
          <w:sz w:val="24"/>
          <w:szCs w:val="24"/>
          <w:lang w:val="es-ES"/>
        </w:rPr>
        <w:t xml:space="preserve">Or. </w:t>
      </w:r>
      <w:r w:rsidRPr="00E609F4">
        <w:rPr>
          <w:rStyle w:val="HideTWBExt"/>
          <w:lang w:val="es-ES"/>
        </w:rPr>
        <w:t>&lt;Original&gt;</w:t>
      </w:r>
      <w:r w:rsidRPr="00E609F4">
        <w:rPr>
          <w:rStyle w:val="HideTWBInt"/>
          <w:sz w:val="24"/>
          <w:szCs w:val="24"/>
          <w:lang w:val="es-ES"/>
        </w:rPr>
        <w:t>{EN}</w:t>
      </w:r>
      <w:r w:rsidRPr="00E609F4">
        <w:rPr>
          <w:sz w:val="24"/>
          <w:szCs w:val="24"/>
          <w:lang w:val="es-ES"/>
        </w:rPr>
        <w:t>en</w:t>
      </w:r>
      <w:r w:rsidRPr="00E609F4">
        <w:rPr>
          <w:rStyle w:val="HideTWBExt"/>
          <w:lang w:val="es-ES"/>
        </w:rPr>
        <w:t>&lt;/Original&gt;</w:t>
      </w:r>
    </w:p>
    <w:p w:rsidR="00E33FD9" w:rsidRPr="00E609F4" w:rsidRDefault="00ED2F3D" w:rsidP="00E33FD9">
      <w:pPr>
        <w:rPr>
          <w:lang w:val="es-ES"/>
        </w:rPr>
      </w:pPr>
      <w:r w:rsidRPr="00E609F4">
        <w:rPr>
          <w:rStyle w:val="HideTWBExt"/>
          <w:lang w:val="es-ES"/>
        </w:rPr>
        <w:t>&lt;/Amen</w:t>
      </w:r>
      <w:r w:rsidRPr="00E609F4">
        <w:rPr>
          <w:rStyle w:val="HideTWBExt"/>
          <w:lang w:val="es-ES"/>
        </w:rPr>
        <w:t>d&gt;</w:t>
      </w:r>
    </w:p>
    <w:p w:rsidR="00E33FD9" w:rsidRPr="00E609F4" w:rsidRDefault="00ED2F3D" w:rsidP="00E33FD9">
      <w:pPr>
        <w:pStyle w:val="AmNumberTabs"/>
        <w:rPr>
          <w:lang w:val="es-ES"/>
        </w:rPr>
      </w:pPr>
      <w:r w:rsidRPr="00E609F4">
        <w:rPr>
          <w:rStyle w:val="HideTWBExt"/>
          <w:lang w:val="es-ES"/>
        </w:rPr>
        <w:t>&lt;Amend&gt;</w:t>
      </w:r>
      <w:r w:rsidRPr="00E609F4">
        <w:rPr>
          <w:lang w:val="es-ES"/>
        </w:rPr>
        <w:t>Emendamento</w:t>
      </w:r>
      <w:r w:rsidRPr="00E609F4">
        <w:rPr>
          <w:lang w:val="es-ES"/>
        </w:rPr>
        <w:tab/>
      </w:r>
      <w:r w:rsidRPr="00E609F4">
        <w:rPr>
          <w:lang w:val="es-ES"/>
        </w:rPr>
        <w:tab/>
      </w:r>
      <w:r w:rsidRPr="00E609F4">
        <w:rPr>
          <w:rStyle w:val="HideTWBExt"/>
          <w:lang w:val="es-ES"/>
        </w:rPr>
        <w:t>&lt;NumAm&gt;</w:t>
      </w:r>
      <w:r w:rsidRPr="00E609F4">
        <w:rPr>
          <w:lang w:val="es-ES"/>
        </w:rPr>
        <w:t>36</w:t>
      </w:r>
      <w:r w:rsidRPr="00E609F4">
        <w:rPr>
          <w:rStyle w:val="HideTWBExt"/>
          <w:lang w:val="es-ES"/>
        </w:rPr>
        <w:t>&lt;/NumAm&gt;</w:t>
      </w:r>
    </w:p>
    <w:p w:rsidR="00E33FD9" w:rsidRPr="00E609F4" w:rsidRDefault="00ED2F3D" w:rsidP="00E33FD9">
      <w:pPr>
        <w:pStyle w:val="NormalBold"/>
        <w:rPr>
          <w:lang w:val="es-ES"/>
        </w:rPr>
      </w:pPr>
      <w:r w:rsidRPr="00E609F4">
        <w:rPr>
          <w:rStyle w:val="HideTWBExt"/>
          <w:b w:val="0"/>
          <w:lang w:val="es-ES"/>
        </w:rPr>
        <w:t>&lt;RepeatBlock-By&gt;&lt;Members&gt;</w:t>
      </w:r>
      <w:r w:rsidRPr="00E609F4">
        <w:rPr>
          <w:lang w:val="es-ES"/>
        </w:rPr>
        <w:t>Estrella Galán</w:t>
      </w:r>
      <w:r w:rsidRPr="00E609F4">
        <w:rPr>
          <w:rStyle w:val="HideTWBExt"/>
          <w:b w:val="0"/>
          <w:lang w:val="es-ES"/>
        </w:rPr>
        <w:t>&lt;/Members&gt;</w:t>
      </w:r>
    </w:p>
    <w:p w:rsidR="00E33FD9" w:rsidRPr="00E609F4" w:rsidRDefault="00ED2F3D" w:rsidP="00E33FD9">
      <w:pPr>
        <w:pStyle w:val="NormalBold"/>
        <w:rPr>
          <w:lang w:val="es-ES"/>
        </w:rPr>
      </w:pPr>
      <w:r w:rsidRPr="00E609F4">
        <w:rPr>
          <w:rStyle w:val="HideTWBExt"/>
          <w:b w:val="0"/>
          <w:lang w:val="es-ES"/>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Articolo 11 – paragrafo 6 – comma 1 – parte introduttiva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I dati biometrici conservati nel supporto di memorizzazione delle carte d'identità e dei titoli di soggiorno possono essere usati esclusivamente in conformità del diritto dell'Unione e della legislazione nazionale allo scopo di verificare:</w:t>
            </w:r>
          </w:p>
        </w:tc>
        <w:tc>
          <w:tcPr>
            <w:tcW w:w="4876" w:type="dxa"/>
            <w:tcBorders>
              <w:top w:val="nil"/>
              <w:left w:val="nil"/>
              <w:bottom w:val="nil"/>
              <w:right w:val="nil"/>
            </w:tcBorders>
          </w:tcPr>
          <w:p w:rsidR="00E33FD9" w:rsidRPr="00E9477D" w:rsidRDefault="00ED2F3D" w:rsidP="00E275B2">
            <w:pPr>
              <w:pStyle w:val="Normal6a"/>
            </w:pPr>
            <w:r>
              <w:t>I d</w:t>
            </w:r>
            <w:r>
              <w:t>ati biometrici conservati nel supporto di memorizzazione delle carte d'identità e dei titoli di soggiorno possono essere usati esclusivamente in conformità del diritto dell'Unione e della legislazione nazionale</w:t>
            </w:r>
            <w:r>
              <w:rPr>
                <w:b/>
                <w:i/>
              </w:rPr>
              <w:t xml:space="preserve">, dal personale debitamente autorizzato delle </w:t>
            </w:r>
            <w:r>
              <w:rPr>
                <w:b/>
                <w:i/>
              </w:rPr>
              <w:t>autorità nazionali competenti e delle agenzie dell'Unione,</w:t>
            </w:r>
            <w:r>
              <w:t xml:space="preserve"> allo scopo di verificare:</w:t>
            </w:r>
          </w:p>
        </w:tc>
      </w:tr>
    </w:tbl>
    <w:p w:rsidR="00E33FD9" w:rsidRPr="00E609F4" w:rsidRDefault="00ED2F3D" w:rsidP="00E33FD9">
      <w:pPr>
        <w:pStyle w:val="AmOrLang"/>
        <w:rPr>
          <w:lang w:val="es-ES"/>
        </w:rPr>
      </w:pPr>
      <w:r w:rsidRPr="00E609F4">
        <w:rPr>
          <w:lang w:val="es-ES"/>
        </w:rPr>
        <w:t xml:space="preserve">Or. </w:t>
      </w:r>
      <w:r w:rsidRPr="00E609F4">
        <w:rPr>
          <w:rStyle w:val="HideTWBExt"/>
          <w:lang w:val="es-ES"/>
        </w:rPr>
        <w:t>&lt;Original&gt;</w:t>
      </w:r>
      <w:r w:rsidRPr="00E609F4">
        <w:rPr>
          <w:rStyle w:val="HideTWBInt"/>
          <w:lang w:val="es-ES"/>
        </w:rPr>
        <w:t>{EN}</w:t>
      </w:r>
      <w:r w:rsidRPr="00E609F4">
        <w:rPr>
          <w:lang w:val="es-ES"/>
        </w:rPr>
        <w:t>en</w:t>
      </w:r>
      <w:r w:rsidRPr="00E609F4">
        <w:rPr>
          <w:rStyle w:val="HideTWBExt"/>
          <w:lang w:val="es-ES"/>
        </w:rPr>
        <w:t>&lt;/Original&gt;</w:t>
      </w:r>
    </w:p>
    <w:p w:rsidR="00E33FD9" w:rsidRPr="00E609F4" w:rsidRDefault="00ED2F3D" w:rsidP="00E33FD9">
      <w:pPr>
        <w:rPr>
          <w:lang w:val="es-ES"/>
        </w:rPr>
      </w:pPr>
      <w:r w:rsidRPr="00E609F4">
        <w:rPr>
          <w:rStyle w:val="HideTWBExt"/>
          <w:lang w:val="es-ES"/>
        </w:rPr>
        <w:t>&lt;/Amend&gt;</w:t>
      </w:r>
    </w:p>
    <w:p w:rsidR="00E33FD9" w:rsidRPr="00E609F4" w:rsidRDefault="00ED2F3D" w:rsidP="00E33FD9">
      <w:pPr>
        <w:pStyle w:val="AmNumberTabs"/>
        <w:rPr>
          <w:lang w:val="es-ES"/>
        </w:rPr>
      </w:pPr>
      <w:r w:rsidRPr="00E609F4">
        <w:rPr>
          <w:rStyle w:val="HideTWBExt"/>
          <w:lang w:val="es-ES"/>
        </w:rPr>
        <w:t>&lt;Amend&gt;</w:t>
      </w:r>
      <w:r w:rsidRPr="00E609F4">
        <w:rPr>
          <w:lang w:val="es-ES"/>
        </w:rPr>
        <w:t>Emendamento</w:t>
      </w:r>
      <w:r w:rsidRPr="00E609F4">
        <w:rPr>
          <w:lang w:val="es-ES"/>
        </w:rPr>
        <w:tab/>
      </w:r>
      <w:r w:rsidRPr="00E609F4">
        <w:rPr>
          <w:lang w:val="es-ES"/>
        </w:rPr>
        <w:tab/>
      </w:r>
      <w:r w:rsidRPr="00E609F4">
        <w:rPr>
          <w:rStyle w:val="HideTWBExt"/>
          <w:lang w:val="es-ES"/>
        </w:rPr>
        <w:t>&lt;NumAm&gt;</w:t>
      </w:r>
      <w:r w:rsidRPr="00E609F4">
        <w:rPr>
          <w:lang w:val="es-ES"/>
        </w:rPr>
        <w:t>37</w:t>
      </w:r>
      <w:r w:rsidRPr="00E609F4">
        <w:rPr>
          <w:rStyle w:val="HideTWBExt"/>
          <w:lang w:val="es-ES"/>
        </w:rPr>
        <w:t>&lt;/NumAm&gt;</w:t>
      </w:r>
    </w:p>
    <w:p w:rsidR="00E33FD9" w:rsidRPr="00E609F4" w:rsidRDefault="00ED2F3D" w:rsidP="00E33FD9">
      <w:pPr>
        <w:pStyle w:val="NormalBold"/>
        <w:rPr>
          <w:lang w:val="es-ES"/>
        </w:rPr>
      </w:pPr>
      <w:r w:rsidRPr="00E609F4">
        <w:rPr>
          <w:rStyle w:val="HideTWBExt"/>
          <w:b w:val="0"/>
          <w:lang w:val="es-ES"/>
        </w:rPr>
        <w:t>&lt;RepeatBlock-By&gt;&lt;Members&gt;</w:t>
      </w:r>
      <w:r w:rsidRPr="00E609F4">
        <w:rPr>
          <w:lang w:val="es-ES"/>
        </w:rPr>
        <w:t>Estrella Galán</w:t>
      </w:r>
      <w:r w:rsidRPr="00E609F4">
        <w:rPr>
          <w:rStyle w:val="HideTWBExt"/>
          <w:b w:val="0"/>
          <w:lang w:val="es-ES"/>
        </w:rPr>
        <w:t>&lt;/Members&gt;</w:t>
      </w:r>
    </w:p>
    <w:p w:rsidR="00E33FD9" w:rsidRPr="00E609F4" w:rsidRDefault="00ED2F3D" w:rsidP="00E33FD9">
      <w:pPr>
        <w:pStyle w:val="NormalBold"/>
        <w:rPr>
          <w:lang w:val="es-ES"/>
        </w:rPr>
      </w:pPr>
      <w:r w:rsidRPr="00E609F4">
        <w:rPr>
          <w:rStyle w:val="HideTWBExt"/>
          <w:b w:val="0"/>
          <w:lang w:val="es-ES"/>
        </w:rPr>
        <w:t>&lt;/RepeatBlock-By&gt;</w:t>
      </w:r>
    </w:p>
    <w:p w:rsidR="00E33FD9" w:rsidRPr="00E9477D" w:rsidRDefault="00ED2F3D" w:rsidP="00E33FD9">
      <w:pPr>
        <w:pStyle w:val="NormalBold"/>
      </w:pPr>
      <w:r>
        <w:rPr>
          <w:rStyle w:val="HideTWBExt"/>
        </w:rPr>
        <w:t>&lt;DocAmend&gt;</w:t>
      </w:r>
      <w:r>
        <w:t xml:space="preserve">Proposta di </w:t>
      </w:r>
      <w:r>
        <w:t>regolamento</w:t>
      </w:r>
      <w:r>
        <w:rPr>
          <w:rStyle w:val="HideTWBExt"/>
        </w:rPr>
        <w:t>&lt;/DocAmend&gt;</w:t>
      </w:r>
    </w:p>
    <w:p w:rsidR="00E33FD9" w:rsidRPr="00E9477D" w:rsidRDefault="00ED2F3D" w:rsidP="00E33FD9">
      <w:pPr>
        <w:pStyle w:val="NormalBold"/>
      </w:pPr>
      <w:r>
        <w:rPr>
          <w:rStyle w:val="HideTWBExt"/>
        </w:rPr>
        <w:t>&lt;Article&gt;</w:t>
      </w:r>
      <w:r>
        <w:t>Articolo 11 – paragrafo 6 – comma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rPr>
                <w:b/>
                <w:i/>
              </w:rPr>
              <w:t xml:space="preserve">Le due impronte digitali conservate nel supporto di memorizzazione sono accessibili solo al personale debitamente autorizzato delle </w:t>
            </w:r>
            <w:r>
              <w:rPr>
                <w:b/>
                <w:i/>
              </w:rPr>
              <w:t>autorità nazionali competenti e delle agenzie dell'Unione.</w:t>
            </w:r>
          </w:p>
        </w:tc>
        <w:tc>
          <w:tcPr>
            <w:tcW w:w="4876" w:type="dxa"/>
            <w:tcBorders>
              <w:top w:val="nil"/>
              <w:left w:val="nil"/>
              <w:bottom w:val="nil"/>
              <w:right w:val="nil"/>
            </w:tcBorders>
          </w:tcPr>
          <w:p w:rsidR="00E33FD9" w:rsidRPr="00E9477D" w:rsidRDefault="00ED2F3D" w:rsidP="00E275B2">
            <w:pPr>
              <w:pStyle w:val="Normal6a"/>
            </w:pPr>
            <w:r>
              <w:rPr>
                <w:b/>
                <w:i/>
              </w:rPr>
              <w:t>soppresso</w:t>
            </w:r>
          </w:p>
        </w:tc>
      </w:tr>
    </w:tbl>
    <w:p w:rsidR="00E33FD9" w:rsidRPr="00E9477D" w:rsidRDefault="00ED2F3D" w:rsidP="00E33FD9">
      <w:pPr>
        <w:pStyle w:val="AmOrLang"/>
      </w:pPr>
      <w:r w:rsidRPr="00E9477D">
        <w:t xml:space="preserve">Or. </w:t>
      </w:r>
      <w:r w:rsidRPr="00E9477D">
        <w:rPr>
          <w:rStyle w:val="HideTWBExt"/>
        </w:rPr>
        <w:t>&lt;Original&gt;</w:t>
      </w:r>
      <w:r w:rsidRPr="00E9477D">
        <w:rPr>
          <w:rStyle w:val="HideTWBInt"/>
        </w:rPr>
        <w:t>{EN}</w:t>
      </w:r>
      <w:r w:rsidRPr="00E9477D">
        <w:t>en</w:t>
      </w:r>
      <w:r w:rsidRPr="00E9477D">
        <w:rPr>
          <w:rStyle w:val="HideTWBExt"/>
        </w:rPr>
        <w:t>&lt;/Original&gt;</w:t>
      </w:r>
    </w:p>
    <w:p w:rsidR="00E33FD9" w:rsidRPr="00E9477D" w:rsidRDefault="00ED2F3D" w:rsidP="00E33FD9">
      <w:pPr>
        <w:pStyle w:val="AmJustTitle"/>
      </w:pPr>
      <w:r>
        <w:rPr>
          <w:rStyle w:val="HideTWBExt"/>
        </w:rPr>
        <w:t>&lt;TitreJust&gt;</w:t>
      </w:r>
      <w:r>
        <w:t>Motivazione</w:t>
      </w:r>
      <w:r>
        <w:rPr>
          <w:rStyle w:val="HideTWBExt"/>
        </w:rPr>
        <w:t>&lt;/TitreJust&gt;</w:t>
      </w:r>
    </w:p>
    <w:p w:rsidR="00E33FD9" w:rsidRPr="00E9477D" w:rsidRDefault="00ED2F3D" w:rsidP="00E33FD9">
      <w:pPr>
        <w:pStyle w:val="AmJustText"/>
      </w:pPr>
      <w:r>
        <w:t xml:space="preserve">I due tipi di dati biometrici, le impronte digitali e le immagini del volto sono utilizzati esclusivamente per le </w:t>
      </w:r>
      <w:r>
        <w:t>finalità previste dal presente regolamento e solo dal personale debitamente autorizzato delle autorità nazionali competenti e delle agenzie dell'Unione. La soppressione mira a garantire che le immagini del volto non siano escluse dalle disposizioni, impede</w:t>
      </w:r>
      <w:r>
        <w:t>ndo quindi ai titolari di utilizzare tali immagini per identificarsi presso soggetti privati e, di conseguenza, evitando che questi ultimi abbiano accesso ai loro dati biometrici sensibili in virtù del presente regolamento.</w:t>
      </w:r>
    </w:p>
    <w:p w:rsidR="00E33FD9" w:rsidRPr="00E9477D" w:rsidRDefault="00ED2F3D" w:rsidP="00E33FD9">
      <w:r>
        <w:rPr>
          <w:rStyle w:val="HideTWBExt"/>
        </w:rPr>
        <w:t>&lt;/Amend&gt;</w:t>
      </w:r>
    </w:p>
    <w:p w:rsidR="00E33FD9" w:rsidRPr="00E9477D" w:rsidRDefault="00ED2F3D" w:rsidP="00E33FD9">
      <w:pPr>
        <w:pStyle w:val="AmNumberTabs"/>
      </w:pPr>
      <w:r>
        <w:rPr>
          <w:rStyle w:val="HideTWBExt"/>
        </w:rPr>
        <w:t>&lt;Amend&gt;</w:t>
      </w:r>
      <w:r>
        <w:t>Emendamento</w:t>
      </w:r>
      <w:r>
        <w:tab/>
      </w:r>
      <w:r>
        <w:tab/>
      </w:r>
      <w:r>
        <w:rPr>
          <w:rStyle w:val="HideTWBExt"/>
        </w:rPr>
        <w:t>&lt;Nu</w:t>
      </w:r>
      <w:r>
        <w:rPr>
          <w:rStyle w:val="HideTWBExt"/>
        </w:rPr>
        <w:t>mAm&gt;</w:t>
      </w:r>
      <w:r>
        <w:t>38</w:t>
      </w:r>
      <w:r>
        <w:rPr>
          <w:rStyle w:val="HideTWBExt"/>
        </w:rPr>
        <w:t>&lt;/NumAm&gt;</w:t>
      </w:r>
    </w:p>
    <w:p w:rsidR="00E33FD9" w:rsidRPr="00E9477D" w:rsidRDefault="00ED2F3D" w:rsidP="00E33FD9">
      <w:pPr>
        <w:pStyle w:val="NormalBold"/>
      </w:pPr>
      <w:r>
        <w:rPr>
          <w:rStyle w:val="HideTWBExt"/>
          <w:b w:val="0"/>
        </w:rPr>
        <w:t>&lt;RepeatBlock-By&gt;&lt;Members&gt;</w:t>
      </w:r>
      <w:r>
        <w:t>Anna Strolenberg</w:t>
      </w:r>
      <w:r>
        <w:rPr>
          <w:rStyle w:val="HideTWBExt"/>
          <w:b w:val="0"/>
        </w:rPr>
        <w:t>&lt;/Members&gt;</w:t>
      </w:r>
    </w:p>
    <w:p w:rsidR="00E33FD9" w:rsidRPr="00E9477D" w:rsidRDefault="00ED2F3D" w:rsidP="00E33FD9">
      <w:r>
        <w:rPr>
          <w:rStyle w:val="HideTWBExt"/>
        </w:rPr>
        <w:t>&lt;AuNomDe&gt;</w:t>
      </w:r>
      <w:r>
        <w:rPr>
          <w:rStyle w:val="HideTWBInt"/>
          <w:color w:val="auto"/>
        </w:rPr>
        <w:t>{Greens/EFA}</w:t>
      </w:r>
      <w:r>
        <w:t>a nome del gruppo Verts/ALE</w:t>
      </w:r>
      <w:r>
        <w:rPr>
          <w:rStyle w:val="HideTWBExt"/>
        </w:rPr>
        <w:t>&lt;/AuNomDe&gt;</w:t>
      </w:r>
    </w:p>
    <w:p w:rsidR="00E33FD9" w:rsidRPr="00E9477D" w:rsidRDefault="00ED2F3D" w:rsidP="00E33FD9">
      <w:pPr>
        <w:pStyle w:val="NormalBold"/>
      </w:pPr>
      <w:r>
        <w:rPr>
          <w:rStyle w:val="HideTWBExt"/>
          <w:b w:val="0"/>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Articolo 11 – paragrafo 6 – comma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 xml:space="preserve">Testo </w:t>
            </w:r>
            <w:r>
              <w:t>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rPr>
                <w:b/>
                <w:i/>
              </w:rPr>
              <w:t>Le due impronte digitali conservate</w:t>
            </w:r>
            <w:r>
              <w:t xml:space="preserve"> nel supporto di memorizzazione sono accessibili solo al personale debitamente autorizzato delle autorità nazionali competenti e delle agenzie dell'Unione.</w:t>
            </w:r>
          </w:p>
        </w:tc>
        <w:tc>
          <w:tcPr>
            <w:tcW w:w="4876" w:type="dxa"/>
            <w:tcBorders>
              <w:top w:val="nil"/>
              <w:left w:val="nil"/>
              <w:bottom w:val="nil"/>
              <w:right w:val="nil"/>
            </w:tcBorders>
          </w:tcPr>
          <w:p w:rsidR="00E33FD9" w:rsidRPr="00E9477D" w:rsidRDefault="00ED2F3D" w:rsidP="00E275B2">
            <w:pPr>
              <w:pStyle w:val="Normal6a"/>
            </w:pPr>
            <w:r>
              <w:rPr>
                <w:b/>
                <w:i/>
              </w:rPr>
              <w:t>I dati biometrici conservati</w:t>
            </w:r>
            <w:r>
              <w:t xml:space="preserve"> nel s</w:t>
            </w:r>
            <w:r>
              <w:t>upporto di memorizzazione sono accessibili solo al personale debitamente autorizzato delle autorità nazionali competenti e delle agenzie dell'Unione.</w:t>
            </w:r>
          </w:p>
        </w:tc>
      </w:tr>
    </w:tbl>
    <w:p w:rsidR="00E33FD9" w:rsidRPr="00E9477D" w:rsidRDefault="00ED2F3D" w:rsidP="00E33FD9">
      <w:pPr>
        <w:pStyle w:val="AmOrLang"/>
      </w:pPr>
      <w:r w:rsidRPr="00E9477D">
        <w:t xml:space="preserve">Or. </w:t>
      </w:r>
      <w:r w:rsidRPr="00E9477D">
        <w:rPr>
          <w:rStyle w:val="HideTWBExt"/>
        </w:rPr>
        <w:t>&lt;Original&gt;</w:t>
      </w:r>
      <w:r w:rsidRPr="00E9477D">
        <w:rPr>
          <w:rStyle w:val="HideTWBInt"/>
        </w:rPr>
        <w:t>{EN}</w:t>
      </w:r>
      <w:r w:rsidRPr="00E9477D">
        <w:t>en</w:t>
      </w:r>
      <w:r w:rsidRPr="00E9477D">
        <w:rPr>
          <w:rStyle w:val="HideTWBExt"/>
        </w:rPr>
        <w:t>&lt;/Original&gt;</w:t>
      </w:r>
    </w:p>
    <w:p w:rsidR="00E33FD9" w:rsidRPr="00E9477D" w:rsidRDefault="00ED2F3D" w:rsidP="00E33FD9">
      <w:r>
        <w:rPr>
          <w:rStyle w:val="HideTWBExt"/>
        </w:rPr>
        <w:t>&lt;/Amend&gt;</w:t>
      </w:r>
    </w:p>
    <w:p w:rsidR="00E33FD9" w:rsidRPr="00E9477D" w:rsidRDefault="00ED2F3D" w:rsidP="00E33FD9">
      <w:pPr>
        <w:pStyle w:val="AMNumberTabs0"/>
        <w:keepNext/>
      </w:pPr>
      <w:r>
        <w:rPr>
          <w:rStyle w:val="HideTWBExt"/>
          <w:b w:val="0"/>
        </w:rPr>
        <w:t>&lt;Amend&gt;</w:t>
      </w:r>
      <w:r>
        <w:t>Emendamento</w:t>
      </w:r>
      <w:r>
        <w:tab/>
      </w:r>
      <w:r>
        <w:tab/>
      </w:r>
      <w:r>
        <w:rPr>
          <w:rStyle w:val="HideTWBExt"/>
          <w:b w:val="0"/>
        </w:rPr>
        <w:t>&lt;NumAm&gt;</w:t>
      </w:r>
      <w:r>
        <w:t>39</w:t>
      </w:r>
      <w:r>
        <w:rPr>
          <w:rStyle w:val="HideTWBExt"/>
          <w:b w:val="0"/>
        </w:rPr>
        <w:t>&lt;/NumAm&gt;</w:t>
      </w:r>
    </w:p>
    <w:p w:rsidR="00E33FD9" w:rsidRPr="00E9477D" w:rsidRDefault="00ED2F3D" w:rsidP="00E33FD9">
      <w:pPr>
        <w:pStyle w:val="NormalBold"/>
      </w:pPr>
      <w:r>
        <w:rPr>
          <w:rStyle w:val="HideTWBExt"/>
          <w:b w:val="0"/>
        </w:rPr>
        <w:t>&lt;RepeatBlock-By&gt;&lt;Members&gt;</w:t>
      </w:r>
      <w:r>
        <w:t>Malik Azmani, Jeannette Baljeu, Lucia Yar, Raquel García Hermida-Van Der Walle</w:t>
      </w:r>
      <w:r>
        <w:rPr>
          <w:rStyle w:val="HideTWBExt"/>
          <w:b w:val="0"/>
        </w:rPr>
        <w:t>&lt;/Members&gt;</w:t>
      </w:r>
    </w:p>
    <w:p w:rsidR="00E33FD9" w:rsidRPr="00E9477D" w:rsidRDefault="00ED2F3D" w:rsidP="00E33FD9">
      <w:r>
        <w:rPr>
          <w:rStyle w:val="HideTWBExt"/>
        </w:rPr>
        <w:t>&lt;/RepeatBlock-By&gt;</w:t>
      </w:r>
    </w:p>
    <w:p w:rsidR="00E33FD9" w:rsidRPr="00E9477D" w:rsidRDefault="00ED2F3D" w:rsidP="00E33FD9">
      <w:pPr>
        <w:pStyle w:val="NormalBold"/>
        <w:keepNext/>
      </w:pPr>
      <w:r>
        <w:rPr>
          <w:rStyle w:val="HideTWBExt"/>
          <w:b w:val="0"/>
        </w:rPr>
        <w:t>&lt;DocAmend&gt;</w:t>
      </w:r>
      <w:r>
        <w:t>Proposta di regolamento</w:t>
      </w:r>
      <w:r>
        <w:rPr>
          <w:rStyle w:val="HideTWBExt"/>
          <w:b w:val="0"/>
        </w:rPr>
        <w:t>&lt;/DocAmend&gt;</w:t>
      </w:r>
    </w:p>
    <w:p w:rsidR="00E33FD9" w:rsidRPr="00E9477D" w:rsidRDefault="00ED2F3D" w:rsidP="00E33FD9">
      <w:pPr>
        <w:pStyle w:val="NormalBold"/>
      </w:pPr>
      <w:r>
        <w:rPr>
          <w:rStyle w:val="HideTWBExt"/>
          <w:b w:val="0"/>
        </w:rPr>
        <w:t>&lt;Article&gt;</w:t>
      </w:r>
      <w:r>
        <w:t>Articolo 11 – paragrafo 6 – comma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982" w:rsidTr="00E275B2">
        <w:trPr>
          <w:jc w:val="center"/>
        </w:trPr>
        <w:tc>
          <w:tcPr>
            <w:tcW w:w="9752" w:type="dxa"/>
            <w:gridSpan w:val="2"/>
          </w:tcPr>
          <w:p w:rsidR="00E33FD9" w:rsidRPr="00E9477D" w:rsidRDefault="00E33FD9" w:rsidP="00E275B2">
            <w:pPr>
              <w:keepNext/>
            </w:pPr>
          </w:p>
        </w:tc>
      </w:tr>
      <w:tr w:rsidR="00BE4982" w:rsidTr="00E275B2">
        <w:trPr>
          <w:jc w:val="center"/>
        </w:trPr>
        <w:tc>
          <w:tcPr>
            <w:tcW w:w="4876" w:type="dxa"/>
          </w:tcPr>
          <w:p w:rsidR="00E33FD9" w:rsidRPr="00E9477D" w:rsidRDefault="00ED2F3D" w:rsidP="00E275B2">
            <w:pPr>
              <w:pStyle w:val="ColumnHeading"/>
              <w:keepNext/>
            </w:pPr>
            <w:r>
              <w:t>Testo della Commissione</w:t>
            </w:r>
          </w:p>
        </w:tc>
        <w:tc>
          <w:tcPr>
            <w:tcW w:w="4876" w:type="dxa"/>
          </w:tcPr>
          <w:p w:rsidR="00E33FD9" w:rsidRPr="00E9477D" w:rsidRDefault="00ED2F3D" w:rsidP="00E275B2">
            <w:pPr>
              <w:pStyle w:val="ColumnHeading"/>
              <w:keepNext/>
            </w:pPr>
            <w:r>
              <w:t>Emendamento</w:t>
            </w:r>
          </w:p>
        </w:tc>
      </w:tr>
      <w:tr w:rsidR="00BE4982" w:rsidTr="00E275B2">
        <w:trPr>
          <w:jc w:val="center"/>
        </w:trPr>
        <w:tc>
          <w:tcPr>
            <w:tcW w:w="4876" w:type="dxa"/>
          </w:tcPr>
          <w:p w:rsidR="00E33FD9" w:rsidRPr="00E9477D" w:rsidRDefault="00ED2F3D" w:rsidP="00E275B2">
            <w:pPr>
              <w:pStyle w:val="Normal6"/>
            </w:pPr>
            <w:r>
              <w:t xml:space="preserve">Le due </w:t>
            </w:r>
            <w:r>
              <w:t>impronte digitali conservate nel supporto di memorizzazione sono accessibili solo al personale debitamente autorizzato delle autorità nazionali competenti e delle agenzie dell'Unione.</w:t>
            </w:r>
          </w:p>
        </w:tc>
        <w:tc>
          <w:tcPr>
            <w:tcW w:w="4876" w:type="dxa"/>
          </w:tcPr>
          <w:p w:rsidR="00E33FD9" w:rsidRPr="00E9477D" w:rsidRDefault="00ED2F3D" w:rsidP="00E275B2">
            <w:pPr>
              <w:pStyle w:val="Normal6"/>
              <w:rPr>
                <w:szCs w:val="24"/>
              </w:rPr>
            </w:pPr>
            <w:r>
              <w:t xml:space="preserve">Le due impronte digitali </w:t>
            </w:r>
            <w:r>
              <w:rPr>
                <w:b/>
                <w:i/>
              </w:rPr>
              <w:t xml:space="preserve">del titolare </w:t>
            </w:r>
            <w:r>
              <w:t>conservate nel supporto di memoriz</w:t>
            </w:r>
            <w:r>
              <w:t>zazione sono accessibili solo al personale debitamente autorizzato delle autorità nazionali competenti e delle agenzie dell'Unione</w:t>
            </w:r>
            <w:r>
              <w:rPr>
                <w:b/>
                <w:i/>
              </w:rPr>
              <w:t xml:space="preserve"> per le finalità di cui al primo comma in conformità del diritto dell'Unione e nazionale in materia protezione dei dati</w:t>
            </w:r>
            <w:r>
              <w:t>.</w:t>
            </w:r>
          </w:p>
        </w:tc>
      </w:tr>
    </w:tbl>
    <w:p w:rsidR="00E33FD9" w:rsidRPr="00E609F4" w:rsidRDefault="00ED2F3D" w:rsidP="00E33FD9">
      <w:pPr>
        <w:pStyle w:val="Olang"/>
        <w:rPr>
          <w:sz w:val="24"/>
          <w:szCs w:val="24"/>
          <w:lang w:val="es-ES"/>
        </w:rPr>
      </w:pPr>
      <w:r w:rsidRPr="00E609F4">
        <w:rPr>
          <w:sz w:val="24"/>
          <w:szCs w:val="24"/>
          <w:lang w:val="es-ES"/>
        </w:rPr>
        <w:t xml:space="preserve">Or. </w:t>
      </w:r>
      <w:r w:rsidRPr="00E609F4">
        <w:rPr>
          <w:rStyle w:val="HideTWBExt"/>
          <w:lang w:val="es-ES"/>
        </w:rPr>
        <w:t>&lt;Original&gt;</w:t>
      </w:r>
      <w:r w:rsidRPr="00E609F4">
        <w:rPr>
          <w:rStyle w:val="HideTWBInt"/>
          <w:sz w:val="24"/>
          <w:szCs w:val="24"/>
          <w:lang w:val="es-ES"/>
        </w:rPr>
        <w:t>{EN}</w:t>
      </w:r>
      <w:r w:rsidRPr="00E609F4">
        <w:rPr>
          <w:sz w:val="24"/>
          <w:szCs w:val="24"/>
          <w:lang w:val="es-ES"/>
        </w:rPr>
        <w:t>en</w:t>
      </w:r>
      <w:r w:rsidRPr="00E609F4">
        <w:rPr>
          <w:rStyle w:val="HideTWBExt"/>
          <w:lang w:val="es-ES"/>
        </w:rPr>
        <w:t>&lt;/Original&gt;</w:t>
      </w:r>
    </w:p>
    <w:p w:rsidR="00E33FD9" w:rsidRPr="00E609F4" w:rsidRDefault="00ED2F3D" w:rsidP="00E33FD9">
      <w:pPr>
        <w:rPr>
          <w:lang w:val="es-ES"/>
        </w:rPr>
      </w:pPr>
      <w:r w:rsidRPr="00E609F4">
        <w:rPr>
          <w:rStyle w:val="HideTWBExt"/>
          <w:lang w:val="es-ES"/>
        </w:rPr>
        <w:t>&lt;/Amend&gt;</w:t>
      </w:r>
    </w:p>
    <w:p w:rsidR="00E33FD9" w:rsidRPr="00E609F4" w:rsidRDefault="00ED2F3D" w:rsidP="00E33FD9">
      <w:pPr>
        <w:pStyle w:val="AmNumberTabs"/>
        <w:rPr>
          <w:lang w:val="es-ES"/>
        </w:rPr>
      </w:pPr>
      <w:r w:rsidRPr="00E609F4">
        <w:rPr>
          <w:rStyle w:val="HideTWBExt"/>
          <w:lang w:val="es-ES"/>
        </w:rPr>
        <w:t>&lt;Amend&gt;</w:t>
      </w:r>
      <w:r w:rsidRPr="00E609F4">
        <w:rPr>
          <w:lang w:val="es-ES"/>
        </w:rPr>
        <w:t>Emendamento</w:t>
      </w:r>
      <w:r w:rsidRPr="00E609F4">
        <w:rPr>
          <w:lang w:val="es-ES"/>
        </w:rPr>
        <w:tab/>
      </w:r>
      <w:r w:rsidRPr="00E609F4">
        <w:rPr>
          <w:lang w:val="es-ES"/>
        </w:rPr>
        <w:tab/>
      </w:r>
      <w:r w:rsidRPr="00E609F4">
        <w:rPr>
          <w:rStyle w:val="HideTWBExt"/>
          <w:lang w:val="es-ES"/>
        </w:rPr>
        <w:t>&lt;NumAm&gt;</w:t>
      </w:r>
      <w:r w:rsidRPr="00E609F4">
        <w:rPr>
          <w:lang w:val="es-ES"/>
        </w:rPr>
        <w:t>40</w:t>
      </w:r>
      <w:r w:rsidRPr="00E609F4">
        <w:rPr>
          <w:rStyle w:val="HideTWBExt"/>
          <w:lang w:val="es-ES"/>
        </w:rPr>
        <w:t>&lt;/NumAm&gt;</w:t>
      </w:r>
    </w:p>
    <w:p w:rsidR="00E33FD9" w:rsidRPr="00E609F4" w:rsidRDefault="00ED2F3D" w:rsidP="00E33FD9">
      <w:pPr>
        <w:pStyle w:val="NormalBold"/>
        <w:rPr>
          <w:lang w:val="es-ES"/>
        </w:rPr>
      </w:pPr>
      <w:r w:rsidRPr="00E609F4">
        <w:rPr>
          <w:rStyle w:val="HideTWBExt"/>
          <w:b w:val="0"/>
          <w:lang w:val="es-ES"/>
        </w:rPr>
        <w:t>&lt;RepeatBlock-By&gt;&lt;Members&gt;</w:t>
      </w:r>
      <w:r w:rsidRPr="00E609F4">
        <w:rPr>
          <w:lang w:val="es-ES"/>
        </w:rPr>
        <w:t>Estrella Galán</w:t>
      </w:r>
      <w:r w:rsidRPr="00E609F4">
        <w:rPr>
          <w:rStyle w:val="HideTWBExt"/>
          <w:b w:val="0"/>
          <w:lang w:val="es-ES"/>
        </w:rPr>
        <w:t>&lt;/Members&gt;</w:t>
      </w:r>
    </w:p>
    <w:p w:rsidR="00E33FD9" w:rsidRPr="00E609F4" w:rsidRDefault="00ED2F3D" w:rsidP="00E33FD9">
      <w:pPr>
        <w:pStyle w:val="NormalBold"/>
        <w:rPr>
          <w:lang w:val="es-ES"/>
        </w:rPr>
      </w:pPr>
      <w:r w:rsidRPr="00E609F4">
        <w:rPr>
          <w:rStyle w:val="HideTWBExt"/>
          <w:b w:val="0"/>
          <w:lang w:val="es-ES"/>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Articolo 11 – paragrafo 6 – comma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33FD9" w:rsidP="00E275B2">
            <w:pPr>
              <w:pStyle w:val="Normal6a"/>
            </w:pPr>
          </w:p>
        </w:tc>
        <w:tc>
          <w:tcPr>
            <w:tcW w:w="4876" w:type="dxa"/>
            <w:tcBorders>
              <w:top w:val="nil"/>
              <w:left w:val="nil"/>
              <w:bottom w:val="nil"/>
              <w:right w:val="nil"/>
            </w:tcBorders>
          </w:tcPr>
          <w:p w:rsidR="00E33FD9" w:rsidRPr="00E9477D" w:rsidRDefault="00ED2F3D" w:rsidP="00E275B2">
            <w:pPr>
              <w:pStyle w:val="Normal6a"/>
            </w:pPr>
            <w:r>
              <w:rPr>
                <w:b/>
                <w:i/>
              </w:rPr>
              <w:t>Gli Stati membri tengono un elenco delle autorità nazionali competenti che hanno accesso ai dati biometrici conservati nel supporto di memorizzazione di cui all'articolo 3, paragrafo 5, e lo comunicano annualmente all</w:t>
            </w:r>
            <w:r>
              <w:rPr>
                <w:b/>
                <w:i/>
              </w:rPr>
              <w:t>a Commissione. La Commissione pubblica online una raccolta degli elenchi nazionali.</w:t>
            </w:r>
          </w:p>
        </w:tc>
      </w:tr>
    </w:tbl>
    <w:p w:rsidR="00E33FD9" w:rsidRPr="00E9477D" w:rsidRDefault="00ED2F3D" w:rsidP="00E33FD9">
      <w:pPr>
        <w:pStyle w:val="AmOrLang"/>
      </w:pPr>
      <w:r w:rsidRPr="00E9477D">
        <w:t xml:space="preserve">Or. </w:t>
      </w:r>
      <w:r w:rsidRPr="00E9477D">
        <w:rPr>
          <w:rStyle w:val="HideTWBExt"/>
        </w:rPr>
        <w:t>&lt;Original&gt;</w:t>
      </w:r>
      <w:r w:rsidRPr="00E9477D">
        <w:rPr>
          <w:rStyle w:val="HideTWBInt"/>
        </w:rPr>
        <w:t>{EN}</w:t>
      </w:r>
      <w:r w:rsidRPr="00E9477D">
        <w:t>en</w:t>
      </w:r>
      <w:r w:rsidRPr="00E9477D">
        <w:rPr>
          <w:rStyle w:val="HideTWBExt"/>
        </w:rPr>
        <w:t>&lt;/Original&gt;</w:t>
      </w:r>
    </w:p>
    <w:p w:rsidR="00E33FD9" w:rsidRPr="00E9477D" w:rsidRDefault="00ED2F3D" w:rsidP="00E33FD9">
      <w:r>
        <w:rPr>
          <w:rStyle w:val="HideTWBExt"/>
        </w:rPr>
        <w:t>&lt;/Amend&gt;</w:t>
      </w:r>
    </w:p>
    <w:p w:rsidR="00E33FD9" w:rsidRPr="00E9477D" w:rsidRDefault="00ED2F3D" w:rsidP="00E33FD9">
      <w:pPr>
        <w:pStyle w:val="AmNumberTabs"/>
      </w:pPr>
      <w:r>
        <w:rPr>
          <w:rStyle w:val="HideTWBExt"/>
        </w:rPr>
        <w:t>&lt;Amend&gt;</w:t>
      </w:r>
      <w:r>
        <w:t>Emendamento</w:t>
      </w:r>
      <w:r>
        <w:tab/>
      </w:r>
      <w:r>
        <w:tab/>
      </w:r>
      <w:r>
        <w:rPr>
          <w:rStyle w:val="HideTWBExt"/>
        </w:rPr>
        <w:t>&lt;NumAm&gt;</w:t>
      </w:r>
      <w:r>
        <w:t>41</w:t>
      </w:r>
      <w:r>
        <w:rPr>
          <w:rStyle w:val="HideTWBExt"/>
        </w:rPr>
        <w:t>&lt;/NumAm&gt;</w:t>
      </w:r>
    </w:p>
    <w:p w:rsidR="00E33FD9" w:rsidRPr="00E9477D" w:rsidRDefault="00ED2F3D" w:rsidP="00E33FD9">
      <w:pPr>
        <w:pStyle w:val="NormalBold"/>
      </w:pPr>
      <w:r>
        <w:rPr>
          <w:rStyle w:val="HideTWBExt"/>
          <w:b w:val="0"/>
        </w:rPr>
        <w:t>&lt;RepeatBlock-By&gt;&lt;Members&gt;</w:t>
      </w:r>
      <w:r>
        <w:t>Estrella Galán</w:t>
      </w:r>
      <w:r>
        <w:rPr>
          <w:rStyle w:val="HideTWBExt"/>
          <w:b w:val="0"/>
        </w:rPr>
        <w:t>&lt;/Members&gt;</w:t>
      </w:r>
    </w:p>
    <w:p w:rsidR="00E33FD9" w:rsidRPr="00E9477D" w:rsidRDefault="00ED2F3D" w:rsidP="00E33FD9">
      <w:pPr>
        <w:pStyle w:val="NormalBold"/>
      </w:pPr>
      <w:r>
        <w:rPr>
          <w:rStyle w:val="HideTWBExt"/>
          <w:b w:val="0"/>
        </w:rPr>
        <w:t>&lt;/RepeatBlock-By&gt;</w:t>
      </w:r>
    </w:p>
    <w:p w:rsidR="00E33FD9" w:rsidRPr="00E9477D" w:rsidRDefault="00ED2F3D" w:rsidP="00E33FD9">
      <w:pPr>
        <w:pStyle w:val="NormalBold"/>
      </w:pPr>
      <w:r>
        <w:rPr>
          <w:rStyle w:val="HideTWBExt"/>
        </w:rPr>
        <w:t>&lt;DocAmend&gt;</w:t>
      </w:r>
      <w:r>
        <w:t xml:space="preserve">Proposta di </w:t>
      </w:r>
      <w:r>
        <w:t>regolamento</w:t>
      </w:r>
      <w:r>
        <w:rPr>
          <w:rStyle w:val="HideTWBExt"/>
        </w:rPr>
        <w:t>&lt;/DocAmend&gt;</w:t>
      </w:r>
    </w:p>
    <w:p w:rsidR="00E33FD9" w:rsidRPr="00E9477D" w:rsidRDefault="00ED2F3D" w:rsidP="00E33FD9">
      <w:pPr>
        <w:pStyle w:val="NormalBold"/>
      </w:pPr>
      <w:r>
        <w:rPr>
          <w:rStyle w:val="HideTWBExt"/>
        </w:rPr>
        <w:t>&lt;Article&gt;</w:t>
      </w:r>
      <w:r>
        <w:t>Articolo 13 – titolo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Valutazione</w:t>
            </w:r>
          </w:p>
        </w:tc>
        <w:tc>
          <w:tcPr>
            <w:tcW w:w="4876" w:type="dxa"/>
            <w:tcBorders>
              <w:top w:val="nil"/>
              <w:left w:val="nil"/>
              <w:bottom w:val="nil"/>
              <w:right w:val="nil"/>
            </w:tcBorders>
          </w:tcPr>
          <w:p w:rsidR="00E33FD9" w:rsidRPr="00E9477D" w:rsidRDefault="00ED2F3D" w:rsidP="00E275B2">
            <w:pPr>
              <w:pStyle w:val="Normal6a"/>
            </w:pPr>
            <w:r>
              <w:rPr>
                <w:b/>
                <w:i/>
              </w:rPr>
              <w:t xml:space="preserve">Rendiconto e </w:t>
            </w:r>
            <w:r>
              <w:t>valutazione</w:t>
            </w:r>
          </w:p>
        </w:tc>
      </w:tr>
    </w:tbl>
    <w:p w:rsidR="00E33FD9" w:rsidRPr="00E9477D" w:rsidRDefault="00ED2F3D" w:rsidP="00E33FD9">
      <w:pPr>
        <w:pStyle w:val="AmOrLang"/>
      </w:pPr>
      <w:r w:rsidRPr="00E9477D">
        <w:t xml:space="preserve">Or. </w:t>
      </w:r>
      <w:r w:rsidRPr="00E9477D">
        <w:rPr>
          <w:rStyle w:val="HideTWBExt"/>
        </w:rPr>
        <w:t>&lt;Original&gt;</w:t>
      </w:r>
      <w:r w:rsidRPr="00E9477D">
        <w:rPr>
          <w:rStyle w:val="HideTWBInt"/>
        </w:rPr>
        <w:t>{EN}</w:t>
      </w:r>
      <w:r w:rsidRPr="00E9477D">
        <w:t>en</w:t>
      </w:r>
      <w:r w:rsidRPr="00E9477D">
        <w:rPr>
          <w:rStyle w:val="HideTWBExt"/>
        </w:rPr>
        <w:t>&lt;/Original&gt;</w:t>
      </w:r>
    </w:p>
    <w:p w:rsidR="00E33FD9" w:rsidRPr="00E9477D" w:rsidRDefault="00ED2F3D" w:rsidP="00E33FD9">
      <w:r>
        <w:rPr>
          <w:rStyle w:val="HideTWBExt"/>
        </w:rPr>
        <w:t>&lt;/Amend&gt;</w:t>
      </w:r>
    </w:p>
    <w:p w:rsidR="00E33FD9" w:rsidRPr="00E9477D" w:rsidRDefault="00ED2F3D" w:rsidP="00E33FD9">
      <w:pPr>
        <w:pStyle w:val="AmNumberTabs"/>
      </w:pPr>
      <w:r>
        <w:rPr>
          <w:rStyle w:val="HideTWBExt"/>
        </w:rPr>
        <w:t>&lt;Amend&gt;</w:t>
      </w:r>
      <w:r>
        <w:t>Emendamento</w:t>
      </w:r>
      <w:r>
        <w:tab/>
      </w:r>
      <w:r>
        <w:tab/>
      </w:r>
      <w:r>
        <w:rPr>
          <w:rStyle w:val="HideTWBExt"/>
        </w:rPr>
        <w:t>&lt;NumAm&gt;</w:t>
      </w:r>
      <w:r>
        <w:t>42</w:t>
      </w:r>
      <w:r>
        <w:rPr>
          <w:rStyle w:val="HideTWBExt"/>
        </w:rPr>
        <w:t>&lt;/NumAm&gt;</w:t>
      </w:r>
    </w:p>
    <w:p w:rsidR="00E33FD9" w:rsidRPr="00E9477D" w:rsidRDefault="00ED2F3D" w:rsidP="00E33FD9">
      <w:pPr>
        <w:pStyle w:val="NormalBold"/>
      </w:pPr>
      <w:r>
        <w:rPr>
          <w:rStyle w:val="HideTWBExt"/>
          <w:b w:val="0"/>
        </w:rPr>
        <w:t>&lt;RepeatBlock-By&gt;&lt;Members&gt;</w:t>
      </w:r>
      <w:r>
        <w:t xml:space="preserve">Estrella </w:t>
      </w:r>
      <w:r>
        <w:t>Galán</w:t>
      </w:r>
      <w:r>
        <w:rPr>
          <w:rStyle w:val="HideTWBExt"/>
          <w:b w:val="0"/>
        </w:rPr>
        <w:t>&lt;/Members&gt;</w:t>
      </w:r>
    </w:p>
    <w:p w:rsidR="00E33FD9" w:rsidRPr="00E9477D" w:rsidRDefault="00ED2F3D" w:rsidP="00E33FD9">
      <w:pPr>
        <w:pStyle w:val="NormalBold"/>
      </w:pPr>
      <w:r>
        <w:rPr>
          <w:rStyle w:val="HideTWBExt"/>
          <w:b w:val="0"/>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Articolo 13 – paragrafo 1 – parte introduttiva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1.</w:t>
            </w:r>
            <w:r>
              <w:tab/>
            </w:r>
            <w:r>
              <w:rPr>
                <w:b/>
                <w:i/>
              </w:rPr>
              <w:t>Non prima di [sei</w:t>
            </w:r>
            <w:r>
              <w:t xml:space="preserve"> anni dopo </w:t>
            </w:r>
            <w:r>
              <w:rPr>
                <w:b/>
                <w:i/>
              </w:rPr>
              <w:t xml:space="preserve">l'entrata in vigore del presente </w:t>
            </w:r>
            <w:r>
              <w:rPr>
                <w:b/>
                <w:i/>
              </w:rPr>
              <w:t>regolamento],</w:t>
            </w:r>
            <w:r>
              <w:t xml:space="preserve"> la </w:t>
            </w:r>
            <w:r>
              <w:rPr>
                <w:b/>
                <w:i/>
              </w:rPr>
              <w:t>Commissione effettua una valutazione</w:t>
            </w:r>
            <w:r>
              <w:t xml:space="preserve"> del presente regolamento</w:t>
            </w:r>
            <w:r>
              <w:rPr>
                <w:b/>
                <w:i/>
              </w:rPr>
              <w:t xml:space="preserve"> e presenta</w:t>
            </w:r>
            <w:r>
              <w:t xml:space="preserve"> al Parlamento europeo, al Consiglio e al Comitato economico e sociale europeo </w:t>
            </w:r>
            <w:r>
              <w:rPr>
                <w:b/>
                <w:i/>
              </w:rPr>
              <w:t>una relazione sulle sue principali conclusioni.</w:t>
            </w:r>
            <w:r>
              <w:t xml:space="preserve"> </w:t>
            </w:r>
            <w:r>
              <w:rPr>
                <w:b/>
                <w:i/>
              </w:rPr>
              <w:t>La relazione verte in particolare:</w:t>
            </w:r>
          </w:p>
        </w:tc>
        <w:tc>
          <w:tcPr>
            <w:tcW w:w="4876" w:type="dxa"/>
            <w:tcBorders>
              <w:top w:val="nil"/>
              <w:left w:val="nil"/>
              <w:bottom w:val="nil"/>
              <w:right w:val="nil"/>
            </w:tcBorders>
          </w:tcPr>
          <w:p w:rsidR="00E33FD9" w:rsidRPr="00E9477D" w:rsidRDefault="00ED2F3D" w:rsidP="00E275B2">
            <w:pPr>
              <w:pStyle w:val="Normal6a"/>
            </w:pPr>
            <w:r>
              <w:t>1.</w:t>
            </w:r>
            <w:r>
              <w:tab/>
            </w:r>
            <w:r>
              <w:rPr>
                <w:b/>
                <w:i/>
              </w:rPr>
              <w:t>Ri</w:t>
            </w:r>
            <w:r>
              <w:rPr>
                <w:b/>
                <w:i/>
              </w:rPr>
              <w:t>spettivamente due anni dopo e undici anni dopo la data di applicazione del presente regolamento, la Commissione riferisce al Parlamento europeo, al Consiglio e al Comitato economico e sociale europeo in merito alla sua attuazione, in particolare sulla prot</w:t>
            </w:r>
            <w:r>
              <w:rPr>
                <w:b/>
                <w:i/>
              </w:rPr>
              <w:t>ezione dei diritti fondamentali e dei dati personali.</w:t>
            </w:r>
          </w:p>
        </w:tc>
      </w:tr>
      <w:tr w:rsidR="00BE4982" w:rsidTr="00E275B2">
        <w:trPr>
          <w:jc w:val="center"/>
        </w:trPr>
        <w:tc>
          <w:tcPr>
            <w:tcW w:w="4876" w:type="dxa"/>
            <w:tcBorders>
              <w:top w:val="nil"/>
              <w:left w:val="nil"/>
              <w:bottom w:val="nil"/>
              <w:right w:val="nil"/>
            </w:tcBorders>
          </w:tcPr>
          <w:p w:rsidR="00E33FD9" w:rsidRPr="00E9477D" w:rsidRDefault="00E33FD9" w:rsidP="00E275B2">
            <w:pPr>
              <w:pStyle w:val="Normal6a"/>
            </w:pPr>
          </w:p>
        </w:tc>
        <w:tc>
          <w:tcPr>
            <w:tcW w:w="4876" w:type="dxa"/>
            <w:tcBorders>
              <w:top w:val="nil"/>
              <w:left w:val="nil"/>
              <w:bottom w:val="nil"/>
              <w:right w:val="nil"/>
            </w:tcBorders>
          </w:tcPr>
          <w:p w:rsidR="00E33FD9" w:rsidRPr="00E9477D" w:rsidRDefault="00ED2F3D" w:rsidP="00E275B2">
            <w:pPr>
              <w:pStyle w:val="Normal6a"/>
            </w:pPr>
            <w:r>
              <w:rPr>
                <w:b/>
                <w:i/>
              </w:rPr>
              <w:t xml:space="preserve">Sei anni dopo l'entrata in vigore del presente regolamento, e successivamente ogni sei anni, la Commissione effettua una valutazione del presente regolamento e presenta al Parlamento europeo, al </w:t>
            </w:r>
            <w:r>
              <w:rPr>
                <w:b/>
                <w:i/>
              </w:rPr>
              <w:t>Consiglio e al Comitato economico e sociale europeo una relazione sulle sue principali conclusioni.</w:t>
            </w:r>
            <w:r>
              <w:t xml:space="preserve"> </w:t>
            </w:r>
            <w:r>
              <w:rPr>
                <w:b/>
                <w:i/>
              </w:rPr>
              <w:t>La relazione verte in particolare:</w:t>
            </w:r>
          </w:p>
        </w:tc>
      </w:tr>
    </w:tbl>
    <w:p w:rsidR="00E33FD9" w:rsidRPr="00E9477D" w:rsidRDefault="00ED2F3D" w:rsidP="00E33FD9">
      <w:pPr>
        <w:pStyle w:val="AmOrLang"/>
      </w:pPr>
      <w:r w:rsidRPr="00E9477D">
        <w:t xml:space="preserve">Or. </w:t>
      </w:r>
      <w:r w:rsidRPr="00E9477D">
        <w:rPr>
          <w:rStyle w:val="HideTWBExt"/>
        </w:rPr>
        <w:t>&lt;Original&gt;</w:t>
      </w:r>
      <w:r w:rsidRPr="00E9477D">
        <w:rPr>
          <w:rStyle w:val="HideTWBInt"/>
        </w:rPr>
        <w:t>{EN}</w:t>
      </w:r>
      <w:r w:rsidRPr="00E9477D">
        <w:t>en</w:t>
      </w:r>
      <w:r w:rsidRPr="00E9477D">
        <w:rPr>
          <w:rStyle w:val="HideTWBExt"/>
        </w:rPr>
        <w:t>&lt;/Original&gt;</w:t>
      </w:r>
    </w:p>
    <w:p w:rsidR="00E33FD9" w:rsidRPr="00E9477D" w:rsidRDefault="00ED2F3D" w:rsidP="00E33FD9">
      <w:r>
        <w:rPr>
          <w:rStyle w:val="HideTWBExt"/>
        </w:rPr>
        <w:t>&lt;/Amend&gt;</w:t>
      </w:r>
    </w:p>
    <w:p w:rsidR="00E33FD9" w:rsidRPr="00E9477D" w:rsidRDefault="00ED2F3D" w:rsidP="00E33FD9">
      <w:pPr>
        <w:pStyle w:val="AmNumberTabs"/>
      </w:pPr>
      <w:r>
        <w:rPr>
          <w:rStyle w:val="HideTWBExt"/>
        </w:rPr>
        <w:t>&lt;Amend&gt;</w:t>
      </w:r>
      <w:r>
        <w:t>Emendamento</w:t>
      </w:r>
      <w:r>
        <w:tab/>
      </w:r>
      <w:r>
        <w:tab/>
      </w:r>
      <w:r>
        <w:rPr>
          <w:rStyle w:val="HideTWBExt"/>
        </w:rPr>
        <w:t>&lt;NumAm&gt;</w:t>
      </w:r>
      <w:r>
        <w:t>43</w:t>
      </w:r>
      <w:r>
        <w:rPr>
          <w:rStyle w:val="HideTWBExt"/>
        </w:rPr>
        <w:t>&lt;/NumAm&gt;</w:t>
      </w:r>
    </w:p>
    <w:p w:rsidR="00E33FD9" w:rsidRPr="00E9477D" w:rsidRDefault="00ED2F3D" w:rsidP="00E33FD9">
      <w:pPr>
        <w:pStyle w:val="NormalBold"/>
      </w:pPr>
      <w:r>
        <w:rPr>
          <w:rStyle w:val="HideTWBExt"/>
          <w:b w:val="0"/>
        </w:rPr>
        <w:t>&lt;RepeatBlock-By&gt;&lt;Members&gt;</w:t>
      </w:r>
      <w:r>
        <w:t>Malik Azmani</w:t>
      </w:r>
      <w:r>
        <w:rPr>
          <w:rStyle w:val="HideTWBExt"/>
          <w:b w:val="0"/>
        </w:rPr>
        <w:t>&lt;/Members&gt;</w:t>
      </w:r>
    </w:p>
    <w:p w:rsidR="00E33FD9" w:rsidRPr="00E9477D" w:rsidRDefault="00ED2F3D" w:rsidP="00E33FD9">
      <w:pPr>
        <w:pStyle w:val="NormalBold"/>
      </w:pPr>
      <w:r>
        <w:rPr>
          <w:rStyle w:val="HideTWBExt"/>
          <w:b w:val="0"/>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Articolo 13 – paragrafo 1 – parte introduttiva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1.</w:t>
            </w:r>
            <w:r>
              <w:tab/>
            </w:r>
            <w:r>
              <w:rPr>
                <w:b/>
                <w:i/>
              </w:rPr>
              <w:t>Non prima</w:t>
            </w:r>
            <w:r>
              <w:t xml:space="preserve"> di </w:t>
            </w:r>
            <w:r>
              <w:rPr>
                <w:b/>
                <w:i/>
              </w:rPr>
              <w:t>[sei</w:t>
            </w:r>
            <w:r>
              <w:t xml:space="preserve"> anni dopo l'entrata in vigore del presente </w:t>
            </w:r>
            <w:r>
              <w:rPr>
                <w:b/>
                <w:i/>
              </w:rPr>
              <w:t>regolamento]</w:t>
            </w:r>
            <w:r>
              <w:t>,</w:t>
            </w:r>
            <w:r>
              <w:t xml:space="preserve"> la Commissione effettua una valutazione del presente regolamento e presenta al Parlamento europeo, al Consiglio e al Comitato economico e sociale europeo una relazione sulle sue principali conclusioni. La relazione verte in particolare:</w:t>
            </w:r>
          </w:p>
        </w:tc>
        <w:tc>
          <w:tcPr>
            <w:tcW w:w="4876" w:type="dxa"/>
            <w:tcBorders>
              <w:top w:val="nil"/>
              <w:left w:val="nil"/>
              <w:bottom w:val="nil"/>
              <w:right w:val="nil"/>
            </w:tcBorders>
          </w:tcPr>
          <w:p w:rsidR="00E33FD9" w:rsidRPr="00E9477D" w:rsidRDefault="00ED2F3D" w:rsidP="00E275B2">
            <w:pPr>
              <w:pStyle w:val="Normal6a"/>
            </w:pPr>
            <w:r>
              <w:t>1.</w:t>
            </w:r>
            <w:r>
              <w:tab/>
            </w:r>
            <w:r>
              <w:rPr>
                <w:b/>
                <w:i/>
              </w:rPr>
              <w:t>Rispettivamente</w:t>
            </w:r>
            <w:r>
              <w:rPr>
                <w:b/>
                <w:i/>
              </w:rPr>
              <w:t xml:space="preserve"> due anni dopo e undici anni dopo la data di applicazione del presente regolamento, la Commissione riferisce al Parlamento europeo e al Consiglio in merito alla sua attuazione, in particolare sulla protezione dei diritti fondamentali e dei dati personali.</w:t>
            </w:r>
            <w:r>
              <w:t xml:space="preserve"> </w:t>
            </w:r>
            <w:r>
              <w:rPr>
                <w:b/>
                <w:i/>
              </w:rPr>
              <w:t>Sei</w:t>
            </w:r>
            <w:r>
              <w:t xml:space="preserve"> anni dopo l'entrata in vigore del presente </w:t>
            </w:r>
            <w:r>
              <w:rPr>
                <w:b/>
                <w:i/>
              </w:rPr>
              <w:t>regolamento</w:t>
            </w:r>
            <w:r>
              <w:t>, la Commissione effettua una valutazione del presente regolamento e presenta al Parlamento europeo, al Consiglio e al Comitato economico e sociale europeo una relazione sulle sue principali conclus</w:t>
            </w:r>
            <w:r>
              <w:t>ioni. La relazione verte in particolare:</w:t>
            </w:r>
          </w:p>
        </w:tc>
      </w:tr>
    </w:tbl>
    <w:p w:rsidR="00E33FD9" w:rsidRPr="00E9477D" w:rsidRDefault="00ED2F3D" w:rsidP="00E33FD9">
      <w:pPr>
        <w:pStyle w:val="AmOrLang"/>
      </w:pPr>
      <w:r w:rsidRPr="00E9477D">
        <w:t xml:space="preserve">Or. </w:t>
      </w:r>
      <w:r w:rsidRPr="00E9477D">
        <w:rPr>
          <w:rStyle w:val="HideTWBExt"/>
        </w:rPr>
        <w:t>&lt;Original&gt;</w:t>
      </w:r>
      <w:r w:rsidRPr="00E9477D">
        <w:rPr>
          <w:rStyle w:val="HideTWBInt"/>
        </w:rPr>
        <w:t>{EN}</w:t>
      </w:r>
      <w:r w:rsidRPr="00E9477D">
        <w:t>en</w:t>
      </w:r>
      <w:r w:rsidRPr="00E9477D">
        <w:rPr>
          <w:rStyle w:val="HideTWBExt"/>
        </w:rPr>
        <w:t>&lt;/Original&gt;</w:t>
      </w:r>
    </w:p>
    <w:p w:rsidR="00E33FD9" w:rsidRPr="00E9477D" w:rsidRDefault="00ED2F3D" w:rsidP="00E33FD9">
      <w:r>
        <w:rPr>
          <w:rStyle w:val="HideTWBExt"/>
        </w:rPr>
        <w:t>&lt;/Amend&gt;</w:t>
      </w:r>
    </w:p>
    <w:p w:rsidR="00E33FD9" w:rsidRPr="00E9477D" w:rsidRDefault="00ED2F3D" w:rsidP="00E33FD9">
      <w:pPr>
        <w:pStyle w:val="AmNumberTabs"/>
      </w:pPr>
      <w:r>
        <w:rPr>
          <w:rStyle w:val="HideTWBExt"/>
        </w:rPr>
        <w:t>&lt;Amend&gt;</w:t>
      </w:r>
      <w:r>
        <w:t>Emendamento</w:t>
      </w:r>
      <w:r>
        <w:tab/>
      </w:r>
      <w:r>
        <w:tab/>
      </w:r>
      <w:r>
        <w:rPr>
          <w:rStyle w:val="HideTWBExt"/>
        </w:rPr>
        <w:t>&lt;NumAm&gt;</w:t>
      </w:r>
      <w:r>
        <w:t>44</w:t>
      </w:r>
      <w:r>
        <w:rPr>
          <w:rStyle w:val="HideTWBExt"/>
        </w:rPr>
        <w:t>&lt;/NumAm&gt;</w:t>
      </w:r>
    </w:p>
    <w:p w:rsidR="00E33FD9" w:rsidRPr="00E9477D" w:rsidRDefault="00ED2F3D" w:rsidP="00E33FD9">
      <w:pPr>
        <w:pStyle w:val="NormalBold"/>
      </w:pPr>
      <w:r>
        <w:rPr>
          <w:rStyle w:val="HideTWBExt"/>
          <w:b w:val="0"/>
        </w:rPr>
        <w:t>&lt;RepeatBlock-By&gt;&lt;Members&gt;</w:t>
      </w:r>
      <w:r>
        <w:t>Francisco Assis, Krzysztof Śmiszek, Ana Catarina Mendes, Marco Tarquinio, Emma Rafowicz, Alessandro Zan</w:t>
      </w:r>
      <w:r>
        <w:rPr>
          <w:rStyle w:val="HideTWBExt"/>
          <w:b w:val="0"/>
        </w:rPr>
        <w:t>&lt;/Members&gt;</w:t>
      </w:r>
    </w:p>
    <w:p w:rsidR="00E33FD9" w:rsidRPr="00E9477D" w:rsidRDefault="00ED2F3D" w:rsidP="00E33FD9">
      <w:pPr>
        <w:pStyle w:val="NormalBold"/>
      </w:pPr>
      <w:r>
        <w:rPr>
          <w:rStyle w:val="HideTWBExt"/>
          <w:b w:val="0"/>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Articolo 13 – paragrafo 1 – parte introduttiva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t>1.</w:t>
            </w:r>
            <w:r>
              <w:tab/>
            </w:r>
            <w:r>
              <w:rPr>
                <w:b/>
                <w:i/>
              </w:rPr>
              <w:t>Non prima di</w:t>
            </w:r>
            <w:r>
              <w:t xml:space="preserve"> [sei anni dopo l'entrata in vigore del presente regolamento], la Commissione effettua una valutazione del presente regolamento e presenta al Parlamento europeo, al Consiglio e al Comitato economico e sociale europeo una relazione sulle sue principali conc</w:t>
            </w:r>
            <w:r>
              <w:t>lusioni. La relazione verte in particolare:</w:t>
            </w:r>
          </w:p>
        </w:tc>
        <w:tc>
          <w:tcPr>
            <w:tcW w:w="4876" w:type="dxa"/>
            <w:tcBorders>
              <w:top w:val="nil"/>
              <w:left w:val="nil"/>
              <w:bottom w:val="nil"/>
              <w:right w:val="nil"/>
            </w:tcBorders>
          </w:tcPr>
          <w:p w:rsidR="00E33FD9" w:rsidRPr="00E9477D" w:rsidRDefault="00ED2F3D" w:rsidP="00E275B2">
            <w:pPr>
              <w:pStyle w:val="Normal6a"/>
            </w:pPr>
            <w:r>
              <w:t>1.</w:t>
            </w:r>
            <w:r>
              <w:tab/>
            </w:r>
            <w:r>
              <w:rPr>
                <w:b/>
                <w:i/>
              </w:rPr>
              <w:t>Entro</w:t>
            </w:r>
            <w:r>
              <w:t xml:space="preserve"> [sei anni dopo l'entrata in vigore del presente regolamento], la Commissione effettua una valutazione del presente regolamento e presenta al Parlamento europeo, al Consiglio e al Comitato economico e soc</w:t>
            </w:r>
            <w:r>
              <w:t>iale europeo una relazione sulle sue principali conclusioni. La relazione verte in particolare:</w:t>
            </w:r>
          </w:p>
        </w:tc>
      </w:tr>
    </w:tbl>
    <w:p w:rsidR="00E33FD9" w:rsidRPr="00E9477D" w:rsidRDefault="00ED2F3D" w:rsidP="00E33FD9">
      <w:pPr>
        <w:pStyle w:val="AmOrLang"/>
      </w:pPr>
      <w:r w:rsidRPr="00E9477D">
        <w:t xml:space="preserve">Or. </w:t>
      </w:r>
      <w:r w:rsidRPr="00E9477D">
        <w:rPr>
          <w:rStyle w:val="HideTWBExt"/>
        </w:rPr>
        <w:t>&lt;Original&gt;</w:t>
      </w:r>
      <w:r w:rsidRPr="00E9477D">
        <w:rPr>
          <w:rStyle w:val="HideTWBInt"/>
        </w:rPr>
        <w:t>{EN}</w:t>
      </w:r>
      <w:r w:rsidRPr="00E9477D">
        <w:t>en</w:t>
      </w:r>
      <w:r w:rsidRPr="00E9477D">
        <w:rPr>
          <w:rStyle w:val="HideTWBExt"/>
        </w:rPr>
        <w:t>&lt;/Original&gt;</w:t>
      </w:r>
    </w:p>
    <w:p w:rsidR="00E33FD9" w:rsidRPr="00E9477D" w:rsidRDefault="00ED2F3D" w:rsidP="00E33FD9">
      <w:r>
        <w:rPr>
          <w:rStyle w:val="HideTWBExt"/>
        </w:rPr>
        <w:t>&lt;/Amend&gt;</w:t>
      </w:r>
    </w:p>
    <w:p w:rsidR="00E33FD9" w:rsidRPr="00E9477D" w:rsidRDefault="00ED2F3D" w:rsidP="00E33FD9">
      <w:pPr>
        <w:pStyle w:val="AmNumberTabs"/>
      </w:pPr>
      <w:r>
        <w:rPr>
          <w:rStyle w:val="HideTWBExt"/>
        </w:rPr>
        <w:t>&lt;Amend&gt;</w:t>
      </w:r>
      <w:r>
        <w:t>Emendamento</w:t>
      </w:r>
      <w:r>
        <w:tab/>
      </w:r>
      <w:r>
        <w:tab/>
      </w:r>
      <w:r>
        <w:rPr>
          <w:rStyle w:val="HideTWBExt"/>
        </w:rPr>
        <w:t>&lt;NumAm&gt;</w:t>
      </w:r>
      <w:r>
        <w:t>45</w:t>
      </w:r>
      <w:r>
        <w:rPr>
          <w:rStyle w:val="HideTWBExt"/>
        </w:rPr>
        <w:t>&lt;/NumAm&gt;</w:t>
      </w:r>
    </w:p>
    <w:p w:rsidR="00E33FD9" w:rsidRPr="00E9477D" w:rsidRDefault="00ED2F3D" w:rsidP="00E33FD9">
      <w:pPr>
        <w:pStyle w:val="NormalBold"/>
      </w:pPr>
      <w:r>
        <w:rPr>
          <w:rStyle w:val="HideTWBExt"/>
          <w:b w:val="0"/>
        </w:rPr>
        <w:t>&lt;RepeatBlock-By&gt;&lt;Members&gt;</w:t>
      </w:r>
      <w:r>
        <w:t xml:space="preserve">Roberto Vannacci, António Tânger Corrêa, Susanna </w:t>
      </w:r>
      <w:r>
        <w:t>Ceccardi, Anna Maria Cisint, Nikola Bartůšek, Fabrice Leggeri, Tom Vandendriessche, Matthieu Valet</w:t>
      </w:r>
      <w:r>
        <w:rPr>
          <w:rStyle w:val="HideTWBExt"/>
          <w:b w:val="0"/>
        </w:rPr>
        <w:t>&lt;/Members&gt;</w:t>
      </w:r>
    </w:p>
    <w:p w:rsidR="00E33FD9" w:rsidRPr="00E9477D" w:rsidRDefault="00ED2F3D" w:rsidP="00E33FD9">
      <w:pPr>
        <w:pStyle w:val="NormalBold"/>
      </w:pPr>
      <w:r>
        <w:rPr>
          <w:rStyle w:val="HideTWBExt"/>
          <w:b w:val="0"/>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Articolo 13 – paragrafo 1 – lettera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D2F3D" w:rsidP="00E275B2">
            <w:pPr>
              <w:pStyle w:val="Normal6a"/>
            </w:pPr>
            <w:r>
              <w:rPr>
                <w:b/>
                <w:i/>
              </w:rPr>
              <w:t>(a)</w:t>
            </w:r>
            <w:r>
              <w:tab/>
            </w:r>
            <w:r>
              <w:rPr>
                <w:b/>
                <w:i/>
              </w:rPr>
              <w:t>sull'impatto del presente regolamento sui diritti fondamentali;</w:t>
            </w:r>
          </w:p>
        </w:tc>
        <w:tc>
          <w:tcPr>
            <w:tcW w:w="4876" w:type="dxa"/>
            <w:tcBorders>
              <w:top w:val="nil"/>
              <w:left w:val="nil"/>
              <w:bottom w:val="nil"/>
              <w:right w:val="nil"/>
            </w:tcBorders>
          </w:tcPr>
          <w:p w:rsidR="00E33FD9" w:rsidRPr="00E9477D" w:rsidRDefault="00ED2F3D" w:rsidP="00E275B2">
            <w:pPr>
              <w:pStyle w:val="Normal6a"/>
            </w:pPr>
            <w:r>
              <w:rPr>
                <w:b/>
                <w:i/>
              </w:rPr>
              <w:t>soppresso</w:t>
            </w:r>
          </w:p>
        </w:tc>
      </w:tr>
    </w:tbl>
    <w:p w:rsidR="00E33FD9" w:rsidRPr="00E9477D" w:rsidRDefault="00ED2F3D" w:rsidP="00E33FD9">
      <w:pPr>
        <w:pStyle w:val="AmOrLang"/>
      </w:pPr>
      <w:r w:rsidRPr="00E9477D">
        <w:t xml:space="preserve">Or. </w:t>
      </w:r>
      <w:r w:rsidRPr="00E9477D">
        <w:rPr>
          <w:rStyle w:val="HideTWBExt"/>
        </w:rPr>
        <w:t>&lt;Original&gt;</w:t>
      </w:r>
      <w:r w:rsidRPr="00E9477D">
        <w:rPr>
          <w:rStyle w:val="HideTWBInt"/>
        </w:rPr>
        <w:t>{EN}</w:t>
      </w:r>
      <w:r w:rsidRPr="00E9477D">
        <w:t>en</w:t>
      </w:r>
      <w:r w:rsidRPr="00E9477D">
        <w:rPr>
          <w:rStyle w:val="HideTWBExt"/>
        </w:rPr>
        <w:t>&lt;/Original&gt;</w:t>
      </w:r>
    </w:p>
    <w:p w:rsidR="00E33FD9" w:rsidRPr="00E9477D" w:rsidRDefault="00ED2F3D" w:rsidP="00E33FD9">
      <w:r>
        <w:rPr>
          <w:rStyle w:val="HideTWBExt"/>
        </w:rPr>
        <w:t>&lt;/Amend&gt;</w:t>
      </w:r>
    </w:p>
    <w:p w:rsidR="00E33FD9" w:rsidRPr="00E9477D" w:rsidRDefault="00ED2F3D" w:rsidP="00E33FD9">
      <w:pPr>
        <w:pStyle w:val="AmNumberTabs"/>
      </w:pPr>
      <w:r>
        <w:rPr>
          <w:rStyle w:val="HideTWBExt"/>
        </w:rPr>
        <w:t>&lt;Amend&gt;</w:t>
      </w:r>
      <w:r>
        <w:t>Emendamento</w:t>
      </w:r>
      <w:r>
        <w:tab/>
      </w:r>
      <w:r>
        <w:tab/>
      </w:r>
      <w:r>
        <w:rPr>
          <w:rStyle w:val="HideTWBExt"/>
        </w:rPr>
        <w:t>&lt;NumAm&gt;</w:t>
      </w:r>
      <w:r>
        <w:t>46</w:t>
      </w:r>
      <w:r>
        <w:rPr>
          <w:rStyle w:val="HideTWBExt"/>
        </w:rPr>
        <w:t>&lt;/NumAm&gt;</w:t>
      </w:r>
    </w:p>
    <w:p w:rsidR="00E33FD9" w:rsidRPr="00E9477D" w:rsidRDefault="00ED2F3D" w:rsidP="00E33FD9">
      <w:pPr>
        <w:pStyle w:val="NormalBold"/>
      </w:pPr>
      <w:r>
        <w:rPr>
          <w:rStyle w:val="HideTWBExt"/>
          <w:b w:val="0"/>
        </w:rPr>
        <w:t>&lt;RepeatBlock-By&gt;&lt;Members&gt;</w:t>
      </w:r>
      <w:r>
        <w:t>Malik Azmani</w:t>
      </w:r>
      <w:r>
        <w:rPr>
          <w:rStyle w:val="HideTWBExt"/>
          <w:b w:val="0"/>
        </w:rPr>
        <w:t>&lt;/Members&gt;</w:t>
      </w:r>
    </w:p>
    <w:p w:rsidR="00E33FD9" w:rsidRPr="00E9477D" w:rsidRDefault="00ED2F3D" w:rsidP="00E33FD9">
      <w:pPr>
        <w:pStyle w:val="NormalBold"/>
      </w:pPr>
      <w:r>
        <w:rPr>
          <w:rStyle w:val="HideTWBExt"/>
          <w:b w:val="0"/>
        </w:rPr>
        <w:t>&lt;/RepeatBlock-By&gt;</w:t>
      </w:r>
    </w:p>
    <w:p w:rsidR="00E33FD9" w:rsidRPr="00E9477D" w:rsidRDefault="00ED2F3D" w:rsidP="00E33FD9">
      <w:pPr>
        <w:pStyle w:val="NormalBold"/>
      </w:pPr>
      <w:r>
        <w:rPr>
          <w:rStyle w:val="HideTWBExt"/>
        </w:rPr>
        <w:t>&lt;DocAmend&gt;</w:t>
      </w:r>
      <w:r>
        <w:t xml:space="preserve">Proposta </w:t>
      </w:r>
      <w:r>
        <w:t>di regolamento</w:t>
      </w:r>
      <w:r>
        <w:rPr>
          <w:rStyle w:val="HideTWBExt"/>
        </w:rPr>
        <w:t>&lt;/DocAmend&gt;</w:t>
      </w:r>
    </w:p>
    <w:p w:rsidR="00E33FD9" w:rsidRPr="00E9477D" w:rsidRDefault="00ED2F3D" w:rsidP="00E33FD9">
      <w:pPr>
        <w:pStyle w:val="NormalBold"/>
      </w:pPr>
      <w:r>
        <w:rPr>
          <w:rStyle w:val="HideTWBExt"/>
        </w:rPr>
        <w:t>&lt;Article&gt;</w:t>
      </w:r>
      <w:r>
        <w:t>Articolo 13 – paragrafo 1 – lettera d bis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33FD9" w:rsidP="00E275B2">
            <w:pPr>
              <w:pStyle w:val="Normal6a"/>
            </w:pPr>
          </w:p>
        </w:tc>
        <w:tc>
          <w:tcPr>
            <w:tcW w:w="4876" w:type="dxa"/>
            <w:tcBorders>
              <w:top w:val="nil"/>
              <w:left w:val="nil"/>
              <w:bottom w:val="nil"/>
              <w:right w:val="nil"/>
            </w:tcBorders>
          </w:tcPr>
          <w:p w:rsidR="00E33FD9" w:rsidRPr="00E9477D" w:rsidRDefault="00ED2F3D" w:rsidP="00E275B2">
            <w:pPr>
              <w:pStyle w:val="Normal6a"/>
            </w:pPr>
            <w:r>
              <w:rPr>
                <w:b/>
                <w:i/>
              </w:rPr>
              <w:t>(d bis)</w:t>
            </w:r>
            <w:r>
              <w:tab/>
            </w:r>
            <w:r>
              <w:rPr>
                <w:b/>
                <w:i/>
              </w:rPr>
              <w:t xml:space="preserve">sulla necessità di introdurre elementi di sicurezza comuni dei documenti di identificazione utilizzati in via </w:t>
            </w:r>
            <w:r>
              <w:rPr>
                <w:b/>
                <w:i/>
              </w:rPr>
              <w:t>provvisoria ai fini di un migliore riconoscimento.</w:t>
            </w:r>
          </w:p>
        </w:tc>
      </w:tr>
    </w:tbl>
    <w:p w:rsidR="00E33FD9" w:rsidRPr="00E609F4" w:rsidRDefault="00ED2F3D" w:rsidP="00E33FD9">
      <w:pPr>
        <w:pStyle w:val="AmOrLang"/>
        <w:rPr>
          <w:lang w:val="es-ES"/>
        </w:rPr>
      </w:pPr>
      <w:r w:rsidRPr="00E609F4">
        <w:rPr>
          <w:lang w:val="es-ES"/>
        </w:rPr>
        <w:t xml:space="preserve">Or. </w:t>
      </w:r>
      <w:r w:rsidRPr="00E609F4">
        <w:rPr>
          <w:rStyle w:val="HideTWBExt"/>
          <w:lang w:val="es-ES"/>
        </w:rPr>
        <w:t>&lt;Original&gt;</w:t>
      </w:r>
      <w:r w:rsidRPr="00E609F4">
        <w:rPr>
          <w:rStyle w:val="HideTWBInt"/>
          <w:lang w:val="es-ES"/>
        </w:rPr>
        <w:t>{EN}</w:t>
      </w:r>
      <w:r w:rsidRPr="00E609F4">
        <w:rPr>
          <w:lang w:val="es-ES"/>
        </w:rPr>
        <w:t>en</w:t>
      </w:r>
      <w:r w:rsidRPr="00E609F4">
        <w:rPr>
          <w:rStyle w:val="HideTWBExt"/>
          <w:lang w:val="es-ES"/>
        </w:rPr>
        <w:t>&lt;/Original&gt;</w:t>
      </w:r>
    </w:p>
    <w:p w:rsidR="00E33FD9" w:rsidRPr="00E609F4" w:rsidRDefault="00ED2F3D" w:rsidP="00E33FD9">
      <w:pPr>
        <w:rPr>
          <w:lang w:val="es-ES"/>
        </w:rPr>
      </w:pPr>
      <w:r w:rsidRPr="00E609F4">
        <w:rPr>
          <w:rStyle w:val="HideTWBExt"/>
          <w:lang w:val="es-ES"/>
        </w:rPr>
        <w:t>&lt;/Amend&gt;</w:t>
      </w:r>
    </w:p>
    <w:p w:rsidR="00E33FD9" w:rsidRPr="00E609F4" w:rsidRDefault="00ED2F3D" w:rsidP="00E33FD9">
      <w:pPr>
        <w:pStyle w:val="AmNumberTabs"/>
        <w:rPr>
          <w:lang w:val="es-ES"/>
        </w:rPr>
      </w:pPr>
      <w:r w:rsidRPr="00E609F4">
        <w:rPr>
          <w:rStyle w:val="HideTWBExt"/>
          <w:lang w:val="es-ES"/>
        </w:rPr>
        <w:t>&lt;Amend&gt;</w:t>
      </w:r>
      <w:r w:rsidRPr="00E609F4">
        <w:rPr>
          <w:lang w:val="es-ES"/>
        </w:rPr>
        <w:t>Emendamento</w:t>
      </w:r>
      <w:r w:rsidRPr="00E609F4">
        <w:rPr>
          <w:lang w:val="es-ES"/>
        </w:rPr>
        <w:tab/>
      </w:r>
      <w:r w:rsidRPr="00E609F4">
        <w:rPr>
          <w:lang w:val="es-ES"/>
        </w:rPr>
        <w:tab/>
      </w:r>
      <w:r w:rsidRPr="00E609F4">
        <w:rPr>
          <w:rStyle w:val="HideTWBExt"/>
          <w:lang w:val="es-ES"/>
        </w:rPr>
        <w:t>&lt;NumAm&gt;</w:t>
      </w:r>
      <w:r w:rsidRPr="00E609F4">
        <w:rPr>
          <w:lang w:val="es-ES"/>
        </w:rPr>
        <w:t>47</w:t>
      </w:r>
      <w:r w:rsidRPr="00E609F4">
        <w:rPr>
          <w:rStyle w:val="HideTWBExt"/>
          <w:lang w:val="es-ES"/>
        </w:rPr>
        <w:t>&lt;/NumAm&gt;</w:t>
      </w:r>
    </w:p>
    <w:p w:rsidR="00E33FD9" w:rsidRPr="00E609F4" w:rsidRDefault="00ED2F3D" w:rsidP="00E33FD9">
      <w:pPr>
        <w:pStyle w:val="NormalBold"/>
        <w:rPr>
          <w:lang w:val="es-ES"/>
        </w:rPr>
      </w:pPr>
      <w:r w:rsidRPr="00E609F4">
        <w:rPr>
          <w:rStyle w:val="HideTWBExt"/>
          <w:b w:val="0"/>
          <w:lang w:val="es-ES"/>
        </w:rPr>
        <w:t>&lt;RepeatBlock-By&gt;&lt;Members&gt;</w:t>
      </w:r>
      <w:r w:rsidRPr="00E609F4">
        <w:rPr>
          <w:lang w:val="es-ES"/>
        </w:rPr>
        <w:t>Estrella Galán</w:t>
      </w:r>
      <w:r w:rsidRPr="00E609F4">
        <w:rPr>
          <w:rStyle w:val="HideTWBExt"/>
          <w:b w:val="0"/>
          <w:lang w:val="es-ES"/>
        </w:rPr>
        <w:t>&lt;/Members&gt;</w:t>
      </w:r>
    </w:p>
    <w:p w:rsidR="00E33FD9" w:rsidRPr="00E609F4" w:rsidRDefault="00ED2F3D" w:rsidP="00E33FD9">
      <w:pPr>
        <w:pStyle w:val="NormalBold"/>
        <w:rPr>
          <w:lang w:val="es-ES"/>
        </w:rPr>
      </w:pPr>
      <w:r w:rsidRPr="00E609F4">
        <w:rPr>
          <w:rStyle w:val="HideTWBExt"/>
          <w:b w:val="0"/>
          <w:lang w:val="es-ES"/>
        </w:rPr>
        <w:t>&lt;/RepeatBlock-By&gt;</w:t>
      </w:r>
    </w:p>
    <w:p w:rsidR="00E33FD9" w:rsidRPr="00E9477D" w:rsidRDefault="00ED2F3D" w:rsidP="00E33FD9">
      <w:pPr>
        <w:pStyle w:val="NormalBold"/>
      </w:pPr>
      <w:r>
        <w:rPr>
          <w:rStyle w:val="HideTWBExt"/>
        </w:rPr>
        <w:t>&lt;DocAmend&gt;</w:t>
      </w:r>
      <w:r>
        <w:t>Proposta di regolamento</w:t>
      </w:r>
      <w:r>
        <w:rPr>
          <w:rStyle w:val="HideTWBExt"/>
        </w:rPr>
        <w:t>&lt;/DocAmend&gt;</w:t>
      </w:r>
    </w:p>
    <w:p w:rsidR="00E33FD9" w:rsidRPr="00E9477D" w:rsidRDefault="00ED2F3D" w:rsidP="00E33FD9">
      <w:pPr>
        <w:pStyle w:val="NormalBold"/>
      </w:pPr>
      <w:r>
        <w:rPr>
          <w:rStyle w:val="HideTWBExt"/>
        </w:rPr>
        <w:t>&lt;Article&gt;</w:t>
      </w:r>
      <w:r>
        <w:t>Articolo 13 – paragrafo 1 – lettera d bis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982" w:rsidTr="00E275B2">
        <w:trPr>
          <w:trHeight w:hRule="exact" w:val="240"/>
          <w:jc w:val="center"/>
        </w:trPr>
        <w:tc>
          <w:tcPr>
            <w:tcW w:w="9752" w:type="dxa"/>
            <w:gridSpan w:val="2"/>
            <w:tcBorders>
              <w:top w:val="nil"/>
              <w:left w:val="nil"/>
              <w:bottom w:val="nil"/>
              <w:right w:val="nil"/>
            </w:tcBorders>
          </w:tcPr>
          <w:p w:rsidR="00E33FD9" w:rsidRPr="00E9477D" w:rsidRDefault="00E33FD9" w:rsidP="00E275B2"/>
        </w:tc>
      </w:tr>
      <w:tr w:rsidR="00BE4982" w:rsidTr="00E275B2">
        <w:trPr>
          <w:trHeight w:val="240"/>
          <w:jc w:val="center"/>
        </w:trPr>
        <w:tc>
          <w:tcPr>
            <w:tcW w:w="4876" w:type="dxa"/>
            <w:tcBorders>
              <w:top w:val="nil"/>
              <w:left w:val="nil"/>
              <w:bottom w:val="nil"/>
              <w:right w:val="nil"/>
            </w:tcBorders>
          </w:tcPr>
          <w:p w:rsidR="00E33FD9" w:rsidRPr="00E9477D" w:rsidRDefault="00ED2F3D" w:rsidP="00E275B2">
            <w:pPr>
              <w:pStyle w:val="AmColumnHeading"/>
            </w:pPr>
            <w:r>
              <w:t>Testo della Commissione</w:t>
            </w:r>
          </w:p>
        </w:tc>
        <w:tc>
          <w:tcPr>
            <w:tcW w:w="4876" w:type="dxa"/>
            <w:tcBorders>
              <w:top w:val="nil"/>
              <w:left w:val="nil"/>
              <w:bottom w:val="nil"/>
              <w:right w:val="nil"/>
            </w:tcBorders>
          </w:tcPr>
          <w:p w:rsidR="00E33FD9" w:rsidRPr="00E9477D" w:rsidRDefault="00ED2F3D" w:rsidP="00E275B2">
            <w:pPr>
              <w:pStyle w:val="AmColumnHeading"/>
            </w:pPr>
            <w:r>
              <w:t>Emendamento</w:t>
            </w:r>
          </w:p>
        </w:tc>
      </w:tr>
      <w:tr w:rsidR="00BE4982" w:rsidTr="00E275B2">
        <w:trPr>
          <w:jc w:val="center"/>
        </w:trPr>
        <w:tc>
          <w:tcPr>
            <w:tcW w:w="4876" w:type="dxa"/>
            <w:tcBorders>
              <w:top w:val="nil"/>
              <w:left w:val="nil"/>
              <w:bottom w:val="nil"/>
              <w:right w:val="nil"/>
            </w:tcBorders>
          </w:tcPr>
          <w:p w:rsidR="00E33FD9" w:rsidRPr="00E9477D" w:rsidRDefault="00E33FD9" w:rsidP="00E275B2">
            <w:pPr>
              <w:pStyle w:val="Normal6a"/>
            </w:pPr>
          </w:p>
        </w:tc>
        <w:tc>
          <w:tcPr>
            <w:tcW w:w="4876" w:type="dxa"/>
            <w:tcBorders>
              <w:top w:val="nil"/>
              <w:left w:val="nil"/>
              <w:bottom w:val="nil"/>
              <w:right w:val="nil"/>
            </w:tcBorders>
          </w:tcPr>
          <w:p w:rsidR="00E33FD9" w:rsidRPr="00E9477D" w:rsidRDefault="00ED2F3D" w:rsidP="00E275B2">
            <w:pPr>
              <w:pStyle w:val="Normal6a"/>
            </w:pPr>
            <w:r>
              <w:rPr>
                <w:b/>
                <w:i/>
              </w:rPr>
              <w:t>(d bis)</w:t>
            </w:r>
            <w:r>
              <w:tab/>
            </w:r>
            <w:r>
              <w:rPr>
                <w:b/>
                <w:i/>
              </w:rPr>
              <w:t>su un eventuale utilizzo delle carte di soggiorno come documenti di viaggio.</w:t>
            </w:r>
          </w:p>
        </w:tc>
      </w:tr>
    </w:tbl>
    <w:p w:rsidR="00E33FD9" w:rsidRPr="00E609F4" w:rsidRDefault="00ED2F3D" w:rsidP="00E33FD9">
      <w:pPr>
        <w:pStyle w:val="AmOrLang"/>
        <w:rPr>
          <w:lang w:val="en-GB"/>
        </w:rPr>
      </w:pPr>
      <w:r w:rsidRPr="00E609F4">
        <w:rPr>
          <w:lang w:val="en-GB"/>
        </w:rPr>
        <w:t xml:space="preserve">Or. </w:t>
      </w:r>
      <w:r w:rsidRPr="00E609F4">
        <w:rPr>
          <w:rStyle w:val="HideTWBExt"/>
          <w:lang w:val="en-GB"/>
        </w:rPr>
        <w:t>&lt;Original&gt;</w:t>
      </w:r>
      <w:r w:rsidRPr="00E609F4">
        <w:rPr>
          <w:rStyle w:val="HideTWBInt"/>
          <w:lang w:val="en-GB"/>
        </w:rPr>
        <w:t>{EN}</w:t>
      </w:r>
      <w:r w:rsidRPr="00E609F4">
        <w:rPr>
          <w:lang w:val="en-GB"/>
        </w:rPr>
        <w:t>en</w:t>
      </w:r>
      <w:r w:rsidRPr="00E609F4">
        <w:rPr>
          <w:rStyle w:val="HideTWBExt"/>
          <w:lang w:val="en-GB"/>
        </w:rPr>
        <w:t>&lt;/Original&gt;</w:t>
      </w:r>
    </w:p>
    <w:p w:rsidR="00E33FD9" w:rsidRPr="00E609F4" w:rsidRDefault="00ED2F3D" w:rsidP="00E33FD9">
      <w:pPr>
        <w:rPr>
          <w:lang w:val="en-GB"/>
        </w:rPr>
      </w:pPr>
      <w:r w:rsidRPr="00E609F4">
        <w:rPr>
          <w:rStyle w:val="HideTWBExt"/>
          <w:lang w:val="en-GB"/>
        </w:rPr>
        <w:t>&lt;/Amend&gt;</w:t>
      </w:r>
    </w:p>
    <w:p w:rsidR="00387D70" w:rsidRPr="00E609F4" w:rsidRDefault="00ED2F3D" w:rsidP="00E609F4">
      <w:pPr>
        <w:rPr>
          <w:lang w:val="en-GB"/>
        </w:rPr>
      </w:pPr>
      <w:r w:rsidRPr="00E609F4">
        <w:rPr>
          <w:rStyle w:val="HideTWBExt"/>
          <w:lang w:val="en-GB"/>
        </w:rPr>
        <w:t>&lt;/RepeatBlock-Amend&gt;</w:t>
      </w:r>
    </w:p>
    <w:sectPr w:rsidR="00387D70" w:rsidRPr="00E609F4" w:rsidSect="006B2AE0">
      <w:headerReference w:type="even" r:id="rId9"/>
      <w:headerReference w:type="default" r:id="rId10"/>
      <w:footerReference w:type="even" r:id="rId11"/>
      <w:footerReference w:type="default" r:id="rId12"/>
      <w:headerReference w:type="first" r:id="rId13"/>
      <w:footerReference w:type="first" r:id="rId14"/>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D2F3D">
      <w:r>
        <w:separator/>
      </w:r>
    </w:p>
  </w:endnote>
  <w:endnote w:type="continuationSeparator" w:id="0">
    <w:p w:rsidR="00000000" w:rsidRDefault="00ED2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AE0" w:rsidRPr="00E609F4" w:rsidRDefault="00ED2F3D" w:rsidP="006B2AE0">
    <w:pPr>
      <w:pStyle w:val="EPFooter"/>
      <w:rPr>
        <w:lang w:val="de-DE"/>
      </w:rPr>
    </w:pPr>
    <w:r w:rsidRPr="00E609F4">
      <w:rPr>
        <w:lang w:val="de-DE"/>
      </w:rPr>
      <w:t>PE</w:t>
    </w:r>
    <w:r w:rsidRPr="00E609F4">
      <w:rPr>
        <w:rStyle w:val="HideTWBExt"/>
        <w:lang w:val="de-DE"/>
      </w:rPr>
      <w:t>&lt;NoPE&gt;</w:t>
    </w:r>
    <w:r w:rsidRPr="00E609F4">
      <w:rPr>
        <w:lang w:val="de-DE"/>
      </w:rPr>
      <w:t>766.918</w:t>
    </w:r>
    <w:r w:rsidRPr="00E609F4">
      <w:rPr>
        <w:rStyle w:val="HideTWBExt"/>
        <w:lang w:val="de-DE"/>
      </w:rPr>
      <w:t>&lt;/NoPE&gt;&lt;Version&gt;</w:t>
    </w:r>
    <w:r w:rsidRPr="00E609F4">
      <w:rPr>
        <w:lang w:val="de-DE"/>
      </w:rPr>
      <w:t>v02-00</w:t>
    </w:r>
    <w:r w:rsidRPr="00E609F4">
      <w:rPr>
        <w:rStyle w:val="HideTWBExt"/>
        <w:lang w:val="de-DE"/>
      </w:rPr>
      <w:t>&lt;/Version&gt;</w:t>
    </w:r>
    <w:r w:rsidRPr="00E609F4">
      <w:rPr>
        <w:lang w:val="de-DE"/>
      </w:rPr>
      <w:tab/>
    </w:r>
    <w:r w:rsidRPr="00E9477D">
      <w:fldChar w:fldCharType="begin"/>
    </w:r>
    <w:r w:rsidRPr="00E609F4">
      <w:rPr>
        <w:lang w:val="de-DE"/>
      </w:rPr>
      <w:instrText xml:space="preserve"> PAGE  \* MERGEFORMAT </w:instrText>
    </w:r>
    <w:r w:rsidRPr="00E9477D">
      <w:fldChar w:fldCharType="separate"/>
    </w:r>
    <w:r>
      <w:rPr>
        <w:noProof/>
        <w:lang w:val="de-DE"/>
      </w:rPr>
      <w:t>18</w:t>
    </w:r>
    <w:r w:rsidRPr="00E9477D">
      <w:fldChar w:fldCharType="end"/>
    </w:r>
    <w:r w:rsidRPr="00E609F4">
      <w:rPr>
        <w:lang w:val="de-DE"/>
      </w:rPr>
      <w:t>/</w:t>
    </w:r>
    <w:r w:rsidR="00352C01">
      <w:fldChar w:fldCharType="begin"/>
    </w:r>
    <w:r w:rsidRPr="00E609F4">
      <w:rPr>
        <w:lang w:val="de-DE"/>
      </w:rPr>
      <w:instrText xml:space="preserve"> NUMPAGES  \* MERGEFORMAT </w:instrText>
    </w:r>
    <w:r w:rsidR="00352C01">
      <w:fldChar w:fldCharType="separate"/>
    </w:r>
    <w:r>
      <w:rPr>
        <w:noProof/>
        <w:lang w:val="de-DE"/>
      </w:rPr>
      <w:t>26</w:t>
    </w:r>
    <w:r w:rsidR="00352C01">
      <w:rPr>
        <w:noProof/>
      </w:rPr>
      <w:fldChar w:fldCharType="end"/>
    </w:r>
    <w:r w:rsidRPr="00E609F4">
      <w:rPr>
        <w:lang w:val="de-DE"/>
      </w:rPr>
      <w:tab/>
    </w:r>
    <w:r w:rsidRPr="00E609F4">
      <w:rPr>
        <w:rStyle w:val="HideTWBExt"/>
        <w:lang w:val="de-DE"/>
      </w:rPr>
      <w:t>&lt;PathFdR&gt;</w:t>
    </w:r>
    <w:r w:rsidRPr="00E609F4">
      <w:rPr>
        <w:lang w:val="de-DE"/>
      </w:rPr>
      <w:t>AM\1314148IT.docx</w:t>
    </w:r>
    <w:r w:rsidRPr="00E609F4">
      <w:rPr>
        <w:rStyle w:val="HideTWBExt"/>
        <w:lang w:val="de-DE"/>
      </w:rPr>
      <w:t>&lt;/PathFdR&gt;</w:t>
    </w:r>
  </w:p>
  <w:p w:rsidR="00387D70" w:rsidRPr="00E9477D" w:rsidRDefault="00ED2F3D" w:rsidP="006B2AE0">
    <w:pPr>
      <w:pStyle w:val="EPFooter2"/>
    </w:pPr>
    <w:r w:rsidRPr="00E9477D">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AE0" w:rsidRPr="00E609F4" w:rsidRDefault="00ED2F3D" w:rsidP="006B2AE0">
    <w:pPr>
      <w:pStyle w:val="EPFooter"/>
      <w:rPr>
        <w:lang w:val="en-GB"/>
      </w:rPr>
    </w:pPr>
    <w:r w:rsidRPr="00E609F4">
      <w:rPr>
        <w:rStyle w:val="HideTWBExt"/>
        <w:lang w:val="en-GB"/>
      </w:rPr>
      <w:t>&lt;PathFdR&gt;</w:t>
    </w:r>
    <w:r w:rsidRPr="00E609F4">
      <w:rPr>
        <w:lang w:val="en-GB"/>
      </w:rPr>
      <w:t>AM\1314148IT.docx</w:t>
    </w:r>
    <w:r w:rsidRPr="00E609F4">
      <w:rPr>
        <w:rStyle w:val="HideTWBExt"/>
        <w:lang w:val="en-GB"/>
      </w:rPr>
      <w:t>&lt;/PathFdR&gt;</w:t>
    </w:r>
    <w:r w:rsidRPr="00E609F4">
      <w:rPr>
        <w:lang w:val="en-GB"/>
      </w:rPr>
      <w:tab/>
    </w:r>
    <w:r w:rsidRPr="00E9477D">
      <w:fldChar w:fldCharType="begin"/>
    </w:r>
    <w:r w:rsidRPr="00E609F4">
      <w:rPr>
        <w:lang w:val="en-GB"/>
      </w:rPr>
      <w:instrText xml:space="preserve"> PAGE  \* MERGEFORMAT </w:instrText>
    </w:r>
    <w:r w:rsidRPr="00E9477D">
      <w:fldChar w:fldCharType="separate"/>
    </w:r>
    <w:r>
      <w:rPr>
        <w:noProof/>
        <w:lang w:val="en-GB"/>
      </w:rPr>
      <w:t>17</w:t>
    </w:r>
    <w:r w:rsidRPr="00E9477D">
      <w:fldChar w:fldCharType="end"/>
    </w:r>
    <w:r w:rsidRPr="00E609F4">
      <w:rPr>
        <w:lang w:val="en-GB"/>
      </w:rPr>
      <w:t>/</w:t>
    </w:r>
    <w:r w:rsidR="00352C01">
      <w:fldChar w:fldCharType="begin"/>
    </w:r>
    <w:r w:rsidRPr="00E609F4">
      <w:rPr>
        <w:lang w:val="en-GB"/>
      </w:rPr>
      <w:instrText xml:space="preserve"> NUMPAGES  \* MERGEFORMAT </w:instrText>
    </w:r>
    <w:r w:rsidR="00352C01">
      <w:fldChar w:fldCharType="separate"/>
    </w:r>
    <w:r>
      <w:rPr>
        <w:noProof/>
        <w:lang w:val="en-GB"/>
      </w:rPr>
      <w:t>26</w:t>
    </w:r>
    <w:r w:rsidR="00352C01">
      <w:rPr>
        <w:noProof/>
      </w:rPr>
      <w:fldChar w:fldCharType="end"/>
    </w:r>
    <w:r w:rsidRPr="00E609F4">
      <w:rPr>
        <w:lang w:val="en-GB"/>
      </w:rPr>
      <w:tab/>
      <w:t>PE</w:t>
    </w:r>
    <w:r w:rsidRPr="00E609F4">
      <w:rPr>
        <w:rStyle w:val="HideTWBExt"/>
        <w:lang w:val="en-GB"/>
      </w:rPr>
      <w:t>&lt;NoPE&gt;</w:t>
    </w:r>
    <w:r w:rsidRPr="00E609F4">
      <w:rPr>
        <w:lang w:val="en-GB"/>
      </w:rPr>
      <w:t>766.918</w:t>
    </w:r>
    <w:r w:rsidRPr="00E609F4">
      <w:rPr>
        <w:rStyle w:val="HideTWBExt"/>
        <w:lang w:val="en-GB"/>
      </w:rPr>
      <w:t>&lt;/NoPE&gt;&lt;Version&gt;</w:t>
    </w:r>
    <w:r w:rsidRPr="00E609F4">
      <w:rPr>
        <w:lang w:val="en-GB"/>
      </w:rPr>
      <w:t>v02-00</w:t>
    </w:r>
    <w:r w:rsidRPr="00E609F4">
      <w:rPr>
        <w:rStyle w:val="HideTWBExt"/>
        <w:lang w:val="en-GB"/>
      </w:rPr>
      <w:t>&lt;/Version&gt;</w:t>
    </w:r>
  </w:p>
  <w:p w:rsidR="00387D70" w:rsidRPr="00E609F4" w:rsidRDefault="00ED2F3D" w:rsidP="006B2AE0">
    <w:pPr>
      <w:pStyle w:val="EPFooter2"/>
      <w:rPr>
        <w:lang w:val="en-GB"/>
      </w:rPr>
    </w:pPr>
    <w:r w:rsidRPr="00E609F4">
      <w:rPr>
        <w:lang w:val="en-GB"/>
      </w:rPr>
      <w:tab/>
    </w:r>
    <w:r w:rsidRPr="00E609F4">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AE0" w:rsidRPr="00E9477D" w:rsidRDefault="00ED2F3D" w:rsidP="006B2AE0">
    <w:pPr>
      <w:pStyle w:val="EPFooter"/>
    </w:pPr>
    <w:r w:rsidRPr="00E9477D">
      <w:rPr>
        <w:rStyle w:val="HideTWBExt"/>
      </w:rPr>
      <w:t>&lt;PathFdR&gt;</w:t>
    </w:r>
    <w:r w:rsidRPr="00E9477D">
      <w:t>AM\1314148IT.docx</w:t>
    </w:r>
    <w:r w:rsidRPr="00E9477D">
      <w:rPr>
        <w:rStyle w:val="HideTWBExt"/>
      </w:rPr>
      <w:t>&lt;/PathFdR&gt;</w:t>
    </w:r>
    <w:r w:rsidRPr="00E9477D">
      <w:tab/>
    </w:r>
    <w:r w:rsidRPr="00E9477D">
      <w:tab/>
      <w:t>PE</w:t>
    </w:r>
    <w:r w:rsidRPr="00E9477D">
      <w:rPr>
        <w:rStyle w:val="HideTWBExt"/>
      </w:rPr>
      <w:t>&lt;NoPE&gt;</w:t>
    </w:r>
    <w:r w:rsidRPr="00E9477D">
      <w:t>766.918</w:t>
    </w:r>
    <w:r w:rsidRPr="00E9477D">
      <w:rPr>
        <w:rStyle w:val="HideTWBExt"/>
      </w:rPr>
      <w:t>&lt;/NoPE&gt;&lt;Version&gt;</w:t>
    </w:r>
    <w:r w:rsidRPr="00E9477D">
      <w:t>v02-00</w:t>
    </w:r>
    <w:r w:rsidRPr="00E9477D">
      <w:rPr>
        <w:rStyle w:val="HideTWBExt"/>
      </w:rPr>
      <w:t>&lt;/Version&gt;</w:t>
    </w:r>
  </w:p>
  <w:p w:rsidR="00387D70" w:rsidRPr="00E9477D" w:rsidRDefault="00ED2F3D" w:rsidP="006B2AE0">
    <w:pPr>
      <w:pStyle w:val="EPFooter2"/>
    </w:pPr>
    <w:r w:rsidRPr="00E9477D">
      <w:t>IT</w:t>
    </w:r>
    <w:r w:rsidRPr="00E9477D">
      <w:tab/>
    </w:r>
    <w:r w:rsidRPr="00E9477D">
      <w:rPr>
        <w:b w:val="0"/>
        <w:i/>
        <w:color w:val="C0C0C0"/>
        <w:sz w:val="22"/>
      </w:rPr>
      <w:t>Unita nella diversità</w:t>
    </w:r>
    <w:r w:rsidRPr="00E9477D">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ED2F3D">
      <w:r>
        <w:separator/>
      </w:r>
    </w:p>
  </w:footnote>
  <w:footnote w:type="continuationSeparator" w:id="0">
    <w:p w:rsidR="00000000" w:rsidRDefault="00ED2F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C01" w:rsidRDefault="00352C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C01" w:rsidRDefault="00352C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C01" w:rsidRDefault="00352C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670F6E"/>
    <w:multiLevelType w:val="hybridMultilevel"/>
    <w:tmpl w:val="D982D3F0"/>
    <w:lvl w:ilvl="0" w:tplc="8D0CB098">
      <w:numFmt w:val="bullet"/>
      <w:lvlText w:val="-"/>
      <w:lvlJc w:val="left"/>
      <w:pPr>
        <w:ind w:left="720" w:hanging="360"/>
      </w:pPr>
      <w:rPr>
        <w:rFonts w:ascii="Times New Roman" w:eastAsia="Times New Roman" w:hAnsi="Times New Roman" w:cs="Times New Roman" w:hint="default"/>
      </w:rPr>
    </w:lvl>
    <w:lvl w:ilvl="1" w:tplc="3E049E6A" w:tentative="1">
      <w:start w:val="1"/>
      <w:numFmt w:val="bullet"/>
      <w:lvlText w:val="o"/>
      <w:lvlJc w:val="left"/>
      <w:pPr>
        <w:ind w:left="1440" w:hanging="360"/>
      </w:pPr>
      <w:rPr>
        <w:rFonts w:ascii="Courier New" w:hAnsi="Courier New" w:cs="Courier New" w:hint="default"/>
      </w:rPr>
    </w:lvl>
    <w:lvl w:ilvl="2" w:tplc="BB74EFB4" w:tentative="1">
      <w:start w:val="1"/>
      <w:numFmt w:val="bullet"/>
      <w:lvlText w:val=""/>
      <w:lvlJc w:val="left"/>
      <w:pPr>
        <w:ind w:left="2160" w:hanging="360"/>
      </w:pPr>
      <w:rPr>
        <w:rFonts w:ascii="Wingdings" w:hAnsi="Wingdings" w:hint="default"/>
      </w:rPr>
    </w:lvl>
    <w:lvl w:ilvl="3" w:tplc="7C30C74C" w:tentative="1">
      <w:start w:val="1"/>
      <w:numFmt w:val="bullet"/>
      <w:lvlText w:val=""/>
      <w:lvlJc w:val="left"/>
      <w:pPr>
        <w:ind w:left="2880" w:hanging="360"/>
      </w:pPr>
      <w:rPr>
        <w:rFonts w:ascii="Symbol" w:hAnsi="Symbol" w:hint="default"/>
      </w:rPr>
    </w:lvl>
    <w:lvl w:ilvl="4" w:tplc="335CA8E0" w:tentative="1">
      <w:start w:val="1"/>
      <w:numFmt w:val="bullet"/>
      <w:lvlText w:val="o"/>
      <w:lvlJc w:val="left"/>
      <w:pPr>
        <w:ind w:left="3600" w:hanging="360"/>
      </w:pPr>
      <w:rPr>
        <w:rFonts w:ascii="Courier New" w:hAnsi="Courier New" w:cs="Courier New" w:hint="default"/>
      </w:rPr>
    </w:lvl>
    <w:lvl w:ilvl="5" w:tplc="123CF080" w:tentative="1">
      <w:start w:val="1"/>
      <w:numFmt w:val="bullet"/>
      <w:lvlText w:val=""/>
      <w:lvlJc w:val="left"/>
      <w:pPr>
        <w:ind w:left="4320" w:hanging="360"/>
      </w:pPr>
      <w:rPr>
        <w:rFonts w:ascii="Wingdings" w:hAnsi="Wingdings" w:hint="default"/>
      </w:rPr>
    </w:lvl>
    <w:lvl w:ilvl="6" w:tplc="F2265724" w:tentative="1">
      <w:start w:val="1"/>
      <w:numFmt w:val="bullet"/>
      <w:lvlText w:val=""/>
      <w:lvlJc w:val="left"/>
      <w:pPr>
        <w:ind w:left="5040" w:hanging="360"/>
      </w:pPr>
      <w:rPr>
        <w:rFonts w:ascii="Symbol" w:hAnsi="Symbol" w:hint="default"/>
      </w:rPr>
    </w:lvl>
    <w:lvl w:ilvl="7" w:tplc="69D485EC" w:tentative="1">
      <w:start w:val="1"/>
      <w:numFmt w:val="bullet"/>
      <w:lvlText w:val="o"/>
      <w:lvlJc w:val="left"/>
      <w:pPr>
        <w:ind w:left="5760" w:hanging="360"/>
      </w:pPr>
      <w:rPr>
        <w:rFonts w:ascii="Courier New" w:hAnsi="Courier New" w:cs="Courier New" w:hint="default"/>
      </w:rPr>
    </w:lvl>
    <w:lvl w:ilvl="8" w:tplc="4614F82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4"/>
    <w:docVar w:name="TXTLANGUE" w:val="IT"/>
    <w:docVar w:name="TXTLANGUEMIN" w:val="it"/>
    <w:docVar w:name="TXTNRFIRSTAM" w:val="1"/>
    <w:docVar w:name="TXTNRLASTAM" w:val="47"/>
    <w:docVar w:name="TXTNRPE" w:val="766.918"/>
    <w:docVar w:name="TXTPEorAP" w:val="PE"/>
    <w:docVar w:name="TXTROUTE" w:val="AM\1314148IT.docx"/>
    <w:docVar w:name="TXTVERSION" w:val="02-00"/>
  </w:docVars>
  <w:rsids>
    <w:rsidRoot w:val="00A77B3E"/>
    <w:rsid w:val="00023E89"/>
    <w:rsid w:val="0004475B"/>
    <w:rsid w:val="00067FED"/>
    <w:rsid w:val="000C3C23"/>
    <w:rsid w:val="000E09C0"/>
    <w:rsid w:val="000E0C4C"/>
    <w:rsid w:val="000F2B3A"/>
    <w:rsid w:val="0014196E"/>
    <w:rsid w:val="00147121"/>
    <w:rsid w:val="0015175A"/>
    <w:rsid w:val="0017321F"/>
    <w:rsid w:val="00282D0D"/>
    <w:rsid w:val="002C6279"/>
    <w:rsid w:val="00324525"/>
    <w:rsid w:val="00352716"/>
    <w:rsid w:val="00352C01"/>
    <w:rsid w:val="0038184E"/>
    <w:rsid w:val="00387D70"/>
    <w:rsid w:val="00425411"/>
    <w:rsid w:val="005921BD"/>
    <w:rsid w:val="005B2D90"/>
    <w:rsid w:val="006971F3"/>
    <w:rsid w:val="006B2AE0"/>
    <w:rsid w:val="0079008D"/>
    <w:rsid w:val="0086110B"/>
    <w:rsid w:val="008E06E7"/>
    <w:rsid w:val="0091671B"/>
    <w:rsid w:val="00941DDC"/>
    <w:rsid w:val="00946CB6"/>
    <w:rsid w:val="00950453"/>
    <w:rsid w:val="009704F7"/>
    <w:rsid w:val="009776B1"/>
    <w:rsid w:val="009E6328"/>
    <w:rsid w:val="00A77B3E"/>
    <w:rsid w:val="00AB1048"/>
    <w:rsid w:val="00AE4B39"/>
    <w:rsid w:val="00AF7C01"/>
    <w:rsid w:val="00BC0170"/>
    <w:rsid w:val="00BE4982"/>
    <w:rsid w:val="00C72FA0"/>
    <w:rsid w:val="00C93BE4"/>
    <w:rsid w:val="00C947FC"/>
    <w:rsid w:val="00CA2A55"/>
    <w:rsid w:val="00CB43B3"/>
    <w:rsid w:val="00DD5C8A"/>
    <w:rsid w:val="00E10EB9"/>
    <w:rsid w:val="00E13998"/>
    <w:rsid w:val="00E20290"/>
    <w:rsid w:val="00E275B2"/>
    <w:rsid w:val="00E33FD9"/>
    <w:rsid w:val="00E609F4"/>
    <w:rsid w:val="00E9477D"/>
    <w:rsid w:val="00EB6F94"/>
    <w:rsid w:val="00EB7C04"/>
    <w:rsid w:val="00ED02DC"/>
    <w:rsid w:val="00ED2F3D"/>
    <w:rsid w:val="00EE456E"/>
    <w:rsid w:val="00EE7964"/>
    <w:rsid w:val="00F04EBB"/>
    <w:rsid w:val="00F321DF"/>
    <w:rsid w:val="00F60F33"/>
    <w:rsid w:val="00F94853"/>
    <w:rsid w:val="00FD3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A7AFEE4"/>
  <w15:docId w15:val="{C11962C7-7420-4224-9019-6915F0247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link w:val="NormalBoldChar"/>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15175A"/>
    <w:pPr>
      <w:tabs>
        <w:tab w:val="center" w:pos="4513"/>
        <w:tab w:val="right" w:pos="9026"/>
      </w:tabs>
    </w:pPr>
  </w:style>
  <w:style w:type="character" w:customStyle="1" w:styleId="HeaderChar">
    <w:name w:val="Header Char"/>
    <w:basedOn w:val="DefaultParagraphFont"/>
    <w:link w:val="Header"/>
    <w:rsid w:val="0015175A"/>
    <w:rPr>
      <w:sz w:val="24"/>
      <w:szCs w:val="24"/>
    </w:rPr>
  </w:style>
  <w:style w:type="paragraph" w:customStyle="1" w:styleId="Normal6">
    <w:name w:val="Normal6"/>
    <w:basedOn w:val="Normal"/>
    <w:link w:val="Normal6Char"/>
    <w:rsid w:val="0079008D"/>
    <w:pPr>
      <w:spacing w:after="120"/>
    </w:pPr>
    <w:rPr>
      <w:szCs w:val="20"/>
      <w:lang w:eastAsia="en-GB"/>
    </w:rPr>
  </w:style>
  <w:style w:type="paragraph" w:customStyle="1" w:styleId="Normal12Italic">
    <w:name w:val="Normal12Italic"/>
    <w:basedOn w:val="Normal"/>
    <w:rsid w:val="0079008D"/>
    <w:pPr>
      <w:spacing w:after="240"/>
    </w:pPr>
    <w:rPr>
      <w:i/>
      <w:noProof/>
      <w:szCs w:val="20"/>
      <w:lang w:eastAsia="en-GB"/>
    </w:rPr>
  </w:style>
  <w:style w:type="character" w:customStyle="1" w:styleId="NormalBoldChar">
    <w:name w:val="NormalBold Char"/>
    <w:basedOn w:val="DefaultParagraphFont"/>
    <w:link w:val="NormalBold"/>
    <w:rsid w:val="0079008D"/>
    <w:rPr>
      <w:b/>
      <w:sz w:val="24"/>
      <w:szCs w:val="24"/>
    </w:rPr>
  </w:style>
  <w:style w:type="character" w:customStyle="1" w:styleId="Normal6Char">
    <w:name w:val="Normal6 Char"/>
    <w:basedOn w:val="DefaultParagraphFont"/>
    <w:link w:val="Normal6"/>
    <w:rsid w:val="0079008D"/>
    <w:rPr>
      <w:sz w:val="24"/>
      <w:lang w:val="it-IT" w:eastAsia="en-GB"/>
    </w:rPr>
  </w:style>
  <w:style w:type="paragraph" w:customStyle="1" w:styleId="ColumnHeading">
    <w:name w:val="ColumnHeading"/>
    <w:basedOn w:val="Normal"/>
    <w:rsid w:val="0079008D"/>
    <w:pPr>
      <w:spacing w:after="240"/>
      <w:jc w:val="center"/>
    </w:pPr>
    <w:rPr>
      <w:i/>
      <w:szCs w:val="20"/>
      <w:lang w:eastAsia="en-GB"/>
    </w:rPr>
  </w:style>
  <w:style w:type="paragraph" w:customStyle="1" w:styleId="AMNumberTabs0">
    <w:name w:val="AMNumberTabs"/>
    <w:basedOn w:val="Normal"/>
    <w:rsid w:val="007900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eastAsia="en-GB"/>
    </w:rPr>
  </w:style>
  <w:style w:type="paragraph" w:customStyle="1" w:styleId="Olang">
    <w:name w:val="Olang"/>
    <w:rsid w:val="0079008D"/>
    <w:pPr>
      <w:jc w:val="right"/>
    </w:pPr>
    <w:rPr>
      <w:lang w:eastAsia="en-GB"/>
    </w:rPr>
  </w:style>
  <w:style w:type="paragraph" w:customStyle="1" w:styleId="JustificationTitle">
    <w:name w:val="JustificationTitle"/>
    <w:basedOn w:val="Normal"/>
    <w:next w:val="Normal"/>
    <w:rsid w:val="002C6279"/>
    <w:pPr>
      <w:keepNext/>
      <w:spacing w:before="240" w:after="240"/>
      <w:jc w:val="center"/>
    </w:pPr>
    <w:rPr>
      <w:i/>
      <w:noProof/>
      <w:szCs w:val="20"/>
      <w:lang w:eastAsia="en-GB"/>
    </w:rPr>
  </w:style>
  <w:style w:type="paragraph" w:styleId="BalloonText">
    <w:name w:val="Balloon Text"/>
    <w:basedOn w:val="Normal"/>
    <w:link w:val="BalloonTextChar"/>
    <w:semiHidden/>
    <w:unhideWhenUsed/>
    <w:rsid w:val="005921BD"/>
    <w:rPr>
      <w:rFonts w:ascii="Segoe UI" w:hAnsi="Segoe UI" w:cs="Segoe UI"/>
      <w:sz w:val="18"/>
      <w:szCs w:val="18"/>
    </w:rPr>
  </w:style>
  <w:style w:type="character" w:customStyle="1" w:styleId="BalloonTextChar">
    <w:name w:val="Balloon Text Char"/>
    <w:basedOn w:val="DefaultParagraphFont"/>
    <w:link w:val="BalloonText"/>
    <w:semiHidden/>
    <w:rsid w:val="005921BD"/>
    <w:rPr>
      <w:rFonts w:ascii="Segoe UI" w:hAnsi="Segoe UI" w:cs="Segoe UI"/>
      <w:sz w:val="18"/>
      <w:szCs w:val="18"/>
    </w:rPr>
  </w:style>
  <w:style w:type="paragraph" w:styleId="Footer">
    <w:name w:val="footer"/>
    <w:basedOn w:val="Normal"/>
    <w:link w:val="FooterChar"/>
    <w:semiHidden/>
    <w:unhideWhenUsed/>
    <w:rsid w:val="00C947FC"/>
    <w:pPr>
      <w:tabs>
        <w:tab w:val="center" w:pos="4513"/>
        <w:tab w:val="right" w:pos="9026"/>
      </w:tabs>
    </w:pPr>
  </w:style>
  <w:style w:type="character" w:customStyle="1" w:styleId="FooterChar">
    <w:name w:val="Footer Char"/>
    <w:basedOn w:val="DefaultParagraphFont"/>
    <w:link w:val="Footer"/>
    <w:semiHidden/>
    <w:rsid w:val="00C947FC"/>
    <w:rPr>
      <w:sz w:val="24"/>
      <w:szCs w:val="24"/>
    </w:rPr>
  </w:style>
  <w:style w:type="character" w:styleId="CommentReference">
    <w:name w:val="annotation reference"/>
    <w:basedOn w:val="DefaultParagraphFont"/>
    <w:semiHidden/>
    <w:unhideWhenUsed/>
    <w:rsid w:val="00E33FD9"/>
    <w:rPr>
      <w:sz w:val="16"/>
      <w:szCs w:val="16"/>
    </w:rPr>
  </w:style>
  <w:style w:type="paragraph" w:styleId="CommentText">
    <w:name w:val="annotation text"/>
    <w:basedOn w:val="Normal"/>
    <w:link w:val="CommentTextChar"/>
    <w:semiHidden/>
    <w:unhideWhenUsed/>
    <w:rsid w:val="00E33FD9"/>
    <w:rPr>
      <w:sz w:val="20"/>
      <w:szCs w:val="20"/>
    </w:rPr>
  </w:style>
  <w:style w:type="character" w:customStyle="1" w:styleId="CommentTextChar">
    <w:name w:val="Comment Text Char"/>
    <w:basedOn w:val="DefaultParagraphFont"/>
    <w:link w:val="CommentText"/>
    <w:semiHidden/>
    <w:rsid w:val="00E33FD9"/>
  </w:style>
  <w:style w:type="paragraph" w:styleId="CommentSubject">
    <w:name w:val="annotation subject"/>
    <w:basedOn w:val="CommentText"/>
    <w:next w:val="CommentText"/>
    <w:link w:val="CommentSubjectChar"/>
    <w:semiHidden/>
    <w:unhideWhenUsed/>
    <w:rsid w:val="00E33FD9"/>
    <w:rPr>
      <w:b/>
      <w:bCs/>
    </w:rPr>
  </w:style>
  <w:style w:type="character" w:customStyle="1" w:styleId="CommentSubjectChar">
    <w:name w:val="Comment Subject Char"/>
    <w:basedOn w:val="CommentTextChar"/>
    <w:link w:val="CommentSubject"/>
    <w:semiHidden/>
    <w:rsid w:val="00E33F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AA0B3-6880-4369-8A33-622C84BA4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6081</Words>
  <Characters>44586</Characters>
  <Application>Microsoft Office Word</Application>
  <DocSecurity>0</DocSecurity>
  <Lines>1714</Lines>
  <Paragraphs>625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50042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2025-02-10T16:21:00Z</dcterms:created>
  <dcterms:modified xsi:type="dcterms:W3CDTF">2025-02-10T16:21:00Z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1314148</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- 2025/02/10 17:21</vt:lpwstr>
  </property>
  <property fmtid="{D5CDD505-2E9C-101B-9397-08002B2CF9AE}" pid="7" name="dmxml.render.id">
    <vt:lpwstr>106998</vt:lpwstr>
  </property>
  <property fmtid="{D5CDD505-2E9C-101B-9397-08002B2CF9AE}" pid="8" name="dmxml.render.traceId">
    <vt:lpwstr>677d08427179ddb555bd7d290adfc221</vt:lpwstr>
  </property>
  <property fmtid="{D5CDD505-2E9C-101B-9397-08002B2CF9AE}" pid="9" name="FooterPath">
    <vt:lpwstr>AM\1314148IT.docx</vt:lpwstr>
  </property>
  <property fmtid="{D5CDD505-2E9C-101B-9397-08002B2CF9AE}" pid="10" name="LastEdited with">
    <vt:lpwstr>10.0.1 Build [20250114]</vt:lpwstr>
  </property>
  <property fmtid="{D5CDD505-2E9C-101B-9397-08002B2CF9AE}" pid="11" name="PE Number">
    <vt:lpwstr>766.918</vt:lpwstr>
  </property>
  <property fmtid="{D5CDD505-2E9C-101B-9397-08002B2CF9AE}" pid="12" name="SDLStudio">
    <vt:lpwstr/>
  </property>
  <property fmtid="{D5CDD505-2E9C-101B-9397-08002B2CF9AE}" pid="13" name="SendToEpades">
    <vt:lpwstr>OK - 2025/01/31 10:51</vt:lpwstr>
  </property>
  <property fmtid="{D5CDD505-2E9C-101B-9397-08002B2CF9AE}" pid="14" name="UID">
    <vt:lpwstr>eu.europa.europarl-DIN1-2024-0000071725_02.00-en-01.00_text-xml</vt:lpwstr>
  </property>
</Properties>
</file>