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8C66D7" w:rsidRPr="0005125A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7D70" w:rsidRPr="0005125A" w:rsidRDefault="00DC35B5">
            <w:pPr>
              <w:pStyle w:val="EPName"/>
            </w:pPr>
            <w:bookmarkStart w:id="0" w:name="_GoBack"/>
            <w:bookmarkEnd w:id="0"/>
            <w:r w:rsidRPr="0005125A">
              <w:t>Parlamento Europeu</w:t>
            </w:r>
          </w:p>
          <w:p w:rsidR="00387D70" w:rsidRPr="0005125A" w:rsidRDefault="00DC35B5">
            <w:pPr>
              <w:pStyle w:val="EPTerm"/>
            </w:pPr>
            <w:r w:rsidRPr="0005125A">
              <w:t>2024</w:t>
            </w:r>
            <w:r>
              <w:noBreakHyphen/>
            </w:r>
            <w:r w:rsidRPr="0005125A">
              <w:t>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87D70" w:rsidRPr="0005125A" w:rsidRDefault="0005125A">
            <w:pPr>
              <w:pStyle w:val="EPLogo"/>
            </w:pPr>
            <w:r w:rsidRPr="0005125A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pt">
                  <v:imagedata r:id="rId8" o:title=""/>
                </v:shape>
              </w:pict>
            </w:r>
          </w:p>
        </w:tc>
      </w:tr>
    </w:tbl>
    <w:p w:rsidR="00387D70" w:rsidRPr="0005125A" w:rsidRDefault="00DC35B5">
      <w:pPr>
        <w:pStyle w:val="LineTop"/>
      </w:pPr>
      <w:r w:rsidRPr="0005125A">
        <w:t xml:space="preserve"> </w:t>
      </w:r>
    </w:p>
    <w:p w:rsidR="00387D70" w:rsidRPr="0005125A" w:rsidRDefault="00DC35B5">
      <w:pPr>
        <w:pStyle w:val="EPBody"/>
      </w:pPr>
      <w:r w:rsidRPr="0005125A">
        <w:rPr>
          <w:rStyle w:val="HideTWBExt"/>
        </w:rPr>
        <w:t>&lt;Commission&gt;</w:t>
      </w:r>
      <w:r w:rsidRPr="0005125A">
        <w:rPr>
          <w:rStyle w:val="HideTWBInt"/>
          <w:color w:val="auto"/>
        </w:rPr>
        <w:t>{LIBE}</w:t>
      </w:r>
      <w:r w:rsidRPr="0005125A">
        <w:t>Comissão das Liberdades Cívicas, da Justiça e dos Assuntos Internos</w:t>
      </w:r>
      <w:r w:rsidRPr="0005125A">
        <w:rPr>
          <w:rStyle w:val="HideTWBExt"/>
        </w:rPr>
        <w:t>&lt;/Commission&gt;</w:t>
      </w:r>
    </w:p>
    <w:p w:rsidR="00387D70" w:rsidRPr="0005125A" w:rsidRDefault="00DC35B5">
      <w:pPr>
        <w:pStyle w:val="LineBottom"/>
      </w:pPr>
      <w:r w:rsidRPr="0005125A">
        <w:t xml:space="preserve"> </w:t>
      </w:r>
    </w:p>
    <w:p w:rsidR="00E33FD9" w:rsidRPr="0005125A" w:rsidRDefault="00DC35B5" w:rsidP="00E33FD9">
      <w:pPr>
        <w:pStyle w:val="CoverReference"/>
      </w:pPr>
      <w:r w:rsidRPr="0005125A">
        <w:rPr>
          <w:rStyle w:val="HideTWBExt"/>
        </w:rPr>
        <w:t>&lt;RefProc&gt;</w:t>
      </w:r>
      <w:r w:rsidRPr="0005125A">
        <w:t>2024/0187</w:t>
      </w:r>
      <w:r w:rsidRPr="0005125A">
        <w:rPr>
          <w:rStyle w:val="HideTWBExt"/>
        </w:rPr>
        <w:t>&lt;/RefProc&gt;&lt;RefTypeProc&gt;</w:t>
      </w:r>
      <w:r w:rsidRPr="0005125A">
        <w:t>(CNS)</w:t>
      </w:r>
      <w:r w:rsidRPr="0005125A">
        <w:rPr>
          <w:rStyle w:val="HideTWBExt"/>
        </w:rPr>
        <w:t>&lt;/RefTypeProc&gt;</w:t>
      </w:r>
    </w:p>
    <w:p w:rsidR="00E33FD9" w:rsidRPr="0005125A" w:rsidRDefault="00DC35B5" w:rsidP="00E33FD9">
      <w:pPr>
        <w:pStyle w:val="CoverDate"/>
      </w:pPr>
      <w:r w:rsidRPr="0005125A">
        <w:rPr>
          <w:rStyle w:val="HideTWBExt"/>
        </w:rPr>
        <w:t>&lt;Date&gt;</w:t>
      </w:r>
      <w:r w:rsidRPr="0005125A">
        <w:rPr>
          <w:rStyle w:val="HideTWBInt"/>
          <w:color w:val="auto"/>
        </w:rPr>
        <w:t>{31/01/2025}</w:t>
      </w:r>
      <w:r w:rsidRPr="0005125A">
        <w:t>31.01.2025</w:t>
      </w:r>
      <w:r w:rsidRPr="0005125A">
        <w:rPr>
          <w:rStyle w:val="HideTWBExt"/>
        </w:rPr>
        <w:t>&lt;/Date&gt;</w:t>
      </w:r>
    </w:p>
    <w:p w:rsidR="00E33FD9" w:rsidRPr="0005125A" w:rsidRDefault="00DC35B5" w:rsidP="00E33FD9">
      <w:pPr>
        <w:pStyle w:val="CoverDocType"/>
      </w:pPr>
      <w:r w:rsidRPr="0005125A">
        <w:rPr>
          <w:rStyle w:val="HideTWBExt"/>
        </w:rPr>
        <w:t>&lt;TypeAM&gt;</w:t>
      </w:r>
      <w:r w:rsidRPr="0005125A">
        <w:t>ALTERAÇÕES</w:t>
      </w:r>
      <w:r w:rsidRPr="0005125A">
        <w:rPr>
          <w:rStyle w:val="HideTWBExt"/>
        </w:rPr>
        <w:t>&lt;/TypeAM&gt;</w:t>
      </w:r>
    </w:p>
    <w:p w:rsidR="00E33FD9" w:rsidRPr="0005125A" w:rsidRDefault="00DC35B5" w:rsidP="00E33FD9">
      <w:pPr>
        <w:pStyle w:val="CoverDocType24a"/>
      </w:pPr>
      <w:r w:rsidRPr="0005125A">
        <w:rPr>
          <w:rStyle w:val="HideTWBExt"/>
        </w:rPr>
        <w:t>&lt;RangeAM&gt;</w:t>
      </w:r>
      <w:r w:rsidRPr="0005125A">
        <w:t xml:space="preserve">1 </w:t>
      </w:r>
      <w:r>
        <w:noBreakHyphen/>
      </w:r>
      <w:r w:rsidRPr="0005125A">
        <w:t xml:space="preserve"> 47</w:t>
      </w:r>
      <w:r w:rsidRPr="0005125A">
        <w:rPr>
          <w:rStyle w:val="HideTWBExt"/>
        </w:rPr>
        <w:t>&lt;/RangeAM&gt;</w:t>
      </w:r>
    </w:p>
    <w:p w:rsidR="00E33FD9" w:rsidRPr="0005125A" w:rsidRDefault="00DC35B5" w:rsidP="00E33FD9">
      <w:pPr>
        <w:pStyle w:val="CoverBold"/>
      </w:pPr>
      <w:r w:rsidRPr="0005125A">
        <w:rPr>
          <w:rStyle w:val="HideTWBExt"/>
        </w:rPr>
        <w:t>&lt;TitreType&gt;</w:t>
      </w:r>
      <w:r w:rsidRPr="0005125A">
        <w:t>Projeto de relatório</w:t>
      </w:r>
      <w:r w:rsidRPr="0005125A">
        <w:rPr>
          <w:rStyle w:val="HideTWBExt"/>
        </w:rPr>
        <w:t>&lt;/TitreType&gt;</w:t>
      </w:r>
    </w:p>
    <w:p w:rsidR="00E33FD9" w:rsidRPr="0005125A" w:rsidRDefault="00DC35B5" w:rsidP="00E33FD9">
      <w:pPr>
        <w:pStyle w:val="CoverBold"/>
      </w:pPr>
      <w:r w:rsidRPr="0005125A">
        <w:rPr>
          <w:rStyle w:val="HideTWBExt"/>
        </w:rPr>
        <w:t>&lt;Rapporteur&gt;</w:t>
      </w:r>
      <w:r w:rsidRPr="0005125A">
        <w:t>Malik Azmani</w:t>
      </w:r>
      <w:r w:rsidRPr="0005125A">
        <w:rPr>
          <w:rStyle w:val="HideTWBExt"/>
        </w:rPr>
        <w:t>&lt;/Rapporteur&gt;</w:t>
      </w:r>
    </w:p>
    <w:p w:rsidR="00E33FD9" w:rsidRPr="0005125A" w:rsidRDefault="00DC35B5" w:rsidP="00E33FD9">
      <w:pPr>
        <w:pStyle w:val="CoverNormal24a"/>
      </w:pPr>
      <w:r w:rsidRPr="0005125A">
        <w:rPr>
          <w:rStyle w:val="HideTWBExt"/>
        </w:rPr>
        <w:t>&lt;DocRefPE&gt;</w:t>
      </w:r>
      <w:r w:rsidRPr="0005125A">
        <w:t>(PE766.606v01</w:t>
      </w:r>
      <w:r>
        <w:noBreakHyphen/>
      </w:r>
      <w:r w:rsidRPr="0005125A">
        <w:t>00)</w:t>
      </w:r>
      <w:r w:rsidRPr="0005125A">
        <w:rPr>
          <w:rStyle w:val="HideTWBExt"/>
        </w:rPr>
        <w:t>&lt;/DocRefPE&gt;</w:t>
      </w:r>
    </w:p>
    <w:p w:rsidR="00E33FD9" w:rsidRPr="0005125A" w:rsidRDefault="00DC35B5" w:rsidP="00E33FD9">
      <w:pPr>
        <w:pStyle w:val="CoverNormal24a"/>
      </w:pPr>
      <w:r w:rsidRPr="0005125A">
        <w:rPr>
          <w:rStyle w:val="HideTWBExt"/>
        </w:rPr>
        <w:t>&lt;Titre&gt;</w:t>
      </w:r>
      <w:r w:rsidRPr="0005125A">
        <w:t xml:space="preserve">Reforçar a segurança dos bilhetes de identidade dos cidadãos da União e dos títulos de </w:t>
      </w:r>
      <w:r w:rsidRPr="0005125A">
        <w:t>residência emitidos aos cidadãos da União e seus familiares que exercem o direito à livre circulação</w:t>
      </w:r>
      <w:r w:rsidRPr="0005125A">
        <w:rPr>
          <w:rStyle w:val="HideTWBExt"/>
        </w:rPr>
        <w:t>&lt;/Titre&gt;</w:t>
      </w:r>
    </w:p>
    <w:p w:rsidR="00E33FD9" w:rsidRPr="0005125A" w:rsidRDefault="00DC35B5" w:rsidP="00E33FD9">
      <w:pPr>
        <w:pStyle w:val="CoverNormal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CoverNormal24a"/>
      </w:pPr>
      <w:r w:rsidRPr="0005125A">
        <w:rPr>
          <w:rStyle w:val="HideTWBExt"/>
        </w:rPr>
        <w:t>&lt;DocRef&gt;</w:t>
      </w:r>
      <w:r w:rsidRPr="0005125A">
        <w:t>(COM(2024)0316 – 2024/0187(CNS))</w:t>
      </w:r>
      <w:r w:rsidRPr="0005125A">
        <w:rPr>
          <w:rStyle w:val="HideTWBExt"/>
        </w:rPr>
        <w:t>&lt;/DocRef&gt;</w:t>
      </w:r>
    </w:p>
    <w:p w:rsidR="00E33FD9" w:rsidRPr="0005125A" w:rsidRDefault="00DC35B5" w:rsidP="00E33FD9">
      <w:pPr>
        <w:ind w:left="567"/>
      </w:pPr>
      <w:r w:rsidRPr="0005125A">
        <w:br w:type="page"/>
      </w:r>
      <w:r w:rsidRPr="0005125A">
        <w:lastRenderedPageBreak/>
        <w:t>AM_Com_LegReport</w:t>
      </w:r>
    </w:p>
    <w:p w:rsidR="00E33FD9" w:rsidRPr="0005125A" w:rsidRDefault="00DC35B5" w:rsidP="00E33FD9">
      <w:pPr>
        <w:pStyle w:val="AmNumberTabs"/>
      </w:pPr>
      <w:r w:rsidRPr="0005125A">
        <w:br w:type="page"/>
      </w:r>
      <w:r w:rsidRPr="0005125A">
        <w:rPr>
          <w:rStyle w:val="HideTWBExt"/>
        </w:rPr>
        <w:lastRenderedPageBreak/>
        <w:t>&lt;RepeatBlock-Amend&gt;&lt;Amend&gt;</w:t>
      </w:r>
      <w:r w:rsidRPr="0005125A">
        <w:t>Alteraç</w:t>
      </w:r>
      <w:r w:rsidRPr="0005125A">
        <w:t>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1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Malik Azmani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Projeto de resolução legislativa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Citação 1</w:t>
      </w:r>
      <w:r>
        <w:noBreakHyphen/>
      </w:r>
      <w:r w:rsidRPr="0005125A">
        <w:t>A (nova)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Projeto de resolução legislativa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0E0C4C">
            <w:pPr>
              <w:pStyle w:val="Normal6a"/>
              <w:ind w:left="720" w:hanging="360"/>
            </w:pPr>
            <w:r>
              <w:noBreakHyphen/>
            </w:r>
            <w:r w:rsidRPr="0005125A">
              <w:tab/>
              <w:t xml:space="preserve">Tendo em conta o projeto do </w:t>
            </w:r>
            <w:r w:rsidRPr="0005125A">
              <w:t>Conselho (16877/24),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2</w:t>
      </w:r>
      <w:r w:rsidRPr="0005125A">
        <w:rPr>
          <w:rStyle w:val="HideTWBExt"/>
        </w:rPr>
        <w:t>&lt;/NumAm&gt;</w:t>
      </w:r>
    </w:p>
    <w:p w:rsidR="00E33FD9" w:rsidRPr="00DC35B5" w:rsidRDefault="00DC35B5" w:rsidP="00E33FD9">
      <w:pPr>
        <w:pStyle w:val="NormalBold"/>
        <w:rPr>
          <w:lang w:val="pl-PL"/>
        </w:rPr>
      </w:pPr>
      <w:r w:rsidRPr="00DC35B5">
        <w:rPr>
          <w:rStyle w:val="HideTWBExt"/>
          <w:b w:val="0"/>
          <w:lang w:val="pl-PL"/>
        </w:rPr>
        <w:t>&lt;RepeatBlock-By&gt;&lt;Members&gt;</w:t>
      </w:r>
      <w:r w:rsidRPr="00DC35B5">
        <w:rPr>
          <w:lang w:val="pl-PL"/>
        </w:rPr>
        <w:t>Milan Uhrík, Ewa Zajączkowska</w:t>
      </w:r>
      <w:r w:rsidRPr="00DC35B5">
        <w:rPr>
          <w:lang w:val="pl-PL"/>
        </w:rPr>
        <w:noBreakHyphen/>
      </w:r>
      <w:r w:rsidRPr="00DC35B5">
        <w:rPr>
          <w:lang w:val="pl-PL"/>
        </w:rPr>
        <w:t>Hernik, Mary Khan</w:t>
      </w:r>
      <w:r w:rsidRPr="00DC35B5">
        <w:rPr>
          <w:rStyle w:val="HideTWBExt"/>
          <w:b w:val="0"/>
          <w:lang w:val="pl-PL"/>
        </w:rPr>
        <w:t>&lt;/Members&gt;</w:t>
      </w:r>
    </w:p>
    <w:p w:rsidR="00E33FD9" w:rsidRPr="0005125A" w:rsidRDefault="00DC35B5" w:rsidP="00E33FD9">
      <w:r w:rsidRPr="0005125A">
        <w:rPr>
          <w:rStyle w:val="HideTWBExt"/>
        </w:rPr>
        <w:t>&lt;AuNomDe&gt;</w:t>
      </w:r>
      <w:r w:rsidRPr="0005125A">
        <w:rPr>
          <w:rStyle w:val="HideTWBInt"/>
          <w:color w:val="auto"/>
        </w:rPr>
        <w:t>{ESN}</w:t>
      </w:r>
      <w:r w:rsidRPr="0005125A">
        <w:t>em nome do Grupo ESN</w:t>
      </w:r>
      <w:r w:rsidRPr="0005125A">
        <w:rPr>
          <w:rStyle w:val="HideTWBExt"/>
        </w:rPr>
        <w:t>&lt;/AuNomDe&gt;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16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(16)</w:t>
            </w:r>
            <w:r w:rsidRPr="0005125A">
              <w:tab/>
              <w:t>O armazenamento de uma imagem facial e de duas impressões digitais («dados biométricos») nos bilhetes de identidade e nos cartões de residência</w:t>
            </w:r>
            <w:r w:rsidRPr="0005125A">
              <w:rPr>
                <w:b/>
                <w:i/>
              </w:rPr>
              <w:t xml:space="preserve">, tal </w:t>
            </w:r>
            <w:r w:rsidRPr="0005125A">
              <w:rPr>
                <w:b/>
                <w:i/>
              </w:rPr>
              <w:t>como já previsto para os passaportes biométricos para os cidadãos da União e os títulos de residência para os nacionais de países terceiros,</w:t>
            </w:r>
            <w:r w:rsidRPr="0005125A">
              <w:t xml:space="preserve"> é o método mais adequado para combinar uma identificação e uma autenticação fiáveis com um risco de fraude reduzido</w:t>
            </w:r>
            <w:r w:rsidRPr="0005125A">
              <w:t xml:space="preserve">, de modo a reforçar a segurança dos documentos de identidade e de residência. </w:t>
            </w:r>
            <w:r w:rsidRPr="0005125A">
              <w:rPr>
                <w:b/>
                <w:i/>
              </w:rPr>
              <w:t>Tal como confirmado pelo</w:t>
            </w:r>
            <w:r w:rsidRPr="0005125A">
              <w:t xml:space="preserve"> Tribunal de Justiça, a inclusão obrigatória das impressões digitais no suporte de armazenamento é compatível com os direitos fundamentais do respeito pe</w:t>
            </w:r>
            <w:r w:rsidRPr="0005125A">
              <w:t>la vida privada e da proteção dos dados pessoais garantidos nos artigos</w:t>
            </w:r>
            <w:r w:rsidRPr="0005125A">
              <w:rPr>
                <w:b/>
                <w:i/>
              </w:rPr>
              <w:t> </w:t>
            </w:r>
            <w:r w:rsidRPr="0005125A">
              <w:t>7.º e 8.º da Carta.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(16)</w:t>
            </w:r>
            <w:r w:rsidRPr="0005125A">
              <w:tab/>
              <w:t>O armazenamento de uma imagem facial e de duas impressões digitais («dados biométricos») nos bilhetes de identidade e nos cartões de residência</w:t>
            </w:r>
            <w:r w:rsidRPr="0005125A">
              <w:rPr>
                <w:b/>
                <w:i/>
              </w:rPr>
              <w:t xml:space="preserve"> não</w:t>
            </w:r>
            <w:r w:rsidRPr="0005125A">
              <w:t xml:space="preserve"> é o método </w:t>
            </w:r>
            <w:r w:rsidRPr="0005125A">
              <w:t xml:space="preserve">mais adequado para combinar uma identificação e uma autenticação fiáveis com um risco de fraude reduzido, de modo a reforçar a segurança dos documentos de identidade e de residência. </w:t>
            </w:r>
            <w:r w:rsidRPr="0005125A">
              <w:rPr>
                <w:b/>
                <w:i/>
              </w:rPr>
              <w:t>Trata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se de uma violação demasiado grave do direito à vida privada dos ci</w:t>
            </w:r>
            <w:r w:rsidRPr="0005125A">
              <w:rPr>
                <w:b/>
                <w:i/>
              </w:rPr>
              <w:t xml:space="preserve">dadãos em prol de possibilidades cada vez maiores de controlo estatal. Constitui igualmente um risco demasiado elevado face à cibercriminalidade: se as impressões digitais forem roubadas do suporte de armazenamento presente no bilhete de identidade, podem </w:t>
            </w:r>
            <w:r w:rsidRPr="0005125A">
              <w:rPr>
                <w:b/>
                <w:i/>
              </w:rPr>
              <w:t>ser utilizadas no mundo inteiro para qualquer tipo de fraude ou usurpação de identidade. Visto serem únicas e inalteráveis, o roubo das impressões digitais constituiria um risco para toda a vida do cidadão que fosse vítima desse roubo. Mesmo que o</w:t>
            </w:r>
            <w:r w:rsidRPr="0005125A">
              <w:t xml:space="preserve"> Tribunal</w:t>
            </w:r>
            <w:r w:rsidRPr="0005125A">
              <w:t xml:space="preserve"> </w:t>
            </w:r>
            <w:r w:rsidRPr="0005125A">
              <w:lastRenderedPageBreak/>
              <w:t>de Justiça</w:t>
            </w:r>
            <w:r w:rsidRPr="0005125A">
              <w:rPr>
                <w:b/>
                <w:i/>
              </w:rPr>
              <w:t xml:space="preserve"> tenha confirmado</w:t>
            </w:r>
            <w:r w:rsidRPr="0005125A">
              <w:t xml:space="preserve">, a </w:t>
            </w:r>
            <w:r w:rsidRPr="0005125A">
              <w:rPr>
                <w:b/>
                <w:i/>
              </w:rPr>
              <w:t xml:space="preserve">título estritamente jurídico, que </w:t>
            </w:r>
            <w:r w:rsidRPr="0005125A">
              <w:t>a</w:t>
            </w:r>
            <w:r w:rsidRPr="0005125A">
              <w:rPr>
                <w:b/>
                <w:i/>
              </w:rPr>
              <w:t xml:space="preserve"> </w:t>
            </w:r>
            <w:r w:rsidRPr="0005125A">
              <w:t>inclusão obrigatória das impressões digitais no suporte de armazenamento é compatível com os direitos fundamentais do respeito pela vida privada e da proteção dos dados pessoais garantidos</w:t>
            </w:r>
            <w:r w:rsidRPr="0005125A">
              <w:t xml:space="preserve"> nos artigos</w:t>
            </w:r>
            <w:r w:rsidRPr="0005125A">
              <w:rPr>
                <w:b/>
                <w:i/>
              </w:rPr>
              <w:t xml:space="preserve"> </w:t>
            </w:r>
            <w:r w:rsidRPr="0005125A">
              <w:t>7.º e 8.º da Carta</w:t>
            </w:r>
            <w:r w:rsidRPr="0005125A">
              <w:rPr>
                <w:b/>
                <w:i/>
              </w:rPr>
              <w:t>, há outros valores em jogo, como a escolha fundamental em favor da vida privada dos cidadãos, em detrimento de possibilidades cada vez maiores de controlo estatal, e a prevenção rigorosa de novas formas de cibercriminalidade</w:t>
            </w:r>
            <w:r w:rsidRPr="0005125A">
              <w:t>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lastRenderedPageBreak/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3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Francisco Assis, Krzysztof Śmiszek, Ana Catarina Mendes, Marco Tarquinio, Emma Rafowicz, Alessandro Zan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 xml:space="preserve">Proposta </w:t>
      </w:r>
      <w:r w:rsidRPr="0005125A">
        <w:t>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19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(19)</w:t>
            </w:r>
            <w:r w:rsidRPr="0005125A">
              <w:tab/>
              <w:t xml:space="preserve">O presente regulamento não estabelece uma base jurídica para a criação ou a manutenção de bases de dados a nível nacional para o armazenamento de dados </w:t>
            </w:r>
            <w:r w:rsidRPr="0005125A">
              <w:t>biométricos nos Estados‑Membros</w:t>
            </w:r>
            <w:r w:rsidRPr="0005125A">
              <w:rPr>
                <w:b/>
                <w:bCs/>
                <w:i/>
                <w:iCs/>
              </w:rPr>
              <w:t>, questão que é regida pelo direito nacional, que deve ser conforme com o direito da União em matéria de proteção de dados, incluindo no que diz respeito aos requisitos de necessidade e proporcionalidade</w:t>
            </w:r>
            <w:r w:rsidRPr="0005125A">
              <w:t>. O presente regulamen</w:t>
            </w:r>
            <w:r w:rsidRPr="0005125A">
              <w:t>to também não estabelece uma base jurídica para a criação ou a manutenção de uma base de dados centralizada a nível da União.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(19)</w:t>
            </w:r>
            <w:r w:rsidRPr="0005125A">
              <w:tab/>
              <w:t>O presente regulamento não estabelece uma base jurídica para a criação ou a manutenção de bases de dados a nível nacional par</w:t>
            </w:r>
            <w:r w:rsidRPr="0005125A">
              <w:t xml:space="preserve">a o armazenamento de dados biométricos nos Estados‑Membros. O presente regulamento também não estabelece uma base jurídica para a criação ou a manutenção de uma base de dados centralizada a nível da União. </w:t>
            </w:r>
            <w:r w:rsidRPr="0005125A">
              <w:rPr>
                <w:b/>
                <w:i/>
              </w:rPr>
              <w:t>Os dados biométricos tratados para efeitos do pres</w:t>
            </w:r>
            <w:r w:rsidRPr="0005125A">
              <w:rPr>
                <w:b/>
                <w:i/>
              </w:rPr>
              <w:t>ente regulamento não devem ser tratados para quaisquer outros fins e não devem ser armazenados em bases de dados a nível nacional ou da União.</w:t>
            </w:r>
          </w:p>
        </w:tc>
      </w:tr>
    </w:tbl>
    <w:p w:rsidR="00E33FD9" w:rsidRPr="00DC35B5" w:rsidRDefault="00DC35B5" w:rsidP="00E33FD9">
      <w:pPr>
        <w:pStyle w:val="AmOrLang"/>
        <w:rPr>
          <w:lang w:val="sv-SE"/>
        </w:rPr>
      </w:pPr>
      <w:r w:rsidRPr="00DC35B5">
        <w:rPr>
          <w:lang w:val="sv-SE"/>
        </w:rPr>
        <w:t xml:space="preserve">Or. </w:t>
      </w:r>
      <w:r w:rsidRPr="00DC35B5">
        <w:rPr>
          <w:rStyle w:val="HideTWBExt"/>
          <w:lang w:val="sv-SE"/>
        </w:rPr>
        <w:t>&lt;Original&gt;</w:t>
      </w:r>
      <w:r w:rsidRPr="00DC35B5">
        <w:rPr>
          <w:rStyle w:val="HideTWBInt"/>
          <w:lang w:val="sv-SE"/>
        </w:rPr>
        <w:t>{EN}</w:t>
      </w:r>
      <w:r w:rsidRPr="00DC35B5">
        <w:rPr>
          <w:lang w:val="sv-SE"/>
        </w:rPr>
        <w:t>en</w:t>
      </w:r>
      <w:r w:rsidRPr="00DC35B5">
        <w:rPr>
          <w:rStyle w:val="HideTWBExt"/>
          <w:lang w:val="sv-SE"/>
        </w:rPr>
        <w:t>&lt;/Original&gt;</w:t>
      </w:r>
    </w:p>
    <w:p w:rsidR="00E33FD9" w:rsidRPr="00DC35B5" w:rsidRDefault="00DC35B5" w:rsidP="00E33FD9">
      <w:pPr>
        <w:rPr>
          <w:lang w:val="sv-SE"/>
        </w:rPr>
      </w:pPr>
      <w:r w:rsidRPr="00DC35B5">
        <w:rPr>
          <w:rStyle w:val="HideTWBExt"/>
          <w:lang w:val="sv-SE"/>
        </w:rPr>
        <w:t>&lt;/Amend&gt;</w:t>
      </w:r>
    </w:p>
    <w:p w:rsidR="00E33FD9" w:rsidRPr="00DC35B5" w:rsidRDefault="00DC35B5" w:rsidP="00E33FD9">
      <w:pPr>
        <w:pStyle w:val="AmNumberTabs"/>
        <w:rPr>
          <w:lang w:val="sv-SE"/>
        </w:rPr>
      </w:pPr>
      <w:r w:rsidRPr="00DC35B5">
        <w:rPr>
          <w:rStyle w:val="HideTWBExt"/>
          <w:lang w:val="sv-SE"/>
        </w:rPr>
        <w:t>&lt;Amend&gt;</w:t>
      </w:r>
      <w:r w:rsidRPr="00DC35B5">
        <w:rPr>
          <w:lang w:val="sv-SE"/>
        </w:rPr>
        <w:t>Alteração</w:t>
      </w:r>
      <w:r w:rsidRPr="00DC35B5">
        <w:rPr>
          <w:lang w:val="sv-SE"/>
        </w:rPr>
        <w:tab/>
      </w:r>
      <w:r w:rsidRPr="00DC35B5">
        <w:rPr>
          <w:lang w:val="sv-SE"/>
        </w:rPr>
        <w:tab/>
      </w:r>
      <w:r w:rsidRPr="00DC35B5">
        <w:rPr>
          <w:rStyle w:val="HideTWBExt"/>
          <w:lang w:val="sv-SE"/>
        </w:rPr>
        <w:t>&lt;NumAm&gt;</w:t>
      </w:r>
      <w:r w:rsidRPr="00DC35B5">
        <w:rPr>
          <w:lang w:val="sv-SE"/>
        </w:rPr>
        <w:t>4</w:t>
      </w:r>
      <w:r w:rsidRPr="00DC35B5">
        <w:rPr>
          <w:rStyle w:val="HideTWBExt"/>
          <w:lang w:val="sv-SE"/>
        </w:rPr>
        <w:t>&lt;/NumAm&gt;</w:t>
      </w:r>
    </w:p>
    <w:p w:rsidR="00E33FD9" w:rsidRPr="00DC35B5" w:rsidRDefault="00DC35B5" w:rsidP="00E33FD9">
      <w:pPr>
        <w:pStyle w:val="NormalBold"/>
        <w:rPr>
          <w:lang w:val="sv-SE"/>
        </w:rPr>
      </w:pPr>
      <w:r w:rsidRPr="00DC35B5">
        <w:rPr>
          <w:rStyle w:val="HideTWBExt"/>
          <w:b w:val="0"/>
          <w:lang w:val="sv-SE"/>
        </w:rPr>
        <w:t>&lt;RepeatBlock-By&gt;&lt;Members&gt;</w:t>
      </w:r>
      <w:r w:rsidRPr="00DC35B5">
        <w:rPr>
          <w:lang w:val="sv-SE"/>
        </w:rPr>
        <w:t xml:space="preserve">Anna </w:t>
      </w:r>
      <w:r w:rsidRPr="00DC35B5">
        <w:rPr>
          <w:lang w:val="sv-SE"/>
        </w:rPr>
        <w:t>Strolenberg</w:t>
      </w:r>
      <w:r w:rsidRPr="00DC35B5">
        <w:rPr>
          <w:rStyle w:val="HideTWBExt"/>
          <w:b w:val="0"/>
          <w:lang w:val="sv-SE"/>
        </w:rPr>
        <w:t>&lt;/Members&gt;</w:t>
      </w:r>
    </w:p>
    <w:p w:rsidR="00E33FD9" w:rsidRPr="0005125A" w:rsidRDefault="00DC35B5" w:rsidP="00E33FD9">
      <w:r w:rsidRPr="0005125A">
        <w:rPr>
          <w:rStyle w:val="HideTWBExt"/>
        </w:rPr>
        <w:lastRenderedPageBreak/>
        <w:t>&lt;AuNomDe&gt;</w:t>
      </w:r>
      <w:r w:rsidRPr="0005125A">
        <w:rPr>
          <w:rStyle w:val="HideTWBInt"/>
          <w:color w:val="auto"/>
        </w:rPr>
        <w:t>{Greens/EFA}</w:t>
      </w:r>
      <w:r w:rsidRPr="0005125A">
        <w:t>em nome do Grupo Verdes/ALE</w:t>
      </w:r>
      <w:r w:rsidRPr="0005125A">
        <w:rPr>
          <w:rStyle w:val="HideTWBExt"/>
        </w:rPr>
        <w:t>&lt;/AuNomDe&gt;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19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(19)</w:t>
            </w:r>
            <w:r w:rsidRPr="0005125A">
              <w:tab/>
              <w:t>O presente regulamento não estabelece uma</w:t>
            </w:r>
            <w:r w:rsidRPr="0005125A">
              <w:t xml:space="preserve"> base jurídica para a criação ou a manutenção de bases de dados a nível nacional para o armazenamento de dados biométricos nos Estados‑Membros</w:t>
            </w:r>
            <w:r w:rsidRPr="0005125A">
              <w:rPr>
                <w:b/>
                <w:i/>
              </w:rPr>
              <w:t>, questão que é regida pelo direito nacional, que deve ser conforme com o direito da União em matéria</w:t>
            </w:r>
            <w:r w:rsidRPr="0005125A">
              <w:t xml:space="preserve"> de </w:t>
            </w:r>
            <w:r w:rsidRPr="0005125A">
              <w:rPr>
                <w:b/>
                <w:i/>
              </w:rPr>
              <w:t>proteção</w:t>
            </w:r>
            <w:r w:rsidRPr="0005125A">
              <w:t xml:space="preserve"> </w:t>
            </w:r>
            <w:r w:rsidRPr="0005125A">
              <w:t>de dados</w:t>
            </w:r>
            <w:r w:rsidRPr="0005125A">
              <w:rPr>
                <w:b/>
                <w:i/>
              </w:rPr>
              <w:t>, incluindo no que diz respeito aos requisitos de necessidade e proporcionalidade.</w:t>
            </w:r>
            <w:r w:rsidRPr="0005125A">
              <w:t xml:space="preserve"> O presente regulamento também não estabelece uma base jurídica para a criação ou a manutenção de uma base de dados centralizada a nível da União.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(19)</w:t>
            </w:r>
            <w:r w:rsidRPr="0005125A">
              <w:tab/>
              <w:t>O presente reg</w:t>
            </w:r>
            <w:r w:rsidRPr="0005125A">
              <w:t>ulamento não estabelece uma base jurídica para a criação ou a manutenção de bases de dados a nível nacional para o armazenamento de dados biométricos nos Estados‑Membros. O presente regulamento também não estabelece uma base jurídica para a criação ou a ma</w:t>
            </w:r>
            <w:r w:rsidRPr="0005125A">
              <w:t xml:space="preserve">nutenção de uma base de dados centralizada a nível da União. </w:t>
            </w:r>
            <w:r w:rsidRPr="0005125A">
              <w:rPr>
                <w:b/>
                <w:i/>
              </w:rPr>
              <w:t>Os dados biométricos tratados para efeitos do presente regulamento não devem ser tratados para quaisquer outros fins e não devem ser armazenados em bases de dados a nível nacional ou da União.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5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19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(19)</w:t>
            </w:r>
            <w:r w:rsidRPr="0005125A">
              <w:tab/>
              <w:t>O presente regulamento não estabelece uma base jurídica para a criação ou a manutenção de bases de dados a nível nacional para o armazenamento de dados biométricos nos Estados‑Membros</w:t>
            </w:r>
            <w:r w:rsidRPr="0005125A">
              <w:rPr>
                <w:b/>
                <w:i/>
              </w:rPr>
              <w:t xml:space="preserve">, questão que é regida pelo direito nacional, que deve ser conforme </w:t>
            </w:r>
            <w:r w:rsidRPr="0005125A">
              <w:rPr>
                <w:b/>
                <w:i/>
              </w:rPr>
              <w:t>com o direito da União em matéria de proteção de dados, incluindo no que diz respeito aos requisitos de necessidade e proporcionalidade</w:t>
            </w:r>
            <w:r w:rsidRPr="0005125A">
              <w:t xml:space="preserve">. O presente regulamento também não estabelece uma base jurídica para a criação ou a manutenção de uma base de dados </w:t>
            </w:r>
            <w:r w:rsidRPr="0005125A">
              <w:lastRenderedPageBreak/>
              <w:t>cent</w:t>
            </w:r>
            <w:r w:rsidRPr="0005125A">
              <w:t>ralizada a nível da União.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lastRenderedPageBreak/>
              <w:t>(19)</w:t>
            </w:r>
            <w:r w:rsidRPr="0005125A">
              <w:tab/>
              <w:t>O presente regulamento não estabelece uma base jurídica para a criação ou a manutenção de bases de dados a nível nacional para o armazenamento de dados biométricos nos Estados‑Membros. O presente regulamento também não estab</w:t>
            </w:r>
            <w:r w:rsidRPr="0005125A">
              <w:t xml:space="preserve">elece uma base jurídica para a criação ou a manutenção de uma base de dados centralizada a nível da União. </w:t>
            </w:r>
            <w:r w:rsidRPr="0005125A">
              <w:rPr>
                <w:b/>
                <w:i/>
              </w:rPr>
              <w:t>Os dados biométricos tratados para efeitos do presente regulamento não devem ser tratados para quaisquer outros fins e não devem ser armazenados em b</w:t>
            </w:r>
            <w:r w:rsidRPr="0005125A">
              <w:rPr>
                <w:b/>
                <w:i/>
              </w:rPr>
              <w:t>ases de dados a nível nacional ou da União.</w:t>
            </w:r>
          </w:p>
        </w:tc>
      </w:tr>
    </w:tbl>
    <w:p w:rsidR="00E33FD9" w:rsidRPr="00DC35B5" w:rsidRDefault="00DC35B5" w:rsidP="00E33FD9">
      <w:pPr>
        <w:pStyle w:val="AmOrLang"/>
        <w:rPr>
          <w:lang w:val="es-ES"/>
        </w:rPr>
      </w:pPr>
      <w:r w:rsidRPr="00DC35B5">
        <w:rPr>
          <w:lang w:val="es-ES"/>
        </w:rPr>
        <w:t xml:space="preserve">Or. </w:t>
      </w:r>
      <w:r w:rsidRPr="00DC35B5">
        <w:rPr>
          <w:rStyle w:val="HideTWBExt"/>
          <w:lang w:val="es-ES"/>
        </w:rPr>
        <w:t>&lt;Original&gt;</w:t>
      </w:r>
      <w:r w:rsidRPr="00DC35B5">
        <w:rPr>
          <w:rStyle w:val="HideTWBInt"/>
          <w:lang w:val="es-ES"/>
        </w:rPr>
        <w:t>{EN}</w:t>
      </w:r>
      <w:r w:rsidRPr="00DC35B5">
        <w:rPr>
          <w:lang w:val="es-ES"/>
        </w:rPr>
        <w:t>en</w:t>
      </w:r>
      <w:r w:rsidRPr="00DC35B5">
        <w:rPr>
          <w:rStyle w:val="HideTWBExt"/>
          <w:lang w:val="es-ES"/>
        </w:rPr>
        <w:t>&lt;/Original&gt;</w:t>
      </w:r>
    </w:p>
    <w:p w:rsidR="00E33FD9" w:rsidRPr="00DC35B5" w:rsidRDefault="00DC35B5" w:rsidP="00E33FD9">
      <w:pPr>
        <w:rPr>
          <w:lang w:val="es-ES"/>
        </w:rPr>
      </w:pPr>
      <w:r w:rsidRPr="00DC35B5">
        <w:rPr>
          <w:rStyle w:val="HideTWBExt"/>
          <w:lang w:val="es-ES"/>
        </w:rPr>
        <w:t>&lt;/Amend&gt;</w:t>
      </w:r>
    </w:p>
    <w:p w:rsidR="00E33FD9" w:rsidRPr="00DC35B5" w:rsidRDefault="00DC35B5" w:rsidP="00E33FD9">
      <w:pPr>
        <w:pStyle w:val="AMNumberTabs0"/>
        <w:keepNext/>
        <w:rPr>
          <w:lang w:val="es-ES"/>
        </w:rPr>
      </w:pPr>
      <w:r w:rsidRPr="00DC35B5">
        <w:rPr>
          <w:rStyle w:val="HideTWBExt"/>
          <w:b w:val="0"/>
          <w:lang w:val="es-ES"/>
        </w:rPr>
        <w:t>&lt;Amend&gt;</w:t>
      </w:r>
      <w:r w:rsidRPr="00DC35B5">
        <w:rPr>
          <w:lang w:val="es-ES"/>
        </w:rPr>
        <w:t>Alteração</w:t>
      </w:r>
      <w:r w:rsidRPr="00DC35B5">
        <w:rPr>
          <w:lang w:val="es-ES"/>
        </w:rPr>
        <w:tab/>
      </w:r>
      <w:r w:rsidRPr="00DC35B5">
        <w:rPr>
          <w:lang w:val="es-ES"/>
        </w:rPr>
        <w:tab/>
      </w:r>
      <w:r w:rsidRPr="00DC35B5">
        <w:rPr>
          <w:rStyle w:val="HideTWBExt"/>
          <w:b w:val="0"/>
          <w:lang w:val="es-ES"/>
        </w:rPr>
        <w:t>&lt;NumAm&gt;</w:t>
      </w:r>
      <w:r w:rsidRPr="00DC35B5">
        <w:rPr>
          <w:lang w:val="es-ES"/>
        </w:rPr>
        <w:t>6</w:t>
      </w:r>
      <w:r w:rsidRPr="00DC35B5">
        <w:rPr>
          <w:rStyle w:val="HideTWBExt"/>
          <w:b w:val="0"/>
          <w:lang w:val="es-ES"/>
        </w:rPr>
        <w:t>&lt;/NumAm&gt;</w:t>
      </w:r>
    </w:p>
    <w:p w:rsidR="00E33FD9" w:rsidRPr="00DC35B5" w:rsidRDefault="00DC35B5" w:rsidP="00E33FD9">
      <w:pPr>
        <w:pStyle w:val="NormalBold"/>
        <w:rPr>
          <w:lang w:val="es-ES"/>
        </w:rPr>
      </w:pPr>
      <w:r w:rsidRPr="00DC35B5">
        <w:rPr>
          <w:rStyle w:val="HideTWBExt"/>
          <w:b w:val="0"/>
          <w:lang w:val="es-ES"/>
        </w:rPr>
        <w:t>&lt;RepeatBlock-By&gt;&lt;Members&gt;</w:t>
      </w:r>
      <w:r w:rsidRPr="00DC35B5">
        <w:rPr>
          <w:lang w:val="es-ES"/>
        </w:rPr>
        <w:t>Malik Azmani, Jeannette Baljeu, Lucia Yar, Raquel García Hermida</w:t>
      </w:r>
      <w:r>
        <w:rPr>
          <w:lang w:val="es-ES"/>
        </w:rPr>
        <w:noBreakHyphen/>
      </w:r>
      <w:r w:rsidRPr="00DC35B5">
        <w:rPr>
          <w:lang w:val="es-ES"/>
        </w:rPr>
        <w:t>Van Der Walle</w:t>
      </w:r>
      <w:r w:rsidRPr="00DC35B5">
        <w:rPr>
          <w:rStyle w:val="HideTWBExt"/>
          <w:b w:val="0"/>
          <w:lang w:val="es-ES"/>
        </w:rPr>
        <w:t>&lt;/Members&gt;</w:t>
      </w:r>
    </w:p>
    <w:p w:rsidR="00E33FD9" w:rsidRPr="00DC35B5" w:rsidRDefault="00DC35B5" w:rsidP="00E33FD9">
      <w:pPr>
        <w:rPr>
          <w:lang w:val="es-ES"/>
        </w:rPr>
      </w:pPr>
      <w:r w:rsidRPr="00DC35B5">
        <w:rPr>
          <w:rStyle w:val="HideTWBExt"/>
          <w:lang w:val="es-ES"/>
        </w:rPr>
        <w:t>&lt;/RepeatBlock-By&gt;</w:t>
      </w:r>
    </w:p>
    <w:p w:rsidR="00E33FD9" w:rsidRPr="00DC35B5" w:rsidRDefault="00DC35B5" w:rsidP="00E33FD9">
      <w:pPr>
        <w:pStyle w:val="NormalBold"/>
        <w:keepNext/>
        <w:rPr>
          <w:lang w:val="es-ES"/>
        </w:rPr>
      </w:pPr>
      <w:r w:rsidRPr="00DC35B5">
        <w:rPr>
          <w:rStyle w:val="HideTWBExt"/>
          <w:b w:val="0"/>
          <w:lang w:val="es-ES"/>
        </w:rPr>
        <w:t>&lt;DocAmend&gt;</w:t>
      </w:r>
      <w:r w:rsidRPr="00DC35B5">
        <w:rPr>
          <w:lang w:val="es-ES"/>
        </w:rPr>
        <w:t>Proposta de regulamento</w:t>
      </w:r>
      <w:r w:rsidRPr="00DC35B5">
        <w:rPr>
          <w:rStyle w:val="HideTWBExt"/>
          <w:b w:val="0"/>
          <w:lang w:val="es-ES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&lt;Article&gt;</w:t>
      </w:r>
      <w:r w:rsidRPr="0005125A">
        <w:t>Considerando 20</w:t>
      </w:r>
      <w:r w:rsidRPr="0005125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C66D7" w:rsidRPr="0005125A" w:rsidTr="00E275B2">
        <w:trPr>
          <w:jc w:val="center"/>
        </w:trPr>
        <w:tc>
          <w:tcPr>
            <w:tcW w:w="9752" w:type="dxa"/>
            <w:gridSpan w:val="2"/>
          </w:tcPr>
          <w:p w:rsidR="00E33FD9" w:rsidRPr="0005125A" w:rsidRDefault="00E33FD9" w:rsidP="00E275B2">
            <w:pPr>
              <w:keepNext/>
            </w:pP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Texto da Comissão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Normal6"/>
            </w:pPr>
            <w:r w:rsidRPr="0005125A">
              <w:t>(20)</w:t>
            </w:r>
            <w:r w:rsidRPr="0005125A">
              <w:tab/>
            </w:r>
            <w:r w:rsidRPr="0005125A">
              <w:rPr>
                <w:b/>
                <w:i/>
              </w:rPr>
              <w:t>Os dados biométricos deverão ser recolhidos e armazenados</w:t>
            </w:r>
            <w:r w:rsidRPr="0005125A">
              <w:t xml:space="preserve"> no suporte de armazenamento dos bilhetes de identidade e títulos de residência para efeitos de verificação da autenticidade do documento e da identidade do titular. </w:t>
            </w:r>
            <w:r w:rsidRPr="0005125A">
              <w:rPr>
                <w:b/>
                <w:i/>
              </w:rPr>
              <w:t>Dada a assinatura eletrónica no suporte de armazenamento dos bilhetes de identidade, a ide</w:t>
            </w:r>
            <w:r w:rsidRPr="0005125A">
              <w:rPr>
                <w:b/>
                <w:i/>
              </w:rPr>
              <w:t>ntificação do titular através do suporte de armazenamento, que contém os mesmos dados biográficos impressos no documento, é mais fiável do que um controlo visual do documento.</w:t>
            </w:r>
            <w:r w:rsidRPr="0005125A">
              <w:t xml:space="preserve"> </w:t>
            </w:r>
            <w:r w:rsidRPr="0005125A">
              <w:rPr>
                <w:b/>
                <w:i/>
              </w:rPr>
              <w:t>Por conseguinte</w:t>
            </w:r>
            <w:r w:rsidRPr="0005125A">
              <w:t xml:space="preserve">, </w:t>
            </w:r>
            <w:r w:rsidRPr="0005125A">
              <w:rPr>
                <w:b/>
                <w:i/>
              </w:rPr>
              <w:t>os cidadãos da União devem</w:t>
            </w:r>
            <w:r w:rsidRPr="0005125A">
              <w:t xml:space="preserve"> ser </w:t>
            </w:r>
            <w:r w:rsidRPr="0005125A">
              <w:rPr>
                <w:b/>
                <w:i/>
              </w:rPr>
              <w:t xml:space="preserve">autorizados a utilizar os dados </w:t>
            </w:r>
            <w:r w:rsidRPr="0005125A">
              <w:rPr>
                <w:b/>
                <w:i/>
              </w:rPr>
              <w:t>armazenados no suporte de armazenamento do seu bilhete de identidade</w:t>
            </w:r>
            <w:r w:rsidRPr="0005125A">
              <w:t xml:space="preserve"> para </w:t>
            </w:r>
            <w:r w:rsidRPr="0005125A">
              <w:rPr>
                <w:b/>
                <w:i/>
              </w:rPr>
              <w:t>se identificarem perante entidades privadas. No entanto</w:t>
            </w:r>
            <w:r w:rsidRPr="0005125A">
              <w:t xml:space="preserve">, a </w:t>
            </w:r>
            <w:r w:rsidRPr="0005125A">
              <w:rPr>
                <w:b/>
                <w:i/>
              </w:rPr>
              <w:t>verificação das impressões digitais armazenadas no suporte</w:t>
            </w:r>
            <w:r w:rsidRPr="0005125A">
              <w:t xml:space="preserve"> de </w:t>
            </w:r>
            <w:r w:rsidRPr="0005125A">
              <w:rPr>
                <w:b/>
                <w:i/>
              </w:rPr>
              <w:t>armazenamento só deve ser efetuada por pessoal devidamente ha</w:t>
            </w:r>
            <w:r w:rsidRPr="0005125A">
              <w:rPr>
                <w:b/>
                <w:i/>
              </w:rPr>
              <w:t>bilitado e apenas quando a lei exigir</w:t>
            </w:r>
            <w:r w:rsidRPr="0005125A">
              <w:t xml:space="preserve"> a </w:t>
            </w:r>
            <w:r w:rsidRPr="0005125A">
              <w:rPr>
                <w:b/>
                <w:i/>
              </w:rPr>
              <w:t>apresentação do documento</w:t>
            </w:r>
            <w:r w:rsidRPr="0005125A">
              <w:t>.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Normal6"/>
              <w:rPr>
                <w:szCs w:val="24"/>
              </w:rPr>
            </w:pPr>
            <w:r w:rsidRPr="0005125A">
              <w:t>(20)</w:t>
            </w:r>
            <w:r w:rsidRPr="0005125A">
              <w:tab/>
            </w:r>
            <w:r w:rsidRPr="0005125A">
              <w:rPr>
                <w:b/>
                <w:i/>
              </w:rPr>
              <w:t>A imagem facial armazenada</w:t>
            </w:r>
            <w:r w:rsidRPr="0005125A">
              <w:t xml:space="preserve"> no suporte de armazenamento dos bilhetes de identidade e títulos de residência </w:t>
            </w:r>
            <w:r w:rsidRPr="0005125A">
              <w:rPr>
                <w:b/>
                <w:i/>
              </w:rPr>
              <w:t>só deve ser consultada por pessoal devidamente habilitado das autoridades naci</w:t>
            </w:r>
            <w:r w:rsidRPr="0005125A">
              <w:rPr>
                <w:b/>
                <w:i/>
              </w:rPr>
              <w:t xml:space="preserve">onais competentes, das agências da União e das entidades privadas </w:t>
            </w:r>
            <w:r w:rsidRPr="0005125A">
              <w:t xml:space="preserve">para efeitos de verificação da autenticidade do documento e da identidade do titular. </w:t>
            </w:r>
            <w:r w:rsidRPr="0005125A">
              <w:rPr>
                <w:b/>
                <w:i/>
              </w:rPr>
              <w:t>Esse acesso deve respeitar o direito da União em matéria</w:t>
            </w:r>
            <w:r w:rsidRPr="0005125A">
              <w:t xml:space="preserve"> de </w:t>
            </w:r>
            <w:r w:rsidRPr="0005125A">
              <w:rPr>
                <w:b/>
                <w:i/>
              </w:rPr>
              <w:t>proteção</w:t>
            </w:r>
            <w:r w:rsidRPr="0005125A">
              <w:t xml:space="preserve"> de </w:t>
            </w:r>
            <w:r w:rsidRPr="0005125A">
              <w:rPr>
                <w:b/>
                <w:i/>
              </w:rPr>
              <w:t xml:space="preserve">dados. As imagens faciais não </w:t>
            </w:r>
            <w:r w:rsidRPr="0005125A">
              <w:rPr>
                <w:b/>
                <w:i/>
              </w:rPr>
              <w:t>devem ser conservadas durante</w:t>
            </w:r>
            <w:r w:rsidRPr="0005125A">
              <w:t xml:space="preserve"> mais </w:t>
            </w:r>
            <w:r w:rsidRPr="0005125A">
              <w:rPr>
                <w:b/>
                <w:i/>
              </w:rPr>
              <w:t>tempo</w:t>
            </w:r>
            <w:r w:rsidRPr="0005125A">
              <w:t xml:space="preserve"> do que </w:t>
            </w:r>
            <w:r w:rsidRPr="0005125A">
              <w:rPr>
                <w:b/>
                <w:i/>
              </w:rPr>
              <w:t>o necessário para esses fins</w:t>
            </w:r>
            <w:r w:rsidRPr="0005125A">
              <w:t xml:space="preserve">, </w:t>
            </w:r>
            <w:r w:rsidRPr="0005125A">
              <w:rPr>
                <w:b/>
                <w:i/>
              </w:rPr>
              <w:t>devem</w:t>
            </w:r>
            <w:r w:rsidRPr="0005125A">
              <w:t xml:space="preserve"> ser </w:t>
            </w:r>
            <w:r w:rsidRPr="0005125A">
              <w:rPr>
                <w:b/>
                <w:i/>
              </w:rPr>
              <w:t>apagadas logo que tenham sido atingidos esses fins, e não devem ser transferidas</w:t>
            </w:r>
            <w:r w:rsidRPr="0005125A">
              <w:t xml:space="preserve"> para </w:t>
            </w:r>
            <w:r w:rsidRPr="0005125A">
              <w:rPr>
                <w:b/>
                <w:i/>
              </w:rPr>
              <w:t>países terceiros ou para organizações internacionais</w:t>
            </w:r>
            <w:r w:rsidRPr="0005125A">
              <w:t xml:space="preserve">, a </w:t>
            </w:r>
            <w:r w:rsidRPr="0005125A">
              <w:rPr>
                <w:b/>
                <w:i/>
              </w:rPr>
              <w:t>menos que o direito da Uni</w:t>
            </w:r>
            <w:r w:rsidRPr="0005125A">
              <w:rPr>
                <w:b/>
                <w:i/>
              </w:rPr>
              <w:t>ão em matéria</w:t>
            </w:r>
            <w:r w:rsidRPr="0005125A">
              <w:t xml:space="preserve"> de </w:t>
            </w:r>
            <w:r w:rsidRPr="0005125A">
              <w:rPr>
                <w:b/>
                <w:i/>
              </w:rPr>
              <w:t>proteção de dados o permita. Essas garantias destinam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se a assegurar uma proteção adequada da imagem facial, sem proibir</w:t>
            </w:r>
            <w:r w:rsidRPr="0005125A">
              <w:t xml:space="preserve"> a </w:t>
            </w:r>
            <w:r w:rsidRPr="0005125A">
              <w:rPr>
                <w:b/>
                <w:i/>
              </w:rPr>
              <w:t>sua utilização</w:t>
            </w:r>
            <w:r w:rsidRPr="0005125A">
              <w:t>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7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</w:t>
      </w:r>
      <w:r w:rsidRPr="0005125A">
        <w:rPr>
          <w:rStyle w:val="HideTWBExt"/>
          <w:b w:val="0"/>
        </w:rPr>
        <w:t>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20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(20)</w:t>
            </w:r>
            <w:r w:rsidRPr="0005125A">
              <w:tab/>
              <w:t xml:space="preserve">Os dados biométricos deverão ser recolhidos e armazenados no suporte de armazenamento dos </w:t>
            </w:r>
            <w:r w:rsidRPr="0005125A">
              <w:t xml:space="preserve">bilhetes de identidade e títulos de residência para efeitos de verificação da autenticidade do documento e da identidade do titular. </w:t>
            </w:r>
            <w:r w:rsidRPr="0005125A">
              <w:rPr>
                <w:b/>
                <w:i/>
              </w:rPr>
              <w:t xml:space="preserve">Dada a assinatura eletrónica no suporte de armazenamento dos bilhetes de identidade, a identificação do titular através do </w:t>
            </w:r>
            <w:r w:rsidRPr="0005125A">
              <w:rPr>
                <w:b/>
                <w:i/>
              </w:rPr>
              <w:t>suporte de armazenamento, que contém os mesmos dados biográficos impressos no documento, é mais fiável do que um controlo visual do documento. Por conseguinte, os cidadãos da União devem ser autorizados a utilizar os dados armazenados no suporte de armazen</w:t>
            </w:r>
            <w:r w:rsidRPr="0005125A">
              <w:rPr>
                <w:b/>
                <w:i/>
              </w:rPr>
              <w:t>amento do seu bilhete de identidade para se identificarem perante entidades privadas. No entanto, a</w:t>
            </w:r>
            <w:r w:rsidRPr="0005125A">
              <w:t xml:space="preserve"> verificação </w:t>
            </w:r>
            <w:r w:rsidRPr="0005125A">
              <w:rPr>
                <w:b/>
                <w:i/>
              </w:rPr>
              <w:t>das impressões digitais armazenadas no suporte de armazenamento</w:t>
            </w:r>
            <w:r w:rsidRPr="0005125A">
              <w:t xml:space="preserve"> só deve ser efetuada por pessoal devidamente habilitado e apenas quando a lei ex</w:t>
            </w:r>
            <w:r w:rsidRPr="0005125A">
              <w:t>igir a apresentação do documento.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(20)</w:t>
            </w:r>
            <w:r w:rsidRPr="0005125A">
              <w:tab/>
              <w:t>Os dados biométricos deverão ser recolhidos e armazenados no suporte de armazenamento dos bilhetes de identidade e títulos de residência para efeitos de verificação da autenticidade do documento e da identidade do tit</w:t>
            </w:r>
            <w:r w:rsidRPr="0005125A">
              <w:t xml:space="preserve">ular. </w:t>
            </w:r>
            <w:r w:rsidRPr="0005125A">
              <w:rPr>
                <w:b/>
                <w:i/>
              </w:rPr>
              <w:t>Tal</w:t>
            </w:r>
            <w:r w:rsidRPr="0005125A">
              <w:t xml:space="preserve"> verificação só deve ser efetuada por pessoal devidamente habilitado e apenas quando a lei exigir a apresentação do documento. </w:t>
            </w:r>
            <w:r w:rsidRPr="0005125A">
              <w:rPr>
                <w:b/>
                <w:i/>
              </w:rPr>
              <w:t xml:space="preserve">Os dados biométricos armazenados para efeitos de personalização dos bilhetes de identidade ou dos títulos de residência </w:t>
            </w:r>
            <w:r w:rsidRPr="0005125A">
              <w:rPr>
                <w:b/>
                <w:i/>
              </w:rPr>
              <w:t>devem ser conservados de forma altamente segura e apenas até à data de entrega do documento e, em qualquer caso, não mais de 90 dias a contar da data de emissão do documento. Após esse período, os referidos dados biométricos devem ser imediatamente apagado</w:t>
            </w:r>
            <w:r w:rsidRPr="0005125A">
              <w:rPr>
                <w:b/>
                <w:i/>
              </w:rPr>
              <w:t>s ou destruídos. Tudo isto sem prejuízo de qualquer outro tratamento desses dados de acordo com o direito da União e com o direito nacional em matéria de proteção de dados.</w:t>
            </w:r>
          </w:p>
        </w:tc>
      </w:tr>
    </w:tbl>
    <w:p w:rsidR="00E33FD9" w:rsidRPr="00DC35B5" w:rsidRDefault="00DC35B5" w:rsidP="00E33FD9">
      <w:pPr>
        <w:pStyle w:val="AmOrLang"/>
        <w:rPr>
          <w:lang w:val="es-ES"/>
        </w:rPr>
      </w:pPr>
      <w:r w:rsidRPr="00DC35B5">
        <w:rPr>
          <w:lang w:val="es-ES"/>
        </w:rPr>
        <w:t xml:space="preserve">Or. </w:t>
      </w:r>
      <w:r w:rsidRPr="00DC35B5">
        <w:rPr>
          <w:rStyle w:val="HideTWBExt"/>
          <w:lang w:val="es-ES"/>
        </w:rPr>
        <w:t>&lt;Original&gt;</w:t>
      </w:r>
      <w:r w:rsidRPr="00DC35B5">
        <w:rPr>
          <w:rStyle w:val="HideTWBInt"/>
          <w:lang w:val="es-ES"/>
        </w:rPr>
        <w:t>{EN}</w:t>
      </w:r>
      <w:r w:rsidRPr="00DC35B5">
        <w:rPr>
          <w:lang w:val="es-ES"/>
        </w:rPr>
        <w:t>en</w:t>
      </w:r>
      <w:r w:rsidRPr="00DC35B5">
        <w:rPr>
          <w:rStyle w:val="HideTWBExt"/>
          <w:lang w:val="es-ES"/>
        </w:rPr>
        <w:t>&lt;/Original&gt;</w:t>
      </w:r>
    </w:p>
    <w:p w:rsidR="00E33FD9" w:rsidRPr="00DC35B5" w:rsidRDefault="00DC35B5" w:rsidP="00E33FD9">
      <w:pPr>
        <w:rPr>
          <w:lang w:val="es-ES"/>
        </w:rPr>
      </w:pPr>
      <w:r w:rsidRPr="00DC35B5">
        <w:rPr>
          <w:rStyle w:val="HideTWBExt"/>
          <w:lang w:val="es-ES"/>
        </w:rPr>
        <w:t>&lt;/Amend&gt;</w:t>
      </w:r>
    </w:p>
    <w:p w:rsidR="00E33FD9" w:rsidRPr="00DC35B5" w:rsidRDefault="00DC35B5" w:rsidP="00E33FD9">
      <w:pPr>
        <w:pStyle w:val="AMNumberTabs0"/>
        <w:keepNext/>
        <w:rPr>
          <w:lang w:val="es-ES"/>
        </w:rPr>
      </w:pPr>
      <w:r w:rsidRPr="00DC35B5">
        <w:rPr>
          <w:rStyle w:val="HideTWBExt"/>
          <w:b w:val="0"/>
          <w:lang w:val="es-ES"/>
        </w:rPr>
        <w:t>&lt;Amend&gt;</w:t>
      </w:r>
      <w:r w:rsidRPr="00DC35B5">
        <w:rPr>
          <w:lang w:val="es-ES"/>
        </w:rPr>
        <w:t>Alteração</w:t>
      </w:r>
      <w:r w:rsidRPr="00DC35B5">
        <w:rPr>
          <w:lang w:val="es-ES"/>
        </w:rPr>
        <w:tab/>
      </w:r>
      <w:r w:rsidRPr="00DC35B5">
        <w:rPr>
          <w:lang w:val="es-ES"/>
        </w:rPr>
        <w:tab/>
      </w:r>
      <w:r w:rsidRPr="00DC35B5">
        <w:rPr>
          <w:rStyle w:val="HideTWBExt"/>
          <w:b w:val="0"/>
          <w:lang w:val="es-ES"/>
        </w:rPr>
        <w:t>&lt;NumAm&gt;</w:t>
      </w:r>
      <w:r w:rsidRPr="00DC35B5">
        <w:rPr>
          <w:lang w:val="es-ES"/>
        </w:rPr>
        <w:t>8</w:t>
      </w:r>
      <w:r w:rsidRPr="00DC35B5">
        <w:rPr>
          <w:rStyle w:val="HideTWBExt"/>
          <w:b w:val="0"/>
          <w:lang w:val="es-ES"/>
        </w:rPr>
        <w:t>&lt;/NumAm&gt;</w:t>
      </w:r>
    </w:p>
    <w:p w:rsidR="00E33FD9" w:rsidRPr="00DC35B5" w:rsidRDefault="00DC35B5" w:rsidP="00E33FD9">
      <w:pPr>
        <w:pStyle w:val="NormalBold"/>
        <w:rPr>
          <w:lang w:val="es-ES"/>
        </w:rPr>
      </w:pPr>
      <w:r w:rsidRPr="00DC35B5">
        <w:rPr>
          <w:rStyle w:val="HideTWBExt"/>
          <w:b w:val="0"/>
          <w:lang w:val="es-ES"/>
        </w:rPr>
        <w:t>&lt;RepeatBlock-By&gt;&lt;Members&gt;</w:t>
      </w:r>
      <w:r w:rsidRPr="00DC35B5">
        <w:rPr>
          <w:lang w:val="es-ES"/>
        </w:rPr>
        <w:t>Malik Azmani, Jeannette Baljeu, Lucia Yar, Raquel García Hermida</w:t>
      </w:r>
      <w:r>
        <w:rPr>
          <w:lang w:val="es-ES"/>
        </w:rPr>
        <w:noBreakHyphen/>
      </w:r>
      <w:r w:rsidRPr="00DC35B5">
        <w:rPr>
          <w:lang w:val="es-ES"/>
        </w:rPr>
        <w:t>Van Der Walle</w:t>
      </w:r>
      <w:r w:rsidRPr="00DC35B5">
        <w:rPr>
          <w:rStyle w:val="HideTWBExt"/>
          <w:b w:val="0"/>
          <w:lang w:val="es-ES"/>
        </w:rPr>
        <w:t>&lt;/Members&gt;</w:t>
      </w:r>
    </w:p>
    <w:p w:rsidR="00E33FD9" w:rsidRPr="00DC35B5" w:rsidRDefault="00DC35B5" w:rsidP="00E33FD9">
      <w:pPr>
        <w:rPr>
          <w:lang w:val="es-ES"/>
        </w:rPr>
      </w:pPr>
      <w:r w:rsidRPr="00DC35B5">
        <w:rPr>
          <w:rStyle w:val="HideTWBExt"/>
          <w:lang w:val="es-ES"/>
        </w:rPr>
        <w:t>&lt;/RepeatBlock-By&gt;</w:t>
      </w:r>
    </w:p>
    <w:p w:rsidR="00E33FD9" w:rsidRPr="00DC35B5" w:rsidRDefault="00DC35B5" w:rsidP="00E33FD9">
      <w:pPr>
        <w:pStyle w:val="NormalBold"/>
        <w:keepNext/>
        <w:rPr>
          <w:lang w:val="es-ES"/>
        </w:rPr>
      </w:pPr>
      <w:r w:rsidRPr="00DC35B5">
        <w:rPr>
          <w:rStyle w:val="HideTWBExt"/>
          <w:b w:val="0"/>
          <w:lang w:val="es-ES"/>
        </w:rPr>
        <w:t>&lt;DocAmend&gt;</w:t>
      </w:r>
      <w:r w:rsidRPr="00DC35B5">
        <w:rPr>
          <w:lang w:val="es-ES"/>
        </w:rPr>
        <w:t>Proposta de regulamento</w:t>
      </w:r>
      <w:r w:rsidRPr="00DC35B5">
        <w:rPr>
          <w:rStyle w:val="HideTWBExt"/>
          <w:b w:val="0"/>
          <w:lang w:val="es-ES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&lt;Article&gt;</w:t>
      </w:r>
      <w:r w:rsidRPr="0005125A">
        <w:t>Considerando 20</w:t>
      </w:r>
      <w:r>
        <w:noBreakHyphen/>
      </w:r>
      <w:r w:rsidRPr="0005125A">
        <w:t>A (novo)</w:t>
      </w:r>
      <w:r w:rsidRPr="0005125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C66D7" w:rsidRPr="0005125A" w:rsidTr="00E275B2">
        <w:trPr>
          <w:jc w:val="center"/>
        </w:trPr>
        <w:tc>
          <w:tcPr>
            <w:tcW w:w="9752" w:type="dxa"/>
            <w:gridSpan w:val="2"/>
          </w:tcPr>
          <w:p w:rsidR="00E33FD9" w:rsidRPr="0005125A" w:rsidRDefault="00E33FD9" w:rsidP="00E275B2">
            <w:pPr>
              <w:keepNext/>
            </w:pP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Texto da Comissão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Normal6"/>
              <w:rPr>
                <w:szCs w:val="24"/>
              </w:rPr>
            </w:pPr>
            <w:r w:rsidRPr="0005125A">
              <w:rPr>
                <w:b/>
                <w:i/>
              </w:rPr>
              <w:t>(20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A)</w:t>
            </w:r>
            <w:r w:rsidRPr="0005125A">
              <w:rPr>
                <w:b/>
                <w:i/>
              </w:rPr>
              <w:tab/>
              <w:t>A verificação das impressões digitais armazenadas no suporte de armazenamento só deve ser efetuada por pessoal devidamente habilitado das autoridades nacionais competentes e das agências da União, e apenas quando o direito da União ou o direito naci</w:t>
            </w:r>
            <w:r w:rsidRPr="0005125A">
              <w:rPr>
                <w:b/>
                <w:i/>
              </w:rPr>
              <w:t>onal exigir a apresentação do documento.</w:t>
            </w:r>
          </w:p>
        </w:tc>
      </w:tr>
    </w:tbl>
    <w:p w:rsidR="00E33FD9" w:rsidRPr="0005125A" w:rsidRDefault="00DC35B5" w:rsidP="00E33FD9">
      <w:pPr>
        <w:pStyle w:val="Olang"/>
        <w:rPr>
          <w:sz w:val="24"/>
          <w:szCs w:val="24"/>
        </w:rPr>
      </w:pPr>
      <w:r w:rsidRPr="0005125A">
        <w:rPr>
          <w:sz w:val="24"/>
          <w:szCs w:val="24"/>
        </w:rPr>
        <w:lastRenderedPageBreak/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  <w:sz w:val="24"/>
          <w:szCs w:val="24"/>
        </w:rPr>
        <w:t>{EN}</w:t>
      </w:r>
      <w:r w:rsidRPr="0005125A">
        <w:rPr>
          <w:sz w:val="24"/>
          <w:szCs w:val="24"/>
        </w:rPr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0"/>
        <w:keepNext/>
      </w:pPr>
      <w:r w:rsidRPr="0005125A">
        <w:rPr>
          <w:rStyle w:val="HideTWBExt"/>
          <w:b w:val="0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  <w:b w:val="0"/>
        </w:rPr>
        <w:t>&lt;NumAm&gt;</w:t>
      </w:r>
      <w:r w:rsidRPr="0005125A">
        <w:t>9</w:t>
      </w:r>
      <w:r w:rsidRPr="0005125A">
        <w:rPr>
          <w:rStyle w:val="HideTWBExt"/>
          <w:b w:val="0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r w:rsidRPr="0005125A">
        <w:rPr>
          <w:rStyle w:val="HideTWBExt"/>
        </w:rPr>
        <w:t>&lt;/RepeatBlock-By&gt;</w:t>
      </w:r>
    </w:p>
    <w:p w:rsidR="00E33FD9" w:rsidRPr="0005125A" w:rsidRDefault="00DC35B5" w:rsidP="00E33FD9">
      <w:pPr>
        <w:pStyle w:val="NormalBold"/>
        <w:keepNext/>
      </w:pPr>
      <w:r w:rsidRPr="0005125A">
        <w:rPr>
          <w:rStyle w:val="HideTWBExt"/>
          <w:b w:val="0"/>
        </w:rPr>
        <w:t>&lt;DocAmend&gt;</w:t>
      </w:r>
      <w:r w:rsidRPr="0005125A">
        <w:t>Proposta de regulamento</w:t>
      </w:r>
      <w:r w:rsidRPr="0005125A">
        <w:rPr>
          <w:rStyle w:val="HideTWBExt"/>
          <w:b w:val="0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&lt;Article&gt;</w:t>
      </w:r>
      <w:r w:rsidRPr="0005125A">
        <w:t xml:space="preserve">Considerando </w:t>
      </w:r>
      <w:r w:rsidRPr="0005125A">
        <w:t>20</w:t>
      </w:r>
      <w:r>
        <w:noBreakHyphen/>
      </w:r>
      <w:r w:rsidRPr="0005125A">
        <w:t>A (novo)</w:t>
      </w:r>
      <w:r w:rsidRPr="0005125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C66D7" w:rsidRPr="0005125A" w:rsidTr="00E275B2">
        <w:trPr>
          <w:jc w:val="center"/>
        </w:trPr>
        <w:tc>
          <w:tcPr>
            <w:tcW w:w="9752" w:type="dxa"/>
            <w:gridSpan w:val="2"/>
          </w:tcPr>
          <w:p w:rsidR="00E33FD9" w:rsidRPr="0005125A" w:rsidRDefault="00E33FD9" w:rsidP="00E275B2">
            <w:pPr>
              <w:keepNext/>
            </w:pP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Texto da Comissão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Normal6"/>
              <w:rPr>
                <w:szCs w:val="24"/>
              </w:rPr>
            </w:pPr>
            <w:r w:rsidRPr="0005125A">
              <w:rPr>
                <w:b/>
                <w:i/>
              </w:rPr>
              <w:t>(20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A)</w:t>
            </w:r>
            <w:r w:rsidRPr="0005125A">
              <w:rPr>
                <w:b/>
                <w:i/>
              </w:rPr>
              <w:tab/>
              <w:t xml:space="preserve">As entidades privadas devem ser obrigadas a obter o consentimento do titular para aceder à imagem facial. O consentimento do titular dos dados deve, por conseguinte, ser entendido como uma </w:t>
            </w:r>
            <w:r w:rsidRPr="0005125A">
              <w:rPr>
                <w:b/>
                <w:i/>
              </w:rPr>
              <w:t>salvaguarda adicional e não deve constituir, por si só, um fundamento jurídico para o tratamento por entidades privadas.</w:t>
            </w:r>
          </w:p>
        </w:tc>
      </w:tr>
    </w:tbl>
    <w:p w:rsidR="00E33FD9" w:rsidRPr="0005125A" w:rsidRDefault="00DC35B5" w:rsidP="00E33FD9">
      <w:pPr>
        <w:pStyle w:val="Olang"/>
        <w:rPr>
          <w:sz w:val="24"/>
          <w:szCs w:val="24"/>
        </w:rPr>
      </w:pPr>
      <w:r w:rsidRPr="0005125A">
        <w:rPr>
          <w:sz w:val="24"/>
          <w:szCs w:val="24"/>
        </w:rPr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  <w:sz w:val="24"/>
          <w:szCs w:val="24"/>
        </w:rPr>
        <w:t>{EN}</w:t>
      </w:r>
      <w:r w:rsidRPr="0005125A">
        <w:rPr>
          <w:sz w:val="24"/>
          <w:szCs w:val="24"/>
        </w:rPr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pPr>
        <w:pStyle w:val="JustificationTitle"/>
        <w:rPr>
          <w:noProof w:val="0"/>
        </w:rPr>
      </w:pPr>
      <w:r w:rsidRPr="0005125A">
        <w:rPr>
          <w:rStyle w:val="HideTWBExt"/>
          <w:i w:val="0"/>
        </w:rPr>
        <w:t>&lt;TitreJust&gt;</w:t>
      </w:r>
      <w:r w:rsidRPr="0005125A">
        <w:t>Justificação</w:t>
      </w:r>
      <w:r w:rsidRPr="0005125A">
        <w:rPr>
          <w:rStyle w:val="HideTWBExt"/>
          <w:i w:val="0"/>
        </w:rPr>
        <w:t>&lt;/TitreJust&gt;</w:t>
      </w:r>
    </w:p>
    <w:p w:rsidR="00E33FD9" w:rsidRPr="0005125A" w:rsidRDefault="00DC35B5" w:rsidP="00E33FD9">
      <w:pPr>
        <w:pStyle w:val="Normal12Italic"/>
        <w:rPr>
          <w:noProof w:val="0"/>
        </w:rPr>
      </w:pPr>
      <w:r w:rsidRPr="0005125A">
        <w:t>O grupo The Left continua a rejeitar a possibilidade de as entidad</w:t>
      </w:r>
      <w:r w:rsidRPr="0005125A">
        <w:t>es privadas terem acesso à imagem facial do titular do documento. No entanto, tendo em conta as alterações do Conselho, a presente alteração constitui uma posição «de recurso» para limitar tanto quanto possível a posição geral do Conselho. Esta alteração e</w:t>
      </w:r>
      <w:r w:rsidRPr="0005125A">
        <w:t>specífica visa pôr em evidência as partes positivas do texto do Conselho, reforçando os direitos dos titulares dos dados caso o acesso às imagens faciais seja concedido a entidades privadas.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0"/>
        <w:keepNext/>
      </w:pPr>
      <w:r w:rsidRPr="0005125A">
        <w:rPr>
          <w:rStyle w:val="HideTWBExt"/>
          <w:b w:val="0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  <w:b w:val="0"/>
        </w:rPr>
        <w:t>&lt;NumAm&gt;</w:t>
      </w:r>
      <w:r w:rsidRPr="0005125A">
        <w:t>10</w:t>
      </w:r>
      <w:r w:rsidRPr="0005125A">
        <w:rPr>
          <w:rStyle w:val="HideTWBExt"/>
          <w:b w:val="0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</w:t>
      </w:r>
      <w:r w:rsidRPr="0005125A">
        <w:rPr>
          <w:rStyle w:val="HideTWBExt"/>
          <w:b w:val="0"/>
        </w:rPr>
        <w:t>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r w:rsidRPr="0005125A">
        <w:rPr>
          <w:rStyle w:val="HideTWBExt"/>
        </w:rPr>
        <w:t>&lt;/RepeatBlock-By&gt;</w:t>
      </w:r>
    </w:p>
    <w:p w:rsidR="00E33FD9" w:rsidRPr="0005125A" w:rsidRDefault="00DC35B5" w:rsidP="00E33FD9">
      <w:pPr>
        <w:pStyle w:val="NormalBold"/>
        <w:keepNext/>
      </w:pPr>
      <w:r w:rsidRPr="0005125A">
        <w:rPr>
          <w:rStyle w:val="HideTWBExt"/>
          <w:b w:val="0"/>
        </w:rPr>
        <w:t>&lt;DocAmend&gt;</w:t>
      </w:r>
      <w:r w:rsidRPr="0005125A">
        <w:t>Proposta de regulamento</w:t>
      </w:r>
      <w:r w:rsidRPr="0005125A">
        <w:rPr>
          <w:rStyle w:val="HideTWBExt"/>
          <w:b w:val="0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&lt;Article&gt;</w:t>
      </w:r>
      <w:r w:rsidRPr="0005125A">
        <w:t>Considerando 20</w:t>
      </w:r>
      <w:r>
        <w:noBreakHyphen/>
      </w:r>
      <w:r w:rsidRPr="0005125A">
        <w:t>B (novo)</w:t>
      </w:r>
      <w:r w:rsidRPr="0005125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C66D7" w:rsidRPr="0005125A" w:rsidTr="00E275B2">
        <w:trPr>
          <w:jc w:val="center"/>
        </w:trPr>
        <w:tc>
          <w:tcPr>
            <w:tcW w:w="9752" w:type="dxa"/>
            <w:gridSpan w:val="2"/>
          </w:tcPr>
          <w:p w:rsidR="00E33FD9" w:rsidRPr="0005125A" w:rsidRDefault="00E33FD9" w:rsidP="00E275B2">
            <w:pPr>
              <w:keepNext/>
            </w:pP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Texto da Comissão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Normal6"/>
              <w:rPr>
                <w:szCs w:val="24"/>
              </w:rPr>
            </w:pPr>
            <w:r w:rsidRPr="0005125A">
              <w:rPr>
                <w:b/>
                <w:i/>
              </w:rPr>
              <w:t>(20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B)</w:t>
            </w:r>
            <w:r w:rsidRPr="0005125A">
              <w:rPr>
                <w:b/>
                <w:i/>
              </w:rPr>
              <w:tab/>
              <w:t xml:space="preserve">Quando for exigido por lei a apresentação dos bilhetes de identidade ou títulos </w:t>
            </w:r>
            <w:r w:rsidRPr="0005125A">
              <w:rPr>
                <w:b/>
                <w:i/>
              </w:rPr>
              <w:t>de residência, as entidades privadas só devem poder aceder à imagem facial para efeitos de verificação da identidade do titular e não devemarmazenar nem transmitir as imagens faciais.</w:t>
            </w:r>
          </w:p>
        </w:tc>
      </w:tr>
    </w:tbl>
    <w:p w:rsidR="00E33FD9" w:rsidRPr="0005125A" w:rsidRDefault="00DC35B5" w:rsidP="00E33FD9">
      <w:pPr>
        <w:pStyle w:val="Olang"/>
        <w:rPr>
          <w:sz w:val="24"/>
          <w:szCs w:val="24"/>
        </w:rPr>
      </w:pPr>
      <w:r w:rsidRPr="0005125A">
        <w:rPr>
          <w:sz w:val="24"/>
          <w:szCs w:val="24"/>
        </w:rPr>
        <w:lastRenderedPageBreak/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  <w:sz w:val="24"/>
          <w:szCs w:val="24"/>
        </w:rPr>
        <w:t>{EN}</w:t>
      </w:r>
      <w:r w:rsidRPr="0005125A">
        <w:rPr>
          <w:sz w:val="24"/>
          <w:szCs w:val="24"/>
        </w:rPr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pPr>
        <w:pStyle w:val="JustificationTitle"/>
        <w:rPr>
          <w:noProof w:val="0"/>
        </w:rPr>
      </w:pPr>
      <w:r w:rsidRPr="0005125A">
        <w:rPr>
          <w:rStyle w:val="HideTWBExt"/>
          <w:i w:val="0"/>
        </w:rPr>
        <w:t>&lt;TitreJust&gt;</w:t>
      </w:r>
      <w:r w:rsidRPr="0005125A">
        <w:t>Justificação</w:t>
      </w:r>
      <w:r w:rsidRPr="0005125A">
        <w:rPr>
          <w:rStyle w:val="HideTWBExt"/>
          <w:i w:val="0"/>
        </w:rPr>
        <w:t>&lt;/TitreJust&gt;</w:t>
      </w:r>
    </w:p>
    <w:p w:rsidR="00E33FD9" w:rsidRPr="0005125A" w:rsidRDefault="00DC35B5" w:rsidP="00E33FD9">
      <w:pPr>
        <w:pStyle w:val="Normal12Italic"/>
        <w:rPr>
          <w:noProof w:val="0"/>
        </w:rPr>
      </w:pPr>
      <w:r w:rsidRPr="0005125A">
        <w:t xml:space="preserve">O </w:t>
      </w:r>
      <w:r w:rsidRPr="0005125A">
        <w:t>grupo The Left continua a rejeitar a possibilidade de as entidades privadas terem acesso à imagem facial do titular do documento. No entanto, tendo em conta as alterações do Conselho, a presente alteração constitui uma posição «de recurso» para limitar tan</w:t>
      </w:r>
      <w:r w:rsidRPr="0005125A">
        <w:t>to quanto possível a posição do Conselho.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11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Roberto Vannacci, António Tânger Corrêa, Susanna Ceccardi, Anna Maria Cisint, Nikola Bartůšek, Fabrice Leggeri, Tom Vandendriessche, Matthieu Va</w:t>
      </w:r>
      <w:r w:rsidRPr="0005125A">
        <w:t>let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22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(22)</w:t>
            </w:r>
            <w:r w:rsidRPr="0005125A">
              <w:tab/>
            </w:r>
            <w:r w:rsidRPr="0005125A">
              <w:rPr>
                <w:b/>
                <w:i/>
              </w:rPr>
              <w:t>Para efeitos do presente regulamento, devem ser tidas em conta</w:t>
            </w:r>
            <w:r w:rsidRPr="0005125A">
              <w:t xml:space="preserve"> as especificações estabelecidas no documento 9303 da OACI, que asseguram a interoperabilidade a nível mundial, incluindo no caso de leitura automática e recurso a inspeção visual.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(22)</w:t>
            </w:r>
            <w:r w:rsidRPr="0005125A">
              <w:tab/>
              <w:t>As especificações estabelecidas no documento 9303 da OACI, que assegur</w:t>
            </w:r>
            <w:r w:rsidRPr="0005125A">
              <w:t>am a interoperabilidade a nível mundial, incluindo no caso de leitura automática e recurso a inspeção visual</w:t>
            </w:r>
            <w:r w:rsidRPr="0005125A">
              <w:rPr>
                <w:b/>
                <w:i/>
              </w:rPr>
              <w:t>, devem constituir o marco de referência para efeitos do presente regulamento</w:t>
            </w:r>
            <w:r w:rsidRPr="0005125A">
              <w:t>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12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Roberto Vannacci, António Tânger Corrêa, Susanna Ceccardi, Anna Maria Cisint, Fabrice Leggeri, András László, Tom Vandendriessche, Matthieu Valet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23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(23)</w:t>
            </w:r>
            <w:r w:rsidRPr="0005125A">
              <w:tab/>
              <w:t>Os Estados</w:t>
            </w:r>
            <w:r>
              <w:noBreakHyphen/>
            </w:r>
            <w:r w:rsidRPr="0005125A">
              <w:t xml:space="preserve">Membros devem </w:t>
            </w:r>
            <w:r w:rsidRPr="0005125A">
              <w:rPr>
                <w:b/>
                <w:i/>
              </w:rPr>
              <w:t xml:space="preserve">poder decidir </w:t>
            </w:r>
            <w:r w:rsidRPr="0005125A">
              <w:t xml:space="preserve">incluir </w:t>
            </w:r>
            <w:r w:rsidRPr="0005125A">
              <w:rPr>
                <w:b/>
                <w:i/>
              </w:rPr>
              <w:t xml:space="preserve">ou não </w:t>
            </w:r>
            <w:r w:rsidRPr="0005125A">
              <w:t xml:space="preserve">o </w:t>
            </w:r>
            <w:r w:rsidRPr="0005125A">
              <w:rPr>
                <w:b/>
                <w:i/>
              </w:rPr>
              <w:t>género</w:t>
            </w:r>
            <w:r w:rsidRPr="0005125A">
              <w:t xml:space="preserve"> de uma pessoa num documento abrangido pelo presente regulamento</w:t>
            </w:r>
            <w:r w:rsidRPr="0005125A">
              <w:rPr>
                <w:b/>
                <w:i/>
              </w:rPr>
              <w:t>. Se um Estado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Membro incluir o género</w:t>
            </w:r>
            <w:r w:rsidRPr="0005125A">
              <w:t xml:space="preserve"> de </w:t>
            </w:r>
            <w:r w:rsidRPr="0005125A">
              <w:rPr>
                <w:b/>
                <w:i/>
              </w:rPr>
              <w:t xml:space="preserve">uma pessoa nesse </w:t>
            </w:r>
            <w:r w:rsidRPr="0005125A">
              <w:rPr>
                <w:b/>
                <w:i/>
              </w:rPr>
              <w:t>documento, deve utilizar</w:t>
            </w:r>
            <w:r w:rsidRPr="0005125A">
              <w:t xml:space="preserve"> as especificações previstas do documento 9303 da OACI</w:t>
            </w:r>
            <w:r w:rsidRPr="0005125A">
              <w:rPr>
                <w:b/>
                <w:i/>
              </w:rPr>
              <w:t xml:space="preserve"> «F», «M» ou «X» ou a inicial correspondente na língua ou </w:t>
            </w:r>
            <w:r w:rsidRPr="0005125A">
              <w:rPr>
                <w:b/>
                <w:i/>
              </w:rPr>
              <w:lastRenderedPageBreak/>
              <w:t>línguas desse Estado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Membro, consoante o caso</w:t>
            </w:r>
            <w:r w:rsidRPr="0005125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lastRenderedPageBreak/>
              <w:t>(23)</w:t>
            </w:r>
            <w:r w:rsidRPr="0005125A">
              <w:tab/>
              <w:t>Os Estados</w:t>
            </w:r>
            <w:r>
              <w:noBreakHyphen/>
            </w:r>
            <w:r w:rsidRPr="0005125A">
              <w:t xml:space="preserve">Membros devem incluir o </w:t>
            </w:r>
            <w:r w:rsidRPr="0005125A">
              <w:rPr>
                <w:b/>
                <w:i/>
              </w:rPr>
              <w:t>sexo</w:t>
            </w:r>
            <w:r w:rsidRPr="0005125A">
              <w:t xml:space="preserve"> de uma pessoa num documento </w:t>
            </w:r>
            <w:r w:rsidRPr="0005125A">
              <w:t>abrangido pelo presente regulamento</w:t>
            </w:r>
            <w:r w:rsidRPr="0005125A">
              <w:rPr>
                <w:b/>
                <w:i/>
              </w:rPr>
              <w:t>,</w:t>
            </w:r>
            <w:r w:rsidRPr="0005125A">
              <w:t xml:space="preserve"> de </w:t>
            </w:r>
            <w:r w:rsidRPr="0005125A">
              <w:rPr>
                <w:b/>
                <w:i/>
              </w:rPr>
              <w:t>acordo com</w:t>
            </w:r>
            <w:r w:rsidRPr="0005125A">
              <w:t xml:space="preserve"> as especificações previstas do documento 9303 da OACI</w:t>
            </w:r>
            <w:r w:rsidRPr="0005125A">
              <w:rPr>
                <w:b/>
                <w:i/>
              </w:rPr>
              <w:t>. A indicação do sexo do titular permite que os documentos sejam utilizados de forma mais eficaz para identificar o titular</w:t>
            </w:r>
            <w:r w:rsidRPr="0005125A">
              <w:t>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13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Paolo Inselvini, Alessandro Ciriani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23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(23)</w:t>
            </w:r>
            <w:r w:rsidRPr="0005125A">
              <w:tab/>
              <w:t>Os Estados</w:t>
            </w:r>
            <w:r>
              <w:noBreakHyphen/>
            </w:r>
            <w:r w:rsidRPr="0005125A">
              <w:t xml:space="preserve">Membros devem poder decidir incluir ou não o </w:t>
            </w:r>
            <w:r w:rsidRPr="0005125A">
              <w:rPr>
                <w:b/>
                <w:i/>
              </w:rPr>
              <w:t>género</w:t>
            </w:r>
            <w:r w:rsidRPr="0005125A">
              <w:t xml:space="preserve"> de uma pessoa num documento abrangido pelo presente regulamento. Se um Estado</w:t>
            </w:r>
            <w:r>
              <w:noBreakHyphen/>
            </w:r>
            <w:r w:rsidRPr="0005125A">
              <w:t xml:space="preserve">Membro incluir o </w:t>
            </w:r>
            <w:r w:rsidRPr="0005125A">
              <w:rPr>
                <w:b/>
                <w:i/>
              </w:rPr>
              <w:t>género</w:t>
            </w:r>
            <w:r w:rsidRPr="0005125A">
              <w:t xml:space="preserve"> de uma pessoa nesse documento, deve utilizar as especificações </w:t>
            </w:r>
            <w:r w:rsidRPr="0005125A">
              <w:rPr>
                <w:b/>
                <w:i/>
              </w:rPr>
              <w:t>previstas do documento</w:t>
            </w:r>
            <w:r w:rsidRPr="0005125A">
              <w:rPr>
                <w:b/>
                <w:i/>
              </w:rPr>
              <w:t xml:space="preserve"> 9303 da OACI </w:t>
            </w:r>
            <w:r w:rsidRPr="0005125A">
              <w:t>«F»</w:t>
            </w:r>
            <w:r w:rsidRPr="0005125A">
              <w:rPr>
                <w:b/>
                <w:i/>
              </w:rPr>
              <w:t xml:space="preserve">, </w:t>
            </w:r>
            <w:r w:rsidRPr="0005125A">
              <w:t xml:space="preserve">«M» </w:t>
            </w:r>
            <w:r w:rsidRPr="0005125A">
              <w:rPr>
                <w:b/>
                <w:bCs/>
                <w:i/>
                <w:iCs/>
              </w:rPr>
              <w:t>ou</w:t>
            </w:r>
            <w:r w:rsidRPr="0005125A">
              <w:t xml:space="preserve"> </w:t>
            </w:r>
            <w:r w:rsidRPr="0005125A">
              <w:rPr>
                <w:b/>
                <w:i/>
              </w:rPr>
              <w:t>«X»</w:t>
            </w:r>
            <w:r w:rsidRPr="0005125A">
              <w:t xml:space="preserve"> ou a inicial correspondente na língua ou línguas desse Estado</w:t>
            </w:r>
            <w:r>
              <w:noBreakHyphen/>
            </w:r>
            <w:r w:rsidRPr="0005125A">
              <w:t>Membro, consoante o caso.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(23)</w:t>
            </w:r>
            <w:r w:rsidRPr="0005125A">
              <w:tab/>
              <w:t>Os Estados</w:t>
            </w:r>
            <w:r>
              <w:noBreakHyphen/>
            </w:r>
            <w:r w:rsidRPr="0005125A">
              <w:t xml:space="preserve">Membros devem poder decidir incluir ou não o </w:t>
            </w:r>
            <w:r w:rsidRPr="0005125A">
              <w:rPr>
                <w:b/>
                <w:i/>
              </w:rPr>
              <w:t>sexo</w:t>
            </w:r>
            <w:r w:rsidRPr="0005125A">
              <w:t xml:space="preserve"> de uma pessoa num documento abrangido pelo presente regulamento. Se um E</w:t>
            </w:r>
            <w:r w:rsidRPr="0005125A">
              <w:t>stado</w:t>
            </w:r>
            <w:r>
              <w:noBreakHyphen/>
            </w:r>
            <w:r w:rsidRPr="0005125A">
              <w:t xml:space="preserve">Membro incluir o </w:t>
            </w:r>
            <w:r w:rsidRPr="0005125A">
              <w:rPr>
                <w:b/>
                <w:i/>
              </w:rPr>
              <w:t>sexo</w:t>
            </w:r>
            <w:r w:rsidRPr="0005125A">
              <w:t xml:space="preserve"> de uma pessoa nesse documento, deve utilizar as especificações «F» </w:t>
            </w:r>
            <w:r w:rsidRPr="0005125A">
              <w:rPr>
                <w:b/>
                <w:bCs/>
                <w:i/>
                <w:iCs/>
              </w:rPr>
              <w:t>ou</w:t>
            </w:r>
            <w:r w:rsidRPr="0005125A">
              <w:t xml:space="preserve"> «M» ou a inicial correspondente na língua ou línguas desse Estado</w:t>
            </w:r>
            <w:r>
              <w:noBreakHyphen/>
            </w:r>
            <w:r w:rsidRPr="0005125A">
              <w:t>Membro, consoante o caso.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{IT}</w:t>
      </w:r>
      <w:r w:rsidRPr="0005125A">
        <w:t>it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14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Alessandro Zan, Krzysztof Śmiszek, Emma Rafowicz, Evin Incir, Cecilia Strada, Pina Picierno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23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 xml:space="preserve">Texto da </w:t>
            </w:r>
            <w:r w:rsidRPr="0005125A">
              <w:t>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(23)</w:t>
            </w:r>
            <w:r w:rsidRPr="0005125A">
              <w:tab/>
              <w:t>Os Estados</w:t>
            </w:r>
            <w:r>
              <w:noBreakHyphen/>
            </w:r>
            <w:r w:rsidRPr="0005125A">
              <w:t>Membros devem poder decidir incluir ou não o género de uma pessoa num documento abrangido pelo presente regulamento. Se um Estado</w:t>
            </w:r>
            <w:r>
              <w:noBreakHyphen/>
            </w:r>
            <w:r w:rsidRPr="0005125A">
              <w:t>Membro incluir o género de uma pessoa nesse documento, deve utilizar as especificações pre</w:t>
            </w:r>
            <w:r w:rsidRPr="0005125A">
              <w:t>vistas do documento 9303 da OACI «F», «M» ou «X» ou a inicial correspondente na língua ou línguas desse Estado</w:t>
            </w:r>
            <w:r>
              <w:noBreakHyphen/>
            </w:r>
            <w:r w:rsidRPr="0005125A">
              <w:t>Membro, consoante o caso.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(23)</w:t>
            </w:r>
            <w:r w:rsidRPr="0005125A">
              <w:tab/>
              <w:t>Os Estados</w:t>
            </w:r>
            <w:r>
              <w:noBreakHyphen/>
            </w:r>
            <w:r w:rsidRPr="0005125A">
              <w:t>Membros devem poder decidir incluir ou não o género de uma pessoa num documento abrangido pelo presente</w:t>
            </w:r>
            <w:r w:rsidRPr="0005125A">
              <w:t xml:space="preserve"> regulamento. Se um Estado</w:t>
            </w:r>
            <w:r>
              <w:noBreakHyphen/>
            </w:r>
            <w:r w:rsidRPr="0005125A">
              <w:t>Membro incluir o género de uma pessoa nesse documento, deve utilizar as especificações previstas do documento 9303 da OACI «F», «M» ou «X» ou a inicial correspondente na língua ou línguas desse Estado</w:t>
            </w:r>
            <w:r>
              <w:noBreakHyphen/>
            </w:r>
            <w:r w:rsidRPr="0005125A">
              <w:t>Membro, consoante o caso</w:t>
            </w:r>
            <w:r w:rsidRPr="0005125A">
              <w:rPr>
                <w:b/>
                <w:i/>
              </w:rPr>
              <w:t xml:space="preserve">, </w:t>
            </w:r>
            <w:r w:rsidRPr="0005125A">
              <w:rPr>
                <w:b/>
                <w:i/>
              </w:rPr>
              <w:lastRenderedPageBreak/>
              <w:t>em</w:t>
            </w:r>
            <w:r w:rsidRPr="0005125A">
              <w:rPr>
                <w:b/>
                <w:i/>
              </w:rPr>
              <w:t xml:space="preserve"> conformidade com a jurisprudência do Tribunal de Justiça</w:t>
            </w:r>
            <w:r w:rsidRPr="0005125A">
              <w:rPr>
                <w:b/>
                <w:i/>
                <w:vertAlign w:val="superscript"/>
              </w:rPr>
              <w:t>1</w:t>
            </w:r>
            <w:r>
              <w:rPr>
                <w:b/>
                <w:i/>
                <w:vertAlign w:val="superscript"/>
              </w:rPr>
              <w:noBreakHyphen/>
            </w:r>
            <w:r w:rsidRPr="0005125A">
              <w:rPr>
                <w:b/>
                <w:i/>
                <w:vertAlign w:val="superscript"/>
              </w:rPr>
              <w:t>A</w:t>
            </w:r>
            <w:r w:rsidRPr="0005125A">
              <w:t>.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_________________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  <w:vertAlign w:val="superscript"/>
              </w:rPr>
              <w:t>1</w:t>
            </w:r>
            <w:r>
              <w:rPr>
                <w:b/>
                <w:i/>
                <w:vertAlign w:val="superscript"/>
              </w:rPr>
              <w:noBreakHyphen/>
            </w:r>
            <w:r w:rsidRPr="0005125A">
              <w:rPr>
                <w:b/>
                <w:i/>
                <w:vertAlign w:val="superscript"/>
              </w:rPr>
              <w:t xml:space="preserve">A </w:t>
            </w:r>
            <w:r w:rsidRPr="0005125A">
              <w:rPr>
                <w:b/>
                <w:i/>
              </w:rPr>
              <w:t>Acórdão do Tribunal de Justiça de 4 de outubro de 2024, Mirin, C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4/23, ECLI:EU:C:2024:845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15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Tomáš Zdechovský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25</w:t>
      </w:r>
      <w:r>
        <w:noBreakHyphen/>
      </w:r>
      <w:r w:rsidRPr="0005125A">
        <w:t>A (novo)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(25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A)</w:t>
            </w:r>
            <w:r w:rsidRPr="0005125A">
              <w:tab/>
            </w:r>
            <w:r w:rsidRPr="0005125A">
              <w:rPr>
                <w:b/>
                <w:i/>
              </w:rPr>
              <w:t xml:space="preserve">O pessoal qualificado deve receber formação obrigatória </w:t>
            </w:r>
            <w:r w:rsidRPr="0005125A">
              <w:rPr>
                <w:b/>
                <w:i/>
              </w:rPr>
              <w:t>sobre as melhores práticas para a recolha de identificadores biométricos de crianças e pessoas vulneráveis, garantindo a sensibilidade às necessidades específicas de género e de idade, respeitando simultaneamente a dignidade de todas as pessoas.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16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Roberto Vannacci, António Tânger Corrêa, Susanna Ceccardi, Anna Maria Cisint, Nikola Bartůšek, Fabrice Leggeri, Tom Vandendriessche, Matthieu Valet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26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(26)</w:t>
            </w:r>
            <w:r w:rsidRPr="0005125A">
              <w:tab/>
              <w:t xml:space="preserve">Se forem encontradas dificuldades na recolha dos identificadores biométricos, os Estados‑Membros devem assegurar a </w:t>
            </w:r>
            <w:r w:rsidRPr="0005125A">
              <w:t xml:space="preserve">aplicação de procedimentos adequados para respeitar a dignidade da pessoa em causa. Por conseguinte, devem ser tidas em conta considerações específicas relacionadas com </w:t>
            </w:r>
            <w:r w:rsidRPr="0005125A">
              <w:rPr>
                <w:b/>
                <w:i/>
              </w:rPr>
              <w:t xml:space="preserve">o género e </w:t>
            </w:r>
            <w:r w:rsidRPr="0005125A">
              <w:t>as necessidades específicas das crianças e das pessoas vulneráveis.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(26)</w:t>
            </w:r>
            <w:r w:rsidRPr="0005125A">
              <w:tab/>
              <w:t xml:space="preserve">Se </w:t>
            </w:r>
            <w:r w:rsidRPr="0005125A">
              <w:t>forem encontradas dificuldades na recolha dos identificadores biométricos, os Estados‑Membros devem assegurar a aplicação de procedimentos adequados para respeitar a dignidade da pessoa em causa. Por conseguinte, devem ser tidas em conta considerações espe</w:t>
            </w:r>
            <w:r w:rsidRPr="0005125A">
              <w:t>cíficas relacionadas com as necessidades específicas das crianças e das pessoas vulneráveis.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17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Paolo Inselvini, Alessandro Ciriani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26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(26)</w:t>
            </w:r>
            <w:r w:rsidRPr="0005125A">
              <w:tab/>
              <w:t xml:space="preserve">Se forem encontradas dificuldades na recolha dos identificadores biométricos, os Estados‑Membros devem assegurar a </w:t>
            </w:r>
            <w:r w:rsidRPr="0005125A">
              <w:t xml:space="preserve">aplicação de procedimentos adequados para respeitar a dignidade da pessoa em causa. Por conseguinte, devem ser tidas em conta considerações específicas relacionadas com o </w:t>
            </w:r>
            <w:r w:rsidRPr="0005125A">
              <w:rPr>
                <w:b/>
                <w:i/>
              </w:rPr>
              <w:t>género</w:t>
            </w:r>
            <w:r w:rsidRPr="0005125A">
              <w:t xml:space="preserve"> e as necessidades específicas das crianças e das pessoas vulneráveis.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(26)</w:t>
            </w:r>
            <w:r w:rsidRPr="0005125A">
              <w:tab/>
              <w:t xml:space="preserve">Se </w:t>
            </w:r>
            <w:r w:rsidRPr="0005125A">
              <w:t>forem encontradas dificuldades na recolha dos identificadores biométricos, os Estados‑Membros devem assegurar a aplicação de procedimentos adequados para respeitar a dignidade da pessoa em causa. Por conseguinte, devem ser tidas em conta considerações espe</w:t>
            </w:r>
            <w:r w:rsidRPr="0005125A">
              <w:t xml:space="preserve">cíficas relacionadas com o </w:t>
            </w:r>
            <w:r w:rsidRPr="0005125A">
              <w:rPr>
                <w:b/>
                <w:i/>
              </w:rPr>
              <w:t>sexo</w:t>
            </w:r>
            <w:r w:rsidRPr="0005125A">
              <w:t xml:space="preserve"> e as necessidades específicas das crianças e das pessoas vulneráveis.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{IT}</w:t>
      </w:r>
      <w:r w:rsidRPr="0005125A">
        <w:t>it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18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 xml:space="preserve">Roberto Vannacci, António Tânger Corrêa, Susanna </w:t>
      </w:r>
      <w:r w:rsidRPr="0005125A">
        <w:t>Ceccardi, Anna Maria Cisint, Fabrice Leggeri, Tom Vandendriessche, Matthieu Valet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28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(28)</w:t>
            </w:r>
            <w:r w:rsidRPr="0005125A">
              <w:tab/>
              <w:t xml:space="preserve">Um símbolo distintivo, sob a </w:t>
            </w:r>
            <w:r w:rsidRPr="0005125A">
              <w:t>forma do código de país de duas letras do Estado‑Membro que emite o documento</w:t>
            </w:r>
            <w:r w:rsidRPr="0005125A">
              <w:rPr>
                <w:b/>
                <w:i/>
              </w:rPr>
              <w:t>, rodeado de 12 estrelas amarelas e impresso em negativo num retângulo azul,</w:t>
            </w:r>
            <w:r w:rsidRPr="0005125A">
              <w:t xml:space="preserve"> facilita a inspeção visual do documento, em particular quando o titular exercer o direito de livre cir</w:t>
            </w:r>
            <w:r w:rsidRPr="0005125A">
              <w:t>culação.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(28)</w:t>
            </w:r>
            <w:r w:rsidRPr="0005125A">
              <w:tab/>
              <w:t>Um símbolo distintivo, sob a forma do código de país de duas letras do Estado‑Membro que emite o documento facilita a inspeção visual do documento, em particular quando o titular exercer o direito de livre circulação.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19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Tomáš Zdechovský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32</w:t>
      </w:r>
      <w:r>
        <w:noBreakHyphen/>
      </w:r>
      <w:r w:rsidRPr="0005125A">
        <w:t>A (novo)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(32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A)</w:t>
            </w:r>
            <w:r w:rsidRPr="0005125A">
              <w:tab/>
            </w:r>
            <w:r w:rsidRPr="0005125A">
              <w:rPr>
                <w:b/>
                <w:i/>
              </w:rPr>
              <w:t>Para apoiar este objetivo, a Comissão, em cooperação com os Estados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Membros, deve garantir a harmonização dos sistemas de identificação eletrónica e a integração dos serviços transfronteiriços de administração pública eletrónica. Essas medidas devem melhor</w:t>
            </w:r>
            <w:r w:rsidRPr="0005125A">
              <w:rPr>
                <w:b/>
                <w:i/>
              </w:rPr>
              <w:t>ar a facilidade de utilização e a acessibilidade dos bilhetes de identidade para todos os cidadãos da União, mantendo simultaneamente o bom funcionamento e a plena interoperabilidade em todos os Estados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Membros.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20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Malik Azmani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Considerando 43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(43)</w:t>
            </w:r>
            <w:r w:rsidRPr="0005125A">
              <w:tab/>
              <w:t xml:space="preserve">Nos termos do Acordo </w:t>
            </w:r>
            <w:r w:rsidRPr="0005125A">
              <w:t>Interinstitucional, de 13 de abril de 2016, sobre legislar melhor</w:t>
            </w:r>
            <w:r w:rsidRPr="0005125A">
              <w:rPr>
                <w:vertAlign w:val="superscript"/>
              </w:rPr>
              <w:t>9</w:t>
            </w:r>
            <w:r w:rsidRPr="0005125A">
              <w:t xml:space="preserve">, a Comissão deve, decorridos </w:t>
            </w:r>
            <w:r w:rsidRPr="0005125A">
              <w:rPr>
                <w:b/>
                <w:i/>
              </w:rPr>
              <w:t xml:space="preserve">pelo menos </w:t>
            </w:r>
            <w:r w:rsidRPr="0005125A">
              <w:t>seis anos a contar da data de início da aplicação do presente regulamento, realizar uma avaliação do presente regulamento, tendo por base as informaç</w:t>
            </w:r>
            <w:r w:rsidRPr="0005125A">
              <w:t>ões recolhidas por meio de disposições de acompanhamento específicas, a fim de aferir os efeitos reais do regulamento e a necessidade de medidas adicionais. Para efeitos do acompanhamento, os Estados</w:t>
            </w:r>
            <w:r>
              <w:noBreakHyphen/>
            </w:r>
            <w:r w:rsidRPr="0005125A">
              <w:t xml:space="preserve">Membros devem recolher informações estatísticas sobre o </w:t>
            </w:r>
            <w:r w:rsidRPr="0005125A">
              <w:t>número de bilhetes de identidade e de títulos de residência que tenham emitido.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(43)</w:t>
            </w:r>
            <w:r w:rsidRPr="0005125A">
              <w:tab/>
            </w:r>
            <w:r w:rsidRPr="0005125A">
              <w:rPr>
                <w:b/>
                <w:i/>
              </w:rPr>
              <w:t xml:space="preserve">A Comissão deve apresentar um relatório sobre a aplicação do presente regulamento dois anos e onze anos após a respetiva data de aplicação, incluindo a adequação do nível </w:t>
            </w:r>
            <w:r w:rsidRPr="0005125A">
              <w:rPr>
                <w:b/>
                <w:i/>
              </w:rPr>
              <w:t>de segurança, tendo em conta o seu impacto nos direitos fundamentais e nos princípios da proteção de dados.</w:t>
            </w:r>
            <w:r w:rsidRPr="0005125A">
              <w:t xml:space="preserve"> Nos termos do Acordo Interinstitucional, de 13 de abril de 2016, sobre legislar melhor</w:t>
            </w:r>
            <w:r w:rsidRPr="0005125A">
              <w:rPr>
                <w:vertAlign w:val="superscript"/>
              </w:rPr>
              <w:t>9</w:t>
            </w:r>
            <w:r w:rsidRPr="0005125A">
              <w:t>, a Comissão deve, decorridos seis anos a contar da data de i</w:t>
            </w:r>
            <w:r w:rsidRPr="0005125A">
              <w:t>nício da aplicação do presente regulamento</w:t>
            </w:r>
            <w:r w:rsidRPr="0005125A">
              <w:rPr>
                <w:b/>
                <w:i/>
              </w:rPr>
              <w:t xml:space="preserve"> e, posteriormente, de seis em seis anos</w:t>
            </w:r>
            <w:r w:rsidRPr="0005125A">
              <w:t>, realizar uma avaliação do presente regulamento, tendo por base as informações recolhidas por meio de disposições de acompanhamento específicas, a fim de aferir os efeitos r</w:t>
            </w:r>
            <w:r w:rsidRPr="0005125A">
              <w:t>eais do regulamento e a necessidade de medidas adicionais. Para efeitos do acompanhamento, os Estados</w:t>
            </w:r>
            <w:r>
              <w:noBreakHyphen/>
            </w:r>
            <w:r w:rsidRPr="0005125A">
              <w:t>Membros devem recolher informações estatísticas sobre o número de bilhetes de identidade e de títulos de residência que tenham emitido.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_________________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vertAlign w:val="superscript"/>
              </w:rPr>
              <w:t>9</w:t>
            </w:r>
            <w:r w:rsidRPr="0005125A">
              <w:t xml:space="preserve"> JO L 123 de 12.5.2016, p. 1, ELI: http://data.europa.eu/eli/agree_interinstit/2016/512/oj.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vertAlign w:val="superscript"/>
              </w:rPr>
              <w:t>9</w:t>
            </w:r>
            <w:r w:rsidRPr="0005125A">
              <w:t xml:space="preserve"> JO L 123 de 12.5.2016, p. 1, ELI: http://data.europa.eu/eli/agree_interinstit/2016/512/oj.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</w:t>
      </w:r>
      <w:r w:rsidRPr="0005125A">
        <w:t>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21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Roberto Vannacci, António Tânger Corrêa, Susanna Ceccardi, Anna Maria Cisint, Nikola Bartůšek, Fabrice Leggeri, Tom Vandendriessche, Matthieu Valet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</w:t>
      </w:r>
      <w:r w:rsidRPr="0005125A">
        <w:t>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3 – n.º 2 – parágrafo 2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Em derrogação do primeiro parágrafo, o número do documento pode ser inserido na zona I e a designação do género da pessoa é facultativa.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Suprimido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22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Nadine Morano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3 – n.º 2 – parágrafo 2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Em derrogação do primeiro parágrafo, o número do documento pode ser inserido na zona I</w:t>
            </w:r>
            <w:r w:rsidRPr="0005125A">
              <w:rPr>
                <w:b/>
                <w:i/>
              </w:rPr>
              <w:t xml:space="preserve"> e a designação do género da pessoa é facultativa</w:t>
            </w:r>
            <w:r w:rsidRPr="0005125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Em derrogação do primeiro parágrafo, o número do documento pode ser inserido na zona I.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{FR}</w:t>
      </w:r>
      <w:r w:rsidRPr="0005125A">
        <w:t>fr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23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Paolo Inselvini, Alessandro Ciriani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3 – n.º 2 – parágrafo 2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 xml:space="preserve">Texto da </w:t>
            </w:r>
            <w:r w:rsidRPr="0005125A">
              <w:t>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 xml:space="preserve">Em derrogação do primeiro parágrafo, o número do documento pode ser inserido na zona I e a designação do </w:t>
            </w:r>
            <w:r w:rsidRPr="0005125A">
              <w:rPr>
                <w:b/>
                <w:i/>
              </w:rPr>
              <w:t>género</w:t>
            </w:r>
            <w:r w:rsidRPr="0005125A">
              <w:t xml:space="preserve"> da pessoa é facultativa.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Em derrogação do primeiro parágrafo, o número do documento pode ser inserido na zona I e a designaç</w:t>
            </w:r>
            <w:r w:rsidRPr="0005125A">
              <w:t xml:space="preserve">ão do </w:t>
            </w:r>
            <w:r w:rsidRPr="0005125A">
              <w:rPr>
                <w:b/>
                <w:i/>
              </w:rPr>
              <w:t>sexo</w:t>
            </w:r>
            <w:r w:rsidRPr="0005125A">
              <w:t xml:space="preserve"> da pessoa é facultativa.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{IT}</w:t>
      </w:r>
      <w:r w:rsidRPr="0005125A">
        <w:t>it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24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Alessandro Zan, Krzysztof Śmiszek, Emma Rafowicz, Evin Incir, Cecilia Strada, Pina Picierno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3 – n.º 2 – parágrafo 2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 xml:space="preserve">Em derrogação do primeiro parágrafo, o número do documento pode ser inserido na zona I e a designação do género </w:t>
            </w:r>
            <w:r w:rsidRPr="0005125A">
              <w:t>da pessoa é facultativa.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 xml:space="preserve">Em derrogação do primeiro parágrafo, o número do documento pode ser inserido na zona I e a designação do género da pessoa é facultativa. </w:t>
            </w:r>
            <w:r w:rsidRPr="0005125A">
              <w:rPr>
                <w:b/>
                <w:i/>
              </w:rPr>
              <w:t>Se um Estado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Membro incluir o género de uma pessoa num documento abrangido pelo presente regul</w:t>
            </w:r>
            <w:r w:rsidRPr="0005125A">
              <w:rPr>
                <w:b/>
                <w:i/>
              </w:rPr>
              <w:t>amento, deve utilizar as especificações previstas do documento 9303 da OACI «F», «M» ou «X» ou a inicial correspondente na língua ou línguas oficiais desse Estado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Membro, consoante o caso.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25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Roberto Vannacci, António Tânger Corrêa, Susanna Ceccardi, Anna Maria Cisint, Fabrice Leggeri, Tom Vandendriessche, Matthieu Valet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 xml:space="preserve">Artigo </w:t>
      </w:r>
      <w:r w:rsidRPr="0005125A">
        <w:t>3 – n.º 4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4.</w:t>
            </w:r>
            <w:r w:rsidRPr="0005125A">
              <w:tab/>
              <w:t>O bilhete de identidade deve incluir, no anverso, o código de país de duas letras do Estado</w:t>
            </w:r>
            <w:r>
              <w:noBreakHyphen/>
            </w:r>
            <w:r w:rsidRPr="0005125A">
              <w:t>Membro que emite o documento</w:t>
            </w:r>
            <w:r w:rsidRPr="0005125A">
              <w:rPr>
                <w:b/>
                <w:i/>
              </w:rPr>
              <w:t>, rodeado de 12 estrelas amarelas e impresso em negativo num retângulo azul</w:t>
            </w:r>
            <w:r w:rsidRPr="0005125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4.</w:t>
            </w:r>
            <w:r w:rsidRPr="0005125A">
              <w:tab/>
              <w:t xml:space="preserve">O </w:t>
            </w:r>
            <w:r w:rsidRPr="0005125A">
              <w:t>bilhete de identidade deve incluir, no anverso, o código de país de duas letras do Estado</w:t>
            </w:r>
            <w:r>
              <w:noBreakHyphen/>
            </w:r>
            <w:r w:rsidRPr="0005125A">
              <w:t>Membro que emite o documento.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26</w:t>
      </w:r>
      <w:r w:rsidRPr="0005125A">
        <w:rPr>
          <w:rStyle w:val="HideTWBExt"/>
        </w:rPr>
        <w:t>&lt;/NumAm&gt;</w:t>
      </w:r>
    </w:p>
    <w:p w:rsidR="00E33FD9" w:rsidRPr="00DC35B5" w:rsidRDefault="00DC35B5" w:rsidP="00E33FD9">
      <w:pPr>
        <w:pStyle w:val="NormalBold"/>
        <w:rPr>
          <w:lang w:val="pl-PL"/>
        </w:rPr>
      </w:pPr>
      <w:r w:rsidRPr="00DC35B5">
        <w:rPr>
          <w:rStyle w:val="HideTWBExt"/>
          <w:b w:val="0"/>
          <w:lang w:val="pl-PL"/>
        </w:rPr>
        <w:t>&lt;RepeatBlock-By&gt;&lt;Members&gt;</w:t>
      </w:r>
      <w:r w:rsidRPr="00DC35B5">
        <w:rPr>
          <w:lang w:val="pl-PL"/>
        </w:rPr>
        <w:t xml:space="preserve">Milan Uhrík, Ewa </w:t>
      </w:r>
      <w:r w:rsidRPr="00DC35B5">
        <w:rPr>
          <w:lang w:val="pl-PL"/>
        </w:rPr>
        <w:t>Zajączkowska</w:t>
      </w:r>
      <w:r w:rsidRPr="00DC35B5">
        <w:rPr>
          <w:lang w:val="pl-PL"/>
        </w:rPr>
        <w:noBreakHyphen/>
      </w:r>
      <w:r w:rsidRPr="00DC35B5">
        <w:rPr>
          <w:lang w:val="pl-PL"/>
        </w:rPr>
        <w:t>Hernik, Mary Khan</w:t>
      </w:r>
      <w:r w:rsidRPr="00DC35B5">
        <w:rPr>
          <w:rStyle w:val="HideTWBExt"/>
          <w:b w:val="0"/>
          <w:lang w:val="pl-PL"/>
        </w:rPr>
        <w:t>&lt;/Members&gt;</w:t>
      </w:r>
    </w:p>
    <w:p w:rsidR="00E33FD9" w:rsidRPr="0005125A" w:rsidRDefault="00DC35B5" w:rsidP="00E33FD9">
      <w:r w:rsidRPr="0005125A">
        <w:rPr>
          <w:rStyle w:val="HideTWBExt"/>
        </w:rPr>
        <w:t>&lt;AuNomDe&gt;</w:t>
      </w:r>
      <w:r w:rsidRPr="0005125A">
        <w:rPr>
          <w:rStyle w:val="HideTWBInt"/>
          <w:color w:val="auto"/>
        </w:rPr>
        <w:t>{ESN}</w:t>
      </w:r>
      <w:r w:rsidRPr="0005125A">
        <w:t>em nome do Grupo ESN</w:t>
      </w:r>
      <w:r w:rsidRPr="0005125A">
        <w:rPr>
          <w:rStyle w:val="HideTWBExt"/>
        </w:rPr>
        <w:t>&lt;/AuNomDe&gt;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3 – n.º 5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5.</w:t>
            </w:r>
            <w:r w:rsidRPr="0005125A">
              <w:tab/>
            </w:r>
            <w:r w:rsidRPr="0005125A">
              <w:t xml:space="preserve">Os bilhetes de identidade devem incluir um suporte de armazenamento com elevado nível de segurança com uma imagem facial do titular do documento </w:t>
            </w:r>
            <w:r w:rsidRPr="0005125A">
              <w:rPr>
                <w:b/>
                <w:i/>
              </w:rPr>
              <w:t xml:space="preserve">e duas impressões digitais </w:t>
            </w:r>
            <w:r w:rsidRPr="0005125A">
              <w:t>em formatos digitais interoperáveis. Para a recolha dos identificadores biométricos,</w:t>
            </w:r>
            <w:r w:rsidRPr="0005125A">
              <w:t xml:space="preserve"> os Estados</w:t>
            </w:r>
            <w:r>
              <w:noBreakHyphen/>
            </w:r>
            <w:r w:rsidRPr="0005125A">
              <w:t>Membros devem aplicar as especificações técnicas estabelecidas pela Decisão de Execução C(2018) 7767 da Comissão</w:t>
            </w:r>
            <w:r w:rsidRPr="0005125A">
              <w:rPr>
                <w:vertAlign w:val="superscript"/>
              </w:rPr>
              <w:t>12</w:t>
            </w:r>
            <w:r w:rsidRPr="0005125A">
              <w:t xml:space="preserve"> , com a redação que lhe foi dada pela Decisão de Execução C(2021) 3726 da Comissão</w:t>
            </w:r>
            <w:r w:rsidRPr="0005125A">
              <w:rPr>
                <w:vertAlign w:val="superscript"/>
              </w:rPr>
              <w:t>13</w:t>
            </w:r>
            <w:r w:rsidRPr="0005125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5.</w:t>
            </w:r>
            <w:r w:rsidRPr="0005125A">
              <w:tab/>
              <w:t xml:space="preserve">Os bilhetes de identidade devem incluir </w:t>
            </w:r>
            <w:r w:rsidRPr="0005125A">
              <w:t>um suporte de armazenamento com elevado nível de segurança com uma imagem facial do titular do documento em formatos digitais interoperáveis. Para a recolha dos identificadores biométricos, os Estados</w:t>
            </w:r>
            <w:r>
              <w:noBreakHyphen/>
            </w:r>
            <w:r w:rsidRPr="0005125A">
              <w:t>Membros devem aplicar as especificações técnicas estabe</w:t>
            </w:r>
            <w:r w:rsidRPr="0005125A">
              <w:t>lecidas pela Decisão de Execução C(2018) 7767 da Comissão</w:t>
            </w:r>
            <w:r w:rsidRPr="0005125A">
              <w:rPr>
                <w:vertAlign w:val="superscript"/>
              </w:rPr>
              <w:t>12</w:t>
            </w:r>
            <w:r w:rsidRPr="0005125A">
              <w:t xml:space="preserve"> , com a redação que lhe foi dada pela Decisão de Execução C(2021) 3726 da Comissão</w:t>
            </w:r>
            <w:r w:rsidRPr="0005125A">
              <w:rPr>
                <w:vertAlign w:val="superscript"/>
              </w:rPr>
              <w:t>13</w:t>
            </w:r>
            <w:r w:rsidRPr="0005125A">
              <w:t>.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_________________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vertAlign w:val="superscript"/>
              </w:rPr>
              <w:t>12</w:t>
            </w:r>
            <w:r w:rsidRPr="0005125A">
              <w:t xml:space="preserve"> Decisão de Execução C(2018) 7767 da Comissão, de 30 de novembro de 2018, que estabelece as especificações técnicas para o modelo uniforme de título de residência para nacionais de países terceiros e que revoga a Decisão C(2002) 3069.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vertAlign w:val="superscript"/>
              </w:rPr>
              <w:t>12</w:t>
            </w:r>
            <w:r w:rsidRPr="0005125A">
              <w:t xml:space="preserve"> Decisão de Execuçã</w:t>
            </w:r>
            <w:r w:rsidRPr="0005125A">
              <w:t>o C(2018) 7767 da Comissão, de 30 de novembro de 2018, que estabelece as especificações técnicas para o modelo uniforme de título de residência para nacionais de países terceiros e que revoga a Decisão C(2002) 3069.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vertAlign w:val="superscript"/>
              </w:rPr>
              <w:t>13</w:t>
            </w:r>
            <w:r w:rsidRPr="0005125A">
              <w:t xml:space="preserve"> Decisão de Execução C(2021) 3726 da </w:t>
            </w:r>
            <w:r w:rsidRPr="0005125A">
              <w:t>Comissão, de 4 de junho de 2021, que altera o anexo III da Decisão de Execução C(2018) 7767 no que diz respeito à lista de referências normativas.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vertAlign w:val="superscript"/>
              </w:rPr>
              <w:t>13</w:t>
            </w:r>
            <w:r w:rsidRPr="0005125A">
              <w:t xml:space="preserve"> Decisão de Execução C(2021) 3726 da Comissão, de 4 de junho de 2021, que altera o anexo III da Decisão de </w:t>
            </w:r>
            <w:r w:rsidRPr="0005125A">
              <w:t>Execução C(2018) 7767 no que diz respeito à lista de referências normativas.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pPr>
        <w:pStyle w:val="AmJustTitle"/>
      </w:pPr>
      <w:r w:rsidRPr="0005125A">
        <w:rPr>
          <w:rStyle w:val="HideTWBExt"/>
        </w:rPr>
        <w:t>&lt;TitreJust&gt;</w:t>
      </w:r>
      <w:r w:rsidRPr="0005125A">
        <w:t>Justificação</w:t>
      </w:r>
      <w:r w:rsidRPr="0005125A">
        <w:rPr>
          <w:rStyle w:val="HideTWBExt"/>
        </w:rPr>
        <w:t>&lt;/TitreJust&gt;</w:t>
      </w:r>
    </w:p>
    <w:p w:rsidR="00E33FD9" w:rsidRPr="0005125A" w:rsidRDefault="00DC35B5" w:rsidP="00E33FD9">
      <w:pPr>
        <w:pStyle w:val="AmJustText"/>
      </w:pPr>
      <w:r w:rsidRPr="0005125A">
        <w:t>Esta alteração suprime a obrigação de armazenamento de duas impressões digitais nos bilhetes de identidade.  T</w:t>
      </w:r>
      <w:r w:rsidRPr="0005125A">
        <w:t>rata</w:t>
      </w:r>
      <w:r>
        <w:noBreakHyphen/>
      </w:r>
      <w:r w:rsidRPr="0005125A">
        <w:t>se de uma violação demasiado grave do direito à vida privada dos cidadãos em prol de possibilidades cada vez maiores de controlo estatal.  Constitui igualmente um risco demasiado elevado face à cibercriminalidade:  se as impressões digitais forem roub</w:t>
      </w:r>
      <w:r w:rsidRPr="0005125A">
        <w:t>adas, podem ser utilizadas no mundo inteiro para qualquer tipo de fraude de identidade.  Visto serem únicas, o roubo das impressões digitais constituiria um risco para toda a vida do cidadão que fosse vítima desse roubo.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0"/>
        <w:keepNext/>
      </w:pPr>
      <w:r w:rsidRPr="0005125A">
        <w:rPr>
          <w:rStyle w:val="HideTWBExt"/>
          <w:b w:val="0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  <w:b w:val="0"/>
        </w:rPr>
        <w:t>&lt;NumAm&gt;</w:t>
      </w:r>
      <w:r w:rsidRPr="0005125A">
        <w:t>2</w:t>
      </w:r>
      <w:r w:rsidRPr="0005125A">
        <w:t>7</w:t>
      </w:r>
      <w:r w:rsidRPr="0005125A">
        <w:rPr>
          <w:rStyle w:val="HideTWBExt"/>
          <w:b w:val="0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Malik Azmani, Jeannette Baljeu, Lucia Yar, Raquel García Hermida</w:t>
      </w:r>
      <w:r>
        <w:noBreakHyphen/>
      </w:r>
      <w:r w:rsidRPr="0005125A">
        <w:t>Van Der Walle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r w:rsidRPr="0005125A">
        <w:rPr>
          <w:rStyle w:val="HideTWBExt"/>
        </w:rPr>
        <w:t>&lt;/RepeatBlock-By&gt;</w:t>
      </w:r>
    </w:p>
    <w:p w:rsidR="00E33FD9" w:rsidRPr="0005125A" w:rsidRDefault="00DC35B5" w:rsidP="00E33FD9">
      <w:pPr>
        <w:pStyle w:val="NormalBold"/>
        <w:keepNext/>
      </w:pPr>
      <w:r w:rsidRPr="0005125A">
        <w:rPr>
          <w:rStyle w:val="HideTWBExt"/>
          <w:b w:val="0"/>
        </w:rPr>
        <w:t>&lt;DocAmend&gt;</w:t>
      </w:r>
      <w:r w:rsidRPr="0005125A">
        <w:t>Proposta de regulamento</w:t>
      </w:r>
      <w:r w:rsidRPr="0005125A">
        <w:rPr>
          <w:rStyle w:val="HideTWBExt"/>
          <w:b w:val="0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&lt;Article&gt;</w:t>
      </w:r>
      <w:r w:rsidRPr="0005125A">
        <w:t>Artigo 3 – n.º 5</w:t>
      </w:r>
      <w:r w:rsidRPr="0005125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C66D7" w:rsidRPr="0005125A" w:rsidTr="00E275B2">
        <w:trPr>
          <w:jc w:val="center"/>
        </w:trPr>
        <w:tc>
          <w:tcPr>
            <w:tcW w:w="9752" w:type="dxa"/>
            <w:gridSpan w:val="2"/>
          </w:tcPr>
          <w:p w:rsidR="00E33FD9" w:rsidRPr="0005125A" w:rsidRDefault="00E33FD9" w:rsidP="00E275B2">
            <w:pPr>
              <w:keepNext/>
            </w:pP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Texto da Comissão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Normal6"/>
            </w:pPr>
            <w:r w:rsidRPr="0005125A">
              <w:t>5.</w:t>
            </w:r>
            <w:r w:rsidRPr="0005125A">
              <w:tab/>
              <w:t xml:space="preserve">Os bilhetes de identidade devem incluir um suporte de armazenamento com elevado nível de segurança com uma imagem facial do titular do documento e duas impressões digitais em formatos digitais interoperáveis. Para a recolha </w:t>
            </w:r>
            <w:r w:rsidRPr="0005125A">
              <w:rPr>
                <w:b/>
                <w:i/>
              </w:rPr>
              <w:t>dos</w:t>
            </w:r>
            <w:r w:rsidRPr="0005125A">
              <w:t xml:space="preserve"> identificadores biométricos</w:t>
            </w:r>
            <w:r w:rsidRPr="0005125A">
              <w:t>, os Estados</w:t>
            </w:r>
            <w:r>
              <w:noBreakHyphen/>
            </w:r>
            <w:r w:rsidRPr="0005125A">
              <w:t>Membros devem aplicar as especificações técnicas estabelecidas pela Decisão de Execução C(2018) 7767 da Comissão</w:t>
            </w:r>
            <w:r w:rsidRPr="0005125A">
              <w:rPr>
                <w:vertAlign w:val="superscript"/>
              </w:rPr>
              <w:t>12</w:t>
            </w:r>
            <w:r w:rsidRPr="0005125A">
              <w:rPr>
                <w:b/>
                <w:i/>
              </w:rPr>
              <w:t xml:space="preserve"> </w:t>
            </w:r>
            <w:r w:rsidRPr="0005125A">
              <w:t>, com a redação que lhe foi dada pela Decisão de Execução C(2021) 3726 da Comissão</w:t>
            </w:r>
            <w:r w:rsidRPr="0005125A">
              <w:rPr>
                <w:vertAlign w:val="superscript"/>
              </w:rPr>
              <w:t>13</w:t>
            </w:r>
            <w:r w:rsidRPr="0005125A">
              <w:t>.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Normal6"/>
              <w:rPr>
                <w:szCs w:val="24"/>
              </w:rPr>
            </w:pPr>
            <w:r w:rsidRPr="0005125A">
              <w:t>5.</w:t>
            </w:r>
            <w:r w:rsidRPr="0005125A">
              <w:tab/>
              <w:t>Os bilhetes de identidade devem incluir</w:t>
            </w:r>
            <w:r w:rsidRPr="0005125A">
              <w:t xml:space="preserve"> um suporte de armazenamento com elevado nível de segurança com uma imagem facial do titular do documento e duas impressões digitais em formatos digitais interoperáveis. Para a recolha </w:t>
            </w:r>
            <w:r w:rsidRPr="0005125A">
              <w:rPr>
                <w:b/>
                <w:i/>
              </w:rPr>
              <w:t>destes dois tipos de</w:t>
            </w:r>
            <w:r w:rsidRPr="0005125A">
              <w:t xml:space="preserve"> identificadores biométricos, os Estados</w:t>
            </w:r>
            <w:r>
              <w:noBreakHyphen/>
            </w:r>
            <w:r w:rsidRPr="0005125A">
              <w:t>Membros de</w:t>
            </w:r>
            <w:r w:rsidRPr="0005125A">
              <w:t>vem aplicar as especificações técnicas estabelecidas pela Decisão de Execução C(2018) 7767 da Comissão</w:t>
            </w:r>
            <w:r w:rsidRPr="0005125A">
              <w:rPr>
                <w:vertAlign w:val="superscript"/>
              </w:rPr>
              <w:t>12</w:t>
            </w:r>
            <w:r w:rsidRPr="0005125A">
              <w:t>, com a redação que lhe foi dada pela Decisão de Execução C(2021) 3726 da Comissão</w:t>
            </w:r>
            <w:r w:rsidRPr="0005125A">
              <w:rPr>
                <w:vertAlign w:val="superscript"/>
              </w:rPr>
              <w:t>13</w:t>
            </w:r>
            <w:r w:rsidRPr="0005125A">
              <w:t>.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Normal6"/>
            </w:pPr>
            <w:r w:rsidRPr="0005125A">
              <w:t>__________________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Normal6"/>
              <w:rPr>
                <w:szCs w:val="24"/>
              </w:rPr>
            </w:pPr>
            <w:r w:rsidRPr="0005125A">
              <w:t>__________________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Normal6"/>
            </w:pPr>
            <w:r w:rsidRPr="0005125A">
              <w:rPr>
                <w:vertAlign w:val="superscript"/>
              </w:rPr>
              <w:t>12</w:t>
            </w:r>
            <w:r w:rsidRPr="0005125A">
              <w:t xml:space="preserve"> Decisão de Execução C(2018) 7767 da Comissão, de 30 de novembro de 2018, que estabelece as especificações técnicas para o modelo uniforme de título de residência para nacionais de países terceiros e que revoga a Decisão C(2002) 3069.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Normal6"/>
              <w:rPr>
                <w:szCs w:val="24"/>
              </w:rPr>
            </w:pPr>
            <w:r w:rsidRPr="0005125A">
              <w:rPr>
                <w:vertAlign w:val="superscript"/>
              </w:rPr>
              <w:t>12</w:t>
            </w:r>
            <w:r w:rsidRPr="0005125A">
              <w:t xml:space="preserve"> Decisão de Execuçã</w:t>
            </w:r>
            <w:r w:rsidRPr="0005125A">
              <w:t>o C(2018) 7767 da Comissão, de 30 de novembro de 2018, que estabelece as especificações técnicas para o modelo uniforme de título de residência para nacionais de países terceiros e que revoga a Decisão C(2002) 3069.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Normal6"/>
            </w:pPr>
            <w:r w:rsidRPr="0005125A">
              <w:rPr>
                <w:vertAlign w:val="superscript"/>
              </w:rPr>
              <w:t>13</w:t>
            </w:r>
            <w:r w:rsidRPr="0005125A">
              <w:t xml:space="preserve"> Decisão de Execução C(2021) 3726 da </w:t>
            </w:r>
            <w:r w:rsidRPr="0005125A">
              <w:t>Comissão, de 4 de junho de 2021, que altera o anexo III da Decisão de Execução C(2018) 7767 no que diz respeito à lista de referências normativas.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Normal6"/>
              <w:rPr>
                <w:szCs w:val="24"/>
              </w:rPr>
            </w:pPr>
            <w:r w:rsidRPr="0005125A">
              <w:rPr>
                <w:vertAlign w:val="superscript"/>
              </w:rPr>
              <w:t>13</w:t>
            </w:r>
            <w:r w:rsidRPr="0005125A">
              <w:t xml:space="preserve"> Decisão de Execução C(2021) 3726 da Comissão, de 4 de junho de 2021, que altera o anexo III da Decisão de </w:t>
            </w:r>
            <w:r w:rsidRPr="0005125A">
              <w:t>Execução C(2018) 7767 no que diz respeito à lista de referências normativas.</w:t>
            </w:r>
          </w:p>
        </w:tc>
      </w:tr>
    </w:tbl>
    <w:p w:rsidR="00E33FD9" w:rsidRPr="0005125A" w:rsidRDefault="00DC35B5" w:rsidP="00E33FD9">
      <w:pPr>
        <w:pStyle w:val="Olang"/>
        <w:rPr>
          <w:sz w:val="24"/>
          <w:szCs w:val="24"/>
        </w:rPr>
      </w:pPr>
      <w:r w:rsidRPr="0005125A">
        <w:rPr>
          <w:sz w:val="24"/>
          <w:szCs w:val="24"/>
        </w:rPr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  <w:sz w:val="24"/>
          <w:szCs w:val="24"/>
        </w:rPr>
        <w:t>{EN}</w:t>
      </w:r>
      <w:r w:rsidRPr="0005125A">
        <w:rPr>
          <w:sz w:val="24"/>
          <w:szCs w:val="24"/>
        </w:rPr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28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3 – n.º 7 – parágrafo 1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 xml:space="preserve">As crianças com menos de 12 anos </w:t>
            </w:r>
            <w:r w:rsidRPr="0005125A">
              <w:rPr>
                <w:b/>
                <w:i/>
              </w:rPr>
              <w:t>podem ser</w:t>
            </w:r>
            <w:r w:rsidRPr="0005125A">
              <w:t xml:space="preserve"> dispensadas da obrigação de fornecer impressões digitais.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 xml:space="preserve">As crianças com menos de 12 anos </w:t>
            </w:r>
            <w:r w:rsidRPr="0005125A">
              <w:rPr>
                <w:b/>
                <w:i/>
              </w:rPr>
              <w:t>estão</w:t>
            </w:r>
            <w:r w:rsidRPr="0005125A">
              <w:t xml:space="preserve"> dispensadas da obrigação de fornecer impressões digitais.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29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Roberto Vannacci, António Tânger Corrêa, Susanna Ceccardi, Anna Maria Cisint, Nikola Bartůšek,</w:t>
      </w:r>
      <w:r w:rsidRPr="0005125A">
        <w:t xml:space="preserve"> Fabrice Leggeri, Tom Vandendriessche, Matthieu Valet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6 – parágrafo 1 – alínea e</w:t>
      </w:r>
      <w:r>
        <w:noBreakHyphen/>
      </w:r>
      <w:r w:rsidRPr="0005125A">
        <w:t>A) (nova)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(e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A)</w:t>
            </w:r>
            <w:r w:rsidRPr="0005125A">
              <w:tab/>
            </w:r>
            <w:r w:rsidRPr="0005125A">
              <w:rPr>
                <w:b/>
                <w:i/>
              </w:rPr>
              <w:t>Sexo do titular;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30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Roberto Vannacci, António Tânger Corrêa, Susanna Ceccardi, Anna Maria Cisint, Fabrice Leggeri, Tom Vandendriessche, Matthieu Valet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6 – parágrafo 1 – alínea h)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(h)</w:t>
            </w:r>
            <w:r w:rsidRPr="0005125A">
              <w:tab/>
              <w:t>No anverso, o código de país de duas letras do Estado</w:t>
            </w:r>
            <w:r>
              <w:noBreakHyphen/>
            </w:r>
            <w:r w:rsidRPr="0005125A">
              <w:t>Membro que emite o documento</w:t>
            </w:r>
            <w:r w:rsidRPr="0005125A">
              <w:rPr>
                <w:b/>
                <w:i/>
              </w:rPr>
              <w:t xml:space="preserve">, rodeado de 12 estrelas amarelas e </w:t>
            </w:r>
            <w:r w:rsidRPr="0005125A">
              <w:rPr>
                <w:b/>
                <w:i/>
              </w:rPr>
              <w:t>impresso em negativo num retângulo azul</w:t>
            </w:r>
            <w:r w:rsidRPr="0005125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(h)</w:t>
            </w:r>
            <w:r w:rsidRPr="0005125A">
              <w:tab/>
              <w:t>No anverso, o código de país de duas letras do Estado</w:t>
            </w:r>
            <w:r>
              <w:noBreakHyphen/>
            </w:r>
            <w:r w:rsidRPr="0005125A">
              <w:t>Membro que emite o documento.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31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10 – n.º 3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3.</w:t>
            </w:r>
            <w:r w:rsidRPr="0005125A">
              <w:tab/>
            </w:r>
            <w:r w:rsidRPr="0005125A">
              <w:rPr>
                <w:b/>
                <w:i/>
              </w:rPr>
              <w:t>Salvo se necessário para efeitos de tratamento de dados de acordo com o direito da União e com o direito nacional,</w:t>
            </w:r>
            <w:r w:rsidRPr="0005125A">
              <w:t xml:space="preserve"> os identificadores biométricos armazenados para efeitos de personalização dos bilhetes de identidade ou dos títulos de residência devem ser conservados de forma altamente segura e apenas até à data de entrega do documento e, em qualquer caso, não mais de </w:t>
            </w:r>
            <w:r w:rsidRPr="0005125A">
              <w:t>90 dias a contar da data de emissão do documento. Após este período, os identificadores biométricos devem ser imediatamente apagados ou destruídos.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3.</w:t>
            </w:r>
            <w:r w:rsidRPr="0005125A">
              <w:tab/>
              <w:t>Os identificadores biométricos armazenados para efeitos de personalização dos bilhetes de identidade ou d</w:t>
            </w:r>
            <w:r w:rsidRPr="0005125A">
              <w:t>os títulos de residência devem ser</w:t>
            </w:r>
            <w:r w:rsidRPr="0005125A">
              <w:rPr>
                <w:b/>
                <w:i/>
              </w:rPr>
              <w:t xml:space="preserve"> exclusivamente tratados para tal efeito e</w:t>
            </w:r>
            <w:r w:rsidRPr="0005125A">
              <w:t xml:space="preserve"> conservados de forma altamente segura e apenas até à data de entrega do documento e, em qualquer caso, não mais de 90 dias a contar da data de emissão do documento. Após este perí</w:t>
            </w:r>
            <w:r w:rsidRPr="0005125A">
              <w:t>odo, os identificadores biométricos devem ser imediatamente apagados ou destruídos.</w:t>
            </w:r>
          </w:p>
        </w:tc>
      </w:tr>
    </w:tbl>
    <w:p w:rsidR="00E33FD9" w:rsidRPr="00DC35B5" w:rsidRDefault="00DC35B5" w:rsidP="00E33FD9">
      <w:pPr>
        <w:pStyle w:val="AmOrLang"/>
        <w:rPr>
          <w:lang w:val="sv-SE"/>
        </w:rPr>
      </w:pPr>
      <w:r w:rsidRPr="00DC35B5">
        <w:rPr>
          <w:lang w:val="sv-SE"/>
        </w:rPr>
        <w:t xml:space="preserve">Or. </w:t>
      </w:r>
      <w:r w:rsidRPr="00DC35B5">
        <w:rPr>
          <w:rStyle w:val="HideTWBExt"/>
          <w:lang w:val="sv-SE"/>
        </w:rPr>
        <w:t>&lt;Original&gt;</w:t>
      </w:r>
      <w:r w:rsidRPr="00DC35B5">
        <w:rPr>
          <w:rStyle w:val="HideTWBInt"/>
          <w:lang w:val="sv-SE"/>
        </w:rPr>
        <w:t>{EN}</w:t>
      </w:r>
      <w:r w:rsidRPr="00DC35B5">
        <w:rPr>
          <w:lang w:val="sv-SE"/>
        </w:rPr>
        <w:t>en</w:t>
      </w:r>
      <w:r w:rsidRPr="00DC35B5">
        <w:rPr>
          <w:rStyle w:val="HideTWBExt"/>
          <w:lang w:val="sv-SE"/>
        </w:rPr>
        <w:t>&lt;/Original&gt;</w:t>
      </w:r>
    </w:p>
    <w:p w:rsidR="00E33FD9" w:rsidRPr="00DC35B5" w:rsidRDefault="00DC35B5" w:rsidP="00E33FD9">
      <w:pPr>
        <w:rPr>
          <w:lang w:val="sv-SE"/>
        </w:rPr>
      </w:pPr>
      <w:r w:rsidRPr="00DC35B5">
        <w:rPr>
          <w:rStyle w:val="HideTWBExt"/>
          <w:lang w:val="sv-SE"/>
        </w:rPr>
        <w:t>&lt;/Amend&gt;</w:t>
      </w:r>
    </w:p>
    <w:p w:rsidR="00E33FD9" w:rsidRPr="00DC35B5" w:rsidRDefault="00DC35B5" w:rsidP="00E33FD9">
      <w:pPr>
        <w:pStyle w:val="AmNumberTabs"/>
        <w:rPr>
          <w:lang w:val="sv-SE"/>
        </w:rPr>
      </w:pPr>
      <w:r w:rsidRPr="00DC35B5">
        <w:rPr>
          <w:rStyle w:val="HideTWBExt"/>
          <w:lang w:val="sv-SE"/>
        </w:rPr>
        <w:t>&lt;Amend&gt;</w:t>
      </w:r>
      <w:r w:rsidRPr="00DC35B5">
        <w:rPr>
          <w:lang w:val="sv-SE"/>
        </w:rPr>
        <w:t>Alteração</w:t>
      </w:r>
      <w:r w:rsidRPr="00DC35B5">
        <w:rPr>
          <w:lang w:val="sv-SE"/>
        </w:rPr>
        <w:tab/>
      </w:r>
      <w:r w:rsidRPr="00DC35B5">
        <w:rPr>
          <w:lang w:val="sv-SE"/>
        </w:rPr>
        <w:tab/>
      </w:r>
      <w:r w:rsidRPr="00DC35B5">
        <w:rPr>
          <w:rStyle w:val="HideTWBExt"/>
          <w:lang w:val="sv-SE"/>
        </w:rPr>
        <w:t>&lt;NumAm&gt;</w:t>
      </w:r>
      <w:r w:rsidRPr="00DC35B5">
        <w:rPr>
          <w:lang w:val="sv-SE"/>
        </w:rPr>
        <w:t>32</w:t>
      </w:r>
      <w:r w:rsidRPr="00DC35B5">
        <w:rPr>
          <w:rStyle w:val="HideTWBExt"/>
          <w:lang w:val="sv-SE"/>
        </w:rPr>
        <w:t>&lt;/NumAm&gt;</w:t>
      </w:r>
    </w:p>
    <w:p w:rsidR="00E33FD9" w:rsidRPr="00DC35B5" w:rsidRDefault="00DC35B5" w:rsidP="00E33FD9">
      <w:pPr>
        <w:pStyle w:val="NormalBold"/>
        <w:rPr>
          <w:lang w:val="sv-SE"/>
        </w:rPr>
      </w:pPr>
      <w:r w:rsidRPr="00DC35B5">
        <w:rPr>
          <w:rStyle w:val="HideTWBExt"/>
          <w:b w:val="0"/>
          <w:lang w:val="sv-SE"/>
        </w:rPr>
        <w:t>&lt;RepeatBlock-By&gt;&lt;Members&gt;</w:t>
      </w:r>
      <w:r w:rsidRPr="00DC35B5">
        <w:rPr>
          <w:lang w:val="sv-SE"/>
        </w:rPr>
        <w:t>Anna Strolenberg</w:t>
      </w:r>
      <w:r w:rsidRPr="00DC35B5">
        <w:rPr>
          <w:rStyle w:val="HideTWBExt"/>
          <w:b w:val="0"/>
          <w:lang w:val="sv-SE"/>
        </w:rPr>
        <w:t>&lt;/Members&gt;</w:t>
      </w:r>
    </w:p>
    <w:p w:rsidR="00E33FD9" w:rsidRPr="0005125A" w:rsidRDefault="00DC35B5" w:rsidP="00E33FD9">
      <w:r w:rsidRPr="0005125A">
        <w:rPr>
          <w:rStyle w:val="HideTWBExt"/>
        </w:rPr>
        <w:t>&lt;AuNomDe&gt;</w:t>
      </w:r>
      <w:r w:rsidRPr="0005125A">
        <w:rPr>
          <w:rStyle w:val="HideTWBInt"/>
          <w:color w:val="auto"/>
        </w:rPr>
        <w:t>{Greens/EFA}</w:t>
      </w:r>
      <w:r w:rsidRPr="0005125A">
        <w:t xml:space="preserve">em nome do Grupo </w:t>
      </w:r>
      <w:r w:rsidRPr="0005125A">
        <w:t>Verdes/ALE</w:t>
      </w:r>
      <w:r w:rsidRPr="0005125A">
        <w:rPr>
          <w:rStyle w:val="HideTWBExt"/>
        </w:rPr>
        <w:t>&lt;/AuNomDe&gt;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10 – n.º 3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3.</w:t>
            </w:r>
            <w:r w:rsidRPr="0005125A">
              <w:tab/>
            </w:r>
            <w:r w:rsidRPr="0005125A">
              <w:rPr>
                <w:b/>
                <w:i/>
              </w:rPr>
              <w:t xml:space="preserve">Salvo se necessário para efeitos de tratamento de dados de acordo com o direito da União e com o </w:t>
            </w:r>
            <w:r w:rsidRPr="0005125A">
              <w:rPr>
                <w:b/>
                <w:i/>
              </w:rPr>
              <w:t>direito nacional,</w:t>
            </w:r>
            <w:r w:rsidRPr="0005125A">
              <w:t xml:space="preserve"> os identificadores biométricos armazenados para efeitos de personalização dos bilhetes de identidade ou dos títulos de residência devem ser conservados de forma altamente segura e apenas até à data de entrega do documento e, em qualquer c</w:t>
            </w:r>
            <w:r w:rsidRPr="0005125A">
              <w:t>aso, não mais de 90 dias a contar da data de emissão do documento. Após este período, os identificadores biométricos devem ser imediatamente apagados ou destruídos.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3.</w:t>
            </w:r>
            <w:r w:rsidRPr="0005125A">
              <w:tab/>
              <w:t>Os identificadores biométricos armazenados para efeitos de personalização dos bilhetes d</w:t>
            </w:r>
            <w:r w:rsidRPr="0005125A">
              <w:t>e identidade ou dos títulos de residência</w:t>
            </w:r>
            <w:r w:rsidRPr="0005125A">
              <w:rPr>
                <w:b/>
                <w:i/>
              </w:rPr>
              <w:t xml:space="preserve"> devem ser exclusivamente tratados para tal efeito. </w:t>
            </w:r>
            <w:r w:rsidRPr="0005125A">
              <w:t>Devem ser conservados de forma altamente segura e apenas até à data de entrega do documento e, em qualquer caso, não mais de 90 dias a contar da data de emissão do</w:t>
            </w:r>
            <w:r w:rsidRPr="0005125A">
              <w:t xml:space="preserve"> documento. Após este período, os identificadores biométricos devem ser imediatamente apagados ou destruídos.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33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 xml:space="preserve">Francisco Assis, Krzysztof Śmiszek, Ana </w:t>
      </w:r>
      <w:r w:rsidRPr="0005125A">
        <w:t>Catarina Mendes, Marco Tarquinio, Emma Rafowicz, Alessandro Zan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10 – n.º 3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3.</w:t>
            </w:r>
            <w:r w:rsidRPr="0005125A">
              <w:tab/>
            </w:r>
            <w:r w:rsidRPr="0005125A">
              <w:rPr>
                <w:b/>
                <w:i/>
              </w:rPr>
              <w:t xml:space="preserve">Salvo se necessário para efeitos de tratamento </w:t>
            </w:r>
            <w:r w:rsidRPr="0005125A">
              <w:rPr>
                <w:b/>
                <w:i/>
              </w:rPr>
              <w:t>de dados de acordo com o direito da União e com o direito nacional,</w:t>
            </w:r>
            <w:r w:rsidRPr="0005125A">
              <w:t xml:space="preserve"> os identificadores biométricos armazenados para efeitos de personalização dos bilhetes de identidade ou dos títulos de residência devem ser conservados de forma altamente segura e apenas a</w:t>
            </w:r>
            <w:r w:rsidRPr="0005125A">
              <w:t>té à data de entrega do documento e, em qualquer caso, não mais de 90 dias a contar da data de emissão do documento. Após este período, os identificadores biométricos devem ser imediatamente apagados ou destruídos.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3.</w:t>
            </w:r>
            <w:r w:rsidRPr="0005125A">
              <w:tab/>
              <w:t>Os identificadores biométricos armazen</w:t>
            </w:r>
            <w:r w:rsidRPr="0005125A">
              <w:t>ados para efeitos de personalização dos bilhetes de identidade ou dos títulos de residência devem ser</w:t>
            </w:r>
            <w:r w:rsidRPr="0005125A">
              <w:rPr>
                <w:b/>
                <w:i/>
              </w:rPr>
              <w:t> exclusivamente</w:t>
            </w:r>
            <w:r w:rsidRPr="0005125A">
              <w:t xml:space="preserve"> </w:t>
            </w:r>
            <w:r w:rsidRPr="0005125A">
              <w:rPr>
                <w:b/>
                <w:i/>
              </w:rPr>
              <w:t>tratados para tal efeito e </w:t>
            </w:r>
            <w:r w:rsidRPr="0005125A">
              <w:t xml:space="preserve">conservados de forma altamente segura e apenas até à data de entrega do documento e, em qualquer caso, não mais </w:t>
            </w:r>
            <w:r w:rsidRPr="0005125A">
              <w:t>de 90 dias a contar da data de emissão do documento. Após este período, os identificadores biométricos devem ser imediatamente apagados ou destruídos.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34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Tomáš Zdechovský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11 – n.º 4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4.</w:t>
            </w:r>
            <w:r w:rsidRPr="0005125A">
              <w:tab/>
              <w:t xml:space="preserve">A cooperação com prestadores de serviços externos não exclui qualquer responsabilidade de um </w:t>
            </w:r>
            <w:r w:rsidRPr="0005125A">
              <w:t>Estado</w:t>
            </w:r>
            <w:r>
              <w:noBreakHyphen/>
            </w:r>
            <w:r w:rsidRPr="0005125A">
              <w:t>Membro</w:t>
            </w:r>
            <w:r w:rsidRPr="0005125A">
              <w:rPr>
                <w:b/>
                <w:i/>
              </w:rPr>
              <w:t xml:space="preserve"> decorrente do direito da União ou do direito</w:t>
            </w:r>
            <w:r w:rsidRPr="0005125A">
              <w:t xml:space="preserve"> nacional em </w:t>
            </w:r>
            <w:r w:rsidRPr="0005125A">
              <w:rPr>
                <w:b/>
                <w:i/>
              </w:rPr>
              <w:t>caso</w:t>
            </w:r>
            <w:r w:rsidRPr="0005125A">
              <w:t xml:space="preserve"> de </w:t>
            </w:r>
            <w:r w:rsidRPr="0005125A">
              <w:rPr>
                <w:b/>
                <w:i/>
              </w:rPr>
              <w:t>incumprimento das obrigações em matéria</w:t>
            </w:r>
            <w:r w:rsidRPr="0005125A">
              <w:t xml:space="preserve"> de dados pessoais.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4.</w:t>
            </w:r>
            <w:r w:rsidRPr="0005125A">
              <w:tab/>
              <w:t>A cooperação com prestadores de serviços externos não exclui qualquer responsabilidade de um Estado</w:t>
            </w:r>
            <w:r>
              <w:noBreakHyphen/>
            </w:r>
            <w:r w:rsidRPr="0005125A">
              <w:t>Membro</w:t>
            </w:r>
            <w:r w:rsidRPr="0005125A">
              <w:rPr>
                <w:b/>
                <w:i/>
              </w:rPr>
              <w:t>. Os Esta</w:t>
            </w:r>
            <w:r w:rsidRPr="0005125A">
              <w:rPr>
                <w:b/>
                <w:i/>
              </w:rPr>
              <w:t>dos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Membros asseguram que todos os prestadores de serviços externos cumprem a legislação</w:t>
            </w:r>
            <w:r w:rsidRPr="0005125A">
              <w:t xml:space="preserve"> nacional </w:t>
            </w:r>
            <w:r w:rsidRPr="0005125A">
              <w:rPr>
                <w:b/>
                <w:i/>
              </w:rPr>
              <w:t>e da União </w:t>
            </w:r>
            <w:r w:rsidRPr="0005125A">
              <w:t xml:space="preserve">em </w:t>
            </w:r>
            <w:r w:rsidRPr="0005125A">
              <w:rPr>
                <w:b/>
                <w:i/>
              </w:rPr>
              <w:t>matéria</w:t>
            </w:r>
            <w:r w:rsidRPr="0005125A">
              <w:t xml:space="preserve"> de </w:t>
            </w:r>
            <w:r w:rsidRPr="0005125A">
              <w:rPr>
                <w:b/>
                <w:i/>
              </w:rPr>
              <w:t>proteção de dados, devendo ser adotadas medidas adicionais para impedir qualquer acesso não autorizado ou utilização indevida</w:t>
            </w:r>
            <w:r w:rsidRPr="0005125A">
              <w:t xml:space="preserve"> de dados pessoais</w:t>
            </w:r>
            <w:r w:rsidRPr="0005125A">
              <w:rPr>
                <w:b/>
                <w:i/>
              </w:rPr>
              <w:t xml:space="preserve"> durante os processos externalizados</w:t>
            </w:r>
            <w:r w:rsidRPr="0005125A">
              <w:t>.</w:t>
            </w:r>
          </w:p>
        </w:tc>
      </w:tr>
    </w:tbl>
    <w:p w:rsidR="00E33FD9" w:rsidRPr="00DC35B5" w:rsidRDefault="00DC35B5" w:rsidP="00E33FD9">
      <w:pPr>
        <w:pStyle w:val="AmOrLang"/>
        <w:rPr>
          <w:lang w:val="es-ES"/>
        </w:rPr>
      </w:pPr>
      <w:r w:rsidRPr="00DC35B5">
        <w:rPr>
          <w:lang w:val="es-ES"/>
        </w:rPr>
        <w:t xml:space="preserve">Or. </w:t>
      </w:r>
      <w:r w:rsidRPr="00DC35B5">
        <w:rPr>
          <w:rStyle w:val="HideTWBExt"/>
          <w:lang w:val="es-ES"/>
        </w:rPr>
        <w:t>&lt;Original&gt;</w:t>
      </w:r>
      <w:r w:rsidRPr="00DC35B5">
        <w:rPr>
          <w:rStyle w:val="HideTWBInt"/>
          <w:lang w:val="es-ES"/>
        </w:rPr>
        <w:t>{EN}</w:t>
      </w:r>
      <w:r w:rsidRPr="00DC35B5">
        <w:rPr>
          <w:lang w:val="es-ES"/>
        </w:rPr>
        <w:t>en</w:t>
      </w:r>
      <w:r w:rsidRPr="00DC35B5">
        <w:rPr>
          <w:rStyle w:val="HideTWBExt"/>
          <w:lang w:val="es-ES"/>
        </w:rPr>
        <w:t>&lt;/Original&gt;</w:t>
      </w:r>
    </w:p>
    <w:p w:rsidR="00E33FD9" w:rsidRPr="00DC35B5" w:rsidRDefault="00DC35B5" w:rsidP="00E33FD9">
      <w:pPr>
        <w:rPr>
          <w:lang w:val="es-ES"/>
        </w:rPr>
      </w:pPr>
      <w:r w:rsidRPr="00DC35B5">
        <w:rPr>
          <w:rStyle w:val="HideTWBExt"/>
          <w:lang w:val="es-ES"/>
        </w:rPr>
        <w:t>&lt;/Amend&gt;</w:t>
      </w:r>
    </w:p>
    <w:p w:rsidR="00E33FD9" w:rsidRPr="00DC35B5" w:rsidRDefault="00DC35B5" w:rsidP="00E33FD9">
      <w:pPr>
        <w:pStyle w:val="AMNumberTabs0"/>
        <w:keepNext/>
        <w:rPr>
          <w:lang w:val="es-ES"/>
        </w:rPr>
      </w:pPr>
      <w:r w:rsidRPr="00DC35B5">
        <w:rPr>
          <w:rStyle w:val="HideTWBExt"/>
          <w:b w:val="0"/>
          <w:lang w:val="es-ES"/>
        </w:rPr>
        <w:t>&lt;Amend&gt;</w:t>
      </w:r>
      <w:r w:rsidRPr="00DC35B5">
        <w:rPr>
          <w:lang w:val="es-ES"/>
        </w:rPr>
        <w:t>Alteração</w:t>
      </w:r>
      <w:r w:rsidRPr="00DC35B5">
        <w:rPr>
          <w:lang w:val="es-ES"/>
        </w:rPr>
        <w:tab/>
      </w:r>
      <w:r w:rsidRPr="00DC35B5">
        <w:rPr>
          <w:lang w:val="es-ES"/>
        </w:rPr>
        <w:tab/>
      </w:r>
      <w:r w:rsidRPr="00DC35B5">
        <w:rPr>
          <w:rStyle w:val="HideTWBExt"/>
          <w:b w:val="0"/>
          <w:lang w:val="es-ES"/>
        </w:rPr>
        <w:t>&lt;NumAm&gt;</w:t>
      </w:r>
      <w:r w:rsidRPr="00DC35B5">
        <w:rPr>
          <w:lang w:val="es-ES"/>
        </w:rPr>
        <w:t>35</w:t>
      </w:r>
      <w:r w:rsidRPr="00DC35B5">
        <w:rPr>
          <w:rStyle w:val="HideTWBExt"/>
          <w:b w:val="0"/>
          <w:lang w:val="es-ES"/>
        </w:rPr>
        <w:t>&lt;/NumAm&gt;</w:t>
      </w:r>
    </w:p>
    <w:p w:rsidR="00E33FD9" w:rsidRPr="00DC35B5" w:rsidRDefault="00DC35B5" w:rsidP="00E33FD9">
      <w:pPr>
        <w:pStyle w:val="NormalBold"/>
        <w:rPr>
          <w:lang w:val="es-ES"/>
        </w:rPr>
      </w:pPr>
      <w:r w:rsidRPr="00DC35B5">
        <w:rPr>
          <w:rStyle w:val="HideTWBExt"/>
          <w:b w:val="0"/>
          <w:lang w:val="es-ES"/>
        </w:rPr>
        <w:t>&lt;RepeatBlock-By&gt;&lt;Members&gt;</w:t>
      </w:r>
      <w:r w:rsidRPr="00DC35B5">
        <w:rPr>
          <w:lang w:val="es-ES"/>
        </w:rPr>
        <w:t>Malik Azmani, Jeannette Baljeu, Lucia Yar, Raquel García Hermida</w:t>
      </w:r>
      <w:r>
        <w:rPr>
          <w:lang w:val="es-ES"/>
        </w:rPr>
        <w:noBreakHyphen/>
      </w:r>
      <w:r w:rsidRPr="00DC35B5">
        <w:rPr>
          <w:lang w:val="es-ES"/>
        </w:rPr>
        <w:t>Van Der Walle</w:t>
      </w:r>
      <w:r w:rsidRPr="00DC35B5">
        <w:rPr>
          <w:rStyle w:val="HideTWBExt"/>
          <w:b w:val="0"/>
          <w:lang w:val="es-ES"/>
        </w:rPr>
        <w:t>&lt;/Members&gt;</w:t>
      </w:r>
    </w:p>
    <w:p w:rsidR="00E33FD9" w:rsidRPr="00DC35B5" w:rsidRDefault="00DC35B5" w:rsidP="00E33FD9">
      <w:pPr>
        <w:rPr>
          <w:lang w:val="es-ES"/>
        </w:rPr>
      </w:pPr>
      <w:r w:rsidRPr="00DC35B5">
        <w:rPr>
          <w:rStyle w:val="HideTWBExt"/>
          <w:lang w:val="es-ES"/>
        </w:rPr>
        <w:t>&lt;/RepeatBlock-By&gt;</w:t>
      </w:r>
    </w:p>
    <w:p w:rsidR="00E33FD9" w:rsidRPr="00DC35B5" w:rsidRDefault="00DC35B5" w:rsidP="00E33FD9">
      <w:pPr>
        <w:pStyle w:val="NormalBold"/>
        <w:keepNext/>
        <w:rPr>
          <w:lang w:val="es-ES"/>
        </w:rPr>
      </w:pPr>
      <w:r w:rsidRPr="00DC35B5">
        <w:rPr>
          <w:rStyle w:val="HideTWBExt"/>
          <w:b w:val="0"/>
          <w:lang w:val="es-ES"/>
        </w:rPr>
        <w:t>&lt;DocAmend&gt;</w:t>
      </w:r>
      <w:r w:rsidRPr="00DC35B5">
        <w:rPr>
          <w:lang w:val="es-ES"/>
        </w:rPr>
        <w:t>Proposta de regulamento</w:t>
      </w:r>
      <w:r w:rsidRPr="00DC35B5">
        <w:rPr>
          <w:rStyle w:val="HideTWBExt"/>
          <w:b w:val="0"/>
          <w:lang w:val="es-ES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&lt;Article&gt;</w:t>
      </w:r>
      <w:r w:rsidRPr="0005125A">
        <w:t>Artigo 11 – n.º 6 – parágrafo 1 – parte introdutória</w:t>
      </w:r>
      <w:r w:rsidRPr="0005125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C66D7" w:rsidRPr="0005125A" w:rsidTr="00E275B2">
        <w:trPr>
          <w:jc w:val="center"/>
        </w:trPr>
        <w:tc>
          <w:tcPr>
            <w:tcW w:w="9752" w:type="dxa"/>
            <w:gridSpan w:val="2"/>
          </w:tcPr>
          <w:p w:rsidR="00E33FD9" w:rsidRPr="0005125A" w:rsidRDefault="00E33FD9" w:rsidP="00E275B2">
            <w:pPr>
              <w:keepNext/>
            </w:pP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Texto da Comissão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Normal6"/>
            </w:pPr>
            <w:r w:rsidRPr="0005125A">
              <w:rPr>
                <w:b/>
                <w:i/>
              </w:rPr>
              <w:t>Os dados biométricos e armazenados</w:t>
            </w:r>
            <w:r w:rsidRPr="0005125A">
              <w:t xml:space="preserve"> no suporte de armazenamento dos bilhetes de identidade e dos títulos de residência só </w:t>
            </w:r>
            <w:r w:rsidRPr="0005125A">
              <w:rPr>
                <w:b/>
                <w:i/>
              </w:rPr>
              <w:t>devem</w:t>
            </w:r>
            <w:r w:rsidRPr="0005125A">
              <w:t xml:space="preserve"> ser </w:t>
            </w:r>
            <w:r w:rsidRPr="0005125A">
              <w:rPr>
                <w:b/>
                <w:i/>
              </w:rPr>
              <w:t>utilizados</w:t>
            </w:r>
            <w:r w:rsidRPr="0005125A">
              <w:t xml:space="preserve"> em conformidade com o direito da União </w:t>
            </w:r>
            <w:r w:rsidRPr="0005125A">
              <w:rPr>
                <w:b/>
                <w:i/>
              </w:rPr>
              <w:t>e o direito nacional</w:t>
            </w:r>
            <w:r w:rsidRPr="0005125A">
              <w:t>, para fins de verificação da: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Normal6"/>
              <w:rPr>
                <w:szCs w:val="24"/>
              </w:rPr>
            </w:pPr>
            <w:r w:rsidRPr="0005125A">
              <w:rPr>
                <w:b/>
                <w:i/>
              </w:rPr>
              <w:t>A imagem facial do titular do documento armazenada</w:t>
            </w:r>
            <w:r w:rsidRPr="0005125A">
              <w:t xml:space="preserve"> no supo</w:t>
            </w:r>
            <w:r w:rsidRPr="0005125A">
              <w:t xml:space="preserve">rte de armazenamento dos bilhetes de identidade e dos títulos de residência só </w:t>
            </w:r>
            <w:r w:rsidRPr="0005125A">
              <w:rPr>
                <w:b/>
                <w:i/>
              </w:rPr>
              <w:t>deve</w:t>
            </w:r>
            <w:r w:rsidRPr="0005125A">
              <w:t xml:space="preserve"> ser </w:t>
            </w:r>
            <w:r w:rsidRPr="0005125A">
              <w:rPr>
                <w:b/>
                <w:i/>
              </w:rPr>
              <w:t>consultada por pessoal devidamente habilitado das autoridades nacionais competentes, das agências da União e das entidades privadas</w:t>
            </w:r>
            <w:r w:rsidRPr="0005125A">
              <w:t xml:space="preserve"> em conformidade com o direito da Uni</w:t>
            </w:r>
            <w:r w:rsidRPr="0005125A">
              <w:t xml:space="preserve">ão </w:t>
            </w:r>
            <w:r w:rsidRPr="0005125A">
              <w:rPr>
                <w:b/>
                <w:i/>
              </w:rPr>
              <w:t>em matéria de proteção de dados</w:t>
            </w:r>
            <w:r w:rsidRPr="0005125A">
              <w:t>, para fins de verificação da:</w:t>
            </w:r>
          </w:p>
        </w:tc>
      </w:tr>
    </w:tbl>
    <w:p w:rsidR="00E33FD9" w:rsidRPr="0005125A" w:rsidRDefault="00DC35B5" w:rsidP="00E33FD9">
      <w:pPr>
        <w:pStyle w:val="Olang"/>
        <w:rPr>
          <w:sz w:val="24"/>
          <w:szCs w:val="24"/>
        </w:rPr>
      </w:pPr>
      <w:r w:rsidRPr="0005125A">
        <w:rPr>
          <w:sz w:val="24"/>
          <w:szCs w:val="24"/>
        </w:rPr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  <w:sz w:val="24"/>
          <w:szCs w:val="24"/>
        </w:rPr>
        <w:t>{EN}</w:t>
      </w:r>
      <w:r w:rsidRPr="0005125A">
        <w:rPr>
          <w:sz w:val="24"/>
          <w:szCs w:val="24"/>
        </w:rPr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36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11 – n.º 6 – parágrafo 1 – parte introdutória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 xml:space="preserve">Os dados biométricos e armazenados no suporte de armazenamento dos bilhetes de identidade e dos títulos de residência só devem ser utilizados em </w:t>
            </w:r>
            <w:r w:rsidRPr="0005125A">
              <w:t>conformidade com o direito da União e o direito nacional, para fins de verificação da: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Os dados biométricos e armazenados no suporte de armazenamento dos bilhetes de identidade e dos títulos de residência só devem ser utilizados em conformidade com o direi</w:t>
            </w:r>
            <w:r w:rsidRPr="0005125A">
              <w:t xml:space="preserve">to da União e o direito nacional, </w:t>
            </w:r>
            <w:r w:rsidRPr="0005125A">
              <w:rPr>
                <w:b/>
                <w:i/>
              </w:rPr>
              <w:t xml:space="preserve">pelo pessoal devidamente habilitado das autoridades nacionais competentes e das agências da União, </w:t>
            </w:r>
            <w:r w:rsidRPr="0005125A">
              <w:t>para fins de verificação da: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37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11 – n.º 6 – parágrafo 2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 xml:space="preserve">As duas impressões digitais armazenadas no suporte de </w:t>
            </w:r>
            <w:r w:rsidRPr="0005125A">
              <w:rPr>
                <w:b/>
                <w:i/>
              </w:rPr>
              <w:t>armazenamento só podem ser consultadas por pessoal devidamente habilitado das autoridades nacionais competentes e das agências da União.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Suprimido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pPr>
        <w:pStyle w:val="AmJustTitle"/>
      </w:pPr>
      <w:r w:rsidRPr="0005125A">
        <w:rPr>
          <w:rStyle w:val="HideTWBExt"/>
        </w:rPr>
        <w:t>&lt;TitreJust&gt;</w:t>
      </w:r>
      <w:r w:rsidRPr="0005125A">
        <w:t>Justificação</w:t>
      </w:r>
      <w:r w:rsidRPr="0005125A">
        <w:rPr>
          <w:rStyle w:val="HideTWBExt"/>
        </w:rPr>
        <w:t>&lt;/TitreJust&gt;</w:t>
      </w:r>
    </w:p>
    <w:p w:rsidR="00E33FD9" w:rsidRPr="0005125A" w:rsidRDefault="00DC35B5" w:rsidP="00E33FD9">
      <w:pPr>
        <w:pStyle w:val="AmJustText"/>
      </w:pPr>
      <w:r w:rsidRPr="0005125A">
        <w:t xml:space="preserve">Ambos os tipos de dados biométricos, </w:t>
      </w:r>
      <w:r w:rsidRPr="0005125A">
        <w:t xml:space="preserve">impressões digitais e imagens faciais, só devem ser utilizados para efeitos do presente regulamento, e apenas o pessoal devidamente habilitado das autoridades nacionais competentes e das agências da União os pode utilizar. A supressão visa garantir que as </w:t>
      </w:r>
      <w:r w:rsidRPr="0005125A">
        <w:t>imagens faciais não sejam excluídas das disposições, de modo que os titulares não possam utilizá</w:t>
      </w:r>
      <w:r>
        <w:noBreakHyphen/>
      </w:r>
      <w:r w:rsidRPr="0005125A">
        <w:t>las para se identificar perante entidades privadas, que teriam então acesso aos seus dados biométricos sensíveis através do presente regulamento.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</w:t>
      </w:r>
      <w:r w:rsidRPr="0005125A">
        <w:rPr>
          <w:rStyle w:val="HideTWBExt"/>
        </w:rPr>
        <w:t>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38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Anna Strolenberg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r w:rsidRPr="0005125A">
        <w:rPr>
          <w:rStyle w:val="HideTWBExt"/>
        </w:rPr>
        <w:t>&lt;AuNomDe&gt;</w:t>
      </w:r>
      <w:r w:rsidRPr="0005125A">
        <w:rPr>
          <w:rStyle w:val="HideTWBInt"/>
          <w:color w:val="auto"/>
        </w:rPr>
        <w:t>{Greens/EFA}</w:t>
      </w:r>
      <w:r w:rsidRPr="0005125A">
        <w:t>em nome do Grupo Verdes/ALE</w:t>
      </w:r>
      <w:r w:rsidRPr="0005125A">
        <w:rPr>
          <w:rStyle w:val="HideTWBExt"/>
        </w:rPr>
        <w:t>&lt;/AuNomDe&gt;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11 – n.º 6 – parágrafo 2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As duas impressões digitais armazenadas</w:t>
            </w:r>
            <w:r w:rsidRPr="0005125A">
              <w:t xml:space="preserve"> no suporte de armazenamento só podem ser </w:t>
            </w:r>
            <w:r w:rsidRPr="0005125A">
              <w:rPr>
                <w:b/>
                <w:i/>
              </w:rPr>
              <w:t>consultadas</w:t>
            </w:r>
            <w:r w:rsidRPr="0005125A">
              <w:t xml:space="preserve"> por pessoal devidamente habilitado das autoridades nacionais competentes e das agências da União.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Os dados biométricos armazenados</w:t>
            </w:r>
            <w:r w:rsidRPr="0005125A">
              <w:t xml:space="preserve"> no suporte de armazenamento só podem ser </w:t>
            </w:r>
            <w:r w:rsidRPr="0005125A">
              <w:rPr>
                <w:b/>
                <w:i/>
              </w:rPr>
              <w:t>consultados</w:t>
            </w:r>
            <w:r w:rsidRPr="0005125A">
              <w:t xml:space="preserve"> por pessoal devidamente habilitado das autoridades nacionais competentes e das agências da União.</w:t>
            </w:r>
          </w:p>
        </w:tc>
      </w:tr>
    </w:tbl>
    <w:p w:rsidR="00E33FD9" w:rsidRPr="00DC35B5" w:rsidRDefault="00DC35B5" w:rsidP="00E33FD9">
      <w:pPr>
        <w:pStyle w:val="AmOrLang"/>
        <w:rPr>
          <w:lang w:val="es-ES"/>
        </w:rPr>
      </w:pPr>
      <w:r w:rsidRPr="00DC35B5">
        <w:rPr>
          <w:lang w:val="es-ES"/>
        </w:rPr>
        <w:t xml:space="preserve">Or. </w:t>
      </w:r>
      <w:r w:rsidRPr="00DC35B5">
        <w:rPr>
          <w:rStyle w:val="HideTWBExt"/>
          <w:lang w:val="es-ES"/>
        </w:rPr>
        <w:t>&lt;Original&gt;</w:t>
      </w:r>
      <w:r w:rsidRPr="00DC35B5">
        <w:rPr>
          <w:rStyle w:val="HideTWBInt"/>
          <w:lang w:val="es-ES"/>
        </w:rPr>
        <w:t>{EN}</w:t>
      </w:r>
      <w:r w:rsidRPr="00DC35B5">
        <w:rPr>
          <w:lang w:val="es-ES"/>
        </w:rPr>
        <w:t>en</w:t>
      </w:r>
      <w:r w:rsidRPr="00DC35B5">
        <w:rPr>
          <w:rStyle w:val="HideTWBExt"/>
          <w:lang w:val="es-ES"/>
        </w:rPr>
        <w:t>&lt;/Original&gt;</w:t>
      </w:r>
    </w:p>
    <w:p w:rsidR="00E33FD9" w:rsidRPr="00DC35B5" w:rsidRDefault="00DC35B5" w:rsidP="00E33FD9">
      <w:pPr>
        <w:rPr>
          <w:lang w:val="es-ES"/>
        </w:rPr>
      </w:pPr>
      <w:r w:rsidRPr="00DC35B5">
        <w:rPr>
          <w:rStyle w:val="HideTWBExt"/>
          <w:lang w:val="es-ES"/>
        </w:rPr>
        <w:t>&lt;/Amend&gt;</w:t>
      </w:r>
    </w:p>
    <w:p w:rsidR="00E33FD9" w:rsidRPr="00DC35B5" w:rsidRDefault="00DC35B5" w:rsidP="00E33FD9">
      <w:pPr>
        <w:pStyle w:val="AMNumberTabs0"/>
        <w:keepNext/>
        <w:rPr>
          <w:lang w:val="es-ES"/>
        </w:rPr>
      </w:pPr>
      <w:r w:rsidRPr="00DC35B5">
        <w:rPr>
          <w:rStyle w:val="HideTWBExt"/>
          <w:b w:val="0"/>
          <w:lang w:val="es-ES"/>
        </w:rPr>
        <w:t>&lt;Amend&gt;</w:t>
      </w:r>
      <w:r w:rsidRPr="00DC35B5">
        <w:rPr>
          <w:lang w:val="es-ES"/>
        </w:rPr>
        <w:t>Alteração</w:t>
      </w:r>
      <w:r w:rsidRPr="00DC35B5">
        <w:rPr>
          <w:lang w:val="es-ES"/>
        </w:rPr>
        <w:tab/>
      </w:r>
      <w:r w:rsidRPr="00DC35B5">
        <w:rPr>
          <w:lang w:val="es-ES"/>
        </w:rPr>
        <w:tab/>
      </w:r>
      <w:r w:rsidRPr="00DC35B5">
        <w:rPr>
          <w:rStyle w:val="HideTWBExt"/>
          <w:b w:val="0"/>
          <w:lang w:val="es-ES"/>
        </w:rPr>
        <w:t>&lt;NumAm&gt;</w:t>
      </w:r>
      <w:r w:rsidRPr="00DC35B5">
        <w:rPr>
          <w:lang w:val="es-ES"/>
        </w:rPr>
        <w:t>39</w:t>
      </w:r>
      <w:r w:rsidRPr="00DC35B5">
        <w:rPr>
          <w:rStyle w:val="HideTWBExt"/>
          <w:b w:val="0"/>
          <w:lang w:val="es-ES"/>
        </w:rPr>
        <w:t>&lt;/NumAm&gt;</w:t>
      </w:r>
    </w:p>
    <w:p w:rsidR="00E33FD9" w:rsidRPr="00DC35B5" w:rsidRDefault="00DC35B5" w:rsidP="00E33FD9">
      <w:pPr>
        <w:pStyle w:val="NormalBold"/>
        <w:rPr>
          <w:lang w:val="es-ES"/>
        </w:rPr>
      </w:pPr>
      <w:r w:rsidRPr="00DC35B5">
        <w:rPr>
          <w:rStyle w:val="HideTWBExt"/>
          <w:b w:val="0"/>
          <w:lang w:val="es-ES"/>
        </w:rPr>
        <w:t>&lt;RepeatBlock-By&gt;&lt;Members&gt;</w:t>
      </w:r>
      <w:r w:rsidRPr="00DC35B5">
        <w:rPr>
          <w:lang w:val="es-ES"/>
        </w:rPr>
        <w:t>Malik Azmani, Jeannette Baljeu, Lucia Yar, Raquel García Hermida</w:t>
      </w:r>
      <w:r>
        <w:rPr>
          <w:lang w:val="es-ES"/>
        </w:rPr>
        <w:noBreakHyphen/>
      </w:r>
      <w:r w:rsidRPr="00DC35B5">
        <w:rPr>
          <w:lang w:val="es-ES"/>
        </w:rPr>
        <w:t>Van Der Walle</w:t>
      </w:r>
      <w:r w:rsidRPr="00DC35B5">
        <w:rPr>
          <w:rStyle w:val="HideTWBExt"/>
          <w:b w:val="0"/>
          <w:lang w:val="es-ES"/>
        </w:rPr>
        <w:t>&lt;/Members&gt;</w:t>
      </w:r>
    </w:p>
    <w:p w:rsidR="00E33FD9" w:rsidRPr="00DC35B5" w:rsidRDefault="00DC35B5" w:rsidP="00E33FD9">
      <w:pPr>
        <w:rPr>
          <w:lang w:val="es-ES"/>
        </w:rPr>
      </w:pPr>
      <w:r w:rsidRPr="00DC35B5">
        <w:rPr>
          <w:rStyle w:val="HideTWBExt"/>
          <w:lang w:val="es-ES"/>
        </w:rPr>
        <w:t>&lt;/RepeatBlock-By&gt;</w:t>
      </w:r>
    </w:p>
    <w:p w:rsidR="00E33FD9" w:rsidRPr="00DC35B5" w:rsidRDefault="00DC35B5" w:rsidP="00E33FD9">
      <w:pPr>
        <w:pStyle w:val="NormalBold"/>
        <w:keepNext/>
        <w:rPr>
          <w:lang w:val="es-ES"/>
        </w:rPr>
      </w:pPr>
      <w:r w:rsidRPr="00DC35B5">
        <w:rPr>
          <w:rStyle w:val="HideTWBExt"/>
          <w:b w:val="0"/>
          <w:lang w:val="es-ES"/>
        </w:rPr>
        <w:t>&lt;DocAmend&gt;</w:t>
      </w:r>
      <w:r w:rsidRPr="00DC35B5">
        <w:rPr>
          <w:lang w:val="es-ES"/>
        </w:rPr>
        <w:t>Proposta de regulamento</w:t>
      </w:r>
      <w:r w:rsidRPr="00DC35B5">
        <w:rPr>
          <w:rStyle w:val="HideTWBExt"/>
          <w:b w:val="0"/>
          <w:lang w:val="es-ES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&lt;Article&gt;</w:t>
      </w:r>
      <w:r w:rsidRPr="0005125A">
        <w:t>Artigo 11 – n.º 6 – parágrafo 2</w:t>
      </w:r>
      <w:r w:rsidRPr="0005125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C66D7" w:rsidRPr="0005125A" w:rsidTr="00E275B2">
        <w:trPr>
          <w:jc w:val="center"/>
        </w:trPr>
        <w:tc>
          <w:tcPr>
            <w:tcW w:w="9752" w:type="dxa"/>
            <w:gridSpan w:val="2"/>
          </w:tcPr>
          <w:p w:rsidR="00E33FD9" w:rsidRPr="0005125A" w:rsidRDefault="00E33FD9" w:rsidP="00E275B2">
            <w:pPr>
              <w:keepNext/>
            </w:pP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Texto da Comissão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ColumnHeading"/>
              <w:keepNext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</w:tcPr>
          <w:p w:rsidR="00E33FD9" w:rsidRPr="0005125A" w:rsidRDefault="00DC35B5" w:rsidP="00E275B2">
            <w:pPr>
              <w:pStyle w:val="Normal6"/>
            </w:pPr>
            <w:r w:rsidRPr="0005125A">
              <w:t xml:space="preserve">As duas impressões </w:t>
            </w:r>
            <w:r w:rsidRPr="0005125A">
              <w:t>digitais armazenadas no suporte de armazenamento só podem ser consultadas por pessoal devidamente habilitado das autoridades nacionais competentes e das agências da União.</w:t>
            </w:r>
          </w:p>
        </w:tc>
        <w:tc>
          <w:tcPr>
            <w:tcW w:w="4876" w:type="dxa"/>
          </w:tcPr>
          <w:p w:rsidR="00E33FD9" w:rsidRPr="0005125A" w:rsidRDefault="00DC35B5" w:rsidP="00E275B2">
            <w:pPr>
              <w:pStyle w:val="Normal6"/>
              <w:rPr>
                <w:szCs w:val="24"/>
              </w:rPr>
            </w:pPr>
            <w:r w:rsidRPr="0005125A">
              <w:t xml:space="preserve">As duas impressões digitais </w:t>
            </w:r>
            <w:r w:rsidRPr="0005125A">
              <w:rPr>
                <w:b/>
                <w:i/>
              </w:rPr>
              <w:t xml:space="preserve">do titular </w:t>
            </w:r>
            <w:r w:rsidRPr="0005125A">
              <w:t>armazenadas no suporte de armazenamento só po</w:t>
            </w:r>
            <w:r w:rsidRPr="0005125A">
              <w:t>dem ser consultadas por pessoal devidamente habilitado das autoridades nacionais competentes e das agências da União</w:t>
            </w:r>
            <w:r w:rsidRPr="0005125A">
              <w:rPr>
                <w:b/>
                <w:i/>
              </w:rPr>
              <w:t xml:space="preserve"> para os fins previstos no primeiro parágrafo, em consonância com a legislação nacional e da União em matéria de proteção de dados</w:t>
            </w:r>
            <w:r w:rsidRPr="0005125A">
              <w:t>.</w:t>
            </w:r>
          </w:p>
        </w:tc>
      </w:tr>
    </w:tbl>
    <w:p w:rsidR="00E33FD9" w:rsidRPr="0005125A" w:rsidRDefault="00DC35B5" w:rsidP="00E33FD9">
      <w:pPr>
        <w:pStyle w:val="Olang"/>
        <w:rPr>
          <w:sz w:val="24"/>
          <w:szCs w:val="24"/>
        </w:rPr>
      </w:pPr>
      <w:r w:rsidRPr="0005125A">
        <w:rPr>
          <w:sz w:val="24"/>
          <w:szCs w:val="24"/>
        </w:rPr>
        <w:t xml:space="preserve">Or. </w:t>
      </w:r>
      <w:r w:rsidRPr="0005125A">
        <w:rPr>
          <w:rStyle w:val="HideTWBExt"/>
        </w:rPr>
        <w:t>&lt;Or</w:t>
      </w:r>
      <w:r w:rsidRPr="0005125A">
        <w:rPr>
          <w:rStyle w:val="HideTWBExt"/>
        </w:rPr>
        <w:t>iginal&gt;</w:t>
      </w:r>
      <w:r w:rsidRPr="0005125A">
        <w:rPr>
          <w:rStyle w:val="HideTWBInt"/>
          <w:sz w:val="24"/>
          <w:szCs w:val="24"/>
        </w:rPr>
        <w:t>{EN}</w:t>
      </w:r>
      <w:r w:rsidRPr="0005125A">
        <w:rPr>
          <w:sz w:val="24"/>
          <w:szCs w:val="24"/>
        </w:rPr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40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11 – n.º 6 – parágrafo 2</w:t>
      </w:r>
      <w:r>
        <w:noBreakHyphen/>
      </w:r>
      <w:r w:rsidRPr="0005125A">
        <w:t>A (novo)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 xml:space="preserve">Texto da </w:t>
            </w:r>
            <w:r w:rsidRPr="0005125A">
              <w:t>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Os Estados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Membros mantêm e comunicam anualmente à Comissão a lista das autoridades nacionais competentes com acesso aos dados biométricos armazenados no suporte de armazenamento referido no artigo 3.º, n.º 5. A Comissão publica em lin</w:t>
            </w:r>
            <w:r w:rsidRPr="0005125A">
              <w:rPr>
                <w:b/>
                <w:i/>
              </w:rPr>
              <w:t>ha uma compilação dessas listas nacionais.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41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 xml:space="preserve">Artigo 13 – </w:t>
      </w:r>
      <w:r w:rsidRPr="0005125A">
        <w:t>título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Avaliação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 xml:space="preserve">Relatórios e </w:t>
            </w:r>
            <w:r w:rsidRPr="0005125A">
              <w:t>avaliação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42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 xml:space="preserve">Proposta de </w:t>
      </w:r>
      <w:r w:rsidRPr="0005125A">
        <w:t>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13 – n.º 1 – parte introdutória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1.</w:t>
            </w:r>
            <w:r w:rsidRPr="0005125A">
              <w:tab/>
            </w:r>
            <w:r w:rsidRPr="0005125A">
              <w:rPr>
                <w:b/>
                <w:i/>
              </w:rPr>
              <w:t>No mínimo [</w:t>
            </w:r>
            <w:r w:rsidRPr="0005125A">
              <w:t>seis anos após a entrada em vigor do presente regulamento</w:t>
            </w:r>
            <w:r w:rsidRPr="0005125A">
              <w:rPr>
                <w:b/>
                <w:i/>
              </w:rPr>
              <w:t>],</w:t>
            </w:r>
            <w:r w:rsidRPr="0005125A">
              <w:t xml:space="preserve"> a Comissão deve proceder à avaliação do presente regulamento e apresentar um relatório com as principais conclusões ao Parlamento Europeu, ao Conselho e ao Comité Económico e Social Europeu. O relatório deve, nomeadamente, abordar o seguinte: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1.</w:t>
            </w:r>
            <w:r w:rsidRPr="0005125A">
              <w:tab/>
            </w:r>
            <w:r w:rsidRPr="0005125A">
              <w:rPr>
                <w:b/>
                <w:i/>
              </w:rPr>
              <w:t>Dois e on</w:t>
            </w:r>
            <w:r w:rsidRPr="0005125A">
              <w:rPr>
                <w:b/>
                <w:i/>
              </w:rPr>
              <w:t>ze anos, respetivamente, após a data de aplicação do presente regulamento, a Comissão deve apresentar ao Parlamento Europeu, ao Conselho e ao Comité Económico e Social Europeu um relatório sobre a aplicação do presente regulamento, em especial no que respe</w:t>
            </w:r>
            <w:r w:rsidRPr="0005125A">
              <w:rPr>
                <w:b/>
                <w:i/>
              </w:rPr>
              <w:t>ita à proteção dos direitos fundamentais e dos dados pessoais.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 xml:space="preserve">Seis anos após a entrada em vigor do presente regulamento </w:t>
            </w:r>
            <w:r w:rsidRPr="0005125A">
              <w:rPr>
                <w:b/>
                <w:i/>
              </w:rPr>
              <w:t>e, posteriormente, de seis em seis anos,</w:t>
            </w:r>
            <w:r w:rsidRPr="0005125A">
              <w:t xml:space="preserve"> a Comissão deve proceder à avaliação do presente regulamento e apresentar um relatório com as principais conclusões ao Parlamento Europeu, ao Conselho e ao Comité Económico e Social Europeu. O relatório deve, nomeadamente, abordar o seguinte: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</w:t>
      </w:r>
      <w:r w:rsidRPr="0005125A">
        <w:rPr>
          <w:rStyle w:val="HideTWBExt"/>
        </w:rPr>
        <w:t>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43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Malik Azmani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13 – n.º 1 – parte introdutória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1.</w:t>
            </w:r>
            <w:r w:rsidRPr="0005125A">
              <w:tab/>
            </w:r>
            <w:r w:rsidRPr="0005125A">
              <w:rPr>
                <w:b/>
                <w:i/>
              </w:rPr>
              <w:t>No mínimo [</w:t>
            </w:r>
            <w:r w:rsidRPr="0005125A">
              <w:t>seis anos após a entrada em vigor do presente regulamento</w:t>
            </w:r>
            <w:r w:rsidRPr="0005125A">
              <w:rPr>
                <w:b/>
                <w:i/>
              </w:rPr>
              <w:t>]</w:t>
            </w:r>
            <w:r w:rsidRPr="0005125A">
              <w:t>, a Comissão deve proceder à avaliação do presente regulamento e apresentar um relatório com as principais conclusões ao Parlamento Europeu, ao Conselho e ao Comité Económic</w:t>
            </w:r>
            <w:r w:rsidRPr="0005125A">
              <w:t>o e Social Europeu. O relatório deve, nomeadamente, abordar o seguinte: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1.</w:t>
            </w:r>
            <w:r w:rsidRPr="0005125A">
              <w:tab/>
            </w:r>
            <w:r w:rsidRPr="0005125A">
              <w:rPr>
                <w:b/>
                <w:i/>
              </w:rPr>
              <w:t xml:space="preserve">Dois e onze anos, respetivamente, após a data de aplicação do presente regulamento, a Comissão deve apresentar ao Parlamento Europeu e ao Conselho um relatório sobre a aplicação do </w:t>
            </w:r>
            <w:r w:rsidRPr="0005125A">
              <w:rPr>
                <w:b/>
                <w:i/>
              </w:rPr>
              <w:t>presente regulamento, em especial no que respeita à proteção dos direitos fundamentais e dos dados pessoais.</w:t>
            </w:r>
            <w:r w:rsidRPr="0005125A">
              <w:t xml:space="preserve"> Seis anos após a entrada em vigor do presente regulamento, a Comissão deve proceder à avaliação do presente regulamento e apresentar um relatório c</w:t>
            </w:r>
            <w:r w:rsidRPr="0005125A">
              <w:t>om as principais conclusões ao Parlamento Europeu, ao Conselho e ao Comité Económico e Social Europeu. O relatório deve, nomeadamente, abordar o seguinte: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44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Francisco Assis, Krzysztof Śmiszek, Ana Catarina Mendes, Marco Tarquinio, Emma Rafowicz, Alessandro Zan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13 – n.º 1 – parte introdutória</w:t>
      </w:r>
      <w:r w:rsidRPr="0005125A">
        <w:rPr>
          <w:rStyle w:val="HideTWBExt"/>
        </w:rPr>
        <w:t>&lt;/Artic</w:t>
      </w:r>
      <w:r w:rsidRPr="0005125A">
        <w:rPr>
          <w:rStyle w:val="HideTWBExt"/>
        </w:rPr>
        <w:t>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1.</w:t>
            </w:r>
            <w:r w:rsidRPr="0005125A">
              <w:tab/>
              <w:t xml:space="preserve">No </w:t>
            </w:r>
            <w:r w:rsidRPr="0005125A">
              <w:rPr>
                <w:b/>
                <w:i/>
              </w:rPr>
              <w:t>mínimo</w:t>
            </w:r>
            <w:r w:rsidRPr="0005125A">
              <w:t xml:space="preserve"> [seis anos após a entrada em vigor do presente regulamento], a Comissão deve proceder à avaliação do presente regulamento e apresentar um relatório com as principais conclusões ao Parlamento Europeu, ao Conselho e ao Comité Económico e Social Europeu. O r</w:t>
            </w:r>
            <w:r w:rsidRPr="0005125A">
              <w:t>elatório deve, nomeadamente, abordar o seguinte: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t>1.</w:t>
            </w:r>
            <w:r w:rsidRPr="0005125A">
              <w:tab/>
              <w:t xml:space="preserve">No </w:t>
            </w:r>
            <w:r w:rsidRPr="0005125A">
              <w:rPr>
                <w:b/>
                <w:i/>
              </w:rPr>
              <w:t>prazo de</w:t>
            </w:r>
            <w:r w:rsidRPr="0005125A">
              <w:t xml:space="preserve"> [seis anos após a entrada em vigor do presente regulamento], a Comissão deve proceder à avaliação do presente regulamento e apresentar um relatório com as principais conclusões ao Parlamento E</w:t>
            </w:r>
            <w:r w:rsidRPr="0005125A">
              <w:t>uropeu, ao Conselho e ao Comité Económico e Social Europeu. O relatório deve, nomeadamente, abordar o seguinte: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45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 xml:space="preserve">Roberto Vannacci, António Tânger Corrêa, </w:t>
      </w:r>
      <w:r w:rsidRPr="0005125A">
        <w:t>Susanna Ceccardi, Anna Maria Cisint, Nikola Bartůšek, Fabrice Leggeri, Tom Vandendriessche, Matthieu Valet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13 – n.º 1 – alínea a)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(a)</w:t>
            </w:r>
            <w:r w:rsidRPr="0005125A">
              <w:tab/>
            </w:r>
            <w:r w:rsidRPr="0005125A">
              <w:rPr>
                <w:b/>
                <w:i/>
              </w:rPr>
              <w:t>O impacto do presente regulamento nos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Suprimido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46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Malik Azmani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 xml:space="preserve">Proposta de </w:t>
      </w:r>
      <w:r w:rsidRPr="0005125A">
        <w:t>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>Artigo 13 – n.º 1 – alínea d</w:t>
      </w:r>
      <w:r>
        <w:noBreakHyphen/>
      </w:r>
      <w:r w:rsidRPr="0005125A">
        <w:t>A) (nova)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(d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A)</w:t>
            </w:r>
            <w:r w:rsidRPr="0005125A">
              <w:tab/>
            </w:r>
            <w:r w:rsidRPr="0005125A">
              <w:rPr>
                <w:b/>
                <w:i/>
              </w:rPr>
              <w:t>A necessidade de introduzir elementos de segurança comuns para os documentos de identificação utilizados a título provisório, com vista a</w:t>
            </w:r>
            <w:r w:rsidRPr="0005125A">
              <w:rPr>
                <w:b/>
                <w:i/>
              </w:rPr>
              <w:t xml:space="preserve"> facilitar o seu reconhecimento.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pPr>
        <w:pStyle w:val="AmNumberTabs"/>
      </w:pPr>
      <w:r w:rsidRPr="0005125A">
        <w:rPr>
          <w:rStyle w:val="HideTWBExt"/>
        </w:rPr>
        <w:t>&lt;Amend&gt;</w:t>
      </w:r>
      <w:r w:rsidRPr="0005125A">
        <w:t>Alteração</w:t>
      </w:r>
      <w:r w:rsidRPr="0005125A">
        <w:tab/>
      </w:r>
      <w:r w:rsidRPr="0005125A">
        <w:tab/>
      </w:r>
      <w:r w:rsidRPr="0005125A">
        <w:rPr>
          <w:rStyle w:val="HideTWBExt"/>
        </w:rPr>
        <w:t>&lt;NumAm&gt;</w:t>
      </w:r>
      <w:r w:rsidRPr="0005125A">
        <w:t>47</w:t>
      </w:r>
      <w:r w:rsidRPr="0005125A">
        <w:rPr>
          <w:rStyle w:val="HideTWBExt"/>
        </w:rPr>
        <w:t>&lt;/NumAm&gt;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&lt;RepeatBlock-By&gt;&lt;Members&gt;</w:t>
      </w:r>
      <w:r w:rsidRPr="0005125A">
        <w:t>Estrella Galán</w:t>
      </w:r>
      <w:r w:rsidRPr="0005125A">
        <w:rPr>
          <w:rStyle w:val="HideTWBExt"/>
          <w:b w:val="0"/>
        </w:rPr>
        <w:t>&lt;/Members&gt;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  <w:b w:val="0"/>
        </w:rPr>
        <w:t>&lt;/RepeatBlock-By&gt;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&lt;DocAmend&gt;</w:t>
      </w:r>
      <w:r w:rsidRPr="0005125A">
        <w:t>Proposta de regulamento</w:t>
      </w:r>
      <w:r w:rsidRPr="0005125A">
        <w:rPr>
          <w:rStyle w:val="HideTWBExt"/>
        </w:rPr>
        <w:t>&lt;/DocAmend&gt;</w:t>
      </w:r>
    </w:p>
    <w:p w:rsidR="00E33FD9" w:rsidRPr="0005125A" w:rsidRDefault="00DC35B5" w:rsidP="00E33FD9">
      <w:pPr>
        <w:pStyle w:val="NormalBold"/>
      </w:pPr>
      <w:r w:rsidRPr="0005125A">
        <w:rPr>
          <w:rStyle w:val="HideTWBExt"/>
        </w:rPr>
        <w:t>&lt;Article&gt;</w:t>
      </w:r>
      <w:r w:rsidRPr="0005125A">
        <w:t xml:space="preserve">Artigo 13 – n.º 1 – </w:t>
      </w:r>
      <w:r w:rsidRPr="0005125A">
        <w:t>alínea d</w:t>
      </w:r>
      <w:r>
        <w:noBreakHyphen/>
      </w:r>
      <w:r w:rsidRPr="0005125A">
        <w:t>A) (nova)</w:t>
      </w:r>
      <w:r w:rsidRPr="0005125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C66D7" w:rsidRPr="0005125A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/>
        </w:tc>
      </w:tr>
      <w:tr w:rsidR="008C66D7" w:rsidRPr="0005125A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AmColumnHeading"/>
            </w:pPr>
            <w:r w:rsidRPr="0005125A">
              <w:t>Alteração</w:t>
            </w:r>
          </w:p>
        </w:tc>
      </w:tr>
      <w:tr w:rsidR="008C66D7" w:rsidRPr="0005125A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05125A" w:rsidRDefault="00DC35B5" w:rsidP="00E275B2">
            <w:pPr>
              <w:pStyle w:val="Normal6a"/>
            </w:pPr>
            <w:r w:rsidRPr="0005125A">
              <w:rPr>
                <w:b/>
                <w:i/>
              </w:rPr>
              <w:t>(d</w:t>
            </w:r>
            <w:r>
              <w:rPr>
                <w:b/>
                <w:i/>
              </w:rPr>
              <w:noBreakHyphen/>
            </w:r>
            <w:r w:rsidRPr="0005125A">
              <w:rPr>
                <w:b/>
                <w:i/>
              </w:rPr>
              <w:t>A)</w:t>
            </w:r>
            <w:r w:rsidRPr="0005125A">
              <w:tab/>
            </w:r>
            <w:r w:rsidRPr="0005125A">
              <w:rPr>
                <w:b/>
                <w:i/>
              </w:rPr>
              <w:t>A possibilidade de utilizar os cartões de residência como documentos de viagem.</w:t>
            </w:r>
          </w:p>
        </w:tc>
      </w:tr>
    </w:tbl>
    <w:p w:rsidR="00E33FD9" w:rsidRPr="0005125A" w:rsidRDefault="00DC35B5" w:rsidP="00E33FD9">
      <w:pPr>
        <w:pStyle w:val="AmOrLang"/>
      </w:pPr>
      <w:r w:rsidRPr="0005125A">
        <w:t xml:space="preserve">Or. </w:t>
      </w:r>
      <w:r w:rsidRPr="0005125A">
        <w:rPr>
          <w:rStyle w:val="HideTWBExt"/>
        </w:rPr>
        <w:t>&lt;Original&gt;</w:t>
      </w:r>
      <w:r w:rsidRPr="0005125A">
        <w:rPr>
          <w:rStyle w:val="HideTWBInt"/>
        </w:rPr>
        <w:t>{EN}</w:t>
      </w:r>
      <w:r w:rsidRPr="0005125A">
        <w:t>en</w:t>
      </w:r>
      <w:r w:rsidRPr="0005125A">
        <w:rPr>
          <w:rStyle w:val="HideTWBExt"/>
        </w:rPr>
        <w:t>&lt;/Original&gt;</w:t>
      </w:r>
    </w:p>
    <w:p w:rsidR="00E33FD9" w:rsidRPr="0005125A" w:rsidRDefault="00DC35B5" w:rsidP="00E33FD9">
      <w:r w:rsidRPr="0005125A">
        <w:rPr>
          <w:rStyle w:val="HideTWBExt"/>
        </w:rPr>
        <w:t>&lt;/Amend&gt;</w:t>
      </w:r>
    </w:p>
    <w:p w:rsidR="00E33FD9" w:rsidRPr="0005125A" w:rsidRDefault="00DC35B5" w:rsidP="00E33FD9">
      <w:r w:rsidRPr="0005125A">
        <w:rPr>
          <w:rStyle w:val="HideTWBExt"/>
        </w:rPr>
        <w:t>&lt;/RepeatBlock-Amend&gt;</w:t>
      </w:r>
    </w:p>
    <w:p w:rsidR="00387D70" w:rsidRPr="0005125A" w:rsidRDefault="00387D70" w:rsidP="00E33FD9">
      <w:pPr>
        <w:pStyle w:val="CoverReference"/>
      </w:pPr>
    </w:p>
    <w:sectPr w:rsidR="00387D70" w:rsidRPr="0005125A" w:rsidSect="000512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05125A" w:rsidRDefault="00DC35B5">
      <w:r w:rsidRPr="0005125A">
        <w:separator/>
      </w:r>
    </w:p>
  </w:endnote>
  <w:endnote w:type="continuationSeparator" w:id="0">
    <w:p w:rsidR="00000000" w:rsidRPr="0005125A" w:rsidRDefault="00DC35B5">
      <w:r w:rsidRPr="000512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25A" w:rsidRPr="0005125A" w:rsidRDefault="0005125A" w:rsidP="0005125A">
    <w:pPr>
      <w:pStyle w:val="EPFooter"/>
    </w:pPr>
    <w:r w:rsidRPr="0005125A">
      <w:t>PE</w:t>
    </w:r>
    <w:r w:rsidRPr="0005125A">
      <w:rPr>
        <w:rStyle w:val="HideTWBExt"/>
      </w:rPr>
      <w:t>&lt;NoPE&gt;</w:t>
    </w:r>
    <w:r w:rsidRPr="0005125A">
      <w:t>766.918</w:t>
    </w:r>
    <w:r w:rsidRPr="0005125A">
      <w:rPr>
        <w:rStyle w:val="HideTWBExt"/>
      </w:rPr>
      <w:t>&lt;/NoPE&gt;&lt;Version&gt;</w:t>
    </w:r>
    <w:r w:rsidRPr="0005125A">
      <w:t>v02</w:t>
    </w:r>
    <w:r w:rsidR="00DC35B5">
      <w:noBreakHyphen/>
    </w:r>
    <w:r w:rsidRPr="0005125A">
      <w:t>00</w:t>
    </w:r>
    <w:r w:rsidRPr="0005125A">
      <w:rPr>
        <w:rStyle w:val="HideTWBExt"/>
      </w:rPr>
      <w:t>&lt;/Version&gt;</w:t>
    </w:r>
    <w:r w:rsidRPr="0005125A">
      <w:tab/>
    </w:r>
    <w:r w:rsidRPr="0005125A">
      <w:fldChar w:fldCharType="begin"/>
    </w:r>
    <w:r w:rsidRPr="0005125A">
      <w:instrText xml:space="preserve"> PAGE  \* MERGEFORMAT </w:instrText>
    </w:r>
    <w:r w:rsidRPr="0005125A">
      <w:fldChar w:fldCharType="separate"/>
    </w:r>
    <w:r w:rsidR="00DC35B5">
      <w:rPr>
        <w:noProof/>
      </w:rPr>
      <w:t>2</w:t>
    </w:r>
    <w:r w:rsidRPr="0005125A">
      <w:fldChar w:fldCharType="end"/>
    </w:r>
    <w:r w:rsidRPr="0005125A">
      <w:t>/</w:t>
    </w:r>
    <w:fldSimple w:instr=" NUMPAGES  \* MERGEFORMAT ">
      <w:r w:rsidR="00DC35B5">
        <w:rPr>
          <w:noProof/>
        </w:rPr>
        <w:t>27</w:t>
      </w:r>
    </w:fldSimple>
    <w:r w:rsidRPr="0005125A">
      <w:tab/>
    </w:r>
    <w:r w:rsidRPr="0005125A">
      <w:rPr>
        <w:rStyle w:val="HideTWBExt"/>
      </w:rPr>
      <w:t>&lt;PathFdR&gt;</w:t>
    </w:r>
    <w:r w:rsidRPr="0005125A">
      <w:t>AM\1314148PT.docx</w:t>
    </w:r>
    <w:r w:rsidRPr="0005125A">
      <w:rPr>
        <w:rStyle w:val="HideTWBExt"/>
      </w:rPr>
      <w:t>&lt;/PathFdR&gt;</w:t>
    </w:r>
  </w:p>
  <w:p w:rsidR="00387D70" w:rsidRPr="0005125A" w:rsidRDefault="0005125A" w:rsidP="0005125A">
    <w:pPr>
      <w:pStyle w:val="EPFooter2"/>
    </w:pPr>
    <w:r w:rsidRPr="0005125A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25A" w:rsidRPr="0005125A" w:rsidRDefault="0005125A" w:rsidP="0005125A">
    <w:pPr>
      <w:pStyle w:val="EPFooter"/>
    </w:pPr>
    <w:r w:rsidRPr="0005125A">
      <w:rPr>
        <w:rStyle w:val="HideTWBExt"/>
      </w:rPr>
      <w:t>&lt;PathFdR&gt;</w:t>
    </w:r>
    <w:r w:rsidRPr="0005125A">
      <w:t>AM\1314148PT.docx</w:t>
    </w:r>
    <w:r w:rsidRPr="0005125A">
      <w:rPr>
        <w:rStyle w:val="HideTWBExt"/>
      </w:rPr>
      <w:t>&lt;/PathFdR&gt;</w:t>
    </w:r>
    <w:r w:rsidRPr="0005125A">
      <w:tab/>
    </w:r>
    <w:r w:rsidRPr="0005125A">
      <w:fldChar w:fldCharType="begin"/>
    </w:r>
    <w:r w:rsidRPr="0005125A">
      <w:instrText xml:space="preserve"> PAGE  \* MERGEFORMAT </w:instrText>
    </w:r>
    <w:r w:rsidRPr="0005125A">
      <w:fldChar w:fldCharType="separate"/>
    </w:r>
    <w:r w:rsidR="00DC35B5">
      <w:rPr>
        <w:noProof/>
      </w:rPr>
      <w:t>3</w:t>
    </w:r>
    <w:r w:rsidRPr="0005125A">
      <w:fldChar w:fldCharType="end"/>
    </w:r>
    <w:r w:rsidRPr="0005125A">
      <w:t>/</w:t>
    </w:r>
    <w:fldSimple w:instr=" NUMPAGES  \* MERGEFORMAT ">
      <w:r w:rsidR="00DC35B5">
        <w:rPr>
          <w:noProof/>
        </w:rPr>
        <w:t>27</w:t>
      </w:r>
    </w:fldSimple>
    <w:r w:rsidRPr="0005125A">
      <w:tab/>
      <w:t>PE</w:t>
    </w:r>
    <w:r w:rsidRPr="0005125A">
      <w:rPr>
        <w:rStyle w:val="HideTWBExt"/>
      </w:rPr>
      <w:t>&lt;NoPE&gt;</w:t>
    </w:r>
    <w:r w:rsidRPr="0005125A">
      <w:t>766.918</w:t>
    </w:r>
    <w:r w:rsidRPr="0005125A">
      <w:rPr>
        <w:rStyle w:val="HideTWBExt"/>
      </w:rPr>
      <w:t>&lt;/NoPE&gt;&lt;Version&gt;</w:t>
    </w:r>
    <w:r w:rsidRPr="0005125A">
      <w:t>v02</w:t>
    </w:r>
    <w:r w:rsidR="00DC35B5">
      <w:noBreakHyphen/>
    </w:r>
    <w:r w:rsidRPr="0005125A">
      <w:t>00</w:t>
    </w:r>
    <w:r w:rsidRPr="0005125A">
      <w:rPr>
        <w:rStyle w:val="HideTWBExt"/>
      </w:rPr>
      <w:t>&lt;/Version&gt;</w:t>
    </w:r>
  </w:p>
  <w:p w:rsidR="00387D70" w:rsidRPr="0005125A" w:rsidRDefault="0005125A" w:rsidP="0005125A">
    <w:pPr>
      <w:pStyle w:val="EPFooter2"/>
    </w:pPr>
    <w:r w:rsidRPr="0005125A">
      <w:tab/>
    </w:r>
    <w:r w:rsidRPr="0005125A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25A" w:rsidRPr="0005125A" w:rsidRDefault="0005125A" w:rsidP="0005125A">
    <w:pPr>
      <w:pStyle w:val="EPFooter"/>
    </w:pPr>
    <w:r w:rsidRPr="0005125A">
      <w:rPr>
        <w:rStyle w:val="HideTWBExt"/>
      </w:rPr>
      <w:t>&lt;PathFdR&gt;</w:t>
    </w:r>
    <w:r w:rsidRPr="0005125A">
      <w:t>AM\1314148PT.docx</w:t>
    </w:r>
    <w:r w:rsidRPr="0005125A">
      <w:rPr>
        <w:rStyle w:val="HideTWBExt"/>
      </w:rPr>
      <w:t>&lt;/PathFdR&gt;</w:t>
    </w:r>
    <w:r w:rsidRPr="0005125A">
      <w:tab/>
    </w:r>
    <w:r w:rsidRPr="0005125A">
      <w:tab/>
      <w:t>PE</w:t>
    </w:r>
    <w:r w:rsidRPr="0005125A">
      <w:rPr>
        <w:rStyle w:val="HideTWBExt"/>
      </w:rPr>
      <w:t>&lt;NoPE&gt;</w:t>
    </w:r>
    <w:r w:rsidRPr="0005125A">
      <w:t>766.918</w:t>
    </w:r>
    <w:r w:rsidRPr="0005125A">
      <w:rPr>
        <w:rStyle w:val="HideTWBExt"/>
      </w:rPr>
      <w:t>&lt;/NoPE&gt;&lt;Version&gt;</w:t>
    </w:r>
    <w:r w:rsidRPr="0005125A">
      <w:t>v02</w:t>
    </w:r>
    <w:r w:rsidR="00DC35B5">
      <w:noBreakHyphen/>
    </w:r>
    <w:r w:rsidRPr="0005125A">
      <w:t>00</w:t>
    </w:r>
    <w:r w:rsidRPr="0005125A">
      <w:rPr>
        <w:rStyle w:val="HideTWBExt"/>
      </w:rPr>
      <w:t>&lt;/Version&gt;</w:t>
    </w:r>
  </w:p>
  <w:p w:rsidR="00387D70" w:rsidRPr="0005125A" w:rsidRDefault="0005125A" w:rsidP="0005125A">
    <w:pPr>
      <w:pStyle w:val="EPFooter2"/>
    </w:pPr>
    <w:r w:rsidRPr="0005125A">
      <w:t>PT</w:t>
    </w:r>
    <w:r w:rsidRPr="0005125A">
      <w:tab/>
    </w:r>
    <w:r w:rsidRPr="0005125A">
      <w:rPr>
        <w:b w:val="0"/>
        <w:i/>
        <w:color w:val="C0C0C0"/>
        <w:sz w:val="22"/>
      </w:rPr>
      <w:t>Unida na diversidade</w:t>
    </w:r>
    <w:r w:rsidRPr="0005125A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05125A" w:rsidRDefault="00DC35B5">
      <w:r w:rsidRPr="0005125A">
        <w:separator/>
      </w:r>
    </w:p>
  </w:footnote>
  <w:footnote w:type="continuationSeparator" w:id="0">
    <w:p w:rsidR="00000000" w:rsidRPr="0005125A" w:rsidRDefault="00DC35B5">
      <w:r w:rsidRPr="000512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5B5" w:rsidRDefault="00DC35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5B5" w:rsidRDefault="00DC35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5B5" w:rsidRDefault="00DC35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70F6E"/>
    <w:multiLevelType w:val="hybridMultilevel"/>
    <w:tmpl w:val="D982D3F0"/>
    <w:lvl w:ilvl="0" w:tplc="222693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D72F4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BCA3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342B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602A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12E1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2EE5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8DE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F0BD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pyToNetwork" w:val="-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14"/>
    <w:docVar w:name="TXTLANGUE" w:val="EN"/>
    <w:docVar w:name="TXTLANGUEMIN" w:val="en"/>
    <w:docVar w:name="TXTNRFIRSTAM" w:val="1"/>
    <w:docVar w:name="TXTNRLASTAM" w:val="47"/>
    <w:docVar w:name="TXTNRPE" w:val="766.918"/>
    <w:docVar w:name="TXTPEorAP" w:val="PE"/>
    <w:docVar w:name="TXTROUTE" w:val="AM\1314148EN.docx"/>
    <w:docVar w:name="TXTVERSION" w:val="02-00"/>
  </w:docVars>
  <w:rsids>
    <w:rsidRoot w:val="00A77B3E"/>
    <w:rsid w:val="00023E89"/>
    <w:rsid w:val="0004475B"/>
    <w:rsid w:val="0005125A"/>
    <w:rsid w:val="00067FED"/>
    <w:rsid w:val="000E09C0"/>
    <w:rsid w:val="000E0C4C"/>
    <w:rsid w:val="000F2B3A"/>
    <w:rsid w:val="0014196E"/>
    <w:rsid w:val="00147121"/>
    <w:rsid w:val="0015175A"/>
    <w:rsid w:val="0017321F"/>
    <w:rsid w:val="00282D0D"/>
    <w:rsid w:val="002C6279"/>
    <w:rsid w:val="00324525"/>
    <w:rsid w:val="00352716"/>
    <w:rsid w:val="0038184E"/>
    <w:rsid w:val="00387D70"/>
    <w:rsid w:val="00425411"/>
    <w:rsid w:val="005921BD"/>
    <w:rsid w:val="005B2D90"/>
    <w:rsid w:val="006971F3"/>
    <w:rsid w:val="0079008D"/>
    <w:rsid w:val="0086110B"/>
    <w:rsid w:val="008C66D7"/>
    <w:rsid w:val="008E06E7"/>
    <w:rsid w:val="0091671B"/>
    <w:rsid w:val="00941DDC"/>
    <w:rsid w:val="00946CB6"/>
    <w:rsid w:val="00950453"/>
    <w:rsid w:val="009704F7"/>
    <w:rsid w:val="009776B1"/>
    <w:rsid w:val="009E6328"/>
    <w:rsid w:val="00A77B3E"/>
    <w:rsid w:val="00AB1048"/>
    <w:rsid w:val="00AE4B39"/>
    <w:rsid w:val="00AF7C01"/>
    <w:rsid w:val="00BC0170"/>
    <w:rsid w:val="00C72FA0"/>
    <w:rsid w:val="00C93BE4"/>
    <w:rsid w:val="00C947FC"/>
    <w:rsid w:val="00CA2A55"/>
    <w:rsid w:val="00CB43B3"/>
    <w:rsid w:val="00DC35B5"/>
    <w:rsid w:val="00DD5C8A"/>
    <w:rsid w:val="00E10EB9"/>
    <w:rsid w:val="00E13998"/>
    <w:rsid w:val="00E20290"/>
    <w:rsid w:val="00E275B2"/>
    <w:rsid w:val="00E33FD9"/>
    <w:rsid w:val="00EB6F94"/>
    <w:rsid w:val="00EB7C04"/>
    <w:rsid w:val="00ED02DC"/>
    <w:rsid w:val="00EE456E"/>
    <w:rsid w:val="00EE7964"/>
    <w:rsid w:val="00F04EBB"/>
    <w:rsid w:val="00F321DF"/>
    <w:rsid w:val="00F60F33"/>
    <w:rsid w:val="00F94853"/>
    <w:rsid w:val="00FD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B768813"/>
  <w15:docId w15:val="{C11962C7-7420-4224-9019-6915F024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1517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5175A"/>
    <w:rPr>
      <w:sz w:val="24"/>
      <w:szCs w:val="24"/>
    </w:rPr>
  </w:style>
  <w:style w:type="paragraph" w:customStyle="1" w:styleId="Normal6">
    <w:name w:val="Normal6"/>
    <w:basedOn w:val="Normal"/>
    <w:link w:val="Normal6Char"/>
    <w:rsid w:val="0079008D"/>
    <w:pPr>
      <w:spacing w:after="120"/>
    </w:pPr>
    <w:rPr>
      <w:szCs w:val="20"/>
      <w:lang w:eastAsia="en-GB"/>
    </w:rPr>
  </w:style>
  <w:style w:type="paragraph" w:customStyle="1" w:styleId="Normal12Italic">
    <w:name w:val="Normal12Italic"/>
    <w:basedOn w:val="Normal"/>
    <w:rsid w:val="0079008D"/>
    <w:pPr>
      <w:spacing w:after="240"/>
    </w:pPr>
    <w:rPr>
      <w:i/>
      <w:noProof/>
      <w:szCs w:val="20"/>
      <w:lang w:eastAsia="en-GB"/>
    </w:rPr>
  </w:style>
  <w:style w:type="character" w:customStyle="1" w:styleId="NormalBoldChar">
    <w:name w:val="NormalBold Char"/>
    <w:basedOn w:val="DefaultParagraphFont"/>
    <w:link w:val="NormalBold"/>
    <w:rsid w:val="0079008D"/>
    <w:rPr>
      <w:b/>
      <w:sz w:val="24"/>
      <w:szCs w:val="24"/>
    </w:rPr>
  </w:style>
  <w:style w:type="character" w:customStyle="1" w:styleId="Normal6Char">
    <w:name w:val="Normal6 Char"/>
    <w:basedOn w:val="DefaultParagraphFont"/>
    <w:link w:val="Normal6"/>
    <w:rsid w:val="0079008D"/>
    <w:rPr>
      <w:sz w:val="24"/>
      <w:lang w:val="pt-PT" w:eastAsia="en-GB"/>
    </w:rPr>
  </w:style>
  <w:style w:type="paragraph" w:customStyle="1" w:styleId="ColumnHeading">
    <w:name w:val="ColumnHeading"/>
    <w:basedOn w:val="Normal"/>
    <w:rsid w:val="0079008D"/>
    <w:pPr>
      <w:spacing w:after="240"/>
      <w:jc w:val="center"/>
    </w:pPr>
    <w:rPr>
      <w:i/>
      <w:szCs w:val="20"/>
      <w:lang w:eastAsia="en-GB"/>
    </w:rPr>
  </w:style>
  <w:style w:type="paragraph" w:customStyle="1" w:styleId="AMNumberTabs0">
    <w:name w:val="AMNumberTabs"/>
    <w:basedOn w:val="Normal"/>
    <w:rsid w:val="007900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  <w:lang w:eastAsia="en-GB"/>
    </w:rPr>
  </w:style>
  <w:style w:type="paragraph" w:customStyle="1" w:styleId="Olang">
    <w:name w:val="Olang"/>
    <w:rsid w:val="0079008D"/>
    <w:pPr>
      <w:jc w:val="right"/>
    </w:pPr>
    <w:rPr>
      <w:lang w:eastAsia="en-GB"/>
    </w:rPr>
  </w:style>
  <w:style w:type="paragraph" w:customStyle="1" w:styleId="JustificationTitle">
    <w:name w:val="JustificationTitle"/>
    <w:basedOn w:val="Normal"/>
    <w:next w:val="Normal"/>
    <w:rsid w:val="002C6279"/>
    <w:pPr>
      <w:keepNext/>
      <w:spacing w:before="240" w:after="240"/>
      <w:jc w:val="center"/>
    </w:pPr>
    <w:rPr>
      <w:i/>
      <w:noProof/>
      <w:szCs w:val="20"/>
      <w:lang w:eastAsia="en-GB"/>
    </w:rPr>
  </w:style>
  <w:style w:type="paragraph" w:styleId="BalloonText">
    <w:name w:val="Balloon Text"/>
    <w:basedOn w:val="Normal"/>
    <w:link w:val="BalloonTextChar"/>
    <w:semiHidden/>
    <w:unhideWhenUsed/>
    <w:rsid w:val="005921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921BD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semiHidden/>
    <w:unhideWhenUsed/>
    <w:rsid w:val="00C947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947FC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33FD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33F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33FD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3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3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CE932-0B50-4276-B983-371125BF0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6379</Words>
  <Characters>35381</Characters>
  <Application>Microsoft Office Word</Application>
  <DocSecurity>0</DocSecurity>
  <Lines>1434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2025-02-13T18:10:00Z</dcterms:created>
  <dcterms:modified xsi:type="dcterms:W3CDTF">2025-02-13T18:10:00Z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1314148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106998</vt:lpwstr>
  </property>
  <property fmtid="{D5CDD505-2E9C-101B-9397-08002B2CF9AE}" pid="7" name="dmxml.render.traceId">
    <vt:lpwstr>677d08427179ddb555bd7d290adfc221</vt:lpwstr>
  </property>
  <property fmtid="{D5CDD505-2E9C-101B-9397-08002B2CF9AE}" pid="8" name="FooterPath">
    <vt:lpwstr>AM\1314148PT.docx</vt:lpwstr>
  </property>
  <property fmtid="{D5CDD505-2E9C-101B-9397-08002B2CF9AE}" pid="9" name="LastEdited with">
    <vt:lpwstr>10.0.0 Build [20241202]</vt:lpwstr>
  </property>
  <property fmtid="{D5CDD505-2E9C-101B-9397-08002B2CF9AE}" pid="10" name="PE Number">
    <vt:lpwstr>766.918</vt:lpwstr>
  </property>
  <property fmtid="{D5CDD505-2E9C-101B-9397-08002B2CF9AE}" pid="11" name="SDLStudio">
    <vt:lpwstr/>
  </property>
  <property fmtid="{D5CDD505-2E9C-101B-9397-08002B2CF9AE}" pid="12" name="SendToEpades">
    <vt:lpwstr>OK - 2025/01/31 10:51</vt:lpwstr>
  </property>
  <property fmtid="{D5CDD505-2E9C-101B-9397-08002B2CF9AE}" pid="13" name="UID">
    <vt:lpwstr>eu.europa.europarl-DIN1-2024-0000071725_02.00-en-01.00_text-xml</vt:lpwstr>
  </property>
  <property fmtid="{D5CDD505-2E9C-101B-9397-08002B2CF9AE}" pid="14" name="Bookout">
    <vt:lpwstr>OK - 2025/02/13 19:10</vt:lpwstr>
  </property>
</Properties>
</file>