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5521" w:rsidTr="00C85D0F">
        <w:trPr>
          <w:trHeight w:hRule="exact" w:val="1418"/>
        </w:trPr>
        <w:tc>
          <w:tcPr>
            <w:tcW w:w="6804" w:type="dxa"/>
            <w:shd w:val="clear" w:color="auto" w:fill="auto"/>
            <w:vAlign w:val="center"/>
          </w:tcPr>
          <w:p w:rsidR="00BE5062" w:rsidRPr="00FE2F41" w:rsidRDefault="00F15DAA" w:rsidP="00C85D0F">
            <w:pPr>
              <w:pStyle w:val="EPName"/>
            </w:pPr>
            <w:bookmarkStart w:id="0" w:name="_GoBack"/>
            <w:bookmarkEnd w:id="0"/>
            <w:r>
              <w:t>Evropski parlament</w:t>
            </w:r>
          </w:p>
          <w:p w:rsidR="00BE5062" w:rsidRPr="00FE2F41" w:rsidRDefault="00F15DAA" w:rsidP="00FE2F41">
            <w:pPr>
              <w:pStyle w:val="EPTerm"/>
            </w:pPr>
            <w:r>
              <w:t>2024-2029</w:t>
            </w:r>
          </w:p>
        </w:tc>
        <w:tc>
          <w:tcPr>
            <w:tcW w:w="2268" w:type="dxa"/>
            <w:shd w:val="clear" w:color="auto" w:fill="auto"/>
          </w:tcPr>
          <w:p w:rsidR="00BE5062" w:rsidRPr="00FE2F41" w:rsidRDefault="00F15DAA" w:rsidP="00C85D0F">
            <w:pPr>
              <w:pStyle w:val="EPLogo"/>
            </w:pPr>
            <w:r w:rsidRPr="00FE2F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E2F41" w:rsidRDefault="000E7234" w:rsidP="000E7234">
      <w:pPr>
        <w:pStyle w:val="LineTop"/>
      </w:pPr>
    </w:p>
    <w:p w:rsidR="000E7234" w:rsidRPr="00FE2F41" w:rsidRDefault="00F15DAA" w:rsidP="000E7234">
      <w:pPr>
        <w:pStyle w:val="EPBody"/>
      </w:pPr>
      <w:r>
        <w:rPr>
          <w:rStyle w:val="HideTWBExt"/>
        </w:rPr>
        <w:t>&lt;</w:t>
      </w:r>
      <w:r>
        <w:rPr>
          <w:rStyle w:val="HideTWBExt"/>
          <w:i w:val="0"/>
        </w:rPr>
        <w:t>Commission</w:t>
      </w:r>
      <w:r>
        <w:rPr>
          <w:rStyle w:val="HideTWBExt"/>
        </w:rPr>
        <w:t>&gt;</w:t>
      </w:r>
      <w:r>
        <w:rPr>
          <w:rStyle w:val="HideTWBInt"/>
          <w:color w:val="auto"/>
        </w:rPr>
        <w:t>{LIBE}</w:t>
      </w:r>
      <w:r>
        <w:t>Odbor za državljanske svoboščine, pravosodje in notranje zadeve</w:t>
      </w:r>
      <w:r>
        <w:rPr>
          <w:rStyle w:val="HideTWBExt"/>
        </w:rPr>
        <w:t>&lt;/</w:t>
      </w:r>
      <w:r>
        <w:rPr>
          <w:rStyle w:val="HideTWBExt"/>
          <w:i w:val="0"/>
        </w:rPr>
        <w:t>Commission</w:t>
      </w:r>
      <w:r>
        <w:rPr>
          <w:rStyle w:val="HideTWBExt"/>
        </w:rPr>
        <w:t>&gt;</w:t>
      </w:r>
    </w:p>
    <w:p w:rsidR="000E7234" w:rsidRPr="00FE2F41" w:rsidRDefault="000E7234" w:rsidP="000E7234">
      <w:pPr>
        <w:pStyle w:val="LineBottom"/>
      </w:pPr>
    </w:p>
    <w:p w:rsidR="00B85286" w:rsidRPr="00FE2F41" w:rsidRDefault="00F15DAA">
      <w:pPr>
        <w:pStyle w:val="CoverReference"/>
      </w:pPr>
      <w:r>
        <w:rPr>
          <w:rStyle w:val="HideTWBExt"/>
          <w:b w:val="0"/>
        </w:rPr>
        <w:t>&lt;RefProc&gt;</w:t>
      </w:r>
      <w:r>
        <w:t>2024/0187</w:t>
      </w:r>
      <w:r>
        <w:rPr>
          <w:rStyle w:val="HideTWBExt"/>
          <w:b w:val="0"/>
        </w:rPr>
        <w:t>&lt;/RefProc&gt;&lt;RefTypeProc&gt;</w:t>
      </w:r>
      <w:r>
        <w:t>(CNS)</w:t>
      </w:r>
      <w:r>
        <w:rPr>
          <w:rStyle w:val="HideTWBExt"/>
          <w:b w:val="0"/>
        </w:rPr>
        <w:t>&lt;/RefTypeProc&gt;</w:t>
      </w:r>
    </w:p>
    <w:p w:rsidR="00B85286" w:rsidRPr="00FE2F41" w:rsidRDefault="00F15DAA">
      <w:pPr>
        <w:pStyle w:val="CoverDate"/>
      </w:pPr>
      <w:r>
        <w:rPr>
          <w:rStyle w:val="HideTWBExt"/>
        </w:rPr>
        <w:t>&lt;Date&gt;</w:t>
      </w:r>
      <w:r>
        <w:rPr>
          <w:rStyle w:val="HideTWBInt"/>
          <w:color w:val="auto"/>
        </w:rPr>
        <w:t>{31/01/2025}</w:t>
      </w:r>
      <w:r>
        <w:t>31.1.2025</w:t>
      </w:r>
      <w:r>
        <w:rPr>
          <w:rStyle w:val="HideTWBExt"/>
        </w:rPr>
        <w:t>&lt;/Date&gt;</w:t>
      </w:r>
    </w:p>
    <w:p w:rsidR="009B0305" w:rsidRPr="00FE2F41" w:rsidRDefault="00F15DAA" w:rsidP="009B0305">
      <w:pPr>
        <w:pStyle w:val="CoverDocType"/>
      </w:pPr>
      <w:r>
        <w:rPr>
          <w:rStyle w:val="HideTWBExt"/>
          <w:b w:val="0"/>
        </w:rPr>
        <w:t>&lt;TypeAM&gt;</w:t>
      </w:r>
      <w:r>
        <w:t>PREDLOGI SPREMEMB</w:t>
      </w:r>
      <w:r>
        <w:rPr>
          <w:rStyle w:val="HideTWBExt"/>
          <w:b w:val="0"/>
        </w:rPr>
        <w:t>&lt;/TypeAM&gt;</w:t>
      </w:r>
    </w:p>
    <w:p w:rsidR="00B85286" w:rsidRPr="00FE2F41" w:rsidRDefault="00F15DAA" w:rsidP="001C2054">
      <w:pPr>
        <w:pStyle w:val="CoverDocType24a"/>
      </w:pPr>
      <w:r>
        <w:rPr>
          <w:rStyle w:val="HideTWBExt"/>
          <w:b w:val="0"/>
        </w:rPr>
        <w:t>&lt;RangeAM&gt;</w:t>
      </w:r>
      <w:r>
        <w:t>1 - 47</w:t>
      </w:r>
      <w:r>
        <w:rPr>
          <w:rStyle w:val="HideTWBExt"/>
          <w:b w:val="0"/>
        </w:rPr>
        <w:t>&lt;/RangeAM&gt;</w:t>
      </w:r>
    </w:p>
    <w:p w:rsidR="001C2054" w:rsidRPr="00FE2F41" w:rsidRDefault="00F15DAA" w:rsidP="00A93F8C">
      <w:pPr>
        <w:pStyle w:val="CoverBold"/>
      </w:pPr>
      <w:r>
        <w:rPr>
          <w:rStyle w:val="HideTWBExt"/>
          <w:b w:val="0"/>
        </w:rPr>
        <w:t>&lt;TitreType&gt;</w:t>
      </w:r>
      <w:r>
        <w:t>Osnutek poročila</w:t>
      </w:r>
      <w:r>
        <w:rPr>
          <w:rStyle w:val="HideTWBExt"/>
          <w:b w:val="0"/>
        </w:rPr>
        <w:t>&lt;/TitreType&gt;</w:t>
      </w:r>
    </w:p>
    <w:p w:rsidR="00B85286" w:rsidRPr="00FE2F41" w:rsidRDefault="00F15DAA" w:rsidP="00A93F8C">
      <w:pPr>
        <w:pStyle w:val="CoverBold"/>
      </w:pPr>
      <w:r>
        <w:rPr>
          <w:rStyle w:val="HideTWBExt"/>
          <w:b w:val="0"/>
        </w:rPr>
        <w:t>&lt;Rapporteur&gt;</w:t>
      </w:r>
      <w:r>
        <w:t>Malik Azmani</w:t>
      </w:r>
      <w:r>
        <w:rPr>
          <w:rStyle w:val="HideTWBExt"/>
          <w:b w:val="0"/>
          <w:color w:val="auto"/>
        </w:rPr>
        <w:t>&lt;/Rapporteur&gt;</w:t>
      </w:r>
    </w:p>
    <w:p w:rsidR="00B85286" w:rsidRPr="00FE2F41" w:rsidRDefault="00F15DAA">
      <w:pPr>
        <w:pStyle w:val="CoverNormal24a"/>
      </w:pPr>
      <w:r>
        <w:rPr>
          <w:rStyle w:val="HideTWBExt"/>
        </w:rPr>
        <w:t>&lt;DocRefPE&gt;</w:t>
      </w:r>
      <w:r>
        <w:t>(PE766.606v01-00)</w:t>
      </w:r>
      <w:r>
        <w:rPr>
          <w:rStyle w:val="HideTWBExt"/>
        </w:rPr>
        <w:t>&lt;/DocRefPE&gt;</w:t>
      </w:r>
    </w:p>
    <w:p w:rsidR="00B85286" w:rsidRPr="00FE2F41" w:rsidRDefault="00F15DAA">
      <w:pPr>
        <w:pStyle w:val="CoverNormal24a"/>
      </w:pPr>
      <w:r>
        <w:rPr>
          <w:rStyle w:val="HideTWBExt"/>
        </w:rPr>
        <w:t>&lt;Titre&gt;</w:t>
      </w:r>
      <w:r>
        <w:t>o okrepitvi varnosti osebnih izkaznic državljanov Unije in dokumentov za prebivanje, izdanih državljanom Unije in njihovim družinskim članom, ki uresničujejo svojo pravico do prostega gibanja</w:t>
      </w:r>
      <w:r>
        <w:rPr>
          <w:rStyle w:val="HideTWBExt"/>
        </w:rPr>
        <w:t>&lt;/Titre&gt;</w:t>
      </w:r>
    </w:p>
    <w:p w:rsidR="006337D4" w:rsidRPr="00FE2F41" w:rsidRDefault="00F15DAA" w:rsidP="006337D4">
      <w:pPr>
        <w:pStyle w:val="CoverNormal"/>
      </w:pPr>
      <w:r>
        <w:rPr>
          <w:rStyle w:val="HideTWBExt"/>
        </w:rPr>
        <w:t>&lt;DocAmend&gt;</w:t>
      </w:r>
      <w:r>
        <w:t>Predlog uredbe</w:t>
      </w:r>
      <w:r>
        <w:rPr>
          <w:rStyle w:val="HideTWBExt"/>
        </w:rPr>
        <w:t>&lt;/DocAmend&gt;</w:t>
      </w:r>
    </w:p>
    <w:p w:rsidR="00FE2F41" w:rsidRPr="00FE2F41" w:rsidRDefault="00F15DAA" w:rsidP="00FE2F41">
      <w:pPr>
        <w:pStyle w:val="CoverNormal24a"/>
      </w:pPr>
      <w:r>
        <w:rPr>
          <w:rStyle w:val="HideTWBExt"/>
        </w:rPr>
        <w:t>&lt;DocRef&gt;</w:t>
      </w:r>
      <w:r>
        <w:t>(COM(2024)0316 – 2024/0187(CNS))</w:t>
      </w:r>
      <w:r>
        <w:rPr>
          <w:rStyle w:val="HideTWBExt"/>
        </w:rPr>
        <w:t>&lt;/DocRef&gt;</w:t>
      </w:r>
    </w:p>
    <w:p w:rsidR="00B85286" w:rsidRPr="00FE2F41" w:rsidRDefault="00F15DAA" w:rsidP="00E660E2">
      <w:pPr>
        <w:widowControl/>
        <w:tabs>
          <w:tab w:val="center" w:pos="4677"/>
        </w:tabs>
      </w:pPr>
      <w:r>
        <w:br w:type="page"/>
      </w:r>
      <w:r>
        <w:lastRenderedPageBreak/>
        <w:t>AM_Com_LegReport</w:t>
      </w:r>
    </w:p>
    <w:p w:rsidR="00FE2F41" w:rsidRPr="00FE2F41" w:rsidRDefault="00F15DAA" w:rsidP="00FE2F41">
      <w:pPr>
        <w:pStyle w:val="AmNumberTabs"/>
        <w:keepNext/>
      </w:pPr>
      <w:r>
        <w:br w:type="page"/>
      </w:r>
      <w:bookmarkStart w:id="1" w:name="EndA"/>
    </w:p>
    <w:bookmarkEnd w:id="1"/>
    <w:p w:rsidR="00FE2F41" w:rsidRPr="00FE2F41" w:rsidRDefault="00F15DAA" w:rsidP="00FE2F41">
      <w:pPr>
        <w:pStyle w:val="AmNumberTabs"/>
      </w:pPr>
      <w:r>
        <w:rPr>
          <w:rStyle w:val="HideTWBExt"/>
        </w:rPr>
        <w:t>&lt;RepeatBlock-Amend&gt;&lt;Amend&gt;</w:t>
      </w:r>
      <w:r>
        <w:t>Predlog spremembe</w:t>
      </w:r>
      <w:r>
        <w:tab/>
      </w:r>
      <w:r>
        <w:tab/>
      </w:r>
      <w:r>
        <w:rPr>
          <w:rStyle w:val="HideTWBExt"/>
        </w:rPr>
        <w:t>&lt;NumAm&gt;</w:t>
      </w:r>
      <w:r>
        <w:t>1</w:t>
      </w:r>
      <w:r>
        <w:rPr>
          <w:rStyle w:val="HideTWBExt"/>
        </w:rPr>
        <w:t>&lt;/NumAm&gt;</w:t>
      </w:r>
    </w:p>
    <w:p w:rsidR="00FE2F41" w:rsidRPr="00FE2F41" w:rsidRDefault="00F15DAA" w:rsidP="00FE2F41">
      <w:pPr>
        <w:pStyle w:val="NormalBold"/>
      </w:pPr>
      <w:r>
        <w:rPr>
          <w:rStyle w:val="HideTWBExt"/>
          <w:b w:val="0"/>
        </w:rPr>
        <w:t>&lt;RepeatBlock-By&gt;&lt;Members&gt;</w:t>
      </w:r>
      <w:r>
        <w:t>Malik Azmani</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Osnutek zakonodajne resolucije</w:t>
      </w:r>
      <w:r>
        <w:rPr>
          <w:rStyle w:val="HideTWBExt"/>
        </w:rPr>
        <w:t>&lt;/DocAmend&gt;</w:t>
      </w:r>
    </w:p>
    <w:p w:rsidR="00FE2F41" w:rsidRPr="00FE2F41" w:rsidRDefault="00F15DAA" w:rsidP="00FE2F41">
      <w:pPr>
        <w:pStyle w:val="NormalBold"/>
      </w:pPr>
      <w:r>
        <w:rPr>
          <w:rStyle w:val="HideTWBExt"/>
        </w:rPr>
        <w:t>&lt;Article&gt;</w:t>
      </w:r>
      <w:r>
        <w:t>Navedba sklicevanja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Osnutek zakonodajne resolucije</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ind w:left="720" w:hanging="360"/>
            </w:pPr>
            <w:r>
              <w:t>-</w:t>
            </w:r>
            <w:r>
              <w:tab/>
              <w:t>ob upoštevanju osnutka Sveta (16877/24),</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w:t>
      </w:r>
      <w:r>
        <w:rPr>
          <w:rStyle w:val="HideTWBExt"/>
        </w:rPr>
        <w:t>&lt;/NumAm&gt;</w:t>
      </w:r>
    </w:p>
    <w:p w:rsidR="00FE2F41" w:rsidRPr="00FE2F41" w:rsidRDefault="00F15DAA" w:rsidP="00FE2F41">
      <w:pPr>
        <w:pStyle w:val="NormalBold"/>
      </w:pPr>
      <w:r>
        <w:rPr>
          <w:rStyle w:val="HideTWBExt"/>
          <w:b w:val="0"/>
        </w:rPr>
        <w:t>&lt;RepeatBlock-By&gt;&lt;Members&gt;</w:t>
      </w:r>
      <w:r>
        <w:t>Milan Uhrík, Ewa Zajączkowska-Hernik, Mary Khan</w:t>
      </w:r>
      <w:r>
        <w:rPr>
          <w:rStyle w:val="HideTWBExt"/>
          <w:b w:val="0"/>
        </w:rPr>
        <w:t>&lt;/Members&gt;</w:t>
      </w:r>
    </w:p>
    <w:p w:rsidR="00FE2F41" w:rsidRPr="00FE2F41" w:rsidRDefault="00F15DAA" w:rsidP="00FE2F41">
      <w:r>
        <w:rPr>
          <w:rStyle w:val="HideTWBExt"/>
        </w:rPr>
        <w:t>&lt;AuNomDe&gt;</w:t>
      </w:r>
      <w:r>
        <w:rPr>
          <w:rStyle w:val="HideTWBInt"/>
          <w:color w:val="auto"/>
        </w:rPr>
        <w:t>{ESN}</w:t>
      </w:r>
      <w:r>
        <w:t>v imenu skupine ESN</w:t>
      </w:r>
      <w:r>
        <w:rPr>
          <w:rStyle w:val="HideTWBExt"/>
        </w:rPr>
        <w:t>&lt;/AuNomDe&gt;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(16)</w:t>
            </w:r>
            <w:r>
              <w:tab/>
              <w:t xml:space="preserve">Shranjevanje podobe obraza in dveh prstnih odtisov (v nadaljnjem besedilu: biometrični podatki) na osebnih izkaznicah in dovoljenjih za prebivanje, </w:t>
            </w:r>
            <w:r>
              <w:rPr>
                <w:b/>
                <w:i/>
              </w:rPr>
              <w:t>kot je že določeno za biometrične potne liste za državljane Unije</w:t>
            </w:r>
            <w:r>
              <w:t xml:space="preserve"> in </w:t>
            </w:r>
            <w:r>
              <w:rPr>
                <w:b/>
                <w:i/>
              </w:rPr>
              <w:t>dovoljenja</w:t>
            </w:r>
            <w:r>
              <w:t xml:space="preserve"> za prebivanje za </w:t>
            </w:r>
            <w:r>
              <w:rPr>
                <w:b/>
                <w:i/>
              </w:rPr>
              <w:t>državljane tretjih držav,</w:t>
            </w:r>
            <w:r>
              <w:t xml:space="preserve"> je </w:t>
            </w:r>
            <w:r>
              <w:rPr>
                <w:b/>
                <w:i/>
              </w:rPr>
              <w:t>primerna kombinacija</w:t>
            </w:r>
            <w:r>
              <w:t xml:space="preserve"> za </w:t>
            </w:r>
            <w:r>
              <w:rPr>
                <w:b/>
                <w:i/>
              </w:rPr>
              <w:t>zanesljivo ugotavljanje istovetnosti in potrjevanja verodostojnosti z manjšim tveganjem</w:t>
            </w:r>
            <w:r>
              <w:t xml:space="preserve"> goljufij, </w:t>
            </w:r>
            <w:r>
              <w:rPr>
                <w:b/>
                <w:i/>
              </w:rPr>
              <w:t>da bi povečali varnost osebnih izkaznic</w:t>
            </w:r>
            <w:r>
              <w:t xml:space="preserve"> in </w:t>
            </w:r>
            <w:r>
              <w:rPr>
                <w:b/>
                <w:i/>
              </w:rPr>
              <w:t>dovoljenj</w:t>
            </w:r>
            <w:r>
              <w:t xml:space="preserve"> za </w:t>
            </w:r>
            <w:r>
              <w:rPr>
                <w:b/>
                <w:i/>
              </w:rPr>
              <w:t>prebivanje</w:t>
            </w:r>
            <w:r>
              <w:t xml:space="preserve">. </w:t>
            </w:r>
            <w:r>
              <w:rPr>
                <w:b/>
                <w:i/>
              </w:rPr>
              <w:t>Kot</w:t>
            </w:r>
            <w:r>
              <w:t xml:space="preserve"> je </w:t>
            </w:r>
            <w:r>
              <w:rPr>
                <w:b/>
                <w:i/>
              </w:rPr>
              <w:t>potrdilo Sodišče</w:t>
            </w:r>
            <w:r>
              <w:t>, je obvezna vključitev prstnih odtisov v pomnilniški medij združljiva s temeljnima pravicama do spoštovanja zasebnega življenja in varstva osebnih podatkov, kot sta zagotovljeni v členih</w:t>
            </w:r>
            <w:r>
              <w:rPr>
                <w:b/>
                <w:i/>
              </w:rPr>
              <w:t> </w:t>
            </w:r>
            <w:r>
              <w:t>7 in 8 Listine.</w:t>
            </w:r>
          </w:p>
        </w:tc>
        <w:tc>
          <w:tcPr>
            <w:tcW w:w="4876" w:type="dxa"/>
            <w:tcBorders>
              <w:top w:val="nil"/>
              <w:left w:val="nil"/>
              <w:bottom w:val="nil"/>
              <w:right w:val="nil"/>
            </w:tcBorders>
          </w:tcPr>
          <w:p w:rsidR="00FE2F41" w:rsidRPr="00FE2F41" w:rsidRDefault="00F15DAA" w:rsidP="00B16A5A">
            <w:pPr>
              <w:pStyle w:val="Normal6a"/>
            </w:pPr>
            <w:r>
              <w:t>(16)</w:t>
            </w:r>
            <w:r>
              <w:tab/>
              <w:t>Shranjevanje podobe obraza in dveh prstnih odtisov (v nadaljnjem besedilu: biometrični podatki) na osebnih izkaznicah in dovoljenjih za prebivanje</w:t>
            </w:r>
            <w:r>
              <w:rPr>
                <w:b/>
                <w:i/>
              </w:rPr>
              <w:t xml:space="preserve"> ni primerna kombinacija</w:t>
            </w:r>
            <w:r>
              <w:t xml:space="preserve">, </w:t>
            </w:r>
            <w:r>
              <w:rPr>
                <w:b/>
                <w:i/>
              </w:rPr>
              <w:t>ki bi omogočala zanesljivo ugotavljanje istovetnosti in potrjevanje verodostojnosti z manjšim tveganjem goljufij, da bi izboljšali varnost osebnih izkaznic</w:t>
            </w:r>
            <w:r>
              <w:t xml:space="preserve"> in </w:t>
            </w:r>
            <w:r>
              <w:rPr>
                <w:b/>
                <w:i/>
              </w:rPr>
              <w:t>dovoljenj</w:t>
            </w:r>
            <w:r>
              <w:t xml:space="preserve"> za prebivanje</w:t>
            </w:r>
            <w:r>
              <w:rPr>
                <w:b/>
                <w:i/>
              </w:rPr>
              <w:t>.</w:t>
            </w:r>
            <w:r>
              <w:t xml:space="preserve"> </w:t>
            </w:r>
            <w:r>
              <w:rPr>
                <w:b/>
                <w:i/>
              </w:rPr>
              <w:t>Pomeni prehudo kršitev pravice državljanov do zasebnosti, ki je v prid vse večjim možnostim za državni nadzor. Prav tako je preveliko tveganje za kibernetsko kriminaliteto, če so ti prstni odtisi ukradeni s pomnilniškega medija na osebni izkaznici, se lahko uporabijo po vsem svetu za vse vrste goljufij in kraje, povezane z identiteto. Ker so prstni odtisi edinstveni in jih ni mogoče spremeniti, bi njihova kraja pomenila vseživljenjsko tveganje za državljana, ki je žrtev take kraje. Četudi</w:t>
            </w:r>
            <w:r>
              <w:t xml:space="preserve"> je </w:t>
            </w:r>
            <w:r>
              <w:rPr>
                <w:b/>
                <w:i/>
              </w:rPr>
              <w:t>Sodišče potrdilo</w:t>
            </w:r>
            <w:r>
              <w:t xml:space="preserve">, </w:t>
            </w:r>
            <w:r>
              <w:rPr>
                <w:b/>
                <w:i/>
              </w:rPr>
              <w:t xml:space="preserve">da </w:t>
            </w:r>
            <w:r>
              <w:t>je</w:t>
            </w:r>
            <w:r>
              <w:rPr>
                <w:b/>
                <w:i/>
              </w:rPr>
              <w:t xml:space="preserve"> strogo pravno gledano</w:t>
            </w:r>
            <w:r>
              <w:t xml:space="preserve"> obvezna vključitev prstnih odtisov v pomnilniški medij združljiva s temeljnima pravicama do spoštovanja zasebnega življenja in varstva osebnih podatkov, kot sta zagotovljeni v členih</w:t>
            </w:r>
            <w:r>
              <w:rPr>
                <w:b/>
                <w:i/>
              </w:rPr>
              <w:t xml:space="preserve"> </w:t>
            </w:r>
            <w:r>
              <w:t>7 in 8 Listine</w:t>
            </w:r>
            <w:r>
              <w:rPr>
                <w:b/>
                <w:i/>
              </w:rPr>
              <w:t>, so tu še druge vrednote, kot sta temeljna izbira zasebnosti državljanov pred vse večjimi možnostmi za državni nadzor ter odločno preprečevanje novih oblik kibernetske kriminalitete</w:t>
            </w:r>
            <w:r>
              <w:t>.</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w:t>
      </w:r>
      <w:r>
        <w:rPr>
          <w:rStyle w:val="HideTWBExt"/>
        </w:rPr>
        <w:t>&lt;/NumAm&gt;</w:t>
      </w:r>
    </w:p>
    <w:p w:rsidR="00FE2F41" w:rsidRPr="00FE2F41" w:rsidRDefault="00F15DAA" w:rsidP="00FE2F41">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(19)</w:t>
            </w:r>
            <w:r>
              <w:tab/>
              <w:t>Ta uredba ne zagotavlja pravne podlage za vzpostavitev ali vodenje zbirk podatkov na nacionalni ravni za shranjevanje biometričnih podatkov v državah članicah</w:t>
            </w:r>
            <w:r>
              <w:rPr>
                <w:b/>
                <w:i/>
              </w:rPr>
              <w:t>, kar je vprašanje nacionalnega prava, ki mora biti skladno s pravom Unije na področju varstva</w:t>
            </w:r>
            <w:r>
              <w:t xml:space="preserve"> podatkov</w:t>
            </w:r>
            <w:r>
              <w:rPr>
                <w:b/>
                <w:i/>
              </w:rPr>
              <w:t>, tudi s tam določenimi zahtevami glede nujnosti in sorazmernosti.</w:t>
            </w:r>
            <w:r>
              <w:t xml:space="preserve"> </w:t>
            </w:r>
            <w:r>
              <w:rPr>
                <w:b/>
                <w:i/>
              </w:rPr>
              <w:t>Ta uredba tudi</w:t>
            </w:r>
            <w:r>
              <w:t xml:space="preserve"> ne </w:t>
            </w:r>
            <w:r>
              <w:rPr>
                <w:b/>
                <w:i/>
              </w:rPr>
              <w:t>zagotavlja pravne podlage</w:t>
            </w:r>
            <w:r>
              <w:t xml:space="preserve"> za </w:t>
            </w:r>
            <w:r>
              <w:rPr>
                <w:b/>
                <w:i/>
              </w:rPr>
              <w:t>vzpostavitev</w:t>
            </w:r>
            <w:r>
              <w:t xml:space="preserve"> ali </w:t>
            </w:r>
            <w:r>
              <w:rPr>
                <w:b/>
                <w:i/>
              </w:rPr>
              <w:t>vodenje centralizirane zbirke</w:t>
            </w:r>
            <w:r>
              <w:t xml:space="preserve"> podatkov na ravni Unije.</w:t>
            </w:r>
          </w:p>
        </w:tc>
        <w:tc>
          <w:tcPr>
            <w:tcW w:w="4876" w:type="dxa"/>
            <w:tcBorders>
              <w:top w:val="nil"/>
              <w:left w:val="nil"/>
              <w:bottom w:val="nil"/>
              <w:right w:val="nil"/>
            </w:tcBorders>
          </w:tcPr>
          <w:p w:rsidR="00FE2F41" w:rsidRPr="00FE2F41" w:rsidRDefault="00F15DAA" w:rsidP="00B16A5A">
            <w:pPr>
              <w:pStyle w:val="Normal6a"/>
            </w:pPr>
            <w:r>
              <w:t>(19)</w:t>
            </w:r>
            <w:r>
              <w:tab/>
              <w:t>Ta uredba ne zagotavlja pravne podlage za vzpostavitev ali vodenje zbirk podatkov na nacionalni ravni za shranjevanje biometričnih podatkov v državah članicah</w:t>
            </w:r>
            <w:r>
              <w:rPr>
                <w:b/>
                <w:i/>
              </w:rPr>
              <w:t>.</w:t>
            </w:r>
            <w:r>
              <w:t xml:space="preserve"> </w:t>
            </w:r>
            <w:r>
              <w:rPr>
                <w:b/>
                <w:i/>
              </w:rPr>
              <w:t>Ta uredba tudi ne zagotavlja pravne podlage za vzpostavitev ali vodenje centralizirane zbirke</w:t>
            </w:r>
            <w:r>
              <w:t xml:space="preserve"> podatkov</w:t>
            </w:r>
            <w:r>
              <w:rPr>
                <w:b/>
                <w:i/>
              </w:rPr>
              <w:t xml:space="preserve"> na ravni Unije.</w:t>
            </w:r>
            <w:r>
              <w:t xml:space="preserve"> </w:t>
            </w:r>
            <w:r>
              <w:rPr>
                <w:b/>
                <w:i/>
              </w:rPr>
              <w:t>Biometrični podatki, obdelani za namene te uredbe, se ne bi smeli obdelovati za druge namene ali hraniti v zbirkah podatkov na nacionalni ravni ali ravni Unije.</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w:t>
      </w:r>
      <w:r>
        <w:rPr>
          <w:rStyle w:val="HideTWBExt"/>
        </w:rPr>
        <w:t>&lt;/NumAm&gt;</w:t>
      </w:r>
    </w:p>
    <w:p w:rsidR="00FE2F41" w:rsidRPr="00FE2F41" w:rsidRDefault="00F15DAA" w:rsidP="00FE2F41">
      <w:pPr>
        <w:pStyle w:val="NormalBold"/>
      </w:pPr>
      <w:r>
        <w:rPr>
          <w:rStyle w:val="HideTWBExt"/>
          <w:b w:val="0"/>
        </w:rPr>
        <w:t>&lt;RepeatBlock-By&gt;&lt;Members&gt;</w:t>
      </w:r>
      <w:r>
        <w:t>Anna Strolenberg</w:t>
      </w:r>
      <w:r>
        <w:rPr>
          <w:rStyle w:val="HideTWBExt"/>
          <w:b w:val="0"/>
        </w:rPr>
        <w:t>&lt;/Members&gt;</w:t>
      </w:r>
    </w:p>
    <w:p w:rsidR="00FE2F41" w:rsidRPr="00FE2F41" w:rsidRDefault="00F15DAA" w:rsidP="00FE2F41">
      <w:r>
        <w:rPr>
          <w:rStyle w:val="HideTWBExt"/>
        </w:rPr>
        <w:t>&lt;AuNomDe&gt;</w:t>
      </w:r>
      <w:r>
        <w:rPr>
          <w:rStyle w:val="HideTWBInt"/>
          <w:color w:val="auto"/>
        </w:rPr>
        <w:t>{Greens/EFA}</w:t>
      </w:r>
      <w:r>
        <w:t>v imenu skupine Verts/ALE</w:t>
      </w:r>
      <w:r>
        <w:rPr>
          <w:rStyle w:val="HideTWBExt"/>
        </w:rPr>
        <w:t>&lt;/AuNomDe&gt;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(19)</w:t>
            </w:r>
            <w:r>
              <w:tab/>
              <w:t>Ta uredba ne zagotavlja pravne podlage za vzpostavitev ali vodenje zbirk podatkov na nacionalni ravni za shranjevanje biometričnih podatkov v državah članicah</w:t>
            </w:r>
            <w:r>
              <w:rPr>
                <w:b/>
                <w:i/>
              </w:rPr>
              <w:t>, kar je vprašanje nacionalnega prava, ki mora biti skladno s pravom Unije na področju varstva</w:t>
            </w:r>
            <w:r>
              <w:t xml:space="preserve"> podatkov</w:t>
            </w:r>
            <w:r>
              <w:rPr>
                <w:b/>
                <w:i/>
              </w:rPr>
              <w:t>, tudi s tam določenimi zahtevami glede nujnosti in sorazmernosti.</w:t>
            </w:r>
            <w:r>
              <w:t xml:space="preserve"> </w:t>
            </w:r>
            <w:r>
              <w:rPr>
                <w:b/>
                <w:i/>
              </w:rPr>
              <w:t>Ta uredba tudi</w:t>
            </w:r>
            <w:r>
              <w:t xml:space="preserve"> ne </w:t>
            </w:r>
            <w:r>
              <w:rPr>
                <w:b/>
                <w:i/>
              </w:rPr>
              <w:t>zagotavlja pravne podlage</w:t>
            </w:r>
            <w:r>
              <w:t xml:space="preserve"> za </w:t>
            </w:r>
            <w:r>
              <w:rPr>
                <w:b/>
                <w:i/>
              </w:rPr>
              <w:t>vzpostavitev</w:t>
            </w:r>
            <w:r>
              <w:t xml:space="preserve"> ali </w:t>
            </w:r>
            <w:r>
              <w:rPr>
                <w:b/>
                <w:i/>
              </w:rPr>
              <w:t>vodenje centralizirane zbirke</w:t>
            </w:r>
            <w:r>
              <w:t xml:space="preserve"> podatkov na ravni Unije.</w:t>
            </w:r>
          </w:p>
        </w:tc>
        <w:tc>
          <w:tcPr>
            <w:tcW w:w="4876" w:type="dxa"/>
            <w:tcBorders>
              <w:top w:val="nil"/>
              <w:left w:val="nil"/>
              <w:bottom w:val="nil"/>
              <w:right w:val="nil"/>
            </w:tcBorders>
          </w:tcPr>
          <w:p w:rsidR="00FE2F41" w:rsidRPr="00FE2F41" w:rsidRDefault="00F15DAA" w:rsidP="00B16A5A">
            <w:pPr>
              <w:pStyle w:val="Normal6a"/>
            </w:pPr>
            <w:r>
              <w:t>(19)</w:t>
            </w:r>
            <w:r>
              <w:tab/>
              <w:t>Ta uredba ne zagotavlja pravne podlage za vzpostavitev ali vodenje zbirk podatkov na nacionalni ravni za shranjevanje biometričnih podatkov v državah članicah</w:t>
            </w:r>
            <w:r>
              <w:rPr>
                <w:b/>
                <w:i/>
              </w:rPr>
              <w:t>.</w:t>
            </w:r>
            <w:r>
              <w:t xml:space="preserve"> </w:t>
            </w:r>
            <w:r>
              <w:rPr>
                <w:b/>
                <w:i/>
              </w:rPr>
              <w:t>Ta uredba tudi ne zagotavlja pravne podlage za vzpostavitev ali vodenje centralizirane zbirke</w:t>
            </w:r>
            <w:r>
              <w:t xml:space="preserve"> podatkov</w:t>
            </w:r>
            <w:r>
              <w:rPr>
                <w:b/>
                <w:i/>
              </w:rPr>
              <w:t xml:space="preserve"> na ravni Unije.</w:t>
            </w:r>
            <w:r>
              <w:t xml:space="preserve"> </w:t>
            </w:r>
            <w:r>
              <w:rPr>
                <w:b/>
                <w:i/>
              </w:rPr>
              <w:t>Biometrični podatki, obdelani za namene te uredbe, se ne bi smeli obdelovati za druge namene ali hraniti v zbirkah podatkov na nacionalni ravni ali ravni Unije.</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5</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(19)</w:t>
            </w:r>
            <w:r>
              <w:tab/>
              <w:t>Ta uredba ne zagotavlja pravne podlage za vzpostavitev ali vodenje zbirk podatkov na nacionalni ravni za shranjevanje biometričnih podatkov v državah članicah</w:t>
            </w:r>
            <w:r>
              <w:rPr>
                <w:b/>
                <w:i/>
              </w:rPr>
              <w:t>, kar je vprašanje nacionalnega prava, ki mora biti skladno s pravom Unije na področju varstva</w:t>
            </w:r>
            <w:r>
              <w:t xml:space="preserve"> podatkov</w:t>
            </w:r>
            <w:r>
              <w:rPr>
                <w:b/>
                <w:i/>
              </w:rPr>
              <w:t>, tudi s tam določenimi zahtevami glede nujnosti in sorazmernosti.</w:t>
            </w:r>
            <w:r>
              <w:t xml:space="preserve"> </w:t>
            </w:r>
            <w:r>
              <w:rPr>
                <w:b/>
                <w:i/>
              </w:rPr>
              <w:t>Ta uredba tudi</w:t>
            </w:r>
            <w:r>
              <w:t xml:space="preserve"> ne </w:t>
            </w:r>
            <w:r>
              <w:rPr>
                <w:b/>
                <w:i/>
              </w:rPr>
              <w:t>zagotavlja pravne podlage</w:t>
            </w:r>
            <w:r>
              <w:t xml:space="preserve"> za </w:t>
            </w:r>
            <w:r>
              <w:rPr>
                <w:b/>
                <w:i/>
              </w:rPr>
              <w:t>vzpostavitev</w:t>
            </w:r>
            <w:r>
              <w:t xml:space="preserve"> ali </w:t>
            </w:r>
            <w:r>
              <w:rPr>
                <w:b/>
                <w:i/>
              </w:rPr>
              <w:t>vodenje centralizirane zbirke</w:t>
            </w:r>
            <w:r>
              <w:t xml:space="preserve"> podatkov na ravni Unije.</w:t>
            </w:r>
          </w:p>
        </w:tc>
        <w:tc>
          <w:tcPr>
            <w:tcW w:w="4876" w:type="dxa"/>
            <w:tcBorders>
              <w:top w:val="nil"/>
              <w:left w:val="nil"/>
              <w:bottom w:val="nil"/>
              <w:right w:val="nil"/>
            </w:tcBorders>
          </w:tcPr>
          <w:p w:rsidR="00FE2F41" w:rsidRPr="00FE2F41" w:rsidRDefault="00F15DAA" w:rsidP="00B16A5A">
            <w:pPr>
              <w:pStyle w:val="Normal6a"/>
            </w:pPr>
            <w:r>
              <w:t>(19)</w:t>
            </w:r>
            <w:r>
              <w:tab/>
              <w:t>Ta uredba ne zagotavlja pravne podlage za vzpostavitev ali vodenje zbirk podatkov na nacionalni ravni za shranjevanje biometričnih podatkov v državah članicah</w:t>
            </w:r>
            <w:r>
              <w:rPr>
                <w:b/>
                <w:i/>
              </w:rPr>
              <w:t>.</w:t>
            </w:r>
            <w:r>
              <w:t xml:space="preserve"> </w:t>
            </w:r>
            <w:r>
              <w:rPr>
                <w:b/>
                <w:i/>
              </w:rPr>
              <w:t>Ta uredba tudi ne zagotavlja pravne podlage za vzpostavitev ali vodenje centralizirane zbirke</w:t>
            </w:r>
            <w:r>
              <w:t xml:space="preserve"> podatkov</w:t>
            </w:r>
            <w:r>
              <w:rPr>
                <w:b/>
                <w:i/>
              </w:rPr>
              <w:t xml:space="preserve"> na ravni Unije.</w:t>
            </w:r>
            <w:r>
              <w:t xml:space="preserve"> </w:t>
            </w:r>
            <w:r>
              <w:rPr>
                <w:b/>
                <w:i/>
              </w:rPr>
              <w:t>Biometrični podatki, obdelani za namene te uredbe, se ne bi smeli obdelovati za druge namene ali hraniti v zbirkah podatkov na nacionalni ravni ali ravni Unije.</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0"/>
        <w:keepNext/>
      </w:pPr>
      <w:r>
        <w:rPr>
          <w:rStyle w:val="HideTWBExt"/>
          <w:b w:val="0"/>
        </w:rPr>
        <w:t>&lt;Amend&gt;</w:t>
      </w:r>
      <w:r>
        <w:t>Predlog spremembe</w:t>
      </w:r>
      <w:r>
        <w:tab/>
      </w:r>
      <w:r>
        <w:tab/>
      </w:r>
      <w:r>
        <w:rPr>
          <w:rStyle w:val="HideTWBExt"/>
          <w:b w:val="0"/>
        </w:rPr>
        <w:t>&lt;NumAm&gt;</w:t>
      </w:r>
      <w:r>
        <w:t>6</w:t>
      </w:r>
      <w:r>
        <w:rPr>
          <w:rStyle w:val="HideTWBExt"/>
          <w:b w:val="0"/>
        </w:rPr>
        <w:t>&lt;/NumAm&gt;</w:t>
      </w:r>
    </w:p>
    <w:p w:rsidR="00FE2F41" w:rsidRPr="00FE2F41" w:rsidRDefault="00F15DAA" w:rsidP="00FE2F41">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E2F41" w:rsidRPr="00FE2F41" w:rsidRDefault="00F15DAA" w:rsidP="00FE2F41">
      <w:r>
        <w:rPr>
          <w:rStyle w:val="HideTWBExt"/>
        </w:rPr>
        <w:t>&lt;/RepeatBlock-By&gt;</w:t>
      </w:r>
    </w:p>
    <w:p w:rsidR="00FE2F41" w:rsidRPr="00FE2F41" w:rsidRDefault="00F15DAA" w:rsidP="00FE2F41">
      <w:pPr>
        <w:pStyle w:val="NormalBold"/>
        <w:keepNext/>
      </w:pPr>
      <w:r>
        <w:rPr>
          <w:rStyle w:val="HideTWBExt"/>
          <w:b w:val="0"/>
        </w:rPr>
        <w:t>&lt;DocAmend&gt;</w:t>
      </w:r>
      <w:r>
        <w:t>Predlog uredbe</w:t>
      </w:r>
      <w:r>
        <w:rPr>
          <w:rStyle w:val="HideTWBExt"/>
          <w:b w:val="0"/>
        </w:rPr>
        <w:t>&lt;/DocAmend&gt;</w:t>
      </w:r>
    </w:p>
    <w:p w:rsidR="00FE2F41" w:rsidRPr="00FE2F41" w:rsidRDefault="00F15DAA" w:rsidP="00FE2F41">
      <w:pPr>
        <w:pStyle w:val="NormalBold"/>
      </w:pPr>
      <w:r>
        <w:rPr>
          <w:rStyle w:val="HideTWBExt"/>
          <w:b w:val="0"/>
        </w:rPr>
        <w:t>&lt;Article&gt;</w:t>
      </w:r>
      <w:r>
        <w:t>Uvodna izjava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5521" w:rsidTr="00B16A5A">
        <w:trPr>
          <w:jc w:val="center"/>
        </w:trPr>
        <w:tc>
          <w:tcPr>
            <w:tcW w:w="9752" w:type="dxa"/>
            <w:gridSpan w:val="2"/>
          </w:tcPr>
          <w:p w:rsidR="00FE2F41" w:rsidRPr="00FE2F41" w:rsidRDefault="00FE2F41" w:rsidP="00B16A5A">
            <w:pPr>
              <w:keepNext/>
            </w:pPr>
          </w:p>
        </w:tc>
      </w:tr>
      <w:tr w:rsidR="00FC5521" w:rsidTr="00B16A5A">
        <w:trPr>
          <w:jc w:val="center"/>
        </w:trPr>
        <w:tc>
          <w:tcPr>
            <w:tcW w:w="4876" w:type="dxa"/>
          </w:tcPr>
          <w:p w:rsidR="00FE2F41" w:rsidRPr="00FE2F41" w:rsidRDefault="00F15DAA" w:rsidP="00B16A5A">
            <w:pPr>
              <w:pStyle w:val="ColumnHeading"/>
              <w:keepNext/>
            </w:pPr>
            <w:r>
              <w:t>Besedilo, ki ga predlaga Komisija</w:t>
            </w:r>
          </w:p>
        </w:tc>
        <w:tc>
          <w:tcPr>
            <w:tcW w:w="4876" w:type="dxa"/>
          </w:tcPr>
          <w:p w:rsidR="00FE2F41" w:rsidRPr="00FE2F41" w:rsidRDefault="00F15DAA" w:rsidP="00B16A5A">
            <w:pPr>
              <w:pStyle w:val="ColumnHeading"/>
              <w:keepNext/>
            </w:pPr>
            <w:r>
              <w:t>Predlog spremembe</w:t>
            </w:r>
          </w:p>
        </w:tc>
      </w:tr>
      <w:tr w:rsidR="00FC5521" w:rsidTr="00B16A5A">
        <w:trPr>
          <w:jc w:val="center"/>
        </w:trPr>
        <w:tc>
          <w:tcPr>
            <w:tcW w:w="4876" w:type="dxa"/>
          </w:tcPr>
          <w:p w:rsidR="00FE2F41" w:rsidRPr="00FE2F41" w:rsidRDefault="00F15DAA" w:rsidP="00B16A5A">
            <w:pPr>
              <w:pStyle w:val="Normal6"/>
            </w:pPr>
            <w:r>
              <w:t>(20)</w:t>
            </w:r>
            <w:r>
              <w:tab/>
            </w:r>
            <w:r>
              <w:rPr>
                <w:b/>
                <w:i/>
              </w:rPr>
              <w:t>Biometrične identifikatorje bi bilo treba za namene preverjanja verodostojnosti</w:t>
            </w:r>
            <w:r>
              <w:t xml:space="preserve"> dokumentov </w:t>
            </w:r>
            <w:r>
              <w:rPr>
                <w:b/>
                <w:i/>
              </w:rPr>
              <w:t>in identitete imetnika zbirati in shranjevati na pomnilniškem mediju osebnih izkaznic</w:t>
            </w:r>
            <w:r>
              <w:t xml:space="preserve"> in </w:t>
            </w:r>
            <w:r>
              <w:rPr>
                <w:b/>
                <w:i/>
              </w:rPr>
              <w:t>dokumentov</w:t>
            </w:r>
            <w:r>
              <w:t xml:space="preserve"> za </w:t>
            </w:r>
            <w:r>
              <w:rPr>
                <w:b/>
                <w:i/>
              </w:rPr>
              <w:t>prebivanje.</w:t>
            </w:r>
            <w:r>
              <w:t xml:space="preserve"> </w:t>
            </w:r>
            <w:r>
              <w:rPr>
                <w:b/>
                <w:i/>
              </w:rPr>
              <w:t>Ker je na pomnilniškem mediju osebnih izkaznic elektronski podpis, je identifikacija imetnika prek pomnilniškega medija, v katerem so isti biografski podatki, kot so natisnjeni na dokumentu, zanesljivejša od vizualnega pregleda dokumenta.</w:t>
            </w:r>
            <w:r>
              <w:t xml:space="preserve"> </w:t>
            </w:r>
            <w:r>
              <w:rPr>
                <w:b/>
                <w:i/>
              </w:rPr>
              <w:t>Državljanom Unije</w:t>
            </w:r>
            <w:r>
              <w:t xml:space="preserve"> bi </w:t>
            </w:r>
            <w:r>
              <w:rPr>
                <w:b/>
                <w:i/>
              </w:rPr>
              <w:t>bilo zato</w:t>
            </w:r>
            <w:r>
              <w:t xml:space="preserve"> treba </w:t>
            </w:r>
            <w:r>
              <w:rPr>
                <w:b/>
                <w:i/>
              </w:rPr>
              <w:t>omogočiti</w:t>
            </w:r>
            <w:r>
              <w:t xml:space="preserve">, </w:t>
            </w:r>
            <w:r>
              <w:rPr>
                <w:b/>
                <w:i/>
              </w:rPr>
              <w:t>da podatke</w:t>
            </w:r>
            <w:r>
              <w:t xml:space="preserve">, </w:t>
            </w:r>
            <w:r>
              <w:rPr>
                <w:b/>
                <w:i/>
              </w:rPr>
              <w:t>shranjene v pomnilniškem mediju njihove osebne izkaznice, uporabijo za identifikacijo pred zasebnimi subjekti. Vendar pa bi lahko prstne odtise, shranjene v pomnilniškem mediju, preverjalo le</w:t>
            </w:r>
            <w:r>
              <w:t xml:space="preserve"> ustrezno </w:t>
            </w:r>
            <w:r>
              <w:rPr>
                <w:b/>
                <w:i/>
              </w:rPr>
              <w:t>pooblaščeno osebje in le</w:t>
            </w:r>
            <w:r>
              <w:t xml:space="preserve">, </w:t>
            </w:r>
            <w:r>
              <w:rPr>
                <w:b/>
                <w:i/>
              </w:rPr>
              <w:t>kadar zakon zahteva predložitev dokumenta</w:t>
            </w:r>
            <w:r>
              <w:t>.</w:t>
            </w:r>
          </w:p>
        </w:tc>
        <w:tc>
          <w:tcPr>
            <w:tcW w:w="4876" w:type="dxa"/>
          </w:tcPr>
          <w:p w:rsidR="00FE2F41" w:rsidRPr="00FE2F41" w:rsidRDefault="00F15DAA" w:rsidP="00B16A5A">
            <w:pPr>
              <w:pStyle w:val="Normal6"/>
              <w:rPr>
                <w:szCs w:val="24"/>
              </w:rPr>
            </w:pPr>
            <w:r>
              <w:t>(20)</w:t>
            </w:r>
            <w:r>
              <w:tab/>
            </w:r>
            <w:r>
              <w:rPr>
                <w:b/>
                <w:i/>
              </w:rPr>
              <w:t>Do podobe obraza, shranjene v pomnilniškem mediju osebnih izkaznic in</w:t>
            </w:r>
            <w:r>
              <w:t xml:space="preserve"> dokumentov </w:t>
            </w:r>
            <w:r>
              <w:rPr>
                <w:b/>
                <w:i/>
              </w:rPr>
              <w:t>za prebivanje, bi moralo imeti dostop samo ustrezno pooblaščeno osebje pristojnih nacionalnih organov, agencij Unije</w:t>
            </w:r>
            <w:r>
              <w:t xml:space="preserve"> in </w:t>
            </w:r>
            <w:r>
              <w:rPr>
                <w:b/>
                <w:i/>
              </w:rPr>
              <w:t>zasebnih subjektov</w:t>
            </w:r>
            <w:r>
              <w:t xml:space="preserve"> za </w:t>
            </w:r>
            <w:r>
              <w:rPr>
                <w:b/>
                <w:i/>
              </w:rPr>
              <w:t>namene preverjanja verodostojnosti dokumentov in identitete imetnika.</w:t>
            </w:r>
            <w:r>
              <w:t xml:space="preserve"> </w:t>
            </w:r>
            <w:r>
              <w:rPr>
                <w:b/>
                <w:i/>
              </w:rPr>
              <w:t>Takšen dostop bi moral biti skladen s pravom Unije o varstvu podatkov. Podoba obraza ne bi smeli hraniti dlje</w:t>
            </w:r>
            <w:r>
              <w:t xml:space="preserve">, </w:t>
            </w:r>
            <w:r>
              <w:rPr>
                <w:b/>
                <w:i/>
              </w:rPr>
              <w:t>kot je potrebno za te namene, izbrisati</w:t>
            </w:r>
            <w:r>
              <w:t xml:space="preserve"> bi </w:t>
            </w:r>
            <w:r>
              <w:rPr>
                <w:b/>
                <w:i/>
              </w:rPr>
              <w:t>jo bilo</w:t>
            </w:r>
            <w:r>
              <w:t xml:space="preserve"> treba </w:t>
            </w:r>
            <w:r>
              <w:rPr>
                <w:b/>
                <w:i/>
              </w:rPr>
              <w:t>takoj</w:t>
            </w:r>
            <w:r>
              <w:t xml:space="preserve">, </w:t>
            </w:r>
            <w:r>
              <w:rPr>
                <w:b/>
                <w:i/>
              </w:rPr>
              <w:t>ko so ti nameni doseženi</w:t>
            </w:r>
            <w:r>
              <w:t xml:space="preserve">, </w:t>
            </w:r>
            <w:r>
              <w:rPr>
                <w:b/>
                <w:i/>
              </w:rPr>
              <w:t>in je ne bi smeli posredovati tretjim državam ali mednarodnim organizacijam, razen če to dovoljuje pravo Unije o varstvu podatkov. Namen teh zaščitnih ukrepov je zagotoviti</w:t>
            </w:r>
            <w:r>
              <w:t xml:space="preserve"> ustrezno </w:t>
            </w:r>
            <w:r>
              <w:rPr>
                <w:b/>
                <w:i/>
              </w:rPr>
              <w:t>zaščito podobe obraza</w:t>
            </w:r>
            <w:r>
              <w:t xml:space="preserve">, </w:t>
            </w:r>
            <w:r>
              <w:rPr>
                <w:b/>
                <w:i/>
              </w:rPr>
              <w:t>brez da bi prepovedali njeno uporabo</w:t>
            </w:r>
            <w:r>
              <w:t>.</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7</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(20)</w:t>
            </w:r>
            <w:r>
              <w:tab/>
              <w:t xml:space="preserve">Biometrične identifikatorje bi bilo treba za namene preverjanja verodostojnosti dokumentov in identitete imetnika zbirati in shranjevati na pomnilniškem mediju osebnih izkaznic in dokumentov za prebivanje. </w:t>
            </w:r>
            <w:r>
              <w:rPr>
                <w:b/>
                <w:i/>
              </w:rPr>
              <w:t>Ker je na pomnilniškem mediju osebnih izkaznic elektronski podpis, je identifikacija imetnika prek pomnilniškega medija, v katerem so isti biografski podatki, kot so natisnjeni na dokumentu, zanesljivejša od vizualnega pregleda dokumenta. Državljanom Unije bi bilo zato treba omogočiti, da podatke, shranjene v pomnilniškem mediju njihove osebne izkaznice, uporabijo za identifikacijo pred zasebnimi subjekti. Vendar pa</w:t>
            </w:r>
            <w:r>
              <w:t xml:space="preserve"> bi </w:t>
            </w:r>
            <w:r>
              <w:rPr>
                <w:b/>
                <w:i/>
              </w:rPr>
              <w:t>lahko prstne odtise, shranjene v pomnilniškem mediju, preverjalo le ustrezno pooblaščeno osebje in le, kadar zakon zahteva predložitev dokumenta</w:t>
            </w:r>
            <w:r>
              <w:t>.</w:t>
            </w:r>
          </w:p>
        </w:tc>
        <w:tc>
          <w:tcPr>
            <w:tcW w:w="4876" w:type="dxa"/>
            <w:tcBorders>
              <w:top w:val="nil"/>
              <w:left w:val="nil"/>
              <w:bottom w:val="nil"/>
              <w:right w:val="nil"/>
            </w:tcBorders>
          </w:tcPr>
          <w:p w:rsidR="00FE2F41" w:rsidRPr="00FE2F41" w:rsidRDefault="00F15DAA" w:rsidP="00B16A5A">
            <w:pPr>
              <w:pStyle w:val="Normal6a"/>
            </w:pPr>
            <w:r>
              <w:t>(20)</w:t>
            </w:r>
            <w:r>
              <w:tab/>
              <w:t xml:space="preserve">Biometrične identifikatorje bi bilo treba za namene preverjanja verodostojnosti dokumentov in identitete imetnika zbirati in shranjevati na pomnilniškem mediju osebnih izkaznic in dokumentov za prebivanje. </w:t>
            </w:r>
            <w:r>
              <w:rPr>
                <w:b/>
                <w:i/>
              </w:rPr>
              <w:t>To preverjanje bi lahko izvajalo le ustrezno pooblaščeno osebje in le</w:t>
            </w:r>
            <w:r>
              <w:t xml:space="preserve">, </w:t>
            </w:r>
            <w:r>
              <w:rPr>
                <w:b/>
                <w:i/>
              </w:rPr>
              <w:t>kadar zakon zahteva predložitev dokumenta.</w:t>
            </w:r>
            <w:r>
              <w:t xml:space="preserve"> </w:t>
            </w:r>
            <w:r>
              <w:rPr>
                <w:b/>
                <w:i/>
              </w:rPr>
              <w:t>Biometrične podatke bi bilo treba za namene personalizacije osebnih izkaznic ali dokumentov za prebivanje shranjevati zelo varno in le do prevzema dokumenta, vsekakor pa največ 90 dni od datuma izdaje dokumenta. Po preteku tega obdobja bi bilo treba navedene biometrične podatke takoj izbrisati ali uničiti. To ne bi smelo vplivati na morebitno drugo obdelavo teh podatkov v skladu s pravom Unije ali nacionalnim pravom na področju varstva podatkov.</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0"/>
        <w:keepNext/>
      </w:pPr>
      <w:r>
        <w:rPr>
          <w:rStyle w:val="HideTWBExt"/>
          <w:b w:val="0"/>
        </w:rPr>
        <w:t>&lt;Amend&gt;</w:t>
      </w:r>
      <w:r>
        <w:t>Predlog spremembe</w:t>
      </w:r>
      <w:r>
        <w:tab/>
      </w:r>
      <w:r>
        <w:tab/>
      </w:r>
      <w:r>
        <w:rPr>
          <w:rStyle w:val="HideTWBExt"/>
          <w:b w:val="0"/>
        </w:rPr>
        <w:t>&lt;NumAm&gt;</w:t>
      </w:r>
      <w:r>
        <w:t>8</w:t>
      </w:r>
      <w:r>
        <w:rPr>
          <w:rStyle w:val="HideTWBExt"/>
          <w:b w:val="0"/>
        </w:rPr>
        <w:t>&lt;/NumAm&gt;</w:t>
      </w:r>
    </w:p>
    <w:p w:rsidR="00FE2F41" w:rsidRPr="00FE2F41" w:rsidRDefault="00F15DAA" w:rsidP="00FE2F41">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E2F41" w:rsidRPr="00FE2F41" w:rsidRDefault="00F15DAA" w:rsidP="00FE2F41">
      <w:r>
        <w:rPr>
          <w:rStyle w:val="HideTWBExt"/>
        </w:rPr>
        <w:t>&lt;/RepeatBlock-By&gt;</w:t>
      </w:r>
    </w:p>
    <w:p w:rsidR="00FE2F41" w:rsidRPr="00FE2F41" w:rsidRDefault="00F15DAA" w:rsidP="00FE2F41">
      <w:pPr>
        <w:pStyle w:val="NormalBold"/>
        <w:keepNext/>
      </w:pPr>
      <w:r>
        <w:rPr>
          <w:rStyle w:val="HideTWBExt"/>
          <w:b w:val="0"/>
        </w:rPr>
        <w:t>&lt;DocAmend&gt;</w:t>
      </w:r>
      <w:r>
        <w:t>Predlog uredbe</w:t>
      </w:r>
      <w:r>
        <w:rPr>
          <w:rStyle w:val="HideTWBExt"/>
          <w:b w:val="0"/>
        </w:rPr>
        <w:t>&lt;/DocAmend&gt;</w:t>
      </w:r>
    </w:p>
    <w:p w:rsidR="00FE2F41" w:rsidRPr="00FE2F41" w:rsidRDefault="00F15DAA" w:rsidP="00FE2F41">
      <w:pPr>
        <w:pStyle w:val="NormalBold"/>
      </w:pPr>
      <w:r>
        <w:rPr>
          <w:rStyle w:val="HideTWBExt"/>
          <w:b w:val="0"/>
        </w:rPr>
        <w:t>&lt;Article&gt;</w:t>
      </w:r>
      <w:r>
        <w:t>Uvodna izjava 20 a (novo)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5521" w:rsidTr="00B16A5A">
        <w:trPr>
          <w:jc w:val="center"/>
        </w:trPr>
        <w:tc>
          <w:tcPr>
            <w:tcW w:w="9752" w:type="dxa"/>
            <w:gridSpan w:val="2"/>
          </w:tcPr>
          <w:p w:rsidR="00FE2F41" w:rsidRPr="00FE2F41" w:rsidRDefault="00FE2F41" w:rsidP="00B16A5A">
            <w:pPr>
              <w:keepNext/>
            </w:pPr>
          </w:p>
        </w:tc>
      </w:tr>
      <w:tr w:rsidR="00FC5521" w:rsidTr="00B16A5A">
        <w:trPr>
          <w:jc w:val="center"/>
        </w:trPr>
        <w:tc>
          <w:tcPr>
            <w:tcW w:w="4876" w:type="dxa"/>
          </w:tcPr>
          <w:p w:rsidR="00FE2F41" w:rsidRPr="00FE2F41" w:rsidRDefault="00F15DAA" w:rsidP="00B16A5A">
            <w:pPr>
              <w:pStyle w:val="ColumnHeading"/>
              <w:keepNext/>
            </w:pPr>
            <w:r>
              <w:t>Besedilo, ki ga predlaga Komisija</w:t>
            </w:r>
          </w:p>
        </w:tc>
        <w:tc>
          <w:tcPr>
            <w:tcW w:w="4876" w:type="dxa"/>
          </w:tcPr>
          <w:p w:rsidR="00FE2F41" w:rsidRPr="00FE2F41" w:rsidRDefault="00F15DAA" w:rsidP="00B16A5A">
            <w:pPr>
              <w:pStyle w:val="ColumnHeading"/>
              <w:keepNext/>
            </w:pPr>
            <w:r>
              <w:t>Predlog spremembe</w:t>
            </w:r>
          </w:p>
        </w:tc>
      </w:tr>
      <w:tr w:rsidR="00FC5521" w:rsidTr="00B16A5A">
        <w:trPr>
          <w:jc w:val="center"/>
        </w:trPr>
        <w:tc>
          <w:tcPr>
            <w:tcW w:w="4876" w:type="dxa"/>
          </w:tcPr>
          <w:p w:rsidR="00FE2F41" w:rsidRPr="00FE2F41" w:rsidRDefault="00FE2F41" w:rsidP="00B16A5A">
            <w:pPr>
              <w:pStyle w:val="Normal6"/>
            </w:pPr>
          </w:p>
        </w:tc>
        <w:tc>
          <w:tcPr>
            <w:tcW w:w="4876" w:type="dxa"/>
          </w:tcPr>
          <w:p w:rsidR="00FE2F41" w:rsidRPr="00FE2F41" w:rsidRDefault="00F15DAA" w:rsidP="00B16A5A">
            <w:pPr>
              <w:pStyle w:val="Normal6"/>
              <w:rPr>
                <w:szCs w:val="24"/>
              </w:rPr>
            </w:pPr>
            <w:r>
              <w:rPr>
                <w:b/>
                <w:i/>
              </w:rPr>
              <w:t>(20a)</w:t>
            </w:r>
            <w:r>
              <w:rPr>
                <w:b/>
                <w:i/>
              </w:rPr>
              <w:tab/>
              <w:t>Prstne odtise, shranjene v pomnilniškem mediju, bi lahko preverjalo le ustrezno pooblaščeno osebje pristojnih nacionalnih organov in agencij Unije in le, kadar predložitev dokumenta zahteva zakonodaja Unije ali nacionalna zakonodaja.</w:t>
            </w:r>
          </w:p>
        </w:tc>
      </w:tr>
    </w:tbl>
    <w:p w:rsidR="00FE2F41" w:rsidRPr="00FE2F41" w:rsidRDefault="00F15DAA" w:rsidP="00FE2F41">
      <w:pPr>
        <w:pStyle w:val="Olang"/>
        <w:rPr>
          <w:sz w:val="24"/>
          <w:szCs w:val="24"/>
        </w:rPr>
      </w:pPr>
      <w:r w:rsidRPr="00FE2F41">
        <w:rPr>
          <w:sz w:val="24"/>
          <w:szCs w:val="24"/>
        </w:rPr>
        <w:t xml:space="preserve">Or. </w:t>
      </w:r>
      <w:r w:rsidRPr="00FE2F41">
        <w:rPr>
          <w:rStyle w:val="HideTWBExt"/>
        </w:rPr>
        <w:t>&lt;Original&gt;</w:t>
      </w:r>
      <w:r w:rsidRPr="00FE2F41">
        <w:rPr>
          <w:rStyle w:val="HideTWBInt"/>
          <w:sz w:val="24"/>
          <w:szCs w:val="24"/>
        </w:rPr>
        <w:t>{EN}</w:t>
      </w:r>
      <w:r w:rsidRPr="00FE2F41">
        <w:rPr>
          <w:sz w:val="24"/>
          <w:szCs w:val="24"/>
        </w:rPr>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0"/>
        <w:keepNext/>
      </w:pPr>
      <w:r>
        <w:rPr>
          <w:rStyle w:val="HideTWBExt"/>
          <w:b w:val="0"/>
        </w:rPr>
        <w:t>&lt;Amend&gt;</w:t>
      </w:r>
      <w:r>
        <w:t>Predlog spremembe</w:t>
      </w:r>
      <w:r>
        <w:tab/>
      </w:r>
      <w:r>
        <w:tab/>
      </w:r>
      <w:r>
        <w:rPr>
          <w:rStyle w:val="HideTWBExt"/>
          <w:b w:val="0"/>
        </w:rPr>
        <w:t>&lt;NumAm&gt;</w:t>
      </w:r>
      <w:r>
        <w:t>9</w:t>
      </w:r>
      <w:r>
        <w:rPr>
          <w:rStyle w:val="HideTWBExt"/>
          <w:b w:val="0"/>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r>
        <w:rPr>
          <w:rStyle w:val="HideTWBExt"/>
        </w:rPr>
        <w:t>&lt;/RepeatBlock-By&gt;</w:t>
      </w:r>
    </w:p>
    <w:p w:rsidR="00FE2F41" w:rsidRPr="00FE2F41" w:rsidRDefault="00F15DAA" w:rsidP="00FE2F41">
      <w:pPr>
        <w:pStyle w:val="NormalBold"/>
        <w:keepNext/>
      </w:pPr>
      <w:r>
        <w:rPr>
          <w:rStyle w:val="HideTWBExt"/>
          <w:b w:val="0"/>
        </w:rPr>
        <w:t>&lt;DocAmend&gt;</w:t>
      </w:r>
      <w:r>
        <w:t>Predlog uredbe</w:t>
      </w:r>
      <w:r>
        <w:rPr>
          <w:rStyle w:val="HideTWBExt"/>
          <w:b w:val="0"/>
        </w:rPr>
        <w:t>&lt;/DocAmend&gt;</w:t>
      </w:r>
    </w:p>
    <w:p w:rsidR="00FE2F41" w:rsidRPr="00FE2F41" w:rsidRDefault="00F15DAA" w:rsidP="00FE2F41">
      <w:pPr>
        <w:pStyle w:val="NormalBold"/>
      </w:pPr>
      <w:r>
        <w:rPr>
          <w:rStyle w:val="HideTWBExt"/>
          <w:b w:val="0"/>
        </w:rPr>
        <w:t>&lt;Article&gt;</w:t>
      </w:r>
      <w:r>
        <w:t>Uvodna izjava 20 a (novo)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5521" w:rsidTr="00B16A5A">
        <w:trPr>
          <w:jc w:val="center"/>
        </w:trPr>
        <w:tc>
          <w:tcPr>
            <w:tcW w:w="9752" w:type="dxa"/>
            <w:gridSpan w:val="2"/>
          </w:tcPr>
          <w:p w:rsidR="00FE2F41" w:rsidRPr="00FE2F41" w:rsidRDefault="00FE2F41" w:rsidP="00B16A5A">
            <w:pPr>
              <w:keepNext/>
            </w:pPr>
          </w:p>
        </w:tc>
      </w:tr>
      <w:tr w:rsidR="00FC5521" w:rsidTr="00B16A5A">
        <w:trPr>
          <w:jc w:val="center"/>
        </w:trPr>
        <w:tc>
          <w:tcPr>
            <w:tcW w:w="4876" w:type="dxa"/>
          </w:tcPr>
          <w:p w:rsidR="00FE2F41" w:rsidRPr="00FE2F41" w:rsidRDefault="00F15DAA" w:rsidP="00B16A5A">
            <w:pPr>
              <w:pStyle w:val="ColumnHeading"/>
              <w:keepNext/>
            </w:pPr>
            <w:r>
              <w:t>Besedilo, ki ga predlaga Komisija</w:t>
            </w:r>
          </w:p>
        </w:tc>
        <w:tc>
          <w:tcPr>
            <w:tcW w:w="4876" w:type="dxa"/>
          </w:tcPr>
          <w:p w:rsidR="00FE2F41" w:rsidRPr="00FE2F41" w:rsidRDefault="00F15DAA" w:rsidP="00B16A5A">
            <w:pPr>
              <w:pStyle w:val="ColumnHeading"/>
              <w:keepNext/>
            </w:pPr>
            <w:r>
              <w:t>Predlog spremembe</w:t>
            </w:r>
          </w:p>
        </w:tc>
      </w:tr>
      <w:tr w:rsidR="00FC5521" w:rsidTr="00B16A5A">
        <w:trPr>
          <w:jc w:val="center"/>
        </w:trPr>
        <w:tc>
          <w:tcPr>
            <w:tcW w:w="4876" w:type="dxa"/>
          </w:tcPr>
          <w:p w:rsidR="00FE2F41" w:rsidRPr="00FE2F41" w:rsidRDefault="00FE2F41" w:rsidP="00B16A5A">
            <w:pPr>
              <w:pStyle w:val="Normal6"/>
            </w:pPr>
          </w:p>
        </w:tc>
        <w:tc>
          <w:tcPr>
            <w:tcW w:w="4876" w:type="dxa"/>
          </w:tcPr>
          <w:p w:rsidR="00FE2F41" w:rsidRPr="00FE2F41" w:rsidRDefault="00F15DAA" w:rsidP="00B16A5A">
            <w:pPr>
              <w:pStyle w:val="Normal6"/>
              <w:rPr>
                <w:szCs w:val="24"/>
              </w:rPr>
            </w:pPr>
            <w:r>
              <w:rPr>
                <w:b/>
                <w:i/>
              </w:rPr>
              <w:t>(20a)</w:t>
            </w:r>
            <w:r>
              <w:rPr>
                <w:b/>
                <w:i/>
              </w:rPr>
              <w:tab/>
              <w:t>Od zasebnih subjektov bi bilo treba zahtevati, da za dostop do podobe obraza pridobijo soglasje imetnika. Privolitev posameznika, na katerega se nanašajo osebni podatki, bi bilo zato treba razumeti kot dodaten zaščitni ukrep in sama po sebi ne bi smela pomeniti pravne podlage za obdelavo s strani zasebnih subjektov.</w:t>
            </w:r>
          </w:p>
        </w:tc>
      </w:tr>
    </w:tbl>
    <w:p w:rsidR="00FE2F41" w:rsidRPr="00FE2F41" w:rsidRDefault="00F15DAA" w:rsidP="00FE2F41">
      <w:pPr>
        <w:pStyle w:val="Olang"/>
        <w:rPr>
          <w:sz w:val="24"/>
          <w:szCs w:val="24"/>
        </w:rPr>
      </w:pPr>
      <w:r w:rsidRPr="00FE2F41">
        <w:rPr>
          <w:sz w:val="24"/>
          <w:szCs w:val="24"/>
        </w:rPr>
        <w:t xml:space="preserve">Or. </w:t>
      </w:r>
      <w:r w:rsidRPr="00FE2F41">
        <w:rPr>
          <w:rStyle w:val="HideTWBExt"/>
        </w:rPr>
        <w:t>&lt;Original&gt;</w:t>
      </w:r>
      <w:r w:rsidRPr="00FE2F41">
        <w:rPr>
          <w:rStyle w:val="HideTWBInt"/>
          <w:sz w:val="24"/>
          <w:szCs w:val="24"/>
        </w:rPr>
        <w:t>{EN}</w:t>
      </w:r>
      <w:r w:rsidRPr="00FE2F41">
        <w:rPr>
          <w:sz w:val="24"/>
          <w:szCs w:val="24"/>
        </w:rPr>
        <w:t>en</w:t>
      </w:r>
      <w:r w:rsidRPr="00FE2F41">
        <w:rPr>
          <w:rStyle w:val="HideTWBExt"/>
        </w:rPr>
        <w:t>&lt;/Original&gt;</w:t>
      </w:r>
    </w:p>
    <w:p w:rsidR="00FE2F41" w:rsidRPr="00FE2F41" w:rsidRDefault="00F15DAA" w:rsidP="00FE2F41">
      <w:pPr>
        <w:pStyle w:val="JustificationTitle"/>
        <w:rPr>
          <w:noProof w:val="0"/>
        </w:rPr>
      </w:pPr>
      <w:r>
        <w:rPr>
          <w:rStyle w:val="HideTWBExt"/>
          <w:i w:val="0"/>
        </w:rPr>
        <w:t>&lt;TitreJust&gt;</w:t>
      </w:r>
      <w:r>
        <w:t>Obrazložitev</w:t>
      </w:r>
      <w:r>
        <w:rPr>
          <w:rStyle w:val="HideTWBExt"/>
          <w:i w:val="0"/>
        </w:rPr>
        <w:t>&lt;/TitreJust&gt;</w:t>
      </w:r>
    </w:p>
    <w:p w:rsidR="00FE2F41" w:rsidRPr="00FE2F41" w:rsidRDefault="00F15DAA" w:rsidP="00FE2F41">
      <w:pPr>
        <w:pStyle w:val="Normal12Italic"/>
        <w:rPr>
          <w:noProof w:val="0"/>
        </w:rPr>
      </w:pPr>
      <w:r>
        <w:t>Stališče skupine The Left ostaja, da zavrača možnost, ki je bila dana zasebnim subjektom, da imajo dostop do podobe obraza imetnika dokumenta. Upoštevaje spremembe Sveta pa gre za „nadomestno“ spremembo stališča, da bi se njegovo splošno stališče čim bolj omejilo. Namen tega predloga spremembe je predstaviti pozitivne dele besedila Sveta in okrepiti pravice posameznikov, na katere se nanašajo osebni podatki, če bi se dostop do podob obraza odobril zasebnim subjektom.</w:t>
      </w:r>
    </w:p>
    <w:p w:rsidR="00FE2F41" w:rsidRPr="00FE2F41" w:rsidRDefault="00F15DAA" w:rsidP="00FE2F41">
      <w:r>
        <w:rPr>
          <w:rStyle w:val="HideTWBExt"/>
        </w:rPr>
        <w:t>&lt;/Amend&gt;</w:t>
      </w:r>
    </w:p>
    <w:p w:rsidR="00FE2F41" w:rsidRPr="00FE2F41" w:rsidRDefault="00F15DAA" w:rsidP="00FE2F41">
      <w:pPr>
        <w:pStyle w:val="AMNumberTabs0"/>
        <w:keepNext/>
      </w:pPr>
      <w:r>
        <w:rPr>
          <w:rStyle w:val="HideTWBExt"/>
          <w:b w:val="0"/>
        </w:rPr>
        <w:t>&lt;Amend&gt;</w:t>
      </w:r>
      <w:r>
        <w:t>Predlog spremembe</w:t>
      </w:r>
      <w:r>
        <w:tab/>
      </w:r>
      <w:r>
        <w:tab/>
      </w:r>
      <w:r>
        <w:rPr>
          <w:rStyle w:val="HideTWBExt"/>
          <w:b w:val="0"/>
        </w:rPr>
        <w:t>&lt;NumAm&gt;</w:t>
      </w:r>
      <w:r>
        <w:t>10</w:t>
      </w:r>
      <w:r>
        <w:rPr>
          <w:rStyle w:val="HideTWBExt"/>
          <w:b w:val="0"/>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r>
        <w:rPr>
          <w:rStyle w:val="HideTWBExt"/>
        </w:rPr>
        <w:t>&lt;/RepeatBlock-By&gt;</w:t>
      </w:r>
    </w:p>
    <w:p w:rsidR="00FE2F41" w:rsidRPr="00FE2F41" w:rsidRDefault="00F15DAA" w:rsidP="00FE2F41">
      <w:pPr>
        <w:pStyle w:val="NormalBold"/>
        <w:keepNext/>
      </w:pPr>
      <w:r>
        <w:rPr>
          <w:rStyle w:val="HideTWBExt"/>
          <w:b w:val="0"/>
        </w:rPr>
        <w:t>&lt;DocAmend&gt;</w:t>
      </w:r>
      <w:r>
        <w:t>Predlog uredbe</w:t>
      </w:r>
      <w:r>
        <w:rPr>
          <w:rStyle w:val="HideTWBExt"/>
          <w:b w:val="0"/>
        </w:rPr>
        <w:t>&lt;/DocAmend&gt;</w:t>
      </w:r>
    </w:p>
    <w:p w:rsidR="00FE2F41" w:rsidRPr="00FE2F41" w:rsidRDefault="00F15DAA" w:rsidP="00FE2F41">
      <w:pPr>
        <w:pStyle w:val="NormalBold"/>
      </w:pPr>
      <w:r>
        <w:rPr>
          <w:rStyle w:val="HideTWBExt"/>
          <w:b w:val="0"/>
        </w:rPr>
        <w:t>&lt;Article&gt;</w:t>
      </w:r>
      <w:r>
        <w:t>Uvodna izjava 20 b (novo)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5521" w:rsidTr="00B16A5A">
        <w:trPr>
          <w:jc w:val="center"/>
        </w:trPr>
        <w:tc>
          <w:tcPr>
            <w:tcW w:w="9752" w:type="dxa"/>
            <w:gridSpan w:val="2"/>
          </w:tcPr>
          <w:p w:rsidR="00FE2F41" w:rsidRPr="00FE2F41" w:rsidRDefault="00FE2F41" w:rsidP="00B16A5A">
            <w:pPr>
              <w:keepNext/>
            </w:pPr>
          </w:p>
        </w:tc>
      </w:tr>
      <w:tr w:rsidR="00FC5521" w:rsidTr="00B16A5A">
        <w:trPr>
          <w:jc w:val="center"/>
        </w:trPr>
        <w:tc>
          <w:tcPr>
            <w:tcW w:w="4876" w:type="dxa"/>
          </w:tcPr>
          <w:p w:rsidR="00FE2F41" w:rsidRPr="00FE2F41" w:rsidRDefault="00F15DAA" w:rsidP="00B16A5A">
            <w:pPr>
              <w:pStyle w:val="ColumnHeading"/>
              <w:keepNext/>
            </w:pPr>
            <w:r>
              <w:t>Besedilo, ki ga predlaga Komisija</w:t>
            </w:r>
          </w:p>
        </w:tc>
        <w:tc>
          <w:tcPr>
            <w:tcW w:w="4876" w:type="dxa"/>
          </w:tcPr>
          <w:p w:rsidR="00FE2F41" w:rsidRPr="00FE2F41" w:rsidRDefault="00F15DAA" w:rsidP="00B16A5A">
            <w:pPr>
              <w:pStyle w:val="ColumnHeading"/>
              <w:keepNext/>
            </w:pPr>
            <w:r>
              <w:t>Predlog spremembe</w:t>
            </w:r>
          </w:p>
        </w:tc>
      </w:tr>
      <w:tr w:rsidR="00FC5521" w:rsidTr="00B16A5A">
        <w:trPr>
          <w:jc w:val="center"/>
        </w:trPr>
        <w:tc>
          <w:tcPr>
            <w:tcW w:w="4876" w:type="dxa"/>
          </w:tcPr>
          <w:p w:rsidR="00FE2F41" w:rsidRPr="00FE2F41" w:rsidRDefault="00FE2F41" w:rsidP="00B16A5A">
            <w:pPr>
              <w:pStyle w:val="Normal6"/>
            </w:pPr>
          </w:p>
        </w:tc>
        <w:tc>
          <w:tcPr>
            <w:tcW w:w="4876" w:type="dxa"/>
          </w:tcPr>
          <w:p w:rsidR="00FE2F41" w:rsidRPr="00FE2F41" w:rsidRDefault="00F15DAA" w:rsidP="00B16A5A">
            <w:pPr>
              <w:pStyle w:val="Normal6"/>
              <w:rPr>
                <w:szCs w:val="24"/>
              </w:rPr>
            </w:pPr>
            <w:r>
              <w:rPr>
                <w:b/>
                <w:i/>
              </w:rPr>
              <w:t>(20b)</w:t>
            </w:r>
            <w:r>
              <w:rPr>
                <w:b/>
                <w:i/>
              </w:rPr>
              <w:tab/>
              <w:t>Kadar je treba osebne izkaznice ali dokumente za prebivanje pripraviti v skladu z zakonom, bi morali imeti zasebni subjekti dostop do podobe obraza le za namene preverjanja identitete imetnika in ne bi smeli hraniti ali posredovati podob obraza.</w:t>
            </w:r>
          </w:p>
        </w:tc>
      </w:tr>
    </w:tbl>
    <w:p w:rsidR="00FE2F41" w:rsidRPr="00FE2F41" w:rsidRDefault="00F15DAA" w:rsidP="00FE2F41">
      <w:pPr>
        <w:pStyle w:val="Olang"/>
        <w:rPr>
          <w:sz w:val="24"/>
          <w:szCs w:val="24"/>
        </w:rPr>
      </w:pPr>
      <w:r w:rsidRPr="00FE2F41">
        <w:rPr>
          <w:sz w:val="24"/>
          <w:szCs w:val="24"/>
        </w:rPr>
        <w:t xml:space="preserve">Or. </w:t>
      </w:r>
      <w:r w:rsidRPr="00FE2F41">
        <w:rPr>
          <w:rStyle w:val="HideTWBExt"/>
        </w:rPr>
        <w:t>&lt;Original&gt;</w:t>
      </w:r>
      <w:r w:rsidRPr="00FE2F41">
        <w:rPr>
          <w:rStyle w:val="HideTWBInt"/>
          <w:sz w:val="24"/>
          <w:szCs w:val="24"/>
        </w:rPr>
        <w:t>{EN}</w:t>
      </w:r>
      <w:r w:rsidRPr="00FE2F41">
        <w:rPr>
          <w:sz w:val="24"/>
          <w:szCs w:val="24"/>
        </w:rPr>
        <w:t>en</w:t>
      </w:r>
      <w:r w:rsidRPr="00FE2F41">
        <w:rPr>
          <w:rStyle w:val="HideTWBExt"/>
        </w:rPr>
        <w:t>&lt;/Original&gt;</w:t>
      </w:r>
    </w:p>
    <w:p w:rsidR="00FE2F41" w:rsidRPr="00FE2F41" w:rsidRDefault="00F15DAA" w:rsidP="00FE2F41">
      <w:pPr>
        <w:pStyle w:val="JustificationTitle"/>
        <w:rPr>
          <w:noProof w:val="0"/>
        </w:rPr>
      </w:pPr>
      <w:r>
        <w:rPr>
          <w:rStyle w:val="HideTWBExt"/>
          <w:i w:val="0"/>
        </w:rPr>
        <w:t>&lt;TitreJust&gt;</w:t>
      </w:r>
      <w:r>
        <w:t>Obrazložitev</w:t>
      </w:r>
      <w:r>
        <w:rPr>
          <w:rStyle w:val="HideTWBExt"/>
          <w:i w:val="0"/>
        </w:rPr>
        <w:t>&lt;/TitreJust&gt;</w:t>
      </w:r>
    </w:p>
    <w:p w:rsidR="00FE2F41" w:rsidRPr="00FE2F41" w:rsidRDefault="00F15DAA" w:rsidP="00FE2F41">
      <w:pPr>
        <w:pStyle w:val="Normal12Italic"/>
        <w:rPr>
          <w:noProof w:val="0"/>
        </w:rPr>
      </w:pPr>
      <w:r>
        <w:t>Stališče skupine The Left ostaja, da zavrača možnost, ki je bila dana zasebnim subjektom, da imajo dostop do podobe obraza imetnika dokumenta. Upoštevaje spremembe Sveta pa gre za „nadomestno“ spremembo stališča, da bi se njegovo stališče čim bolj omejilo.</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11</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(22)</w:t>
            </w:r>
            <w:r>
              <w:tab/>
              <w:t xml:space="preserve">Za namen te uredbe bi </w:t>
            </w:r>
            <w:r>
              <w:rPr>
                <w:b/>
                <w:i/>
              </w:rPr>
              <w:t xml:space="preserve">bilo treba upoštevati </w:t>
            </w:r>
            <w:r>
              <w:t>specifikacije dokumenta ICAO 9303, ki zagotavljajo globalno interoperabilnost, vključno v zvezi s strojno berljivostjo in uporabo vizualnega pregleda.</w:t>
            </w:r>
          </w:p>
        </w:tc>
        <w:tc>
          <w:tcPr>
            <w:tcW w:w="4876" w:type="dxa"/>
            <w:tcBorders>
              <w:top w:val="nil"/>
              <w:left w:val="nil"/>
              <w:bottom w:val="nil"/>
              <w:right w:val="nil"/>
            </w:tcBorders>
          </w:tcPr>
          <w:p w:rsidR="00FE2F41" w:rsidRPr="00FE2F41" w:rsidRDefault="00F15DAA" w:rsidP="00B16A5A">
            <w:pPr>
              <w:pStyle w:val="Normal6a"/>
            </w:pPr>
            <w:r>
              <w:t>(22)</w:t>
            </w:r>
            <w:r>
              <w:tab/>
            </w:r>
            <w:r>
              <w:rPr>
                <w:b/>
                <w:i/>
              </w:rPr>
              <w:t>Referenčne vrednosti</w:t>
            </w:r>
            <w:r>
              <w:t xml:space="preserve"> za namen te uredbe bi </w:t>
            </w:r>
            <w:r>
              <w:rPr>
                <w:b/>
                <w:i/>
              </w:rPr>
              <w:t>morale biti </w:t>
            </w:r>
            <w:r>
              <w:t>specifikacije dokumenta ICAO 9303, ki zagotavljajo globalno interoperabilnost, vključno v zvezi s strojno berljivostjo in uporabo vizualnega pregleda.</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12</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Fabrice Leggeri, András László,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(23)</w:t>
            </w:r>
            <w:r>
              <w:tab/>
              <w:t xml:space="preserve">Države članice bi morale </w:t>
            </w:r>
            <w:r>
              <w:rPr>
                <w:b/>
                <w:i/>
              </w:rPr>
              <w:t>imeti možnost, da odločijo, ali bo na dokumentu</w:t>
            </w:r>
            <w:r>
              <w:t xml:space="preserve">, ki ga zajema ta uredba, </w:t>
            </w:r>
            <w:r>
              <w:rPr>
                <w:b/>
                <w:i/>
              </w:rPr>
              <w:t>tudi</w:t>
            </w:r>
            <w:r>
              <w:t xml:space="preserve"> spol osebe</w:t>
            </w:r>
            <w:r>
              <w:rPr>
                <w:b/>
                <w:i/>
              </w:rPr>
              <w:t>. Kadar država članica na takšen dokument vključi spol osebe, bi morala uporabiti specifikacije</w:t>
            </w:r>
            <w:r>
              <w:t xml:space="preserve"> iz dokumenta ICAO 9303</w:t>
            </w:r>
            <w:r>
              <w:rPr>
                <w:b/>
                <w:i/>
              </w:rPr>
              <w:t>, in sicer „F“, „M“ ali „X“ oziroma ustrezno začetnico v jeziku ali jezikih te države članice, kakor je ustrezno</w:t>
            </w:r>
            <w:r>
              <w:t>.</w:t>
            </w:r>
          </w:p>
        </w:tc>
        <w:tc>
          <w:tcPr>
            <w:tcW w:w="4876" w:type="dxa"/>
            <w:tcBorders>
              <w:top w:val="nil"/>
              <w:left w:val="nil"/>
              <w:bottom w:val="nil"/>
              <w:right w:val="nil"/>
            </w:tcBorders>
          </w:tcPr>
          <w:p w:rsidR="00FE2F41" w:rsidRPr="00FE2F41" w:rsidRDefault="00F15DAA" w:rsidP="00B16A5A">
            <w:pPr>
              <w:pStyle w:val="Normal6a"/>
            </w:pPr>
            <w:r>
              <w:t>(23)</w:t>
            </w:r>
            <w:r>
              <w:tab/>
              <w:t xml:space="preserve">Države članice bi morale </w:t>
            </w:r>
            <w:r>
              <w:rPr>
                <w:b/>
                <w:i/>
              </w:rPr>
              <w:t>v dokument</w:t>
            </w:r>
            <w:r>
              <w:t xml:space="preserve">, ki ga zajema ta uredba, </w:t>
            </w:r>
            <w:r>
              <w:rPr>
                <w:b/>
                <w:i/>
              </w:rPr>
              <w:t>vključiti</w:t>
            </w:r>
            <w:r>
              <w:t xml:space="preserve"> spol osebe</w:t>
            </w:r>
            <w:r>
              <w:rPr>
                <w:b/>
                <w:i/>
              </w:rPr>
              <w:t xml:space="preserve"> v skladu s specifikacijami</w:t>
            </w:r>
            <w:r>
              <w:t xml:space="preserve"> iz dokumenta ICAO 9303</w:t>
            </w:r>
            <w:r>
              <w:rPr>
                <w:b/>
                <w:i/>
              </w:rPr>
              <w:t>. Prikaz spola imetnika omogoča učinkovitejšo uporabo dokumentov za njegovo identifikacijo</w:t>
            </w:r>
            <w:r>
              <w:t>.</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13</w:t>
      </w:r>
      <w:r>
        <w:rPr>
          <w:rStyle w:val="HideTWBExt"/>
        </w:rPr>
        <w:t>&lt;/NumAm&gt;</w:t>
      </w:r>
    </w:p>
    <w:p w:rsidR="00FE2F41" w:rsidRPr="00FE2F41" w:rsidRDefault="00F15DAA" w:rsidP="00FE2F41">
      <w:pPr>
        <w:pStyle w:val="NormalBold"/>
      </w:pPr>
      <w:r>
        <w:rPr>
          <w:rStyle w:val="HideTWBExt"/>
          <w:b w:val="0"/>
        </w:rPr>
        <w:t>&lt;RepeatBlock-By&gt;&lt;Members&gt;</w:t>
      </w:r>
      <w:r>
        <w:t>Paolo Inselvini, Alessandro Ciriani</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(23)</w:t>
            </w:r>
            <w:r>
              <w:tab/>
              <w:t>Države članice bi morale imeti možnost, da odločijo, ali bo na dokumentu, ki ga zajema ta uredba, tudi spol osebe. Kadar država članica na takšen dokument vključi spol osebe, bi morala uporabiti specifikacije iz dokumenta ICAO 9303, in sicer „F“</w:t>
            </w:r>
            <w:r>
              <w:rPr>
                <w:b/>
                <w:i/>
              </w:rPr>
              <w:t>, „M“</w:t>
            </w:r>
            <w:r>
              <w:t xml:space="preserve"> ali </w:t>
            </w:r>
            <w:r>
              <w:rPr>
                <w:b/>
                <w:i/>
              </w:rPr>
              <w:t>„X“</w:t>
            </w:r>
            <w:r>
              <w:t xml:space="preserve"> oziroma ustrezno začetnico v jeziku ali jezikih te države članice, kakor je ustrezno.</w:t>
            </w:r>
          </w:p>
        </w:tc>
        <w:tc>
          <w:tcPr>
            <w:tcW w:w="4876" w:type="dxa"/>
            <w:tcBorders>
              <w:top w:val="nil"/>
              <w:left w:val="nil"/>
              <w:bottom w:val="nil"/>
              <w:right w:val="nil"/>
            </w:tcBorders>
          </w:tcPr>
          <w:p w:rsidR="00FE2F41" w:rsidRPr="00FE2F41" w:rsidRDefault="00F15DAA" w:rsidP="00B16A5A">
            <w:pPr>
              <w:pStyle w:val="Normal6a"/>
            </w:pPr>
            <w:r>
              <w:t>(23)</w:t>
            </w:r>
            <w:r>
              <w:tab/>
              <w:t xml:space="preserve">Države članice bi morale imeti možnost, da odločijo, ali bo na dokumentu, ki ga zajema ta uredba, tudi spol osebe. Kadar država članica na takšen dokument vključi spol osebe, bi morala uporabiti specifikacije iz dokumenta ICAO 9303, in sicer „F“ ali </w:t>
            </w:r>
            <w:r>
              <w:rPr>
                <w:b/>
                <w:i/>
              </w:rPr>
              <w:t>„M“</w:t>
            </w:r>
            <w:r>
              <w:t xml:space="preserve"> oziroma ustrezno začetnico v jeziku ali jezikih te države članice, kakor je ustrezno.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{IT}</w:t>
      </w:r>
      <w:r w:rsidRPr="00FE2F41">
        <w:t>it</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14</w:t>
      </w:r>
      <w:r>
        <w:rPr>
          <w:rStyle w:val="HideTWBExt"/>
        </w:rPr>
        <w:t>&lt;/NumAm&gt;</w:t>
      </w:r>
    </w:p>
    <w:p w:rsidR="00FE2F41" w:rsidRPr="00FE2F41" w:rsidRDefault="00F15DAA" w:rsidP="00FE2F41">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(23)</w:t>
            </w:r>
            <w:r>
              <w:tab/>
              <w:t>Države članice bi morale imeti možnost, da odločijo, ali bo na dokumentu, ki ga zajema ta uredba, tudi spol osebe. Kadar država članica na takšen dokument vključi spol osebe, bi morala uporabiti specifikacije iz dokumenta ICAO 9303, in sicer „F“, „M“ ali „X“ oziroma ustrezno začetnico v jeziku ali jezikih te države članice, kakor je ustrezno.</w:t>
            </w:r>
          </w:p>
        </w:tc>
        <w:tc>
          <w:tcPr>
            <w:tcW w:w="4876" w:type="dxa"/>
            <w:tcBorders>
              <w:top w:val="nil"/>
              <w:left w:val="nil"/>
              <w:bottom w:val="nil"/>
              <w:right w:val="nil"/>
            </w:tcBorders>
          </w:tcPr>
          <w:p w:rsidR="00FE2F41" w:rsidRPr="00FE2F41" w:rsidRDefault="00F15DAA" w:rsidP="00B16A5A">
            <w:pPr>
              <w:pStyle w:val="Normal6a"/>
            </w:pPr>
            <w:r>
              <w:t>(23)</w:t>
            </w:r>
            <w:r>
              <w:tab/>
              <w:t>Države članice bi morale imeti možnost, da odločijo, ali bo na dokumentu, ki ga zajema ta uredba, tudi spol osebe. Kadar država članica na takšen dokument vključi spol osebe, bi morala uporabiti specifikacije iz dokumenta ICAO 9303, in sicer „F“, „M“ ali „X“ oziroma ustrezno začetnico v jeziku ali jezikih te države članice, kakor je ustrezno</w:t>
            </w:r>
            <w:r>
              <w:rPr>
                <w:b/>
                <w:i/>
              </w:rPr>
              <w:t>, v skladu s sodno prakso Sodišča</w:t>
            </w:r>
            <w:r>
              <w:rPr>
                <w:b/>
                <w:i/>
                <w:vertAlign w:val="superscript"/>
              </w:rPr>
              <w:t>1a</w:t>
            </w:r>
            <w:r>
              <w:t>.</w:t>
            </w:r>
          </w:p>
        </w:tc>
      </w:tr>
      <w:tr w:rsidR="00FC5521" w:rsidTr="00B16A5A">
        <w:trPr>
          <w:jc w:val="center"/>
        </w:trPr>
        <w:tc>
          <w:tcPr>
            <w:tcW w:w="4876" w:type="dxa"/>
            <w:tcBorders>
              <w:top w:val="nil"/>
              <w:left w:val="nil"/>
              <w:bottom w:val="nil"/>
              <w:right w:val="nil"/>
            </w:tcBorders>
          </w:tcPr>
          <w:p w:rsidR="00FE2F41" w:rsidRPr="00FE2F41" w:rsidRDefault="00FE2F41" w:rsidP="00B16A5A"/>
        </w:tc>
        <w:tc>
          <w:tcPr>
            <w:tcW w:w="4876" w:type="dxa"/>
            <w:tcBorders>
              <w:top w:val="nil"/>
              <w:left w:val="nil"/>
              <w:bottom w:val="nil"/>
              <w:right w:val="nil"/>
            </w:tcBorders>
          </w:tcPr>
          <w:p w:rsidR="00FE2F41" w:rsidRPr="00FE2F41" w:rsidRDefault="00F15DAA" w:rsidP="00B16A5A">
            <w:pPr>
              <w:pStyle w:val="Normal6a"/>
            </w:pPr>
            <w:r>
              <w:rPr>
                <w:b/>
                <w:i/>
              </w:rPr>
              <w:t>_________________</w:t>
            </w:r>
          </w:p>
        </w:tc>
      </w:tr>
      <w:tr w:rsidR="00FC5521" w:rsidTr="00B16A5A">
        <w:trPr>
          <w:jc w:val="center"/>
        </w:trPr>
        <w:tc>
          <w:tcPr>
            <w:tcW w:w="4876" w:type="dxa"/>
            <w:tcBorders>
              <w:top w:val="nil"/>
              <w:left w:val="nil"/>
              <w:bottom w:val="nil"/>
              <w:right w:val="nil"/>
            </w:tcBorders>
          </w:tcPr>
          <w:p w:rsidR="00FE2F41" w:rsidRPr="00FE2F41" w:rsidRDefault="00FE2F41" w:rsidP="00B16A5A"/>
        </w:tc>
        <w:tc>
          <w:tcPr>
            <w:tcW w:w="4876" w:type="dxa"/>
            <w:tcBorders>
              <w:top w:val="nil"/>
              <w:left w:val="nil"/>
              <w:bottom w:val="nil"/>
              <w:right w:val="nil"/>
            </w:tcBorders>
          </w:tcPr>
          <w:p w:rsidR="00FE2F41" w:rsidRPr="00FE2F41" w:rsidRDefault="00F15DAA" w:rsidP="00B16A5A">
            <w:pPr>
              <w:pStyle w:val="Normal6a"/>
            </w:pPr>
            <w:r>
              <w:rPr>
                <w:b/>
                <w:i/>
              </w:rPr>
              <w:t>1a Sodba Sodišča z dne 4. oktobra 2024 v zadevi Mirin, C-4/23, ECLI:EU:C:2024:845</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15</w:t>
      </w:r>
      <w:r>
        <w:rPr>
          <w:rStyle w:val="HideTWBExt"/>
        </w:rPr>
        <w:t>&lt;/NumAm&gt;</w:t>
      </w:r>
    </w:p>
    <w:p w:rsidR="00FE2F41" w:rsidRPr="00FE2F41" w:rsidRDefault="00F15DAA" w:rsidP="00FE2F41">
      <w:pPr>
        <w:pStyle w:val="NormalBold"/>
      </w:pPr>
      <w:r>
        <w:rPr>
          <w:rStyle w:val="HideTWBExt"/>
          <w:b w:val="0"/>
        </w:rPr>
        <w:t>&lt;RepeatBlock-By&gt;&lt;Members&gt;</w:t>
      </w:r>
      <w:r>
        <w:t>Tomáš Zdechovský</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pPr>
            <w:r>
              <w:rPr>
                <w:b/>
                <w:i/>
              </w:rPr>
              <w:t>(25a)</w:t>
            </w:r>
            <w:r>
              <w:tab/>
            </w:r>
            <w:r>
              <w:rPr>
                <w:b/>
                <w:i/>
              </w:rPr>
              <w:t>Usposobljeno osebje bi se moralo udeležiti obveznega usposabljanja o dobri praksi zbiranja biometričnih identifikatorjev otrok in ranljivih oseb, pri čemer bi bilo treba zagotoviti občutljivost na potrebe, povezane s spolom in starostjo, ter spoštovati dostojanstvo vseh posameznikov.</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16</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(26)</w:t>
            </w:r>
            <w:r>
              <w:tab/>
              <w:t xml:space="preserve">Države članice bi morale v primeru težav pri zbiranju biometričnih identifikatorjev zagotoviti, da so vzpostavljeni ustrezni postopki za spoštovanje dostojanstva zadevnih oseb. Zato bi bilo treba upoštevati posebne vidike, povezane s </w:t>
            </w:r>
            <w:r>
              <w:rPr>
                <w:b/>
                <w:i/>
              </w:rPr>
              <w:t>spolom, in posebne potrebe</w:t>
            </w:r>
            <w:r>
              <w:t xml:space="preserve"> otrok in ranljivih oseb.</w:t>
            </w:r>
          </w:p>
        </w:tc>
        <w:tc>
          <w:tcPr>
            <w:tcW w:w="4876" w:type="dxa"/>
            <w:tcBorders>
              <w:top w:val="nil"/>
              <w:left w:val="nil"/>
              <w:bottom w:val="nil"/>
              <w:right w:val="nil"/>
            </w:tcBorders>
          </w:tcPr>
          <w:p w:rsidR="00FE2F41" w:rsidRPr="00FE2F41" w:rsidRDefault="00F15DAA" w:rsidP="00B16A5A">
            <w:pPr>
              <w:pStyle w:val="Normal6a"/>
            </w:pPr>
            <w:r>
              <w:t>(26)</w:t>
            </w:r>
            <w:r>
              <w:tab/>
              <w:t xml:space="preserve">Države članice bi morale v primeru težav pri zbiranju biometričnih identifikatorjev zagotoviti, da so vzpostavljeni ustrezni postopki za spoštovanje dostojanstva zadevnih oseb. Zato bi bilo treba upoštevati posebne vidike, povezane s </w:t>
            </w:r>
            <w:r>
              <w:rPr>
                <w:b/>
                <w:i/>
              </w:rPr>
              <w:t>posebnimi potrebami</w:t>
            </w:r>
            <w:r>
              <w:t xml:space="preserve"> otrok in ranljivih oseb.</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17</w:t>
      </w:r>
      <w:r>
        <w:rPr>
          <w:rStyle w:val="HideTWBExt"/>
        </w:rPr>
        <w:t>&lt;/NumAm&gt;</w:t>
      </w:r>
    </w:p>
    <w:p w:rsidR="00FE2F41" w:rsidRPr="00FE2F41" w:rsidRDefault="00F15DAA" w:rsidP="00FE2F41">
      <w:pPr>
        <w:pStyle w:val="NormalBold"/>
      </w:pPr>
      <w:r>
        <w:rPr>
          <w:rStyle w:val="HideTWBExt"/>
          <w:b w:val="0"/>
        </w:rPr>
        <w:t>&lt;RepeatBlock-By&gt;&lt;Members&gt;</w:t>
      </w:r>
      <w:r>
        <w:t>Paolo Inselvini, Alessandro Ciriani</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(26)</w:t>
            </w:r>
            <w:r>
              <w:tab/>
              <w:t>Države članice bi morale v primeru težav pri zbiranju biometričnih identifikatorjev zagotoviti, da so vzpostavljeni ustrezni postopki za spoštovanje dostojanstva zadevnih oseb. Zato bi bilo treba upoštevati posebne vidike, povezane s spolom, in posebne potrebe otrok in ranljivih oseb.</w:t>
            </w:r>
          </w:p>
        </w:tc>
        <w:tc>
          <w:tcPr>
            <w:tcW w:w="4876" w:type="dxa"/>
            <w:tcBorders>
              <w:top w:val="nil"/>
              <w:left w:val="nil"/>
              <w:bottom w:val="nil"/>
              <w:right w:val="nil"/>
            </w:tcBorders>
          </w:tcPr>
          <w:p w:rsidR="00FE2F41" w:rsidRPr="00FE2F41" w:rsidRDefault="00F15DAA" w:rsidP="00B16A5A">
            <w:pPr>
              <w:pStyle w:val="Normal6a"/>
            </w:pPr>
            <w:r>
              <w:rPr>
                <w:i/>
              </w:rPr>
              <w:t>(Ne zadeva slovenske različice.)</w:t>
            </w:r>
            <w:r>
              <w:tab/>
              <w:t xml:space="preserve">   </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{IT}</w:t>
      </w:r>
      <w:r w:rsidRPr="00FE2F41">
        <w:t>it</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18</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(28)</w:t>
            </w:r>
            <w:r>
              <w:tab/>
              <w:t xml:space="preserve">Razpoznavni znak v obliki dvočrkovne kode za državo članico, ki je izdala dokument, </w:t>
            </w:r>
            <w:r>
              <w:rPr>
                <w:b/>
                <w:i/>
              </w:rPr>
              <w:t xml:space="preserve">natisnjene v negativu v modrem pravokotniku in obkrožene z dvanajstimi rumenimi zvezdami, </w:t>
            </w:r>
            <w:r>
              <w:t>omogoča lažji vizualni pregled dokumenta, zlasti kadar imetnik uresničuje pravico do prostega gibanja.</w:t>
            </w:r>
          </w:p>
        </w:tc>
        <w:tc>
          <w:tcPr>
            <w:tcW w:w="4876" w:type="dxa"/>
            <w:tcBorders>
              <w:top w:val="nil"/>
              <w:left w:val="nil"/>
              <w:bottom w:val="nil"/>
              <w:right w:val="nil"/>
            </w:tcBorders>
          </w:tcPr>
          <w:p w:rsidR="00FE2F41" w:rsidRPr="00FE2F41" w:rsidRDefault="00F15DAA" w:rsidP="00B16A5A">
            <w:pPr>
              <w:pStyle w:val="Normal6a"/>
            </w:pPr>
            <w:r>
              <w:t>(28)</w:t>
            </w:r>
            <w:r>
              <w:tab/>
              <w:t>Razpoznavni znak v obliki dvočrkovne kode za državo članico, ki je izdala dokument, omogoča lažji vizualni pregled dokumenta, zlasti kadar imetnik uresničuje pravico do prostega gibanja.</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19</w:t>
      </w:r>
      <w:r>
        <w:rPr>
          <w:rStyle w:val="HideTWBExt"/>
        </w:rPr>
        <w:t>&lt;/NumAm&gt;</w:t>
      </w:r>
    </w:p>
    <w:p w:rsidR="00FE2F41" w:rsidRPr="00FE2F41" w:rsidRDefault="00F15DAA" w:rsidP="00FE2F41">
      <w:pPr>
        <w:pStyle w:val="NormalBold"/>
      </w:pPr>
      <w:r>
        <w:rPr>
          <w:rStyle w:val="HideTWBExt"/>
          <w:b w:val="0"/>
        </w:rPr>
        <w:t>&lt;RepeatBlock-By&gt;&lt;Members&gt;</w:t>
      </w:r>
      <w:r>
        <w:t>Tomáš Zdechovský</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32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pPr>
            <w:r>
              <w:rPr>
                <w:b/>
                <w:i/>
              </w:rPr>
              <w:t>(32a)</w:t>
            </w:r>
            <w:r>
              <w:tab/>
            </w:r>
            <w:r>
              <w:rPr>
                <w:b/>
                <w:i/>
              </w:rPr>
              <w:t>V podporo temu cilju bi morala Komisija v sodelovanju z državami članicami zagotoviti harmonizacijo sistemov elektronske identifikacije in povezovanje čezmejnih storitev e-uprave. S temi ukrepi bi morali izboljšati uporabnost in dostopnost osebnih izkaznic za vse državljane Unije, hkrati pa ohraniti nemoteno funkcionalnost in popolno interoperabilnost v vseh državah članicah.</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20</w:t>
      </w:r>
      <w:r>
        <w:rPr>
          <w:rStyle w:val="HideTWBExt"/>
        </w:rPr>
        <w:t>&lt;/NumAm&gt;</w:t>
      </w:r>
    </w:p>
    <w:p w:rsidR="00FE2F41" w:rsidRPr="00FE2F41" w:rsidRDefault="00F15DAA" w:rsidP="00FE2F41">
      <w:pPr>
        <w:pStyle w:val="NormalBold"/>
      </w:pPr>
      <w:r>
        <w:rPr>
          <w:rStyle w:val="HideTWBExt"/>
          <w:b w:val="0"/>
        </w:rPr>
        <w:t>&lt;RepeatBlock-By&gt;&lt;Members&gt;</w:t>
      </w:r>
      <w:r>
        <w:t>Malik Azmani</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Uvodna izjava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(43)</w:t>
            </w:r>
            <w:r>
              <w:tab/>
              <w:t>V skladu z Medinstitucionalnim sporazumom z dne 13.</w:t>
            </w:r>
            <w:r>
              <w:rPr>
                <w:b/>
                <w:i/>
              </w:rPr>
              <w:t> </w:t>
            </w:r>
            <w:r>
              <w:t>aprila 2016 o boljši pripravi zakonodaje</w:t>
            </w:r>
            <w:r>
              <w:rPr>
                <w:vertAlign w:val="superscript"/>
              </w:rPr>
              <w:t>9</w:t>
            </w:r>
            <w:r>
              <w:t xml:space="preserve"> bi morala Komisija</w:t>
            </w:r>
            <w:r>
              <w:rPr>
                <w:b/>
                <w:i/>
              </w:rPr>
              <w:t xml:space="preserve"> ne prej kot</w:t>
            </w:r>
            <w:r>
              <w:t xml:space="preserve"> šest let po datumu začetka uporabe te uredbe izvesti oceno te uredbe, med drugim na podlagi informacij, zbranih v okviru posebne ureditve za spremljanje, da bi ocenili dejanske učinke te uredbe in potrebo po nadaljnjem ukrepanju. Države članice bi morale za namene spremljanja zbirati statistične informacije o številu osebnih izkaznic in dokumentov za prebivanje, ki so jih izdale.</w:t>
            </w:r>
          </w:p>
        </w:tc>
        <w:tc>
          <w:tcPr>
            <w:tcW w:w="4876" w:type="dxa"/>
            <w:tcBorders>
              <w:top w:val="nil"/>
              <w:left w:val="nil"/>
              <w:bottom w:val="nil"/>
              <w:right w:val="nil"/>
            </w:tcBorders>
          </w:tcPr>
          <w:p w:rsidR="00FE2F41" w:rsidRPr="00FE2F41" w:rsidRDefault="00F15DAA" w:rsidP="00B16A5A">
            <w:pPr>
              <w:pStyle w:val="Normal6a"/>
            </w:pPr>
            <w:r>
              <w:t>(43)</w:t>
            </w:r>
            <w:r>
              <w:tab/>
            </w:r>
            <w:r>
              <w:rPr>
                <w:b/>
                <w:i/>
              </w:rPr>
              <w:t>Komisija bi morala dve leti oziroma enajst let po začetku uporabe uredbe poročati o njenem izvajanju, med drugim o ustreznosti ravni varnosti, ob upoštevanju njenega učinka na temeljne pravice in načela varstva podatkov.</w:t>
            </w:r>
            <w:r>
              <w:t xml:space="preserve"> V skladu z Medinstitucionalnim sporazumom z dne 13.</w:t>
            </w:r>
            <w:r>
              <w:rPr>
                <w:b/>
                <w:i/>
              </w:rPr>
              <w:t xml:space="preserve"> </w:t>
            </w:r>
            <w:r>
              <w:t>aprila 2016 o boljši pripravi zakonodaje</w:t>
            </w:r>
            <w:r>
              <w:rPr>
                <w:vertAlign w:val="superscript"/>
              </w:rPr>
              <w:t>9</w:t>
            </w:r>
            <w:r>
              <w:t xml:space="preserve"> bi morala Komisija šest let po datumu začetka uporabe te uredbe</w:t>
            </w:r>
            <w:r>
              <w:rPr>
                <w:b/>
                <w:i/>
              </w:rPr>
              <w:t xml:space="preserve"> in nato vsakih šest let</w:t>
            </w:r>
            <w:r>
              <w:t xml:space="preserve"> izvesti oceno te uredbe, med drugim na podlagi informacij, zbranih v okviru posebne ureditve za spremljanje, da bi ocenili dejanske učinke te uredbe in potrebo po nadaljnjem ukrepanju. Države članice bi morale za namene spremljanja zbirati statistične informacije o številu osebnih izkaznic in dokumentov za prebivanje, ki so jih izdale.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b/>
                <w:i/>
              </w:rPr>
              <w:t>_________________</w:t>
            </w:r>
          </w:p>
        </w:tc>
        <w:tc>
          <w:tcPr>
            <w:tcW w:w="4876" w:type="dxa"/>
            <w:tcBorders>
              <w:top w:val="nil"/>
              <w:left w:val="nil"/>
              <w:bottom w:val="nil"/>
              <w:right w:val="nil"/>
            </w:tcBorders>
          </w:tcPr>
          <w:p w:rsidR="00FE2F41" w:rsidRPr="00FE2F41" w:rsidRDefault="00F15DAA" w:rsidP="00B16A5A">
            <w:pPr>
              <w:pStyle w:val="Normal6a"/>
            </w:pPr>
            <w:r>
              <w:rPr>
                <w:b/>
                <w:i/>
              </w:rPr>
              <w:t>_________________</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UL L 123, 12.5.2016, str. 1, ELI: http://data.europa.eu/eli/agree_interinstit/2016/512/oj.</w:t>
            </w:r>
          </w:p>
        </w:tc>
        <w:tc>
          <w:tcPr>
            <w:tcW w:w="4876" w:type="dxa"/>
            <w:tcBorders>
              <w:top w:val="nil"/>
              <w:left w:val="nil"/>
              <w:bottom w:val="nil"/>
              <w:right w:val="nil"/>
            </w:tcBorders>
          </w:tcPr>
          <w:p w:rsidR="00FE2F41" w:rsidRPr="00FE2F41" w:rsidRDefault="00F15DAA" w:rsidP="00B16A5A">
            <w:pPr>
              <w:pStyle w:val="Normal6a"/>
            </w:pPr>
            <w:r>
              <w:t>UL L 123, 12.5.2016, str. 1, ELI: http://data.europa.eu/eli/agree_interinstit/2016/512/oj.</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21</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3 – odstavek 2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b/>
                <w:i/>
              </w:rPr>
              <w:t>Z odstopanjem od prvega pododstavka se številka dokumenta lahko vstavi v polje I, navedba spola osebe pa je neobvezna.</w:t>
            </w:r>
          </w:p>
        </w:tc>
        <w:tc>
          <w:tcPr>
            <w:tcW w:w="4876" w:type="dxa"/>
            <w:tcBorders>
              <w:top w:val="nil"/>
              <w:left w:val="nil"/>
              <w:bottom w:val="nil"/>
              <w:right w:val="nil"/>
            </w:tcBorders>
          </w:tcPr>
          <w:p w:rsidR="00FE2F41" w:rsidRPr="00FE2F41" w:rsidRDefault="00F15DAA" w:rsidP="00B16A5A">
            <w:pPr>
              <w:pStyle w:val="Normal6a"/>
            </w:pPr>
            <w:r>
              <w:rPr>
                <w:b/>
                <w:i/>
              </w:rPr>
              <w:t>črtano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22</w:t>
      </w:r>
      <w:r>
        <w:rPr>
          <w:rStyle w:val="HideTWBExt"/>
        </w:rPr>
        <w:t>&lt;/NumAm&gt;</w:t>
      </w:r>
    </w:p>
    <w:p w:rsidR="00FE2F41" w:rsidRPr="00FE2F41" w:rsidRDefault="00F15DAA" w:rsidP="00FE2F41">
      <w:pPr>
        <w:pStyle w:val="NormalBold"/>
      </w:pPr>
      <w:r>
        <w:rPr>
          <w:rStyle w:val="HideTWBExt"/>
          <w:b w:val="0"/>
        </w:rPr>
        <w:t>&lt;RepeatBlock-By&gt;&lt;Members&gt;</w:t>
      </w:r>
      <w:r>
        <w:t>Nadine Morano</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3 – odstavek 2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 xml:space="preserve">Z odstopanjem od prvega pododstavka se številka dokumenta </w:t>
            </w:r>
            <w:r>
              <w:rPr>
                <w:b/>
                <w:i/>
              </w:rPr>
              <w:t>lahko vstavi</w:t>
            </w:r>
            <w:r>
              <w:t xml:space="preserve"> v polje</w:t>
            </w:r>
            <w:r>
              <w:rPr>
                <w:b/>
                <w:i/>
              </w:rPr>
              <w:t> </w:t>
            </w:r>
            <w:r>
              <w:t>I</w:t>
            </w:r>
            <w:r>
              <w:rPr>
                <w:b/>
                <w:i/>
              </w:rPr>
              <w:t>, navedba spola osebe pa je neobvezna</w:t>
            </w:r>
            <w:r>
              <w:t>.</w:t>
            </w:r>
          </w:p>
        </w:tc>
        <w:tc>
          <w:tcPr>
            <w:tcW w:w="4876" w:type="dxa"/>
            <w:tcBorders>
              <w:top w:val="nil"/>
              <w:left w:val="nil"/>
              <w:bottom w:val="nil"/>
              <w:right w:val="nil"/>
            </w:tcBorders>
          </w:tcPr>
          <w:p w:rsidR="00FE2F41" w:rsidRPr="00FE2F41" w:rsidRDefault="00F15DAA" w:rsidP="00B16A5A">
            <w:pPr>
              <w:pStyle w:val="Normal6a"/>
            </w:pPr>
            <w:r>
              <w:t xml:space="preserve">Z odstopanjem od prvega pododstavka se </w:t>
            </w:r>
            <w:r>
              <w:rPr>
                <w:b/>
                <w:i/>
              </w:rPr>
              <w:t xml:space="preserve">lahko </w:t>
            </w:r>
            <w:r>
              <w:t xml:space="preserve">številka dokumenta </w:t>
            </w:r>
            <w:r>
              <w:rPr>
                <w:b/>
                <w:i/>
              </w:rPr>
              <w:t>vnese</w:t>
            </w:r>
            <w:r>
              <w:t xml:space="preserve"> v polje</w:t>
            </w:r>
            <w:r>
              <w:rPr>
                <w:b/>
                <w:i/>
              </w:rPr>
              <w:t xml:space="preserve"> </w:t>
            </w:r>
            <w:r>
              <w:t>I.</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{FR}</w:t>
      </w:r>
      <w:r w:rsidRPr="00FE2F41">
        <w:t>fr</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23</w:t>
      </w:r>
      <w:r>
        <w:rPr>
          <w:rStyle w:val="HideTWBExt"/>
        </w:rPr>
        <w:t>&lt;/NumAm&gt;</w:t>
      </w:r>
    </w:p>
    <w:p w:rsidR="00FE2F41" w:rsidRPr="00FE2F41" w:rsidRDefault="00F15DAA" w:rsidP="00FE2F41">
      <w:pPr>
        <w:pStyle w:val="NormalBold"/>
      </w:pPr>
      <w:r>
        <w:rPr>
          <w:rStyle w:val="HideTWBExt"/>
          <w:b w:val="0"/>
        </w:rPr>
        <w:t>&lt;RepeatBlock-By&gt;&lt;Members&gt;</w:t>
      </w:r>
      <w:r>
        <w:t>Paolo Inselvini, Alessandro Ciriani</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3 – odstavek 2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Z odstopanjem od prvega pododstavka se številka dokumenta lahko vstavi v polje I, navedba spola osebe pa je neobvezna.</w:t>
            </w:r>
          </w:p>
        </w:tc>
        <w:tc>
          <w:tcPr>
            <w:tcW w:w="4876" w:type="dxa"/>
            <w:tcBorders>
              <w:top w:val="nil"/>
              <w:left w:val="nil"/>
              <w:bottom w:val="nil"/>
              <w:right w:val="nil"/>
            </w:tcBorders>
          </w:tcPr>
          <w:p w:rsidR="00FE2F41" w:rsidRPr="00FE2F41" w:rsidRDefault="00F15DAA" w:rsidP="00B16A5A">
            <w:pPr>
              <w:pStyle w:val="Normal6a"/>
            </w:pPr>
            <w:r>
              <w:rPr>
                <w:i/>
              </w:rPr>
              <w:t>(Ne zadeva slovenske različice.)</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{IT}</w:t>
      </w:r>
      <w:r w:rsidRPr="00FE2F41">
        <w:t>it</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24</w:t>
      </w:r>
      <w:r>
        <w:rPr>
          <w:rStyle w:val="HideTWBExt"/>
        </w:rPr>
        <w:t>&lt;/NumAm&gt;</w:t>
      </w:r>
    </w:p>
    <w:p w:rsidR="00FE2F41" w:rsidRPr="00FE2F41" w:rsidRDefault="00F15DAA" w:rsidP="00FE2F41">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3 – odstavek 2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 xml:space="preserve">Z odstopanjem od prvega pododstavka se številka dokumenta </w:t>
            </w:r>
            <w:r>
              <w:rPr>
                <w:b/>
                <w:i/>
              </w:rPr>
              <w:t>lahko vstavi</w:t>
            </w:r>
            <w:r>
              <w:t xml:space="preserve"> v polje I, navedba spola osebe pa je neobvezna.</w:t>
            </w:r>
          </w:p>
        </w:tc>
        <w:tc>
          <w:tcPr>
            <w:tcW w:w="4876" w:type="dxa"/>
            <w:tcBorders>
              <w:top w:val="nil"/>
              <w:left w:val="nil"/>
              <w:bottom w:val="nil"/>
              <w:right w:val="nil"/>
            </w:tcBorders>
          </w:tcPr>
          <w:p w:rsidR="00FE2F41" w:rsidRPr="00FE2F41" w:rsidRDefault="00F15DAA" w:rsidP="00B16A5A">
            <w:pPr>
              <w:pStyle w:val="Normal6a"/>
            </w:pPr>
            <w:r>
              <w:t xml:space="preserve">Z odstopanjem od prvega pododstavka se </w:t>
            </w:r>
            <w:r>
              <w:rPr>
                <w:b/>
                <w:i/>
              </w:rPr>
              <w:t xml:space="preserve">lahko </w:t>
            </w:r>
            <w:r>
              <w:t xml:space="preserve">številka dokumenta </w:t>
            </w:r>
            <w:r>
              <w:rPr>
                <w:b/>
                <w:i/>
              </w:rPr>
              <w:t>vnese</w:t>
            </w:r>
            <w:r>
              <w:t xml:space="preserve"> v polje I, navedba spola osebe pa je neobvezna. </w:t>
            </w:r>
            <w:r>
              <w:rPr>
                <w:b/>
                <w:i/>
              </w:rPr>
              <w:t>Kadar država članica na dokument, zajet s to uredbo, vključi spol osebe, se uporabijo specifikacije iz dokumenta ICAO 9303, in sicer „F“, „M“ ali „X“ oziroma ustrezna začetnica v uradnem jeziku ali jezikih te države članice, kakor je ustrezno.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25</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4.</w:t>
            </w:r>
            <w:r>
              <w:tab/>
              <w:t>Na sprednji strani osebne izkaznice je dvočrkovna koda države članice, ki je izkaznico izdala</w:t>
            </w:r>
            <w:r>
              <w:rPr>
                <w:b/>
                <w:i/>
              </w:rPr>
              <w:t>, natisnjena v negativu v modrem pravokotniku in obkrožena z dvanajstimi rumenimi zvezdami</w:t>
            </w:r>
            <w:r>
              <w:t>.</w:t>
            </w:r>
          </w:p>
        </w:tc>
        <w:tc>
          <w:tcPr>
            <w:tcW w:w="4876" w:type="dxa"/>
            <w:tcBorders>
              <w:top w:val="nil"/>
              <w:left w:val="nil"/>
              <w:bottom w:val="nil"/>
              <w:right w:val="nil"/>
            </w:tcBorders>
          </w:tcPr>
          <w:p w:rsidR="00FE2F41" w:rsidRPr="00FE2F41" w:rsidRDefault="00F15DAA" w:rsidP="00B16A5A">
            <w:pPr>
              <w:pStyle w:val="Normal6a"/>
            </w:pPr>
            <w:r>
              <w:t>4.</w:t>
            </w:r>
            <w:r>
              <w:tab/>
              <w:t>Na sprednji strani osebne izkaznice je dvočrkovna koda države članice, ki je izkaznico izdala.</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26</w:t>
      </w:r>
      <w:r>
        <w:rPr>
          <w:rStyle w:val="HideTWBExt"/>
        </w:rPr>
        <w:t>&lt;/NumAm&gt;</w:t>
      </w:r>
    </w:p>
    <w:p w:rsidR="00FE2F41" w:rsidRPr="00FE2F41" w:rsidRDefault="00F15DAA" w:rsidP="00FE2F41">
      <w:pPr>
        <w:pStyle w:val="NormalBold"/>
      </w:pPr>
      <w:r>
        <w:rPr>
          <w:rStyle w:val="HideTWBExt"/>
          <w:b w:val="0"/>
        </w:rPr>
        <w:t>&lt;RepeatBlock-By&gt;&lt;Members&gt;</w:t>
      </w:r>
      <w:r>
        <w:t>Milan Uhrík, Ewa Zajączkowska-Hernik, Mary Khan</w:t>
      </w:r>
      <w:r>
        <w:rPr>
          <w:rStyle w:val="HideTWBExt"/>
          <w:b w:val="0"/>
        </w:rPr>
        <w:t>&lt;/Members&gt;</w:t>
      </w:r>
    </w:p>
    <w:p w:rsidR="00FE2F41" w:rsidRPr="00FE2F41" w:rsidRDefault="00F15DAA" w:rsidP="00FE2F41">
      <w:r>
        <w:rPr>
          <w:rStyle w:val="HideTWBExt"/>
        </w:rPr>
        <w:t>&lt;AuNomDe&gt;</w:t>
      </w:r>
      <w:r>
        <w:rPr>
          <w:rStyle w:val="HideTWBInt"/>
          <w:color w:val="auto"/>
        </w:rPr>
        <w:t>{ESN}</w:t>
      </w:r>
      <w:r>
        <w:t>v imenu skupine ESN</w:t>
      </w:r>
      <w:r>
        <w:rPr>
          <w:rStyle w:val="HideTWBExt"/>
        </w:rPr>
        <w:t>&lt;/AuNomDe&gt;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3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5.</w:t>
            </w:r>
            <w:r>
              <w:tab/>
              <w:t xml:space="preserve">Osebne izkaznice vključujejo zelo varen pomnilniški medij, ki vsebuje podobo obraza imetnika izkaznice </w:t>
            </w:r>
            <w:r>
              <w:rPr>
                <w:b/>
                <w:i/>
              </w:rPr>
              <w:t xml:space="preserve">in dva prstna odtisa </w:t>
            </w:r>
            <w:r>
              <w:t>v interoperabilnih digitalnih oblikah. Države članice za zapis biometričnih identifikatorjev uporabljajo tehnične specifikacije, kakor so določene v Izvedbenem sklepu Komisije C(2018)7767</w:t>
            </w:r>
            <w:r>
              <w:rPr>
                <w:vertAlign w:val="superscript"/>
              </w:rPr>
              <w:t>12</w:t>
            </w:r>
            <w:r>
              <w:t>, kakor je bil spremenjen z Izvedbenim sklepom C(2021) 3726</w:t>
            </w:r>
            <w:r>
              <w:rPr>
                <w:vertAlign w:val="superscript"/>
              </w:rPr>
              <w:t>13</w:t>
            </w:r>
            <w:r>
              <w:t>.</w:t>
            </w:r>
          </w:p>
        </w:tc>
        <w:tc>
          <w:tcPr>
            <w:tcW w:w="4876" w:type="dxa"/>
            <w:tcBorders>
              <w:top w:val="nil"/>
              <w:left w:val="nil"/>
              <w:bottom w:val="nil"/>
              <w:right w:val="nil"/>
            </w:tcBorders>
          </w:tcPr>
          <w:p w:rsidR="00FE2F41" w:rsidRPr="00FE2F41" w:rsidRDefault="00F15DAA" w:rsidP="00B16A5A">
            <w:pPr>
              <w:pStyle w:val="Normal6a"/>
            </w:pPr>
            <w:r>
              <w:t>5.</w:t>
            </w:r>
            <w:r>
              <w:tab/>
              <w:t>Osebne izkaznice vključujejo zelo varen pomnilniški medij, ki vsebuje podobo obraza imetnika izkaznice v interoperabilnih digitalnih oblikah. Države članice za zapis biometričnih identifikatorjev uporabljajo tehnične specifikacije, kakor so določene v Izvedbenem sklepu Komisije C(2018)7767</w:t>
            </w:r>
            <w:r>
              <w:rPr>
                <w:vertAlign w:val="superscript"/>
              </w:rPr>
              <w:t>12</w:t>
            </w:r>
            <w:r>
              <w:t>, kakor je bil spremenjen z Izvedbenim sklepom C(2021) 3726</w:t>
            </w:r>
            <w:r>
              <w:rPr>
                <w:vertAlign w:val="superscript"/>
              </w:rPr>
              <w:t>13</w:t>
            </w:r>
            <w:r>
              <w:t>.</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b/>
                <w:i/>
              </w:rPr>
              <w:t>_________________</w:t>
            </w:r>
          </w:p>
        </w:tc>
        <w:tc>
          <w:tcPr>
            <w:tcW w:w="4876" w:type="dxa"/>
            <w:tcBorders>
              <w:top w:val="nil"/>
              <w:left w:val="nil"/>
              <w:bottom w:val="nil"/>
              <w:right w:val="nil"/>
            </w:tcBorders>
          </w:tcPr>
          <w:p w:rsidR="00FE2F41" w:rsidRPr="00FE2F41" w:rsidRDefault="00F15DAA" w:rsidP="00B16A5A">
            <w:pPr>
              <w:pStyle w:val="Normal6a"/>
            </w:pPr>
            <w:r>
              <w:rPr>
                <w:b/>
                <w:i/>
              </w:rPr>
              <w:t>_________________</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vertAlign w:val="superscript"/>
              </w:rPr>
              <w:t>12</w:t>
            </w:r>
            <w:r>
              <w:t xml:space="preserve"> Izvedbeni sklep Komisije C(2018) 7767 z dne 30. novembra 2018 o določitvi tehničnih specifikacij za enotno obliko dovoljenja za prebivanje za državljane tretjih držav in razveljavitvi Sklepa C(2002) 3069.</w:t>
            </w:r>
          </w:p>
        </w:tc>
        <w:tc>
          <w:tcPr>
            <w:tcW w:w="4876" w:type="dxa"/>
            <w:tcBorders>
              <w:top w:val="nil"/>
              <w:left w:val="nil"/>
              <w:bottom w:val="nil"/>
              <w:right w:val="nil"/>
            </w:tcBorders>
          </w:tcPr>
          <w:p w:rsidR="00FE2F41" w:rsidRPr="00FE2F41" w:rsidRDefault="00F15DAA" w:rsidP="00B16A5A">
            <w:pPr>
              <w:pStyle w:val="Normal6a"/>
            </w:pPr>
            <w:r>
              <w:rPr>
                <w:vertAlign w:val="superscript"/>
              </w:rPr>
              <w:t>12</w:t>
            </w:r>
            <w:r>
              <w:t xml:space="preserve"> Izvedbeni sklep Komisije C(2018) 7767 z dne 30. novembra 2018 o določitvi tehničnih specifikacij za enotno obliko dovoljenja za prebivanje za državljane tretjih držav in razveljavitvi Sklepa C(2002) 3069.</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vertAlign w:val="superscript"/>
              </w:rPr>
              <w:t>13</w:t>
            </w:r>
            <w:r>
              <w:t xml:space="preserve"> Izvedbeni sklep Komisije C(2021) 3726 z dne 4. junija 2021 o spremembi Priloge III k Izvedbenemu sklepu C(2018) 7767 glede seznama normativnih referenc.</w:t>
            </w:r>
          </w:p>
        </w:tc>
        <w:tc>
          <w:tcPr>
            <w:tcW w:w="4876" w:type="dxa"/>
            <w:tcBorders>
              <w:top w:val="nil"/>
              <w:left w:val="nil"/>
              <w:bottom w:val="nil"/>
              <w:right w:val="nil"/>
            </w:tcBorders>
          </w:tcPr>
          <w:p w:rsidR="00FE2F41" w:rsidRPr="00FE2F41" w:rsidRDefault="00F15DAA" w:rsidP="00B16A5A">
            <w:pPr>
              <w:pStyle w:val="Normal6a"/>
            </w:pPr>
            <w:r>
              <w:rPr>
                <w:vertAlign w:val="superscript"/>
              </w:rPr>
              <w:t>13</w:t>
            </w:r>
            <w:r>
              <w:t xml:space="preserve"> Izvedbeni sklep Komisije C(2021) 3726 z dne 4. junija 2021 o spremembi Priloge III k Izvedbenemu sklepu C(2018) 7767 glede seznama normativnih referenc.</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pPr>
        <w:pStyle w:val="AmJustTitle"/>
      </w:pPr>
      <w:r>
        <w:rPr>
          <w:rStyle w:val="HideTWBExt"/>
        </w:rPr>
        <w:t>&lt;TitreJust&gt;</w:t>
      </w:r>
      <w:r>
        <w:t>Obrazložitev</w:t>
      </w:r>
      <w:r>
        <w:rPr>
          <w:rStyle w:val="HideTWBExt"/>
        </w:rPr>
        <w:t>&lt;/TitreJust&gt;</w:t>
      </w:r>
    </w:p>
    <w:p w:rsidR="00FE2F41" w:rsidRPr="00FE2F41" w:rsidRDefault="00F15DAA" w:rsidP="00FE2F41">
      <w:pPr>
        <w:pStyle w:val="AmJustText"/>
      </w:pPr>
      <w:r>
        <w:t>S tem predlogom spremembe se črta obveznost shranjevanja dveh prstnih odtisov na osebnih izkaznicah.  Pomeni prehudo kršitev pravice državljanov do zasebnosti, ki je v prid vse večjim možnostim za državni nadzor.  Prav tako je preveliko tveganje za kibernetsko kriminaliteto,  saj se lahko ukradeni prstni odtisi uporabijo po vsem svetu za vse vrste goljufij v zvezi z identiteto.  Ker so prstni odtisi edinstveni, bi njihova kraja pomenila vseživljenjsko tveganje za državljana, ki je žrtev.</w:t>
      </w:r>
    </w:p>
    <w:p w:rsidR="00FE2F41" w:rsidRPr="00FE2F41" w:rsidRDefault="00F15DAA" w:rsidP="00FE2F41">
      <w:r>
        <w:rPr>
          <w:rStyle w:val="HideTWBExt"/>
        </w:rPr>
        <w:t>&lt;/Amend&gt;</w:t>
      </w:r>
    </w:p>
    <w:p w:rsidR="00FE2F41" w:rsidRPr="00FE2F41" w:rsidRDefault="00F15DAA" w:rsidP="00FE2F41">
      <w:pPr>
        <w:pStyle w:val="AMNumberTabs0"/>
        <w:keepNext/>
      </w:pPr>
      <w:r>
        <w:rPr>
          <w:rStyle w:val="HideTWBExt"/>
          <w:b w:val="0"/>
        </w:rPr>
        <w:t>&lt;Amend&gt;</w:t>
      </w:r>
      <w:r>
        <w:t>Predlog spremembe</w:t>
      </w:r>
      <w:r>
        <w:tab/>
      </w:r>
      <w:r>
        <w:tab/>
      </w:r>
      <w:r>
        <w:rPr>
          <w:rStyle w:val="HideTWBExt"/>
          <w:b w:val="0"/>
        </w:rPr>
        <w:t>&lt;NumAm&gt;</w:t>
      </w:r>
      <w:r>
        <w:t>27</w:t>
      </w:r>
      <w:r>
        <w:rPr>
          <w:rStyle w:val="HideTWBExt"/>
          <w:b w:val="0"/>
        </w:rPr>
        <w:t>&lt;/NumAm&gt;</w:t>
      </w:r>
    </w:p>
    <w:p w:rsidR="00FE2F41" w:rsidRPr="00FE2F41" w:rsidRDefault="00F15DAA" w:rsidP="00FE2F41">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E2F41" w:rsidRPr="00FE2F41" w:rsidRDefault="00F15DAA" w:rsidP="00FE2F41">
      <w:r>
        <w:rPr>
          <w:rStyle w:val="HideTWBExt"/>
        </w:rPr>
        <w:t>&lt;/RepeatBlock-By&gt;</w:t>
      </w:r>
    </w:p>
    <w:p w:rsidR="00FE2F41" w:rsidRPr="00FE2F41" w:rsidRDefault="00F15DAA" w:rsidP="00FE2F41">
      <w:pPr>
        <w:pStyle w:val="NormalBold"/>
        <w:keepNext/>
      </w:pPr>
      <w:r>
        <w:rPr>
          <w:rStyle w:val="HideTWBExt"/>
          <w:b w:val="0"/>
        </w:rPr>
        <w:t>&lt;DocAmend&gt;</w:t>
      </w:r>
      <w:r>
        <w:t>Predlog uredbe</w:t>
      </w:r>
      <w:r>
        <w:rPr>
          <w:rStyle w:val="HideTWBExt"/>
          <w:b w:val="0"/>
        </w:rPr>
        <w:t>&lt;/DocAmend&gt;</w:t>
      </w:r>
    </w:p>
    <w:p w:rsidR="00FE2F41" w:rsidRPr="00FE2F41" w:rsidRDefault="00F15DAA" w:rsidP="00FE2F41">
      <w:pPr>
        <w:pStyle w:val="NormalBold"/>
      </w:pPr>
      <w:r>
        <w:rPr>
          <w:rStyle w:val="HideTWBExt"/>
          <w:b w:val="0"/>
        </w:rPr>
        <w:t>&lt;Article&gt;</w:t>
      </w:r>
      <w:r>
        <w:t>Člen 3 – odstavek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5521" w:rsidTr="00B16A5A">
        <w:trPr>
          <w:jc w:val="center"/>
        </w:trPr>
        <w:tc>
          <w:tcPr>
            <w:tcW w:w="9752" w:type="dxa"/>
            <w:gridSpan w:val="2"/>
          </w:tcPr>
          <w:p w:rsidR="00FE2F41" w:rsidRPr="00FE2F41" w:rsidRDefault="00FE2F41" w:rsidP="00B16A5A">
            <w:pPr>
              <w:keepNext/>
            </w:pPr>
          </w:p>
        </w:tc>
      </w:tr>
      <w:tr w:rsidR="00FC5521" w:rsidTr="00B16A5A">
        <w:trPr>
          <w:jc w:val="center"/>
        </w:trPr>
        <w:tc>
          <w:tcPr>
            <w:tcW w:w="4876" w:type="dxa"/>
          </w:tcPr>
          <w:p w:rsidR="00FE2F41" w:rsidRPr="00FE2F41" w:rsidRDefault="00F15DAA" w:rsidP="00B16A5A">
            <w:pPr>
              <w:pStyle w:val="ColumnHeading"/>
              <w:keepNext/>
            </w:pPr>
            <w:r>
              <w:t>Besedilo, ki ga predlaga Komisija</w:t>
            </w:r>
          </w:p>
        </w:tc>
        <w:tc>
          <w:tcPr>
            <w:tcW w:w="4876" w:type="dxa"/>
          </w:tcPr>
          <w:p w:rsidR="00FE2F41" w:rsidRPr="00FE2F41" w:rsidRDefault="00F15DAA" w:rsidP="00B16A5A">
            <w:pPr>
              <w:pStyle w:val="ColumnHeading"/>
              <w:keepNext/>
            </w:pPr>
            <w:r>
              <w:t>Predlog spremembe</w:t>
            </w:r>
          </w:p>
        </w:tc>
      </w:tr>
      <w:tr w:rsidR="00FC5521" w:rsidTr="00B16A5A">
        <w:trPr>
          <w:jc w:val="center"/>
        </w:trPr>
        <w:tc>
          <w:tcPr>
            <w:tcW w:w="4876" w:type="dxa"/>
          </w:tcPr>
          <w:p w:rsidR="00FE2F41" w:rsidRPr="00FE2F41" w:rsidRDefault="00F15DAA" w:rsidP="00B16A5A">
            <w:pPr>
              <w:pStyle w:val="Normal6"/>
            </w:pPr>
            <w:r>
              <w:t>5.</w:t>
            </w:r>
            <w:r>
              <w:tab/>
              <w:t>Osebne izkaznice vključujejo zelo varen pomnilniški medij, ki vsebuje podobo obraza imetnika izkaznice in dva prstna odtisa v interoperabilnih digitalnih oblikah. Države članice za zapis biometričnih identifikatorjev uporabljajo tehnične specifikacije, kakor so določene v Izvedbenem sklepu Komisije C(2018)7767</w:t>
            </w:r>
            <w:r>
              <w:rPr>
                <w:vertAlign w:val="superscript"/>
              </w:rPr>
              <w:t>12</w:t>
            </w:r>
            <w:r>
              <w:t>, kakor je bil spremenjen z Izvedbenim sklepom C(2021) 3726</w:t>
            </w:r>
            <w:r>
              <w:rPr>
                <w:vertAlign w:val="superscript"/>
              </w:rPr>
              <w:t>13</w:t>
            </w:r>
            <w:r>
              <w:t>.</w:t>
            </w:r>
          </w:p>
        </w:tc>
        <w:tc>
          <w:tcPr>
            <w:tcW w:w="4876" w:type="dxa"/>
          </w:tcPr>
          <w:p w:rsidR="00FE2F41" w:rsidRPr="00FE2F41" w:rsidRDefault="00F15DAA" w:rsidP="00B16A5A">
            <w:pPr>
              <w:pStyle w:val="Normal6"/>
              <w:rPr>
                <w:szCs w:val="24"/>
              </w:rPr>
            </w:pPr>
            <w:r>
              <w:t>5.</w:t>
            </w:r>
            <w:r>
              <w:tab/>
              <w:t xml:space="preserve">Osebne izkaznice vključujejo zelo varen pomnilniški medij, ki vsebuje podobo obraza imetnika izkaznice in dva prstna odtisa v interoperabilnih digitalnih oblikah. Države članice za zapis </w:t>
            </w:r>
            <w:r>
              <w:rPr>
                <w:b/>
                <w:i/>
              </w:rPr>
              <w:t xml:space="preserve">teh dveh vrst </w:t>
            </w:r>
            <w:r>
              <w:t>biometričnih identifikatorjev uporabljajo tehnične specifikacije, kakor so določene v Izvedbenem sklepu Komisije C(2018)7767</w:t>
            </w:r>
            <w:r>
              <w:rPr>
                <w:vertAlign w:val="superscript"/>
              </w:rPr>
              <w:t>12</w:t>
            </w:r>
            <w:r>
              <w:t>, kakor je bil spremenjen z Izvedbenim sklepom C(2021) 3726</w:t>
            </w:r>
            <w:r>
              <w:rPr>
                <w:vertAlign w:val="superscript"/>
              </w:rPr>
              <w:t>13</w:t>
            </w:r>
            <w:r>
              <w:t>.</w:t>
            </w:r>
          </w:p>
        </w:tc>
      </w:tr>
      <w:tr w:rsidR="00FC5521" w:rsidTr="00B16A5A">
        <w:trPr>
          <w:jc w:val="center"/>
        </w:trPr>
        <w:tc>
          <w:tcPr>
            <w:tcW w:w="4876" w:type="dxa"/>
          </w:tcPr>
          <w:p w:rsidR="00FE2F41" w:rsidRPr="00FE2F41" w:rsidRDefault="00F15DAA" w:rsidP="00B16A5A">
            <w:pPr>
              <w:pStyle w:val="Normal6"/>
            </w:pPr>
            <w:r>
              <w:t>__________________</w:t>
            </w:r>
          </w:p>
        </w:tc>
        <w:tc>
          <w:tcPr>
            <w:tcW w:w="4876" w:type="dxa"/>
          </w:tcPr>
          <w:p w:rsidR="00FE2F41" w:rsidRPr="00FE2F41" w:rsidRDefault="00F15DAA" w:rsidP="00B16A5A">
            <w:pPr>
              <w:pStyle w:val="Normal6"/>
              <w:rPr>
                <w:szCs w:val="24"/>
              </w:rPr>
            </w:pPr>
            <w:r>
              <w:t>__________________</w:t>
            </w:r>
          </w:p>
        </w:tc>
      </w:tr>
      <w:tr w:rsidR="00FC5521" w:rsidTr="00B16A5A">
        <w:trPr>
          <w:jc w:val="center"/>
        </w:trPr>
        <w:tc>
          <w:tcPr>
            <w:tcW w:w="4876" w:type="dxa"/>
          </w:tcPr>
          <w:p w:rsidR="00FE2F41" w:rsidRPr="00FE2F41" w:rsidRDefault="00F15DAA" w:rsidP="00B16A5A">
            <w:pPr>
              <w:pStyle w:val="Normal6"/>
            </w:pPr>
            <w:r>
              <w:rPr>
                <w:vertAlign w:val="superscript"/>
              </w:rPr>
              <w:t>12</w:t>
            </w:r>
            <w:r>
              <w:t xml:space="preserve"> Izvedbeni sklep Komisije C(2018) 7767 z dne 30. novembra 2018 o določitvi tehničnih specifikacij za enotno obliko dovoljenja za prebivanje za državljane tretjih držav in razveljavitvi Sklepa C(2002) 3069.</w:t>
            </w:r>
          </w:p>
        </w:tc>
        <w:tc>
          <w:tcPr>
            <w:tcW w:w="4876" w:type="dxa"/>
          </w:tcPr>
          <w:p w:rsidR="00FE2F41" w:rsidRPr="00FE2F41" w:rsidRDefault="00F15DAA" w:rsidP="00B16A5A">
            <w:pPr>
              <w:pStyle w:val="Normal6"/>
              <w:rPr>
                <w:szCs w:val="24"/>
              </w:rPr>
            </w:pPr>
            <w:r>
              <w:rPr>
                <w:vertAlign w:val="superscript"/>
              </w:rPr>
              <w:t>12</w:t>
            </w:r>
            <w:r>
              <w:t xml:space="preserve"> Izvedbeni sklep Komisije C(2018) 7767 z dne 30. novembra 2018 o določitvi tehničnih specifikacij za enotno obliko dovoljenja za prebivanje za državljane tretjih držav in razveljavitvi Sklepa C(2002) 3069.</w:t>
            </w:r>
          </w:p>
        </w:tc>
      </w:tr>
      <w:tr w:rsidR="00FC5521" w:rsidTr="00B16A5A">
        <w:trPr>
          <w:jc w:val="center"/>
        </w:trPr>
        <w:tc>
          <w:tcPr>
            <w:tcW w:w="4876" w:type="dxa"/>
          </w:tcPr>
          <w:p w:rsidR="00FE2F41" w:rsidRPr="00FE2F41" w:rsidRDefault="00F15DAA" w:rsidP="00B16A5A">
            <w:pPr>
              <w:pStyle w:val="Normal6"/>
            </w:pPr>
            <w:r>
              <w:rPr>
                <w:vertAlign w:val="superscript"/>
              </w:rPr>
              <w:t>13</w:t>
            </w:r>
            <w:r>
              <w:t xml:space="preserve"> Izvedbeni sklep Komisije C(2021) 3726 z dne 4. junija 2021 o spremembi Priloge III k Izvedbenemu sklepu C(2018) 7767 glede seznama normativnih referenc.</w:t>
            </w:r>
          </w:p>
        </w:tc>
        <w:tc>
          <w:tcPr>
            <w:tcW w:w="4876" w:type="dxa"/>
          </w:tcPr>
          <w:p w:rsidR="00FE2F41" w:rsidRPr="00FE2F41" w:rsidRDefault="00F15DAA" w:rsidP="00B16A5A">
            <w:pPr>
              <w:pStyle w:val="Normal6"/>
              <w:rPr>
                <w:szCs w:val="24"/>
              </w:rPr>
            </w:pPr>
            <w:r>
              <w:rPr>
                <w:vertAlign w:val="superscript"/>
              </w:rPr>
              <w:t>13</w:t>
            </w:r>
            <w:r>
              <w:t xml:space="preserve"> Izvedbeni sklep Komisije C(2021) 3726 z dne 4. junija 2021 o spremembi Priloge III k Izvedbenemu sklepu C(2018) 7767 glede seznama normativnih referenc.</w:t>
            </w:r>
          </w:p>
        </w:tc>
      </w:tr>
    </w:tbl>
    <w:p w:rsidR="00FE2F41" w:rsidRPr="00FE2F41" w:rsidRDefault="00F15DAA" w:rsidP="00FE2F41">
      <w:pPr>
        <w:pStyle w:val="Olang"/>
        <w:rPr>
          <w:sz w:val="24"/>
          <w:szCs w:val="24"/>
        </w:rPr>
      </w:pPr>
      <w:r w:rsidRPr="00FE2F41">
        <w:rPr>
          <w:sz w:val="24"/>
          <w:szCs w:val="24"/>
        </w:rPr>
        <w:t xml:space="preserve">Or. </w:t>
      </w:r>
      <w:r w:rsidRPr="00FE2F41">
        <w:rPr>
          <w:rStyle w:val="HideTWBExt"/>
        </w:rPr>
        <w:t>&lt;Original&gt;</w:t>
      </w:r>
      <w:r w:rsidRPr="00FE2F41">
        <w:rPr>
          <w:rStyle w:val="HideTWBInt"/>
          <w:sz w:val="24"/>
          <w:szCs w:val="24"/>
        </w:rPr>
        <w:t>{EN}</w:t>
      </w:r>
      <w:r w:rsidRPr="00FE2F41">
        <w:rPr>
          <w:sz w:val="24"/>
          <w:szCs w:val="24"/>
        </w:rPr>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28</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3 – odstavek 7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 xml:space="preserve">Otroci, mlajši od 12 let, so </w:t>
            </w:r>
            <w:r>
              <w:rPr>
                <w:b/>
                <w:i/>
              </w:rPr>
              <w:t xml:space="preserve">lahko </w:t>
            </w:r>
            <w:r>
              <w:t>izvzeti iz obveznosti odvzema prstnih odtisov.</w:t>
            </w:r>
          </w:p>
        </w:tc>
        <w:tc>
          <w:tcPr>
            <w:tcW w:w="4876" w:type="dxa"/>
            <w:tcBorders>
              <w:top w:val="nil"/>
              <w:left w:val="nil"/>
              <w:bottom w:val="nil"/>
              <w:right w:val="nil"/>
            </w:tcBorders>
          </w:tcPr>
          <w:p w:rsidR="00FE2F41" w:rsidRPr="00FE2F41" w:rsidRDefault="00F15DAA" w:rsidP="00B16A5A">
            <w:pPr>
              <w:pStyle w:val="Normal6a"/>
            </w:pPr>
            <w:r>
              <w:t>Otroci, mlajši od 12 let, so izvzeti iz obveznosti odvzema prstnih odtisov.</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29</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6 – odstavek 1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pPr>
            <w:r>
              <w:rPr>
                <w:b/>
                <w:i/>
              </w:rPr>
              <w:t>(ea)</w:t>
            </w:r>
            <w:r>
              <w:tab/>
            </w:r>
            <w:r>
              <w:rPr>
                <w:b/>
                <w:i/>
              </w:rPr>
              <w:t>spol imetnika</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30</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6 – odstavek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(h)</w:t>
            </w:r>
            <w:r>
              <w:tab/>
              <w:t>na sprednji strani dokumenta, dvočrkovna oznaka države članice, ki izda dokument</w:t>
            </w:r>
            <w:r>
              <w:rPr>
                <w:b/>
                <w:i/>
              </w:rPr>
              <w:t>, natisnjena v negativu v modrem pravokotniku in obkrožena z dvanajstimi rumenimi zvezdami</w:t>
            </w:r>
            <w:r>
              <w:t>.</w:t>
            </w:r>
          </w:p>
        </w:tc>
        <w:tc>
          <w:tcPr>
            <w:tcW w:w="4876" w:type="dxa"/>
            <w:tcBorders>
              <w:top w:val="nil"/>
              <w:left w:val="nil"/>
              <w:bottom w:val="nil"/>
              <w:right w:val="nil"/>
            </w:tcBorders>
          </w:tcPr>
          <w:p w:rsidR="00FE2F41" w:rsidRPr="00FE2F41" w:rsidRDefault="00F15DAA" w:rsidP="00B16A5A">
            <w:pPr>
              <w:pStyle w:val="Normal6a"/>
            </w:pPr>
            <w:r>
              <w:t>(h)</w:t>
            </w:r>
            <w:r>
              <w:tab/>
              <w:t>na sprednji strani dokumenta, dvočrkovna oznaka države članice, ki izda dokument.</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31</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10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3.</w:t>
            </w:r>
            <w:r>
              <w:tab/>
            </w:r>
            <w:r>
              <w:rPr>
                <w:b/>
                <w:i/>
              </w:rPr>
              <w:t>Kadar se biometrični identifikatorji ne zahtevajo za namen obdelave v skladu s pravom Unije in nacionalnim pravom</w:t>
            </w:r>
            <w:r>
              <w:t xml:space="preserve">, </w:t>
            </w:r>
            <w:r>
              <w:rPr>
                <w:b/>
                <w:i/>
              </w:rPr>
              <w:t>se</w:t>
            </w:r>
            <w:r>
              <w:t xml:space="preserve"> za namene personalizacije osebnih izkaznic ali dokumentov za prebivanje</w:t>
            </w:r>
            <w:r>
              <w:rPr>
                <w:b/>
                <w:i/>
              </w:rPr>
              <w:t xml:space="preserve"> shranjujejo zelo varno</w:t>
            </w:r>
            <w:r>
              <w:t xml:space="preserve"> in </w:t>
            </w:r>
            <w:r>
              <w:rPr>
                <w:b/>
                <w:i/>
              </w:rPr>
              <w:t>le</w:t>
            </w:r>
            <w:r>
              <w:t xml:space="preserve"> do prevzema dokumenta, vsekakor pa največ 90 dni od datuma izdaje</w:t>
            </w:r>
            <w:r>
              <w:rPr>
                <w:b/>
                <w:i/>
              </w:rPr>
              <w:t xml:space="preserve"> dokumenta</w:t>
            </w:r>
            <w:r>
              <w:t>. Biometrični identifikatorji se po preteku tega obdobja takoj izbrišejo ali uničijo.</w:t>
            </w:r>
          </w:p>
        </w:tc>
        <w:tc>
          <w:tcPr>
            <w:tcW w:w="4876" w:type="dxa"/>
            <w:tcBorders>
              <w:top w:val="nil"/>
              <w:left w:val="nil"/>
              <w:bottom w:val="nil"/>
              <w:right w:val="nil"/>
            </w:tcBorders>
          </w:tcPr>
          <w:p w:rsidR="00FE2F41" w:rsidRPr="00FE2F41" w:rsidRDefault="00F15DAA" w:rsidP="00B16A5A">
            <w:pPr>
              <w:pStyle w:val="Normal6a"/>
            </w:pPr>
            <w:r>
              <w:t>3.</w:t>
            </w:r>
            <w:r>
              <w:tab/>
            </w:r>
            <w:r>
              <w:rPr>
                <w:b/>
                <w:i/>
              </w:rPr>
              <w:t>Biometrične identifikatorje</w:t>
            </w:r>
            <w:r>
              <w:t xml:space="preserve">, </w:t>
            </w:r>
            <w:r>
              <w:rPr>
                <w:b/>
                <w:i/>
              </w:rPr>
              <w:t>shranjene</w:t>
            </w:r>
            <w:r>
              <w:t xml:space="preserve"> za namene personalizacije osebnih izkaznic ali dokumentov za prebivanje</w:t>
            </w:r>
            <w:r>
              <w:rPr>
                <w:b/>
                <w:i/>
              </w:rPr>
              <w:t>, je treba obdelovati le za ta namen</w:t>
            </w:r>
            <w:r>
              <w:t xml:space="preserve"> in </w:t>
            </w:r>
            <w:r>
              <w:rPr>
                <w:b/>
                <w:i/>
              </w:rPr>
              <w:t>hraniti zelo varno</w:t>
            </w:r>
            <w:r>
              <w:t xml:space="preserve"> do prevzema dokumenta, vsekakor pa največ 90 dni od datuma izdaje. Biometrični identifikatorji se po preteku tega obdobja takoj izbrišejo ali uničijo.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32</w:t>
      </w:r>
      <w:r>
        <w:rPr>
          <w:rStyle w:val="HideTWBExt"/>
        </w:rPr>
        <w:t>&lt;/NumAm&gt;</w:t>
      </w:r>
    </w:p>
    <w:p w:rsidR="00FE2F41" w:rsidRPr="00FE2F41" w:rsidRDefault="00F15DAA" w:rsidP="00FE2F41">
      <w:pPr>
        <w:pStyle w:val="NormalBold"/>
      </w:pPr>
      <w:r>
        <w:rPr>
          <w:rStyle w:val="HideTWBExt"/>
          <w:b w:val="0"/>
        </w:rPr>
        <w:t>&lt;RepeatBlock-By&gt;&lt;Members&gt;</w:t>
      </w:r>
      <w:r>
        <w:t>Anna Strolenberg</w:t>
      </w:r>
      <w:r>
        <w:rPr>
          <w:rStyle w:val="HideTWBExt"/>
          <w:b w:val="0"/>
        </w:rPr>
        <w:t>&lt;/Members&gt;</w:t>
      </w:r>
    </w:p>
    <w:p w:rsidR="00FE2F41" w:rsidRPr="00FE2F41" w:rsidRDefault="00F15DAA" w:rsidP="00FE2F41">
      <w:r>
        <w:rPr>
          <w:rStyle w:val="HideTWBExt"/>
        </w:rPr>
        <w:t>&lt;AuNomDe&gt;</w:t>
      </w:r>
      <w:r>
        <w:rPr>
          <w:rStyle w:val="HideTWBInt"/>
          <w:color w:val="auto"/>
        </w:rPr>
        <w:t>{Greens/EFA}</w:t>
      </w:r>
      <w:r>
        <w:t>v imenu skupine Verts/ALE</w:t>
      </w:r>
      <w:r>
        <w:rPr>
          <w:rStyle w:val="HideTWBExt"/>
        </w:rPr>
        <w:t>&lt;/AuNomDe&gt;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10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3.</w:t>
            </w:r>
            <w:r>
              <w:tab/>
            </w:r>
            <w:r>
              <w:rPr>
                <w:b/>
                <w:i/>
              </w:rPr>
              <w:t>Kadar se</w:t>
            </w:r>
            <w:r>
              <w:t xml:space="preserve"> biometrični identifikatorji</w:t>
            </w:r>
            <w:r>
              <w:rPr>
                <w:b/>
                <w:i/>
              </w:rPr>
              <w:t xml:space="preserve"> ne zahtevajo</w:t>
            </w:r>
            <w:r>
              <w:t xml:space="preserve"> za </w:t>
            </w:r>
            <w:r>
              <w:rPr>
                <w:b/>
                <w:i/>
              </w:rPr>
              <w:t>namen obdelave v skladu s pravom Unije in nacionalnim pravom</w:t>
            </w:r>
            <w:r>
              <w:t xml:space="preserve">, se </w:t>
            </w:r>
            <w:r>
              <w:rPr>
                <w:b/>
                <w:i/>
              </w:rPr>
              <w:t>za namene personalizacije osebnih izkaznic ali dokumentov za prebivanje shranjujejo</w:t>
            </w:r>
            <w:r>
              <w:t xml:space="preserve"> zelo </w:t>
            </w:r>
            <w:r>
              <w:rPr>
                <w:b/>
                <w:i/>
              </w:rPr>
              <w:t>varno</w:t>
            </w:r>
            <w:r>
              <w:t xml:space="preserve"> in </w:t>
            </w:r>
            <w:r>
              <w:rPr>
                <w:b/>
                <w:i/>
              </w:rPr>
              <w:t>le</w:t>
            </w:r>
            <w:r>
              <w:t xml:space="preserve"> do prevzema dokumenta, </w:t>
            </w:r>
            <w:r>
              <w:rPr>
                <w:b/>
                <w:i/>
              </w:rPr>
              <w:t>vsekakor</w:t>
            </w:r>
            <w:r>
              <w:t xml:space="preserve"> pa največ 90 dni od datuma izdaje</w:t>
            </w:r>
            <w:r>
              <w:rPr>
                <w:b/>
                <w:i/>
              </w:rPr>
              <w:t xml:space="preserve"> dokumenta</w:t>
            </w:r>
            <w:r>
              <w:t>. Biometrični identifikatorji se po preteku tega obdobja takoj izbrišejo ali uničijo.</w:t>
            </w:r>
          </w:p>
        </w:tc>
        <w:tc>
          <w:tcPr>
            <w:tcW w:w="4876" w:type="dxa"/>
            <w:tcBorders>
              <w:top w:val="nil"/>
              <w:left w:val="nil"/>
              <w:bottom w:val="nil"/>
              <w:right w:val="nil"/>
            </w:tcBorders>
          </w:tcPr>
          <w:p w:rsidR="00FE2F41" w:rsidRPr="00FE2F41" w:rsidRDefault="00F15DAA" w:rsidP="00B16A5A">
            <w:pPr>
              <w:pStyle w:val="Normal6a"/>
            </w:pPr>
            <w:r>
              <w:t>3.</w:t>
            </w:r>
            <w:r>
              <w:tab/>
              <w:t>Biometrični identifikatorji</w:t>
            </w:r>
            <w:r>
              <w:rPr>
                <w:b/>
                <w:i/>
              </w:rPr>
              <w:t>, shranjeni</w:t>
            </w:r>
            <w:r>
              <w:t xml:space="preserve"> za </w:t>
            </w:r>
            <w:r>
              <w:rPr>
                <w:b/>
                <w:i/>
              </w:rPr>
              <w:t>namene personalizacije osebnih izkaznic ali dokumentov za prebivanje</w:t>
            </w:r>
            <w:r>
              <w:t xml:space="preserve">, se </w:t>
            </w:r>
            <w:r>
              <w:rPr>
                <w:b/>
                <w:i/>
              </w:rPr>
              <w:t>obdelujejo izključno za ta namen. Hranijo se na</w:t>
            </w:r>
            <w:r>
              <w:t xml:space="preserve"> zelo </w:t>
            </w:r>
            <w:r>
              <w:rPr>
                <w:b/>
                <w:i/>
              </w:rPr>
              <w:t>varen način</w:t>
            </w:r>
            <w:r>
              <w:t xml:space="preserve"> in </w:t>
            </w:r>
            <w:r>
              <w:rPr>
                <w:b/>
                <w:i/>
              </w:rPr>
              <w:t>samo</w:t>
            </w:r>
            <w:r>
              <w:t xml:space="preserve"> do</w:t>
            </w:r>
            <w:r>
              <w:rPr>
                <w:b/>
                <w:i/>
              </w:rPr>
              <w:t xml:space="preserve"> datuma</w:t>
            </w:r>
            <w:r>
              <w:t xml:space="preserve"> prevzema dokumenta, </w:t>
            </w:r>
            <w:r>
              <w:rPr>
                <w:b/>
                <w:i/>
              </w:rPr>
              <w:t>v vsakem primeru</w:t>
            </w:r>
            <w:r>
              <w:t xml:space="preserve"> pa največ 90 dni od datuma izdaje. Biometrični identifikatorji se po preteku tega obdobja takoj izbrišejo ali uničijo.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33</w:t>
      </w:r>
      <w:r>
        <w:rPr>
          <w:rStyle w:val="HideTWBExt"/>
        </w:rPr>
        <w:t>&lt;/NumAm&gt;</w:t>
      </w:r>
    </w:p>
    <w:p w:rsidR="00FE2F41" w:rsidRPr="00FE2F41" w:rsidRDefault="00F15DAA" w:rsidP="00FE2F41">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10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3.</w:t>
            </w:r>
            <w:r>
              <w:tab/>
            </w:r>
            <w:r>
              <w:rPr>
                <w:b/>
                <w:i/>
              </w:rPr>
              <w:t>Kadar se biometrični identifikatorji ne zahtevajo za namen obdelave v skladu s pravom Unije in nacionalnim pravom</w:t>
            </w:r>
            <w:r>
              <w:t xml:space="preserve">, </w:t>
            </w:r>
            <w:r>
              <w:rPr>
                <w:b/>
                <w:i/>
              </w:rPr>
              <w:t>se</w:t>
            </w:r>
            <w:r>
              <w:t xml:space="preserve"> za namene personalizacije osebnih izkaznic ali dokumentov za prebivanje</w:t>
            </w:r>
            <w:r>
              <w:rPr>
                <w:b/>
                <w:i/>
              </w:rPr>
              <w:t xml:space="preserve"> shranjujejo zelo varno</w:t>
            </w:r>
            <w:r>
              <w:t xml:space="preserve"> in </w:t>
            </w:r>
            <w:r>
              <w:rPr>
                <w:b/>
                <w:i/>
              </w:rPr>
              <w:t>le</w:t>
            </w:r>
            <w:r>
              <w:t xml:space="preserve"> do prevzema dokumenta, vsekakor pa največ 90 dni od datuma izdaje</w:t>
            </w:r>
            <w:r>
              <w:rPr>
                <w:b/>
                <w:i/>
              </w:rPr>
              <w:t xml:space="preserve"> dokumenta</w:t>
            </w:r>
            <w:r>
              <w:t>. Biometrični identifikatorji se po preteku tega obdobja takoj izbrišejo ali uničijo.</w:t>
            </w:r>
          </w:p>
        </w:tc>
        <w:tc>
          <w:tcPr>
            <w:tcW w:w="4876" w:type="dxa"/>
            <w:tcBorders>
              <w:top w:val="nil"/>
              <w:left w:val="nil"/>
              <w:bottom w:val="nil"/>
              <w:right w:val="nil"/>
            </w:tcBorders>
          </w:tcPr>
          <w:p w:rsidR="00FE2F41" w:rsidRPr="00FE2F41" w:rsidRDefault="00F15DAA" w:rsidP="00B16A5A">
            <w:pPr>
              <w:pStyle w:val="Normal6a"/>
            </w:pPr>
            <w:r>
              <w:t>3.</w:t>
            </w:r>
            <w:r>
              <w:tab/>
            </w:r>
            <w:r>
              <w:rPr>
                <w:b/>
                <w:i/>
              </w:rPr>
              <w:t>Biometrične identifikatorje</w:t>
            </w:r>
            <w:r>
              <w:t xml:space="preserve">, </w:t>
            </w:r>
            <w:r>
              <w:rPr>
                <w:b/>
                <w:i/>
              </w:rPr>
              <w:t>shranjene</w:t>
            </w:r>
            <w:r>
              <w:t xml:space="preserve"> za namene personalizacije osebnih izkaznic ali dokumentov za prebivanje</w:t>
            </w:r>
            <w:r>
              <w:rPr>
                <w:b/>
                <w:i/>
              </w:rPr>
              <w:t>, je treba obdelovati le za ta namen</w:t>
            </w:r>
            <w:r>
              <w:t xml:space="preserve"> in </w:t>
            </w:r>
            <w:r>
              <w:rPr>
                <w:b/>
                <w:i/>
              </w:rPr>
              <w:t>hraniti zelo varno</w:t>
            </w:r>
            <w:r>
              <w:t xml:space="preserve"> do prevzema dokumenta, vsekakor pa največ 90 dni od datuma izdaje. Biometrični identifikatorji se po preteku tega obdobja takoj izbrišejo ali uničijo.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34</w:t>
      </w:r>
      <w:r>
        <w:rPr>
          <w:rStyle w:val="HideTWBExt"/>
        </w:rPr>
        <w:t>&lt;/NumAm&gt;</w:t>
      </w:r>
    </w:p>
    <w:p w:rsidR="00FE2F41" w:rsidRPr="00FE2F41" w:rsidRDefault="00F15DAA" w:rsidP="00FE2F41">
      <w:pPr>
        <w:pStyle w:val="NormalBold"/>
      </w:pPr>
      <w:r>
        <w:rPr>
          <w:rStyle w:val="HideTWBExt"/>
          <w:b w:val="0"/>
        </w:rPr>
        <w:t>&lt;RepeatBlock-By&gt;&lt;Members&gt;</w:t>
      </w:r>
      <w:r>
        <w:t>Tomáš Zdechovský</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11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4.</w:t>
            </w:r>
            <w:r>
              <w:tab/>
              <w:t xml:space="preserve">Sodelovanje z zunanjimi ponudniki storitev ne izključuje </w:t>
            </w:r>
            <w:r>
              <w:rPr>
                <w:b/>
                <w:i/>
              </w:rPr>
              <w:t>morebitne odgovornosti</w:t>
            </w:r>
            <w:r>
              <w:t xml:space="preserve"> države članice </w:t>
            </w:r>
            <w:r>
              <w:rPr>
                <w:b/>
                <w:i/>
              </w:rPr>
              <w:t>na podlagi prava</w:t>
            </w:r>
            <w:r>
              <w:t xml:space="preserve"> Unije </w:t>
            </w:r>
            <w:r>
              <w:rPr>
                <w:b/>
                <w:i/>
              </w:rPr>
              <w:t>ali nacionalnega prava</w:t>
            </w:r>
            <w:r>
              <w:t xml:space="preserve"> za </w:t>
            </w:r>
            <w:r>
              <w:rPr>
                <w:b/>
                <w:i/>
              </w:rPr>
              <w:t>kršitve obveznosti v zvezi z osebnimi podatki</w:t>
            </w:r>
            <w:r>
              <w:t>.</w:t>
            </w:r>
          </w:p>
        </w:tc>
        <w:tc>
          <w:tcPr>
            <w:tcW w:w="4876" w:type="dxa"/>
            <w:tcBorders>
              <w:top w:val="nil"/>
              <w:left w:val="nil"/>
              <w:bottom w:val="nil"/>
              <w:right w:val="nil"/>
            </w:tcBorders>
          </w:tcPr>
          <w:p w:rsidR="00FE2F41" w:rsidRPr="00FE2F41" w:rsidRDefault="00F15DAA" w:rsidP="00B16A5A">
            <w:pPr>
              <w:pStyle w:val="Normal6a"/>
            </w:pPr>
            <w:r>
              <w:t>4.</w:t>
            </w:r>
            <w:r>
              <w:tab/>
              <w:t xml:space="preserve">Sodelovanje z zunanjimi ponudniki storitev ne izključuje </w:t>
            </w:r>
            <w:r>
              <w:rPr>
                <w:b/>
                <w:i/>
              </w:rPr>
              <w:t xml:space="preserve">odgovornosti države članice. </w:t>
            </w:r>
            <w:r>
              <w:t xml:space="preserve">Države članice </w:t>
            </w:r>
            <w:r>
              <w:rPr>
                <w:b/>
                <w:i/>
              </w:rPr>
              <w:t>zagotovijo, da vsi zunanji ponudniki ravnajo v skladu s pravom</w:t>
            </w:r>
            <w:r>
              <w:t xml:space="preserve"> Unije </w:t>
            </w:r>
            <w:r>
              <w:rPr>
                <w:b/>
                <w:i/>
              </w:rPr>
              <w:t>in nacionalnim pravom o varstvu podatkov. Sprejeti bi bilo treba dodatne ukrepe</w:t>
            </w:r>
            <w:r>
              <w:t xml:space="preserve"> za </w:t>
            </w:r>
            <w:r>
              <w:rPr>
                <w:b/>
                <w:i/>
              </w:rPr>
              <w:t>preprečevanje nepooblaščenega dostopa do osebnih podatkov ali njihove zlorabe med postopki, oddanimi v zunanje izvajanje</w:t>
            </w:r>
            <w:r>
              <w:t>.</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0"/>
        <w:keepNext/>
      </w:pPr>
      <w:r>
        <w:rPr>
          <w:rStyle w:val="HideTWBExt"/>
          <w:b w:val="0"/>
        </w:rPr>
        <w:t>&lt;Amend&gt;</w:t>
      </w:r>
      <w:r>
        <w:t>Predlog spremembe</w:t>
      </w:r>
      <w:r>
        <w:tab/>
      </w:r>
      <w:r>
        <w:tab/>
      </w:r>
      <w:r>
        <w:rPr>
          <w:rStyle w:val="HideTWBExt"/>
          <w:b w:val="0"/>
        </w:rPr>
        <w:t>&lt;NumAm&gt;</w:t>
      </w:r>
      <w:r>
        <w:t>35</w:t>
      </w:r>
      <w:r>
        <w:rPr>
          <w:rStyle w:val="HideTWBExt"/>
          <w:b w:val="0"/>
        </w:rPr>
        <w:t>&lt;/NumAm&gt;</w:t>
      </w:r>
    </w:p>
    <w:p w:rsidR="00FE2F41" w:rsidRPr="00FE2F41" w:rsidRDefault="00F15DAA" w:rsidP="00FE2F41">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E2F41" w:rsidRPr="00FE2F41" w:rsidRDefault="00F15DAA" w:rsidP="00FE2F41">
      <w:r>
        <w:rPr>
          <w:rStyle w:val="HideTWBExt"/>
        </w:rPr>
        <w:t>&lt;/RepeatBlock-By&gt;</w:t>
      </w:r>
    </w:p>
    <w:p w:rsidR="00FE2F41" w:rsidRPr="00FE2F41" w:rsidRDefault="00F15DAA" w:rsidP="00FE2F41">
      <w:pPr>
        <w:pStyle w:val="NormalBold"/>
        <w:keepNext/>
      </w:pPr>
      <w:r>
        <w:rPr>
          <w:rStyle w:val="HideTWBExt"/>
          <w:b w:val="0"/>
        </w:rPr>
        <w:t>&lt;DocAmend&gt;</w:t>
      </w:r>
      <w:r>
        <w:t>Predlog uredbe</w:t>
      </w:r>
      <w:r>
        <w:rPr>
          <w:rStyle w:val="HideTWBExt"/>
          <w:b w:val="0"/>
        </w:rPr>
        <w:t>&lt;/DocAmend&gt;</w:t>
      </w:r>
    </w:p>
    <w:p w:rsidR="00FE2F41" w:rsidRPr="00FE2F41" w:rsidRDefault="00F15DAA" w:rsidP="00FE2F41">
      <w:pPr>
        <w:pStyle w:val="NormalBold"/>
      </w:pPr>
      <w:r>
        <w:rPr>
          <w:rStyle w:val="HideTWBExt"/>
          <w:b w:val="0"/>
        </w:rPr>
        <w:t>&lt;Article&gt;</w:t>
      </w:r>
      <w:r>
        <w:t>Člen 11 – odstavek 6 – pododstavek 1 – uvodni del</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5521" w:rsidTr="00B16A5A">
        <w:trPr>
          <w:jc w:val="center"/>
        </w:trPr>
        <w:tc>
          <w:tcPr>
            <w:tcW w:w="9752" w:type="dxa"/>
            <w:gridSpan w:val="2"/>
          </w:tcPr>
          <w:p w:rsidR="00FE2F41" w:rsidRPr="00FE2F41" w:rsidRDefault="00FE2F41" w:rsidP="00B16A5A">
            <w:pPr>
              <w:keepNext/>
            </w:pPr>
          </w:p>
        </w:tc>
      </w:tr>
      <w:tr w:rsidR="00FC5521" w:rsidTr="00B16A5A">
        <w:trPr>
          <w:jc w:val="center"/>
        </w:trPr>
        <w:tc>
          <w:tcPr>
            <w:tcW w:w="4876" w:type="dxa"/>
          </w:tcPr>
          <w:p w:rsidR="00FE2F41" w:rsidRPr="00FE2F41" w:rsidRDefault="00F15DAA" w:rsidP="00B16A5A">
            <w:pPr>
              <w:pStyle w:val="ColumnHeading"/>
              <w:keepNext/>
            </w:pPr>
            <w:r>
              <w:t>Besedilo, ki ga predlaga Komisija</w:t>
            </w:r>
          </w:p>
        </w:tc>
        <w:tc>
          <w:tcPr>
            <w:tcW w:w="4876" w:type="dxa"/>
          </w:tcPr>
          <w:p w:rsidR="00FE2F41" w:rsidRPr="00FE2F41" w:rsidRDefault="00F15DAA" w:rsidP="00B16A5A">
            <w:pPr>
              <w:pStyle w:val="ColumnHeading"/>
              <w:keepNext/>
            </w:pPr>
            <w:r>
              <w:t>Predlog spremembe</w:t>
            </w:r>
          </w:p>
        </w:tc>
      </w:tr>
      <w:tr w:rsidR="00FC5521" w:rsidTr="00B16A5A">
        <w:trPr>
          <w:jc w:val="center"/>
        </w:trPr>
        <w:tc>
          <w:tcPr>
            <w:tcW w:w="4876" w:type="dxa"/>
          </w:tcPr>
          <w:p w:rsidR="00FE2F41" w:rsidRPr="00FE2F41" w:rsidRDefault="00F15DAA" w:rsidP="00B16A5A">
            <w:pPr>
              <w:pStyle w:val="Normal6"/>
            </w:pPr>
            <w:r>
              <w:rPr>
                <w:b/>
                <w:i/>
              </w:rPr>
              <w:t>Biometrični podatki</w:t>
            </w:r>
            <w:r>
              <w:t xml:space="preserve">, </w:t>
            </w:r>
            <w:r>
              <w:rPr>
                <w:b/>
                <w:i/>
              </w:rPr>
              <w:t>shranjeni</w:t>
            </w:r>
            <w:r>
              <w:t xml:space="preserve"> v pomnilniškem mediju osebnih izkaznic in dokumentov za prebivanje, </w:t>
            </w:r>
            <w:r>
              <w:rPr>
                <w:b/>
                <w:i/>
              </w:rPr>
              <w:t>se uporabljajo samo v skladu s pravom</w:t>
            </w:r>
            <w:r>
              <w:t xml:space="preserve"> Unije in </w:t>
            </w:r>
            <w:r>
              <w:rPr>
                <w:b/>
                <w:i/>
              </w:rPr>
              <w:t>nacionalnim</w:t>
            </w:r>
            <w:r>
              <w:t xml:space="preserve"> pravom</w:t>
            </w:r>
            <w:r>
              <w:rPr>
                <w:b/>
                <w:i/>
              </w:rPr>
              <w:t>, in sicer</w:t>
            </w:r>
            <w:r>
              <w:t xml:space="preserve"> za </w:t>
            </w:r>
            <w:r>
              <w:rPr>
                <w:b/>
                <w:i/>
              </w:rPr>
              <w:t>namen</w:t>
            </w:r>
            <w:r>
              <w:t xml:space="preserve"> preverjanja:</w:t>
            </w:r>
          </w:p>
        </w:tc>
        <w:tc>
          <w:tcPr>
            <w:tcW w:w="4876" w:type="dxa"/>
          </w:tcPr>
          <w:p w:rsidR="00FE2F41" w:rsidRPr="00FE2F41" w:rsidRDefault="00F15DAA" w:rsidP="00B16A5A">
            <w:pPr>
              <w:pStyle w:val="Normal6"/>
              <w:rPr>
                <w:szCs w:val="24"/>
              </w:rPr>
            </w:pPr>
            <w:r>
              <w:rPr>
                <w:b/>
                <w:i/>
              </w:rPr>
              <w:t>Do podobe obraza imetnika</w:t>
            </w:r>
            <w:r>
              <w:t xml:space="preserve">, </w:t>
            </w:r>
            <w:r>
              <w:rPr>
                <w:b/>
                <w:i/>
              </w:rPr>
              <w:t>shranjene</w:t>
            </w:r>
            <w:r>
              <w:t xml:space="preserve"> v pomnilniškem mediju osebnih izkaznic in dokumentov za prebivanje, </w:t>
            </w:r>
            <w:r>
              <w:rPr>
                <w:b/>
                <w:i/>
              </w:rPr>
              <w:t>dostopa samo ustrezno pooblaščeno osebje pristojnih nacionalnih organov, agencij</w:t>
            </w:r>
            <w:r>
              <w:t xml:space="preserve"> Unije in </w:t>
            </w:r>
            <w:r>
              <w:rPr>
                <w:b/>
                <w:i/>
              </w:rPr>
              <w:t>zasebnih subjektov in to v skladu s</w:t>
            </w:r>
            <w:r>
              <w:t xml:space="preserve"> pravom</w:t>
            </w:r>
            <w:r>
              <w:rPr>
                <w:b/>
                <w:i/>
              </w:rPr>
              <w:t xml:space="preserve"> Unije o varstvu podatkov</w:t>
            </w:r>
            <w:r>
              <w:t xml:space="preserve"> za </w:t>
            </w:r>
            <w:r>
              <w:rPr>
                <w:b/>
                <w:i/>
              </w:rPr>
              <w:t>namene</w:t>
            </w:r>
            <w:r>
              <w:t xml:space="preserve"> preverjanja:</w:t>
            </w:r>
          </w:p>
        </w:tc>
      </w:tr>
    </w:tbl>
    <w:p w:rsidR="00FE2F41" w:rsidRPr="00FE2F41" w:rsidRDefault="00F15DAA" w:rsidP="00FE2F41">
      <w:pPr>
        <w:pStyle w:val="Olang"/>
        <w:rPr>
          <w:sz w:val="24"/>
          <w:szCs w:val="24"/>
        </w:rPr>
      </w:pPr>
      <w:r w:rsidRPr="00FE2F41">
        <w:rPr>
          <w:sz w:val="24"/>
          <w:szCs w:val="24"/>
        </w:rPr>
        <w:t xml:space="preserve">Or. </w:t>
      </w:r>
      <w:r w:rsidRPr="00FE2F41">
        <w:rPr>
          <w:rStyle w:val="HideTWBExt"/>
        </w:rPr>
        <w:t>&lt;Original&gt;</w:t>
      </w:r>
      <w:r w:rsidRPr="00FE2F41">
        <w:rPr>
          <w:rStyle w:val="HideTWBInt"/>
          <w:sz w:val="24"/>
          <w:szCs w:val="24"/>
        </w:rPr>
        <w:t>{EN}</w:t>
      </w:r>
      <w:r w:rsidRPr="00FE2F41">
        <w:rPr>
          <w:sz w:val="24"/>
          <w:szCs w:val="24"/>
        </w:rPr>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36</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11 – odstavek 6 – pododstavek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b/>
                <w:i/>
              </w:rPr>
              <w:t>Biometrični podatki</w:t>
            </w:r>
            <w:r>
              <w:t xml:space="preserve">, </w:t>
            </w:r>
            <w:r>
              <w:rPr>
                <w:b/>
                <w:i/>
              </w:rPr>
              <w:t>shranjeni</w:t>
            </w:r>
            <w:r>
              <w:t xml:space="preserve"> v pomnilniškem mediju osebnih izkaznic in dokumentov za prebivanje, </w:t>
            </w:r>
            <w:r>
              <w:rPr>
                <w:b/>
                <w:i/>
              </w:rPr>
              <w:t>se uporabljajo samo</w:t>
            </w:r>
            <w:r>
              <w:t xml:space="preserve"> v skladu s pravom Unije in nacionalnim pravom, in sicer za </w:t>
            </w:r>
            <w:r>
              <w:rPr>
                <w:b/>
                <w:i/>
              </w:rPr>
              <w:t>namen preverjanja</w:t>
            </w:r>
            <w:r>
              <w:t>:</w:t>
            </w:r>
          </w:p>
        </w:tc>
        <w:tc>
          <w:tcPr>
            <w:tcW w:w="4876" w:type="dxa"/>
            <w:tcBorders>
              <w:top w:val="nil"/>
              <w:left w:val="nil"/>
              <w:bottom w:val="nil"/>
              <w:right w:val="nil"/>
            </w:tcBorders>
          </w:tcPr>
          <w:p w:rsidR="00FE2F41" w:rsidRPr="00FE2F41" w:rsidRDefault="00F15DAA" w:rsidP="00B16A5A">
            <w:pPr>
              <w:pStyle w:val="Normal6a"/>
            </w:pPr>
            <w:r>
              <w:rPr>
                <w:b/>
                <w:i/>
              </w:rPr>
              <w:t>Biometrične podatke</w:t>
            </w:r>
            <w:r>
              <w:t xml:space="preserve">, </w:t>
            </w:r>
            <w:r>
              <w:rPr>
                <w:b/>
                <w:i/>
              </w:rPr>
              <w:t>shranjene</w:t>
            </w:r>
            <w:r>
              <w:t xml:space="preserve"> v pomnilniškem mediju osebnih izkaznic in dokumentov za prebivanje, </w:t>
            </w:r>
            <w:r>
              <w:rPr>
                <w:b/>
                <w:i/>
              </w:rPr>
              <w:t>uporablja samo ustrezno pooblaščeno osebje pristojnih nacionalnih organov in agencij Unije</w:t>
            </w:r>
            <w:r>
              <w:t xml:space="preserve"> v skladu s pravom Unije in nacionalnim pravom, in sicer za </w:t>
            </w:r>
            <w:r>
              <w:rPr>
                <w:b/>
                <w:i/>
              </w:rPr>
              <w:t>preverjanje</w:t>
            </w:r>
            <w:r>
              <w:t>:</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37</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11 – odstavek 6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b/>
                <w:i/>
              </w:rPr>
              <w:t>Do dveh prstnih odtisov, shranjenih v pomnilniškem mediju, ima dostop samo ustrezno pooblaščeno osebje pristojnih nacionalnih organov in agencij Unije.</w:t>
            </w:r>
          </w:p>
        </w:tc>
        <w:tc>
          <w:tcPr>
            <w:tcW w:w="4876" w:type="dxa"/>
            <w:tcBorders>
              <w:top w:val="nil"/>
              <w:left w:val="nil"/>
              <w:bottom w:val="nil"/>
              <w:right w:val="nil"/>
            </w:tcBorders>
          </w:tcPr>
          <w:p w:rsidR="00FE2F41" w:rsidRPr="00FE2F41" w:rsidRDefault="00F15DAA" w:rsidP="00B16A5A">
            <w:pPr>
              <w:pStyle w:val="Normal6a"/>
            </w:pPr>
            <w:r>
              <w:rPr>
                <w:b/>
                <w:i/>
              </w:rPr>
              <w:t>črtano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pPr>
        <w:pStyle w:val="AmJustTitle"/>
      </w:pPr>
      <w:r>
        <w:rPr>
          <w:rStyle w:val="HideTWBExt"/>
        </w:rPr>
        <w:t>&lt;TitreJust&gt;</w:t>
      </w:r>
      <w:r>
        <w:t>Obrazložitev</w:t>
      </w:r>
      <w:r>
        <w:rPr>
          <w:rStyle w:val="HideTWBExt"/>
        </w:rPr>
        <w:t>&lt;/TitreJust&gt;</w:t>
      </w:r>
    </w:p>
    <w:p w:rsidR="00FE2F41" w:rsidRPr="00FE2F41" w:rsidRDefault="00F15DAA" w:rsidP="00FE2F41">
      <w:pPr>
        <w:pStyle w:val="AmJustText"/>
      </w:pPr>
      <w:r>
        <w:t>Obe vrsti biometričnih podatkov, tj. prstni odtisi in podobe obraza, se uporabljata samo za namene te uredbe, uporablja pa jih lahko le ustrezno pooblaščeno osebje pristojnih nacionalnih organov in agencij Unije. S črtanjem bi dosegli, da podobe obraza ne bodo izključene iz določb, tako da jih imetniki izkaznic ne bodo mogli uporabljati za identifikacijo pri zasebnih subjektih in jim s tem omogočiti dostop do njihovega občutljivega biometričnega dostopa na podlagi te uredbe.</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38</w:t>
      </w:r>
      <w:r>
        <w:rPr>
          <w:rStyle w:val="HideTWBExt"/>
        </w:rPr>
        <w:t>&lt;/NumAm&gt;</w:t>
      </w:r>
    </w:p>
    <w:p w:rsidR="00FE2F41" w:rsidRPr="00FE2F41" w:rsidRDefault="00F15DAA" w:rsidP="00FE2F41">
      <w:pPr>
        <w:pStyle w:val="NormalBold"/>
      </w:pPr>
      <w:r>
        <w:rPr>
          <w:rStyle w:val="HideTWBExt"/>
          <w:b w:val="0"/>
        </w:rPr>
        <w:t>&lt;RepeatBlock-By&gt;&lt;Members&gt;</w:t>
      </w:r>
      <w:r>
        <w:t>Anna Strolenberg</w:t>
      </w:r>
      <w:r>
        <w:rPr>
          <w:rStyle w:val="HideTWBExt"/>
          <w:b w:val="0"/>
        </w:rPr>
        <w:t>&lt;/Members&gt;</w:t>
      </w:r>
    </w:p>
    <w:p w:rsidR="00FE2F41" w:rsidRPr="00FE2F41" w:rsidRDefault="00F15DAA" w:rsidP="00FE2F41">
      <w:r>
        <w:rPr>
          <w:rStyle w:val="HideTWBExt"/>
        </w:rPr>
        <w:t>&lt;AuNomDe&gt;</w:t>
      </w:r>
      <w:r>
        <w:rPr>
          <w:rStyle w:val="HideTWBInt"/>
          <w:color w:val="auto"/>
        </w:rPr>
        <w:t>{Greens/EFA}</w:t>
      </w:r>
      <w:r>
        <w:t>v imenu skupine Verts/ALE</w:t>
      </w:r>
      <w:r>
        <w:rPr>
          <w:rStyle w:val="HideTWBExt"/>
        </w:rPr>
        <w:t>&lt;/AuNomDe&gt;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11 – odstavek 6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b/>
                <w:i/>
              </w:rPr>
              <w:t>Do dveh prstnih odtisov</w:t>
            </w:r>
            <w:r>
              <w:t>, shranjenih v pomnilniškem mediju, ima</w:t>
            </w:r>
            <w:r>
              <w:rPr>
                <w:b/>
                <w:i/>
              </w:rPr>
              <w:t xml:space="preserve"> dostop</w:t>
            </w:r>
            <w:r>
              <w:t xml:space="preserve"> samo ustrezno pooblaščeno osebje pristojnih nacionalnih organov in agencij Unije.</w:t>
            </w:r>
          </w:p>
        </w:tc>
        <w:tc>
          <w:tcPr>
            <w:tcW w:w="4876" w:type="dxa"/>
            <w:tcBorders>
              <w:top w:val="nil"/>
              <w:left w:val="nil"/>
              <w:bottom w:val="nil"/>
              <w:right w:val="nil"/>
            </w:tcBorders>
          </w:tcPr>
          <w:p w:rsidR="00FE2F41" w:rsidRPr="00FE2F41" w:rsidRDefault="00F15DAA" w:rsidP="00B16A5A">
            <w:pPr>
              <w:pStyle w:val="Normal6a"/>
            </w:pPr>
            <w:r>
              <w:rPr>
                <w:b/>
                <w:i/>
              </w:rPr>
              <w:t>Dostop do biometričnih podatkov</w:t>
            </w:r>
            <w:r>
              <w:t>, shranjenih v pomnilniškem mediju, ima samo ustrezno pooblaščeno osebje pristojnih nacionalnih organov in agencij Unije.</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0"/>
        <w:keepNext/>
      </w:pPr>
      <w:r>
        <w:rPr>
          <w:rStyle w:val="HideTWBExt"/>
          <w:b w:val="0"/>
        </w:rPr>
        <w:t>&lt;Amend&gt;</w:t>
      </w:r>
      <w:r>
        <w:t>Predlog spremembe</w:t>
      </w:r>
      <w:r>
        <w:tab/>
      </w:r>
      <w:r>
        <w:tab/>
      </w:r>
      <w:r>
        <w:rPr>
          <w:rStyle w:val="HideTWBExt"/>
          <w:b w:val="0"/>
        </w:rPr>
        <w:t>&lt;NumAm&gt;</w:t>
      </w:r>
      <w:r>
        <w:t>39</w:t>
      </w:r>
      <w:r>
        <w:rPr>
          <w:rStyle w:val="HideTWBExt"/>
          <w:b w:val="0"/>
        </w:rPr>
        <w:t>&lt;/NumAm&gt;</w:t>
      </w:r>
    </w:p>
    <w:p w:rsidR="00FE2F41" w:rsidRPr="00FE2F41" w:rsidRDefault="00F15DAA" w:rsidP="00FE2F41">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E2F41" w:rsidRPr="00FE2F41" w:rsidRDefault="00F15DAA" w:rsidP="00FE2F41">
      <w:r>
        <w:rPr>
          <w:rStyle w:val="HideTWBExt"/>
        </w:rPr>
        <w:t>&lt;/RepeatBlock-By&gt;</w:t>
      </w:r>
    </w:p>
    <w:p w:rsidR="00FE2F41" w:rsidRPr="00FE2F41" w:rsidRDefault="00F15DAA" w:rsidP="00FE2F41">
      <w:pPr>
        <w:pStyle w:val="NormalBold"/>
        <w:keepNext/>
      </w:pPr>
      <w:r>
        <w:rPr>
          <w:rStyle w:val="HideTWBExt"/>
          <w:b w:val="0"/>
        </w:rPr>
        <w:t>&lt;DocAmend&gt;</w:t>
      </w:r>
      <w:r>
        <w:t>Predlog uredbe</w:t>
      </w:r>
      <w:r>
        <w:rPr>
          <w:rStyle w:val="HideTWBExt"/>
          <w:b w:val="0"/>
        </w:rPr>
        <w:t>&lt;/DocAmend&gt;</w:t>
      </w:r>
    </w:p>
    <w:p w:rsidR="00FE2F41" w:rsidRPr="00FE2F41" w:rsidRDefault="00F15DAA" w:rsidP="00FE2F41">
      <w:pPr>
        <w:pStyle w:val="NormalBold"/>
      </w:pPr>
      <w:r>
        <w:rPr>
          <w:rStyle w:val="HideTWBExt"/>
          <w:b w:val="0"/>
        </w:rPr>
        <w:t>&lt;Article&gt;</w:t>
      </w:r>
      <w:r>
        <w:t>Člen 11 – odstavek 6 – pododstavek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5521" w:rsidTr="00B16A5A">
        <w:trPr>
          <w:jc w:val="center"/>
        </w:trPr>
        <w:tc>
          <w:tcPr>
            <w:tcW w:w="9752" w:type="dxa"/>
            <w:gridSpan w:val="2"/>
          </w:tcPr>
          <w:p w:rsidR="00FE2F41" w:rsidRPr="00FE2F41" w:rsidRDefault="00FE2F41" w:rsidP="00B16A5A">
            <w:pPr>
              <w:keepNext/>
            </w:pPr>
          </w:p>
        </w:tc>
      </w:tr>
      <w:tr w:rsidR="00FC5521" w:rsidTr="00B16A5A">
        <w:trPr>
          <w:jc w:val="center"/>
        </w:trPr>
        <w:tc>
          <w:tcPr>
            <w:tcW w:w="4876" w:type="dxa"/>
          </w:tcPr>
          <w:p w:rsidR="00FE2F41" w:rsidRPr="00FE2F41" w:rsidRDefault="00F15DAA" w:rsidP="00B16A5A">
            <w:pPr>
              <w:pStyle w:val="ColumnHeading"/>
              <w:keepNext/>
            </w:pPr>
            <w:r>
              <w:t>Besedilo, ki ga predlaga Komisija</w:t>
            </w:r>
          </w:p>
        </w:tc>
        <w:tc>
          <w:tcPr>
            <w:tcW w:w="4876" w:type="dxa"/>
          </w:tcPr>
          <w:p w:rsidR="00FE2F41" w:rsidRPr="00FE2F41" w:rsidRDefault="00F15DAA" w:rsidP="00B16A5A">
            <w:pPr>
              <w:pStyle w:val="ColumnHeading"/>
              <w:keepNext/>
            </w:pPr>
            <w:r>
              <w:t>Predlog spremembe</w:t>
            </w:r>
          </w:p>
        </w:tc>
      </w:tr>
      <w:tr w:rsidR="00FC5521" w:rsidTr="00B16A5A">
        <w:trPr>
          <w:jc w:val="center"/>
        </w:trPr>
        <w:tc>
          <w:tcPr>
            <w:tcW w:w="4876" w:type="dxa"/>
          </w:tcPr>
          <w:p w:rsidR="00FE2F41" w:rsidRPr="00FE2F41" w:rsidRDefault="00F15DAA" w:rsidP="00B16A5A">
            <w:pPr>
              <w:pStyle w:val="Normal6"/>
            </w:pPr>
            <w:r>
              <w:t xml:space="preserve">Do dveh prstnih odtisov, shranjenih v pomnilniškem mediju, </w:t>
            </w:r>
            <w:r>
              <w:rPr>
                <w:b/>
                <w:i/>
              </w:rPr>
              <w:t>ima dostop samo</w:t>
            </w:r>
            <w:r>
              <w:t xml:space="preserve"> ustrezno pooblaščeno osebje pristojnih nacionalnih organov in agencij Unije.</w:t>
            </w:r>
          </w:p>
        </w:tc>
        <w:tc>
          <w:tcPr>
            <w:tcW w:w="4876" w:type="dxa"/>
          </w:tcPr>
          <w:p w:rsidR="00FE2F41" w:rsidRPr="00FE2F41" w:rsidRDefault="00F15DAA" w:rsidP="00B16A5A">
            <w:pPr>
              <w:pStyle w:val="Normal6"/>
              <w:rPr>
                <w:szCs w:val="24"/>
              </w:rPr>
            </w:pPr>
            <w:r>
              <w:t>Do dveh prstnih odtisov</w:t>
            </w:r>
            <w:r>
              <w:rPr>
                <w:b/>
                <w:i/>
              </w:rPr>
              <w:t xml:space="preserve"> imetnika</w:t>
            </w:r>
            <w:r>
              <w:t xml:space="preserve">, shranjenih v pomnilniškem mediju, </w:t>
            </w:r>
            <w:r>
              <w:rPr>
                <w:b/>
                <w:i/>
              </w:rPr>
              <w:t>lahko dostopa le</w:t>
            </w:r>
            <w:r>
              <w:t xml:space="preserve"> ustrezno pooblaščeno osebje pristojnih nacionalnih organov in agencij Unije</w:t>
            </w:r>
            <w:r>
              <w:rPr>
                <w:b/>
                <w:i/>
              </w:rPr>
              <w:t xml:space="preserve"> za namene iz prvega pododstavka v skladu s pravom Unije in nacionalnim pravom o varstvu podatkov</w:t>
            </w:r>
            <w:r>
              <w:t>.</w:t>
            </w:r>
          </w:p>
        </w:tc>
      </w:tr>
    </w:tbl>
    <w:p w:rsidR="00FE2F41" w:rsidRPr="00FE2F41" w:rsidRDefault="00F15DAA" w:rsidP="00FE2F41">
      <w:pPr>
        <w:pStyle w:val="Olang"/>
        <w:rPr>
          <w:sz w:val="24"/>
          <w:szCs w:val="24"/>
        </w:rPr>
      </w:pPr>
      <w:r w:rsidRPr="00FE2F41">
        <w:rPr>
          <w:sz w:val="24"/>
          <w:szCs w:val="24"/>
        </w:rPr>
        <w:t xml:space="preserve">Or. </w:t>
      </w:r>
      <w:r w:rsidRPr="00FE2F41">
        <w:rPr>
          <w:rStyle w:val="HideTWBExt"/>
        </w:rPr>
        <w:t>&lt;Original&gt;</w:t>
      </w:r>
      <w:r w:rsidRPr="00FE2F41">
        <w:rPr>
          <w:rStyle w:val="HideTWBInt"/>
          <w:sz w:val="24"/>
          <w:szCs w:val="24"/>
        </w:rPr>
        <w:t>{EN}</w:t>
      </w:r>
      <w:r w:rsidRPr="00FE2F41">
        <w:rPr>
          <w:sz w:val="24"/>
          <w:szCs w:val="24"/>
        </w:rPr>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40</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11 – odstavek 6 – pododstavek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pPr>
            <w:r>
              <w:rPr>
                <w:b/>
                <w:i/>
              </w:rPr>
              <w:t>Države članice vodijo seznam pristojnih nacionalnih organov, ki imajo dostop do biometričnih podatkov, shranjenih v pomnilniškem mediju iz člena 3(5), in ga vsako leto sporočijo Komisiji. Komisija nabor teh nacionalnih seznamov objavi na spletu.</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41</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Ocenjevanje</w:t>
            </w:r>
          </w:p>
        </w:tc>
        <w:tc>
          <w:tcPr>
            <w:tcW w:w="4876" w:type="dxa"/>
            <w:tcBorders>
              <w:top w:val="nil"/>
              <w:left w:val="nil"/>
              <w:bottom w:val="nil"/>
              <w:right w:val="nil"/>
            </w:tcBorders>
          </w:tcPr>
          <w:p w:rsidR="00FE2F41" w:rsidRPr="00FE2F41" w:rsidRDefault="00F15DAA" w:rsidP="00B16A5A">
            <w:pPr>
              <w:pStyle w:val="Normal6a"/>
            </w:pPr>
            <w:r>
              <w:rPr>
                <w:b/>
                <w:i/>
              </w:rPr>
              <w:t xml:space="preserve">Poročanje in </w:t>
            </w:r>
            <w:r>
              <w:t>ocenjevanje</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42</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13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1.</w:t>
            </w:r>
            <w:r>
              <w:tab/>
              <w:t xml:space="preserve">Komisija </w:t>
            </w:r>
            <w:r>
              <w:rPr>
                <w:b/>
                <w:i/>
              </w:rPr>
              <w:t>ne prej kot [šest</w:t>
            </w:r>
            <w:r>
              <w:t xml:space="preserve"> let po </w:t>
            </w:r>
            <w:r>
              <w:rPr>
                <w:b/>
                <w:i/>
              </w:rPr>
              <w:t>začetku veljavnosti te uredbe] izvede oceno</w:t>
            </w:r>
            <w:r>
              <w:t xml:space="preserve"> te uredbe</w:t>
            </w:r>
            <w:r>
              <w:rPr>
                <w:b/>
                <w:i/>
              </w:rPr>
              <w:t xml:space="preserve"> ter</w:t>
            </w:r>
            <w:r>
              <w:t xml:space="preserve"> Evropskemu parlamentu, Svetu in Evropskemu ekonomsko-socialnemu odboru </w:t>
            </w:r>
            <w:r>
              <w:rPr>
                <w:b/>
                <w:i/>
              </w:rPr>
              <w:t>predloži poročilo</w:t>
            </w:r>
            <w:r>
              <w:t xml:space="preserve"> o </w:t>
            </w:r>
            <w:r>
              <w:rPr>
                <w:b/>
                <w:i/>
              </w:rPr>
              <w:t>glavnih ugotovitvah.</w:t>
            </w:r>
            <w:r>
              <w:t xml:space="preserve"> </w:t>
            </w:r>
            <w:r>
              <w:rPr>
                <w:b/>
                <w:i/>
              </w:rPr>
              <w:t>V poročilu se posebna pozornost nameni:</w:t>
            </w:r>
          </w:p>
        </w:tc>
        <w:tc>
          <w:tcPr>
            <w:tcW w:w="4876" w:type="dxa"/>
            <w:tcBorders>
              <w:top w:val="nil"/>
              <w:left w:val="nil"/>
              <w:bottom w:val="nil"/>
              <w:right w:val="nil"/>
            </w:tcBorders>
          </w:tcPr>
          <w:p w:rsidR="00FE2F41" w:rsidRPr="00FE2F41" w:rsidRDefault="00F15DAA" w:rsidP="00B16A5A">
            <w:pPr>
              <w:pStyle w:val="Normal6a"/>
            </w:pPr>
            <w:r>
              <w:t>1.</w:t>
            </w:r>
            <w:r>
              <w:tab/>
            </w:r>
            <w:r>
              <w:rPr>
                <w:b/>
                <w:i/>
              </w:rPr>
              <w:t>Komisija dve leti oziroma enajst let po datumu začetka uporabe te uredbe Evropskemu parlamentu, Svetu in Evropskemu ekonomsko-socialnemu odboru poroča o izvajanju te uredbe, zlasti o varstvu temeljnih pravic in osebnih podatkov.</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pPr>
            <w:r>
              <w:rPr>
                <w:b/>
                <w:i/>
              </w:rPr>
              <w:t>Komisija šest let po začetku veljavnosti te uredbe in nato vsakih šest let izvede njeno oceno ter Evropskemu parlamentu, Svetu in Evropskemu ekonomsko-socialnemu odboru predloži poročilo o glavnih ugotovitvah.</w:t>
            </w:r>
            <w:r>
              <w:t xml:space="preserve"> </w:t>
            </w:r>
            <w:r>
              <w:rPr>
                <w:b/>
                <w:i/>
              </w:rPr>
              <w:t>V poročilu se posebna pozornost nameni:</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43</w:t>
      </w:r>
      <w:r>
        <w:rPr>
          <w:rStyle w:val="HideTWBExt"/>
        </w:rPr>
        <w:t>&lt;/NumAm&gt;</w:t>
      </w:r>
    </w:p>
    <w:p w:rsidR="00FE2F41" w:rsidRPr="00FE2F41" w:rsidRDefault="00F15DAA" w:rsidP="00FE2F41">
      <w:pPr>
        <w:pStyle w:val="NormalBold"/>
      </w:pPr>
      <w:r>
        <w:rPr>
          <w:rStyle w:val="HideTWBExt"/>
          <w:b w:val="0"/>
        </w:rPr>
        <w:t>&lt;RepeatBlock-By&gt;&lt;Members&gt;</w:t>
      </w:r>
      <w:r>
        <w:t>Malik Azmani</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13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1.</w:t>
            </w:r>
            <w:r>
              <w:tab/>
              <w:t xml:space="preserve">Komisija </w:t>
            </w:r>
            <w:r>
              <w:rPr>
                <w:b/>
                <w:i/>
              </w:rPr>
              <w:t>ne prej kot [</w:t>
            </w:r>
            <w:r>
              <w:t>šest let po začetku veljavnosti te uredbe</w:t>
            </w:r>
            <w:r>
              <w:rPr>
                <w:b/>
                <w:i/>
              </w:rPr>
              <w:t>]</w:t>
            </w:r>
            <w:r>
              <w:t xml:space="preserve"> izvede oceno te uredbe ter Evropskemu parlamentu, Svetu in Evropskemu ekonomsko-socialnemu odboru predloži poročilo o glavnih ugotovitvah. V poročilu se posebna pozornost nameni:</w:t>
            </w:r>
          </w:p>
        </w:tc>
        <w:tc>
          <w:tcPr>
            <w:tcW w:w="4876" w:type="dxa"/>
            <w:tcBorders>
              <w:top w:val="nil"/>
              <w:left w:val="nil"/>
              <w:bottom w:val="nil"/>
              <w:right w:val="nil"/>
            </w:tcBorders>
          </w:tcPr>
          <w:p w:rsidR="00FE2F41" w:rsidRPr="00FE2F41" w:rsidRDefault="00F15DAA" w:rsidP="00B16A5A">
            <w:pPr>
              <w:pStyle w:val="Normal6a"/>
            </w:pPr>
            <w:r>
              <w:t>1.</w:t>
            </w:r>
            <w:r>
              <w:tab/>
            </w:r>
            <w:r>
              <w:rPr>
                <w:b/>
                <w:i/>
              </w:rPr>
              <w:t>Komisija dve leti oziroma enajst let po datumu začetka uporabe te uredbe Evropskemu parlamentu in Svetu poroča o izvajanju te uredbe, zlasti o varstvu temeljnih pravic in osebnih podatkov.</w:t>
            </w:r>
            <w:r>
              <w:t xml:space="preserve"> </w:t>
            </w:r>
            <w:r>
              <w:rPr>
                <w:b/>
                <w:i/>
              </w:rPr>
              <w:t xml:space="preserve">Komisija </w:t>
            </w:r>
            <w:r>
              <w:t>šest let po začetku veljavnosti te uredbe izvede oceno te uredbe ter Evropskemu parlamentu, Svetu in Evropskemu ekonomsko-socialnemu odboru predloži poročilo o glavnih ugotovitvah. V poročilu se posebna pozornost nameni:</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44</w:t>
      </w:r>
      <w:r>
        <w:rPr>
          <w:rStyle w:val="HideTWBExt"/>
        </w:rPr>
        <w:t>&lt;/NumAm&gt;</w:t>
      </w:r>
    </w:p>
    <w:p w:rsidR="00FE2F41" w:rsidRPr="00FE2F41" w:rsidRDefault="00F15DAA" w:rsidP="00FE2F41">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13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t>1.</w:t>
            </w:r>
            <w:r>
              <w:tab/>
              <w:t xml:space="preserve">Komisija </w:t>
            </w:r>
            <w:r>
              <w:rPr>
                <w:b/>
                <w:i/>
              </w:rPr>
              <w:t>ne prej kot [šest</w:t>
            </w:r>
            <w:r>
              <w:t xml:space="preserve"> let po začetku veljavnosti te uredbe] izvede oceno te uredbe ter Evropskemu parlamentu, Svetu in Evropskemu ekonomsko-socialnemu odboru predloži poročilo o glavnih ugotovitvah. V poročilu se posebna pozornost nameni:</w:t>
            </w:r>
          </w:p>
        </w:tc>
        <w:tc>
          <w:tcPr>
            <w:tcW w:w="4876" w:type="dxa"/>
            <w:tcBorders>
              <w:top w:val="nil"/>
              <w:left w:val="nil"/>
              <w:bottom w:val="nil"/>
              <w:right w:val="nil"/>
            </w:tcBorders>
          </w:tcPr>
          <w:p w:rsidR="00FE2F41" w:rsidRPr="00FE2F41" w:rsidRDefault="00F15DAA" w:rsidP="00B16A5A">
            <w:pPr>
              <w:pStyle w:val="Normal6a"/>
            </w:pPr>
            <w:r>
              <w:t>1.</w:t>
            </w:r>
            <w:r>
              <w:tab/>
              <w:t xml:space="preserve">Komisija </w:t>
            </w:r>
            <w:r>
              <w:rPr>
                <w:b/>
                <w:i/>
              </w:rPr>
              <w:t>v [šestih</w:t>
            </w:r>
            <w:r>
              <w:t xml:space="preserve"> let po začetku veljavnosti te uredbe] izvede oceno te uredbe ter Evropskemu parlamentu, Svetu in Evropskemu ekonomsko-socialnemu odboru predloži poročilo o glavnih ugotovitvah. V poročilu se posebna pozornost nameni:</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45</w:t>
      </w:r>
      <w:r>
        <w:rPr>
          <w:rStyle w:val="HideTWBExt"/>
        </w:rPr>
        <w:t>&lt;/NumAm&gt;</w:t>
      </w:r>
    </w:p>
    <w:p w:rsidR="00FE2F41" w:rsidRPr="00FE2F41" w:rsidRDefault="00F15DAA" w:rsidP="00FE2F41">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13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15DAA" w:rsidP="00B16A5A">
            <w:pPr>
              <w:pStyle w:val="Normal6a"/>
            </w:pPr>
            <w:r>
              <w:rPr>
                <w:b/>
                <w:i/>
              </w:rPr>
              <w:t>(a)</w:t>
            </w:r>
            <w:r>
              <w:tab/>
            </w:r>
            <w:r>
              <w:rPr>
                <w:b/>
                <w:i/>
              </w:rPr>
              <w:t>učinku te uredbe na temeljne pravice;</w:t>
            </w:r>
          </w:p>
        </w:tc>
        <w:tc>
          <w:tcPr>
            <w:tcW w:w="4876" w:type="dxa"/>
            <w:tcBorders>
              <w:top w:val="nil"/>
              <w:left w:val="nil"/>
              <w:bottom w:val="nil"/>
              <w:right w:val="nil"/>
            </w:tcBorders>
          </w:tcPr>
          <w:p w:rsidR="00FE2F41" w:rsidRPr="00FE2F41" w:rsidRDefault="00F15DAA" w:rsidP="00B16A5A">
            <w:pPr>
              <w:pStyle w:val="Normal6a"/>
            </w:pPr>
            <w:r>
              <w:rPr>
                <w:b/>
                <w:i/>
              </w:rPr>
              <w:t>črtano</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46</w:t>
      </w:r>
      <w:r>
        <w:rPr>
          <w:rStyle w:val="HideTWBExt"/>
        </w:rPr>
        <w:t>&lt;/NumAm&gt;</w:t>
      </w:r>
    </w:p>
    <w:p w:rsidR="00FE2F41" w:rsidRPr="00FE2F41" w:rsidRDefault="00F15DAA" w:rsidP="00FE2F41">
      <w:pPr>
        <w:pStyle w:val="NormalBold"/>
      </w:pPr>
      <w:r>
        <w:rPr>
          <w:rStyle w:val="HideTWBExt"/>
          <w:b w:val="0"/>
        </w:rPr>
        <w:t>&lt;RepeatBlock-By&gt;&lt;Members&gt;</w:t>
      </w:r>
      <w:r>
        <w:t>Malik Azmani</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13 – odstavek 1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pPr>
            <w:r>
              <w:rPr>
                <w:b/>
                <w:i/>
              </w:rPr>
              <w:t>(da)</w:t>
            </w:r>
            <w:r>
              <w:tab/>
            </w:r>
            <w:r>
              <w:rPr>
                <w:b/>
                <w:i/>
              </w:rPr>
              <w:t>potreba po uvedbi skupnih varnostnih elementov identifikacijskih dokumentov, ki se uporabljajo začasno, za njihovo boljše prepoznavanje.</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pPr>
        <w:pStyle w:val="AmNumberTabs"/>
      </w:pPr>
      <w:r>
        <w:rPr>
          <w:rStyle w:val="HideTWBExt"/>
        </w:rPr>
        <w:t>&lt;Amend&gt;</w:t>
      </w:r>
      <w:r>
        <w:t>Predlog spremembe</w:t>
      </w:r>
      <w:r>
        <w:tab/>
      </w:r>
      <w:r>
        <w:tab/>
      </w:r>
      <w:r>
        <w:rPr>
          <w:rStyle w:val="HideTWBExt"/>
        </w:rPr>
        <w:t>&lt;NumAm&gt;</w:t>
      </w:r>
      <w:r>
        <w:t>47</w:t>
      </w:r>
      <w:r>
        <w:rPr>
          <w:rStyle w:val="HideTWBExt"/>
        </w:rPr>
        <w:t>&lt;/NumAm&gt;</w:t>
      </w:r>
    </w:p>
    <w:p w:rsidR="00FE2F41" w:rsidRPr="00FE2F41" w:rsidRDefault="00F15DAA" w:rsidP="00FE2F41">
      <w:pPr>
        <w:pStyle w:val="NormalBold"/>
      </w:pPr>
      <w:r>
        <w:rPr>
          <w:rStyle w:val="HideTWBExt"/>
          <w:b w:val="0"/>
        </w:rPr>
        <w:t>&lt;RepeatBlock-By&gt;&lt;Members&gt;</w:t>
      </w:r>
      <w:r>
        <w:t>Estrella Galán</w:t>
      </w:r>
      <w:r>
        <w:rPr>
          <w:rStyle w:val="HideTWBExt"/>
          <w:b w:val="0"/>
        </w:rPr>
        <w:t>&lt;/Members&gt;</w:t>
      </w:r>
    </w:p>
    <w:p w:rsidR="00FE2F41" w:rsidRPr="00FE2F41" w:rsidRDefault="00F15DAA" w:rsidP="00FE2F41">
      <w:pPr>
        <w:pStyle w:val="NormalBold"/>
      </w:pPr>
      <w:r>
        <w:rPr>
          <w:rStyle w:val="HideTWBExt"/>
          <w:b w:val="0"/>
        </w:rPr>
        <w:t>&lt;/RepeatBlock-By&gt;</w:t>
      </w:r>
    </w:p>
    <w:p w:rsidR="00FE2F41" w:rsidRPr="00FE2F41" w:rsidRDefault="00F15DAA" w:rsidP="00FE2F41">
      <w:pPr>
        <w:pStyle w:val="NormalBold"/>
      </w:pPr>
      <w:r>
        <w:rPr>
          <w:rStyle w:val="HideTWBExt"/>
        </w:rPr>
        <w:t>&lt;DocAmend&gt;</w:t>
      </w:r>
      <w:r>
        <w:t>Predlog uredbe</w:t>
      </w:r>
      <w:r>
        <w:rPr>
          <w:rStyle w:val="HideTWBExt"/>
        </w:rPr>
        <w:t>&lt;/DocAmend&gt;</w:t>
      </w:r>
    </w:p>
    <w:p w:rsidR="00FE2F41" w:rsidRPr="00FE2F41" w:rsidRDefault="00F15DAA" w:rsidP="00FE2F41">
      <w:pPr>
        <w:pStyle w:val="NormalBold"/>
      </w:pPr>
      <w:r>
        <w:rPr>
          <w:rStyle w:val="HideTWBExt"/>
        </w:rPr>
        <w:t>&lt;Article&gt;</w:t>
      </w:r>
      <w:r>
        <w:t>Člen 13 – odstavek 1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21" w:rsidTr="00B16A5A">
        <w:trPr>
          <w:trHeight w:hRule="exact" w:val="240"/>
          <w:jc w:val="center"/>
        </w:trPr>
        <w:tc>
          <w:tcPr>
            <w:tcW w:w="9752" w:type="dxa"/>
            <w:gridSpan w:val="2"/>
            <w:tcBorders>
              <w:top w:val="nil"/>
              <w:left w:val="nil"/>
              <w:bottom w:val="nil"/>
              <w:right w:val="nil"/>
            </w:tcBorders>
          </w:tcPr>
          <w:p w:rsidR="00FE2F41" w:rsidRPr="00FE2F41" w:rsidRDefault="00FE2F41" w:rsidP="00B16A5A"/>
        </w:tc>
      </w:tr>
      <w:tr w:rsidR="00FC5521" w:rsidTr="00B16A5A">
        <w:trPr>
          <w:trHeight w:val="240"/>
          <w:jc w:val="center"/>
        </w:trPr>
        <w:tc>
          <w:tcPr>
            <w:tcW w:w="4876" w:type="dxa"/>
            <w:tcBorders>
              <w:top w:val="nil"/>
              <w:left w:val="nil"/>
              <w:bottom w:val="nil"/>
              <w:right w:val="nil"/>
            </w:tcBorders>
          </w:tcPr>
          <w:p w:rsidR="00FE2F41" w:rsidRPr="00FE2F41" w:rsidRDefault="00F15DAA" w:rsidP="00B16A5A">
            <w:pPr>
              <w:pStyle w:val="AmColumnHeading"/>
            </w:pPr>
            <w:r>
              <w:t>Besedilo, ki ga predlaga Komisija</w:t>
            </w:r>
          </w:p>
        </w:tc>
        <w:tc>
          <w:tcPr>
            <w:tcW w:w="4876" w:type="dxa"/>
            <w:tcBorders>
              <w:top w:val="nil"/>
              <w:left w:val="nil"/>
              <w:bottom w:val="nil"/>
              <w:right w:val="nil"/>
            </w:tcBorders>
          </w:tcPr>
          <w:p w:rsidR="00FE2F41" w:rsidRPr="00FE2F41" w:rsidRDefault="00F15DAA" w:rsidP="00B16A5A">
            <w:pPr>
              <w:pStyle w:val="AmColumnHeading"/>
            </w:pPr>
            <w:r>
              <w:t>Predlog spremembe</w:t>
            </w:r>
          </w:p>
        </w:tc>
      </w:tr>
      <w:tr w:rsidR="00FC5521" w:rsidTr="00B16A5A">
        <w:trPr>
          <w:jc w:val="center"/>
        </w:trPr>
        <w:tc>
          <w:tcPr>
            <w:tcW w:w="4876" w:type="dxa"/>
            <w:tcBorders>
              <w:top w:val="nil"/>
              <w:left w:val="nil"/>
              <w:bottom w:val="nil"/>
              <w:right w:val="nil"/>
            </w:tcBorders>
          </w:tcPr>
          <w:p w:rsidR="00FE2F41" w:rsidRPr="00FE2F41" w:rsidRDefault="00FE2F41" w:rsidP="00B16A5A">
            <w:pPr>
              <w:pStyle w:val="Normal6a"/>
            </w:pPr>
          </w:p>
        </w:tc>
        <w:tc>
          <w:tcPr>
            <w:tcW w:w="4876" w:type="dxa"/>
            <w:tcBorders>
              <w:top w:val="nil"/>
              <w:left w:val="nil"/>
              <w:bottom w:val="nil"/>
              <w:right w:val="nil"/>
            </w:tcBorders>
          </w:tcPr>
          <w:p w:rsidR="00FE2F41" w:rsidRPr="00FE2F41" w:rsidRDefault="00F15DAA" w:rsidP="00B16A5A">
            <w:pPr>
              <w:pStyle w:val="Normal6a"/>
            </w:pPr>
            <w:r>
              <w:rPr>
                <w:b/>
                <w:i/>
              </w:rPr>
              <w:t>(da)</w:t>
            </w:r>
            <w:r>
              <w:tab/>
            </w:r>
            <w:r>
              <w:rPr>
                <w:b/>
                <w:i/>
              </w:rPr>
              <w:t>morebitna uporaba osebnih izkaznic kot potnih listin.</w:t>
            </w:r>
          </w:p>
        </w:tc>
      </w:tr>
    </w:tbl>
    <w:p w:rsidR="00FE2F41" w:rsidRPr="00FE2F41" w:rsidRDefault="00F15DAA" w:rsidP="00FE2F41">
      <w:pPr>
        <w:pStyle w:val="AmOrLang"/>
      </w:pPr>
      <w:r w:rsidRPr="00FE2F41">
        <w:t xml:space="preserve">Or. </w:t>
      </w:r>
      <w:r w:rsidRPr="00FE2F41">
        <w:rPr>
          <w:rStyle w:val="HideTWBExt"/>
        </w:rPr>
        <w:t>&lt;Original&gt;</w:t>
      </w:r>
      <w:r w:rsidRPr="00FE2F41">
        <w:rPr>
          <w:rStyle w:val="HideTWBInt"/>
        </w:rPr>
        <w:t>{EN}</w:t>
      </w:r>
      <w:r w:rsidRPr="00FE2F41">
        <w:t>en</w:t>
      </w:r>
      <w:r w:rsidRPr="00FE2F41">
        <w:rPr>
          <w:rStyle w:val="HideTWBExt"/>
        </w:rPr>
        <w:t>&lt;/Original&gt;</w:t>
      </w:r>
    </w:p>
    <w:p w:rsidR="00FE2F41" w:rsidRPr="00FE2F41" w:rsidRDefault="00F15DAA" w:rsidP="00FE2F41">
      <w:r>
        <w:rPr>
          <w:rStyle w:val="HideTWBExt"/>
        </w:rPr>
        <w:t>&lt;/Amend&gt;</w:t>
      </w:r>
    </w:p>
    <w:p w:rsidR="00FE2F41" w:rsidRPr="00FE2F41" w:rsidRDefault="00F15DAA" w:rsidP="00FE2F41">
      <w:r>
        <w:rPr>
          <w:rStyle w:val="HideTWBExt"/>
        </w:rPr>
        <w:t>&lt;/RepeatBlock-Amend&gt;</w:t>
      </w:r>
    </w:p>
    <w:p w:rsidR="00FE2F41" w:rsidRPr="00FE2F41" w:rsidRDefault="00FE2F41" w:rsidP="00FE2F41">
      <w:pPr>
        <w:pStyle w:val="CoverReference"/>
      </w:pPr>
    </w:p>
    <w:p w:rsidR="008363E4" w:rsidRPr="00FE2F41" w:rsidRDefault="008363E4" w:rsidP="00FE2F41"/>
    <w:sectPr w:rsidR="008363E4" w:rsidRPr="00FE2F41" w:rsidSect="00FE2F4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214" w:rsidRDefault="00F15DAA">
      <w:r>
        <w:separator/>
      </w:r>
    </w:p>
  </w:endnote>
  <w:endnote w:type="continuationSeparator" w:id="0">
    <w:p w:rsidR="00E27214" w:rsidRDefault="00F15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F41" w:rsidRPr="00FE2F41" w:rsidRDefault="00F15DAA" w:rsidP="00FE2F41">
    <w:pPr>
      <w:pStyle w:val="EPFooter"/>
    </w:pPr>
    <w:r w:rsidRPr="00FE2F41">
      <w:t>PE</w:t>
    </w:r>
    <w:r w:rsidRPr="00FE2F41">
      <w:rPr>
        <w:rStyle w:val="HideTWBExt"/>
      </w:rPr>
      <w:t>&lt;NoPE&gt;</w:t>
    </w:r>
    <w:r w:rsidRPr="00FE2F41">
      <w:t>766.918</w:t>
    </w:r>
    <w:r w:rsidRPr="00FE2F41">
      <w:rPr>
        <w:rStyle w:val="HideTWBExt"/>
      </w:rPr>
      <w:t>&lt;/NoPE&gt;&lt;Version&gt;</w:t>
    </w:r>
    <w:r w:rsidRPr="00FE2F41">
      <w:t>v02-00</w:t>
    </w:r>
    <w:r w:rsidRPr="00FE2F41">
      <w:rPr>
        <w:rStyle w:val="HideTWBExt"/>
      </w:rPr>
      <w:t>&lt;/Version&gt;</w:t>
    </w:r>
    <w:r w:rsidRPr="00FE2F41">
      <w:tab/>
    </w:r>
    <w:r w:rsidRPr="00FE2F41">
      <w:fldChar w:fldCharType="begin"/>
    </w:r>
    <w:r w:rsidRPr="00FE2F41">
      <w:instrText xml:space="preserve"> PAGE  \* MERGEFORMAT </w:instrText>
    </w:r>
    <w:r w:rsidRPr="00FE2F41">
      <w:fldChar w:fldCharType="separate"/>
    </w:r>
    <w:r w:rsidR="00D773C2">
      <w:rPr>
        <w:noProof/>
      </w:rPr>
      <w:t>24</w:t>
    </w:r>
    <w:r w:rsidRPr="00FE2F41">
      <w:fldChar w:fldCharType="end"/>
    </w:r>
    <w:r w:rsidRPr="00FE2F41">
      <w:t>/</w:t>
    </w:r>
    <w:r w:rsidR="005711DD">
      <w:fldChar w:fldCharType="begin"/>
    </w:r>
    <w:r>
      <w:instrText xml:space="preserve"> NUMPAGES  \* MERGEFORMAT </w:instrText>
    </w:r>
    <w:r w:rsidR="005711DD">
      <w:fldChar w:fldCharType="separate"/>
    </w:r>
    <w:r w:rsidR="00D773C2">
      <w:rPr>
        <w:noProof/>
      </w:rPr>
      <w:t>25</w:t>
    </w:r>
    <w:r w:rsidR="005711DD">
      <w:rPr>
        <w:noProof/>
      </w:rPr>
      <w:fldChar w:fldCharType="end"/>
    </w:r>
    <w:r w:rsidRPr="00FE2F41">
      <w:tab/>
    </w:r>
    <w:r w:rsidRPr="00FE2F41">
      <w:rPr>
        <w:rStyle w:val="HideTWBExt"/>
      </w:rPr>
      <w:t>&lt;PathFdR&gt;</w:t>
    </w:r>
    <w:r w:rsidRPr="00FE2F41">
      <w:t>AM\1314148SL.docx</w:t>
    </w:r>
    <w:r w:rsidRPr="00FE2F41">
      <w:rPr>
        <w:rStyle w:val="HideTWBExt"/>
      </w:rPr>
      <w:t>&lt;/PathFdR&gt;</w:t>
    </w:r>
  </w:p>
  <w:p w:rsidR="00D82FCC" w:rsidRPr="00FE2F41" w:rsidRDefault="00F15DAA" w:rsidP="00FE2F41">
    <w:pPr>
      <w:pStyle w:val="EPFooter2"/>
    </w:pPr>
    <w:r w:rsidRPr="00FE2F4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F41" w:rsidRPr="00FE2F41" w:rsidRDefault="00F15DAA" w:rsidP="00FE2F41">
    <w:pPr>
      <w:pStyle w:val="EPFooter"/>
    </w:pPr>
    <w:r w:rsidRPr="00FE2F41">
      <w:rPr>
        <w:rStyle w:val="HideTWBExt"/>
      </w:rPr>
      <w:t>&lt;PathFdR&gt;</w:t>
    </w:r>
    <w:r w:rsidRPr="00FE2F41">
      <w:t>AM\1314148SL.docx</w:t>
    </w:r>
    <w:r w:rsidRPr="00FE2F41">
      <w:rPr>
        <w:rStyle w:val="HideTWBExt"/>
      </w:rPr>
      <w:t>&lt;/PathFdR&gt;</w:t>
    </w:r>
    <w:r w:rsidRPr="00FE2F41">
      <w:tab/>
    </w:r>
    <w:r w:rsidRPr="00FE2F41">
      <w:fldChar w:fldCharType="begin"/>
    </w:r>
    <w:r w:rsidRPr="00FE2F41">
      <w:instrText xml:space="preserve"> PAGE  \* MERGEFORMAT </w:instrText>
    </w:r>
    <w:r w:rsidRPr="00FE2F41">
      <w:fldChar w:fldCharType="separate"/>
    </w:r>
    <w:r w:rsidR="00D773C2">
      <w:rPr>
        <w:noProof/>
      </w:rPr>
      <w:t>25</w:t>
    </w:r>
    <w:r w:rsidRPr="00FE2F41">
      <w:fldChar w:fldCharType="end"/>
    </w:r>
    <w:r w:rsidRPr="00FE2F41">
      <w:t>/</w:t>
    </w:r>
    <w:r w:rsidR="005711DD">
      <w:fldChar w:fldCharType="begin"/>
    </w:r>
    <w:r>
      <w:instrText xml:space="preserve"> NUMPAGES  \* MERGEFORMAT </w:instrText>
    </w:r>
    <w:r w:rsidR="005711DD">
      <w:fldChar w:fldCharType="separate"/>
    </w:r>
    <w:r w:rsidR="00D773C2">
      <w:rPr>
        <w:noProof/>
      </w:rPr>
      <w:t>25</w:t>
    </w:r>
    <w:r w:rsidR="005711DD">
      <w:rPr>
        <w:noProof/>
      </w:rPr>
      <w:fldChar w:fldCharType="end"/>
    </w:r>
    <w:r w:rsidRPr="00FE2F41">
      <w:tab/>
      <w:t>PE</w:t>
    </w:r>
    <w:r w:rsidRPr="00FE2F41">
      <w:rPr>
        <w:rStyle w:val="HideTWBExt"/>
      </w:rPr>
      <w:t>&lt;NoPE&gt;</w:t>
    </w:r>
    <w:r w:rsidRPr="00FE2F41">
      <w:t>766.918</w:t>
    </w:r>
    <w:r w:rsidRPr="00FE2F41">
      <w:rPr>
        <w:rStyle w:val="HideTWBExt"/>
      </w:rPr>
      <w:t>&lt;/NoPE&gt;&lt;Version&gt;</w:t>
    </w:r>
    <w:r w:rsidRPr="00FE2F41">
      <w:t>v02-00</w:t>
    </w:r>
    <w:r w:rsidRPr="00FE2F41">
      <w:rPr>
        <w:rStyle w:val="HideTWBExt"/>
      </w:rPr>
      <w:t>&lt;/Version&gt;</w:t>
    </w:r>
  </w:p>
  <w:p w:rsidR="00D82FCC" w:rsidRPr="00FE2F41" w:rsidRDefault="00F15DAA" w:rsidP="00FE2F41">
    <w:pPr>
      <w:pStyle w:val="EPFooter2"/>
    </w:pPr>
    <w:r w:rsidRPr="00FE2F41">
      <w:tab/>
    </w:r>
    <w:r w:rsidRPr="00FE2F41">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F41" w:rsidRPr="00FE2F41" w:rsidRDefault="00F15DAA" w:rsidP="00FE2F41">
    <w:pPr>
      <w:pStyle w:val="EPFooter"/>
    </w:pPr>
    <w:r w:rsidRPr="00FE2F41">
      <w:rPr>
        <w:rStyle w:val="HideTWBExt"/>
      </w:rPr>
      <w:t>&lt;PathFdR&gt;</w:t>
    </w:r>
    <w:r w:rsidRPr="00FE2F41">
      <w:t>AM\1314148SL.docx</w:t>
    </w:r>
    <w:r w:rsidRPr="00FE2F41">
      <w:rPr>
        <w:rStyle w:val="HideTWBExt"/>
      </w:rPr>
      <w:t>&lt;/PathFdR&gt;</w:t>
    </w:r>
    <w:r w:rsidRPr="00FE2F41">
      <w:tab/>
    </w:r>
    <w:r w:rsidRPr="00FE2F41">
      <w:tab/>
      <w:t>PE</w:t>
    </w:r>
    <w:r w:rsidRPr="00FE2F41">
      <w:rPr>
        <w:rStyle w:val="HideTWBExt"/>
      </w:rPr>
      <w:t>&lt;NoPE&gt;</w:t>
    </w:r>
    <w:r w:rsidRPr="00FE2F41">
      <w:t>766.918</w:t>
    </w:r>
    <w:r w:rsidRPr="00FE2F41">
      <w:rPr>
        <w:rStyle w:val="HideTWBExt"/>
      </w:rPr>
      <w:t>&lt;/NoPE&gt;&lt;Version&gt;</w:t>
    </w:r>
    <w:r w:rsidRPr="00FE2F41">
      <w:t>v02-00</w:t>
    </w:r>
    <w:r w:rsidRPr="00FE2F41">
      <w:rPr>
        <w:rStyle w:val="HideTWBExt"/>
      </w:rPr>
      <w:t>&lt;/Version&gt;</w:t>
    </w:r>
  </w:p>
  <w:p w:rsidR="00D82FCC" w:rsidRPr="00FE2F41" w:rsidRDefault="00F15DAA" w:rsidP="00FE2F41">
    <w:pPr>
      <w:pStyle w:val="EPFooter2"/>
    </w:pPr>
    <w:r w:rsidRPr="00FE2F41">
      <w:t>SL</w:t>
    </w:r>
    <w:r w:rsidRPr="00FE2F41">
      <w:tab/>
    </w:r>
    <w:r w:rsidRPr="00FE2F41">
      <w:rPr>
        <w:b w:val="0"/>
        <w:i/>
        <w:color w:val="C0C0C0"/>
        <w:sz w:val="22"/>
      </w:rPr>
      <w:t>Združena v raznolikosti</w:t>
    </w:r>
    <w:r w:rsidRPr="00FE2F41">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214" w:rsidRDefault="00F15DAA">
      <w:r>
        <w:separator/>
      </w:r>
    </w:p>
  </w:footnote>
  <w:footnote w:type="continuationSeparator" w:id="0">
    <w:p w:rsidR="00E27214" w:rsidRDefault="00F15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1DD" w:rsidRDefault="0057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1DD" w:rsidRDefault="00571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1DD" w:rsidRDefault="0057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670F6E"/>
    <w:multiLevelType w:val="hybridMultilevel"/>
    <w:tmpl w:val="D982D3F0"/>
    <w:lvl w:ilvl="0" w:tplc="AD60E8B2">
      <w:numFmt w:val="bullet"/>
      <w:lvlText w:val="-"/>
      <w:lvlJc w:val="left"/>
      <w:pPr>
        <w:ind w:left="720" w:hanging="360"/>
      </w:pPr>
      <w:rPr>
        <w:rFonts w:ascii="Times New Roman" w:eastAsia="Times New Roman" w:hAnsi="Times New Roman" w:cs="Times New Roman" w:hint="default"/>
      </w:rPr>
    </w:lvl>
    <w:lvl w:ilvl="1" w:tplc="944218C2" w:tentative="1">
      <w:start w:val="1"/>
      <w:numFmt w:val="bullet"/>
      <w:lvlText w:val="o"/>
      <w:lvlJc w:val="left"/>
      <w:pPr>
        <w:ind w:left="1440" w:hanging="360"/>
      </w:pPr>
      <w:rPr>
        <w:rFonts w:ascii="Courier New" w:hAnsi="Courier New" w:cs="Courier New" w:hint="default"/>
      </w:rPr>
    </w:lvl>
    <w:lvl w:ilvl="2" w:tplc="2B0231C0" w:tentative="1">
      <w:start w:val="1"/>
      <w:numFmt w:val="bullet"/>
      <w:lvlText w:val=""/>
      <w:lvlJc w:val="left"/>
      <w:pPr>
        <w:ind w:left="2160" w:hanging="360"/>
      </w:pPr>
      <w:rPr>
        <w:rFonts w:ascii="Wingdings" w:hAnsi="Wingdings" w:hint="default"/>
      </w:rPr>
    </w:lvl>
    <w:lvl w:ilvl="3" w:tplc="EF228EA2" w:tentative="1">
      <w:start w:val="1"/>
      <w:numFmt w:val="bullet"/>
      <w:lvlText w:val=""/>
      <w:lvlJc w:val="left"/>
      <w:pPr>
        <w:ind w:left="2880" w:hanging="360"/>
      </w:pPr>
      <w:rPr>
        <w:rFonts w:ascii="Symbol" w:hAnsi="Symbol" w:hint="default"/>
      </w:rPr>
    </w:lvl>
    <w:lvl w:ilvl="4" w:tplc="452E616A" w:tentative="1">
      <w:start w:val="1"/>
      <w:numFmt w:val="bullet"/>
      <w:lvlText w:val="o"/>
      <w:lvlJc w:val="left"/>
      <w:pPr>
        <w:ind w:left="3600" w:hanging="360"/>
      </w:pPr>
      <w:rPr>
        <w:rFonts w:ascii="Courier New" w:hAnsi="Courier New" w:cs="Courier New" w:hint="default"/>
      </w:rPr>
    </w:lvl>
    <w:lvl w:ilvl="5" w:tplc="7AAC8FCE" w:tentative="1">
      <w:start w:val="1"/>
      <w:numFmt w:val="bullet"/>
      <w:lvlText w:val=""/>
      <w:lvlJc w:val="left"/>
      <w:pPr>
        <w:ind w:left="4320" w:hanging="360"/>
      </w:pPr>
      <w:rPr>
        <w:rFonts w:ascii="Wingdings" w:hAnsi="Wingdings" w:hint="default"/>
      </w:rPr>
    </w:lvl>
    <w:lvl w:ilvl="6" w:tplc="69AA0910" w:tentative="1">
      <w:start w:val="1"/>
      <w:numFmt w:val="bullet"/>
      <w:lvlText w:val=""/>
      <w:lvlJc w:val="left"/>
      <w:pPr>
        <w:ind w:left="5040" w:hanging="360"/>
      </w:pPr>
      <w:rPr>
        <w:rFonts w:ascii="Symbol" w:hAnsi="Symbol" w:hint="default"/>
      </w:rPr>
    </w:lvl>
    <w:lvl w:ilvl="7" w:tplc="2ACC2EA8" w:tentative="1">
      <w:start w:val="1"/>
      <w:numFmt w:val="bullet"/>
      <w:lvlText w:val="o"/>
      <w:lvlJc w:val="left"/>
      <w:pPr>
        <w:ind w:left="5760" w:hanging="360"/>
      </w:pPr>
      <w:rPr>
        <w:rFonts w:ascii="Courier New" w:hAnsi="Courier New" w:cs="Courier New" w:hint="default"/>
      </w:rPr>
    </w:lvl>
    <w:lvl w:ilvl="8" w:tplc="56E8780E"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MKEY" w:val="LIBE"/>
    <w:docVar w:name="DOCDT" w:val="31/01/2025"/>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08671 HideTWBExt;}{\*\cs18 \additive \v\f1\fs20\cf15 _x000d__x000a_\spriority0 \styrsid14908671 HideTWBInt;}{\s19\ql \li0\ri0\sa120\nowidctlpar\wrapdefault\aspalpha\aspnum\faauto\adjustright\rin0\lin0\itap0 \rtlch\fcs1 \af0\afs20\alang1025 \ltrch\fcs0 \fs24\lang1060\langfe2057\cgrid\langnp1060\langfenp2057 _x000d__x000a_\sbasedon0 \snext19 \spriority0 \styrsid14908671 Normal6a;}{\s20\ql \li0\ri0\nowidctlpar\wrapdefault\aspalpha\aspnum\faauto\adjustright\rin0\lin0\itap0 \rtlch\fcs1 \af0\afs20\alang1025 \ltrch\fcs0 \b\fs24\lang1060\langfe2057\cgrid\langnp1060\langfenp2057 _x000d__x000a_\sbasedon0 \snext20 \spriority0 \styrsid14908671 NormalBold;}{\s21\qr \li0\ri0\sb240\sa240\nowidctlpar\wrapdefault\aspalpha\aspnum\faauto\adjustright\rin0\lin0\itap0 \rtlch\fcs1 \af0\afs20\alang1025 \ltrch\fcs0 _x000d__x000a_\fs24\lang1060\langfe2057\cgrid\langnp1060\langfenp2057 \sbasedon0 \snext21 \spriority0 \styrsid14908671 AmOrLang;}{\s22\qc \li0\ri0\sa240\nowidctlpar\wrapdefault\aspalpha\aspnum\faauto\adjustright\rin0\lin0\itap0 \rtlch\fcs1 \af0\afs20\alang1025 _x000d__x000a_\ltrch\fcs0 \i\fs24\lang1060\langfe2057\cgrid\langnp1060\langfenp2057 \sbasedon0 \snext22 \spriority0 \styrsid149086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14908671 AmNumberTabs;}}{\*\rsidtbl \rsid24658\rsid223860\rsid735077\rsid1718133\rsid2892074\rsid3565327\rsid4666813\rsid6641733\rsid7823322_x000d__x000a_\rsid9636012\rsid10377208\rsid11215221\rsid11549030\rsid12154954\rsid14108614\rsid14382809\rsid14424199\rsid14908671\rsid15204470\rsid15285974\rsid15950462\rsid16324206\rsid16662270}{\mmathPr\mmathFont34\mbrkBin0\mbrkBinSub0\msmallFrac0\mdispDef1_x000d__x000a_\mlMargin0\mrMargin0\mdefJc1\mwrapIndent1440\mintLim0\mnaryLim1}{\info{\author GROSELJ Tadej}{\operator GROSELJ Tadej}{\creatim\yr2025\mo2\dy4\hr15\min49}{\revtim\yr2025\mo2\dy4\hr15\min49}{\version1}{\edmins0}{\nofpages1}{\nofwords74}{\nofchars428}_x000d__x000a_{\nofcharsws50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08671\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4108614 \chftnsep _x000d__x000a_\par }}{\*\ftnsepc \ltrpar \pard\plain \ltrpar\ql \li0\ri0\widctlpar\wrapdefault\aspalpha\aspnum\faauto\adjustright\rin0\lin0\itap0 \rtlch\fcs1 \af0\afs20\alang1025 \ltrch\fcs0 \fs24\lang2057\langfe2057\cgrid\langnp2057\langfenp2057 {\rtlch\fcs1 \af0 _x000d__x000a_\ltrch\fcs0 \insrsid14108614 \chftnsepc _x000d__x000a_\par }}{\*\aftnsep \ltrpar \pard\plain \ltrpar\ql \li0\ri0\widctlpar\wrapdefault\aspalpha\aspnum\faauto\adjustright\rin0\lin0\itap0 \rtlch\fcs1 \af0\afs20\alang1025 \ltrch\fcs0 \fs24\lang2057\langfe2057\cgrid\langnp2057\langfenp2057 {\rtlch\fcs1 \af0 _x000d__x000a_\ltrch\fcs0 \insrsid14108614 \chftnsep _x000d__x000a_\par }}{\*\aftnsepc \ltrpar \pard\plain \ltrpar\ql \li0\ri0\widctlpar\wrapdefault\aspalpha\aspnum\faauto\adjustright\rin0\lin0\itap0 \rtlch\fcs1 \af0\afs20\alang1025 \ltrch\fcs0 \fs24\lang2057\langfe2057\cgrid\langnp2057\langfenp2057 {\rtlch\fcs1 \af0 _x000d__x000a_\ltrch\fcs0 \insrsid141086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08671 \rtlch\fcs1 _x000d__x000a_\af0\afs20\alang1025 \ltrch\fcs0 \b\fs24\lang1060\langfe2057\cgrid\langnp1060\langfenp2057 {\rtlch\fcs1 \af0 \ltrch\fcs0 \cs17\b0\v\fs20\cf9\lang1024\langfe1024\loch\af1\hich\af1\dbch\af31501\noproof\insrsid14908671\charrsid4749112 {\*\bkmkstart restartA}_x000d__x000a_\hich\af1\dbch\af31501\loch\f1 &lt;AmendA&gt;}{\rtlch\fcs1 \af0 \ltrch\fcs0 \insrsid14908671\charrsid4749112 Predlog spremembe\tab \tab }{\rtlch\fcs1 \af0 \ltrch\fcs0 _x000d__x000a_\cs17\b0\v\fs20\cf9\lang1024\langfe1024\loch\af1\hich\af1\dbch\af31501\noproof\insrsid14908671\charrsid4749112 \hich\af1\dbch\af31501\loch\f1 &lt;NumAmA&gt;}{\rtlch\fcs1 \af0 \ltrch\fcs0 \insrsid14908671\charrsid4749112 #}{\rtlch\fcs1 \af1 \ltrch\fcs0 _x000d__x000a_\cs18\v\f1\fs20\cf15\insrsid14908671\charrsid4749112 ENMIENDA@NRAM@}{\rtlch\fcs1 \af0 \ltrch\fcs0 \insrsid14908671\charrsid4749112 #}{\rtlch\fcs1 \af0 \ltrch\fcs0 _x000d__x000a_\cs17\b0\v\fs20\cf9\lang1024\langfe1024\loch\af1\hich\af1\dbch\af31501\noproof\insrsid14908671\charrsid4749112 \hich\af1\dbch\af31501\loch\f1 &lt;/NumAmA&gt;}{\rtlch\fcs1 \af0 \ltrch\fcs0 \insrsid14908671\charrsid4749112 _x000d__x000a_\par }\pard\plain \ltrpar\s20\ql \li0\ri0\nowidctlpar\wrapdefault\aspalpha\aspnum\faauto\adjustright\rin0\lin0\itap0\pararsid14908671 \rtlch\fcs1 \af0\afs20\alang1025 \ltrch\fcs0 \b\fs24\lang1060\langfe2057\cgrid\langnp1060\langfenp2057 {\rtlch\fcs1 \af0 _x000d__x000a_\ltrch\fcs0 \cs17\b0\v\fs20\cf9\lang1024\langfe1024\loch\af1\hich\af1\dbch\af31501\noproof\insrsid14908671\charrsid4749112 \hich\af1\dbch\af31501\loch\f1 &lt;RepeatBlock-By&gt;}{\rtlch\fcs1 \af0 \ltrch\fcs0 \insrsid14908671\charrsid4749112 #}{\rtlch\fcs1 \af1 _x000d__x000a_\ltrch\fcs0 \cs18\v\f1\fs20\cf15\insrsid14908671\charrsid4749112 (MOD@InsideLoop()}{\rtlch\fcs1 \af0 \ltrch\fcs0 \insrsid14908671\charrsid4749112 ##}{\rtlch\fcs1 \af1 \ltrch\fcs0 \cs18\v\f1\fs20\cf15\insrsid14908671\charrsid4749112 &gt;&gt;&gt;@[ZMEMBERSMSG]@}{_x000d__x000a_\rtlch\fcs1 \af0 \ltrch\fcs0 \insrsid14908671\charrsid4749112 #}{\rtlch\fcs1 \af0 \ltrch\fcs0 \cs17\b0\v\fs20\cf9\lang1024\langfe1024\loch\af1\hich\af1\dbch\af31501\noproof\insrsid14908671\charrsid4749112 \hich\af1\dbch\af31501\loch\f1 &lt;Members&gt;}{_x000d__x000a_\rtlch\fcs1 \af0 \ltrch\fcs0 \insrsid14908671\charrsid4749112 #}{\rtlch\fcs1 \af1 \ltrch\fcs0 \cs18\v\f1\fs20\cf15\insrsid14908671\charrsid4749112 (MOD@InsideLoop(\'a7)}{\rtlch\fcs1 \af0 \ltrch\fcs0 \insrsid14908671\charrsid4749112 #}{\rtlch\fcs1 \af0 _x000d__x000a_\ltrch\fcs0 \cf10\insrsid14908671\charrsid4749112 \u9668\'3f}{\rtlch\fcs1 \af0 \ltrch\fcs0 \insrsid14908671\charrsid4749112 #}{\rtlch\fcs1 \af1 \ltrch\fcs0 \cs18\v\f1\fs20\cf15\insrsid14908671\charrsid4749112 TVTMEMBERS\'a7@MEMBERS@}{\rtlch\fcs1 \af0 _x000d__x000a_\ltrch\fcs0 \insrsid14908671\charrsid4749112 #}{\rtlch\fcs1 \af0 \ltrch\fcs0 \cf10\insrsid14908671\charrsid4749112 \u9658\'3f}{\rtlch\fcs1 \af0 \ltrch\fcs0 _x000d__x000a_\cs17\b0\v\fs20\cf9\lang1024\langfe1024\loch\af1\hich\af1\dbch\af31501\noproof\insrsid14908671\charrsid4749112 \hich\af1\dbch\af31501\loch\f1 &lt;/Members&gt;}{\rtlch\fcs1 \af0 \ltrch\fcs0 \insrsid14908671\charrsid4749112 _x000d__x000a_\par }\pard\plain \ltrpar\ql \li0\ri0\widctlpar\wrapdefault\aspalpha\aspnum\faauto\adjustright\rin0\lin0\itap0\pararsid14908671 \rtlch\fcs1 \af0\afs20\alang1025 \ltrch\fcs0 \fs24\lang2057\langfe2057\cgrid\langnp2057\langfenp2057 {\rtlch\fcs1 \af0 \ltrch\fcs0 _x000d__x000a_\cs17\v\fs20\cf9\lang1024\langfe1024\loch\af1\hich\af1\dbch\af31501\noproof\langnp1060\insrsid14908671\charrsid4749112 \hich\af1\dbch\af31501\loch\f1 &lt;AuNomDe&gt;&lt;OptDel&gt;}{\rtlch\fcs1 \af0 \ltrch\fcs0 _x000d__x000a_\lang1060\langfe2057\langnp1060\insrsid14908671\charrsid4749112 #}{\rtlch\fcs1 \af1 \ltrch\fcs0 \cs18\v\f1\fs20\cf15\lang1060\langfe2057\langnp1060\insrsid14908671\charrsid4749112 MNU[ONBEHALFYES][NOTAPP]@CHOICE@}{\rtlch\fcs1 \af0 \ltrch\fcs0 _x000d__x000a_\lang1060\langfe2057\langnp1060\insrsid14908671\charrsid4749112 #}{\rtlch\fcs1 \af0 \ltrch\fcs0 \cs17\v\fs20\cf9\lang1024\langfe1024\loch\af1\hich\af1\dbch\af31501\noproof\langnp1060\insrsid14908671\charrsid4749112 \hich\af1\dbch\af31501\loch\f1 _x000d__x000a_&lt;/OptDel&gt;&lt;/AuNomDe&gt;}{\rtlch\fcs1 \af0 \ltrch\fcs0 \lang1060\langfe2057\langnp1060\insrsid14908671\charrsid4749112 _x000d__x000a_\par &lt;&lt;&lt;}{\rtlch\fcs1 \af0 \ltrch\fcs0 \cs17\v\fs20\cf9\lang1024\langfe1024\loch\af1\hich\af1\dbch\af31501\noproof\langnp1060\insrsid14908671\charrsid4749112 \hich\af1\dbch\af31501\loch\f1 &lt;/RepeatBlock-By&gt;}{\rtlch\fcs1 \af0 \ltrch\fcs0 _x000d__x000a_\lang1060\langfe2057\langnp1060\insrsid14908671\charrsid4749112 _x000d__x000a_\par }\pard\plain \ltrpar\s20\ql \li0\ri0\nowidctlpar\wrapdefault\aspalpha\aspnum\faauto\adjustright\rin0\lin0\itap0\pararsid14908671 \rtlch\fcs1 \af0\afs20\alang1025 \ltrch\fcs0 \b\fs24\lang1060\langfe2057\cgrid\langnp1060\langfenp2057 {\rtlch\fcs1 \af0 _x000d__x000a_\ltrch\fcs0 \cs17\b0\v\fs20\cf9\lang1024\langfe1024\loch\af1\hich\af1\dbch\af31501\noproof\insrsid14908671\charrsid4749112 \hich\af1\dbch\af31501\loch\f1 &lt;DocAmend&gt;}{\rtlch\fcs1 \af0 \ltrch\fcs0 \insrsid14908671\charrsid4749112 _x000d__x000a_Osnutek zakonodajne resolucije}{\rtlch\fcs1 \af0 \ltrch\fcs0 \cs17\b0\v\fs20\cf9\lang1024\langfe1024\loch\af1\hich\af1\dbch\af31501\noproof\insrsid14908671\charrsid4749112 \hich\af1\dbch\af31501\loch\f1 &lt;/DocAmend&gt;}{\rtlch\fcs1 \af0 \ltrch\fcs0 _x000d__x000a_\insrsid14908671\charrsid4749112 _x000d__x000a_\par }{\rtlch\fcs1 \af0 \ltrch\fcs0 \cs17\b0\v\fs20\cf9\lang1024\langfe1024\loch\af1\hich\af1\dbch\af31501\noproof\insrsid14908671\charrsid4749112 \hich\af1\dbch\af31501\loch\f1 &lt;Article&gt;}{\rtlch\fcs1 \af0 \ltrch\fcs0 \cf10\insrsid14908671\charrsid4749112 _x000d__x000a_\u9668\'3f}{\rtlch\fcs1 \af0 \ltrch\fcs0 \insrsid14908671\charrsid4749112 #}{\rtlch\fcs1 \af1 \ltrch\fcs0 \cs18\v\f1\fs20\cf15\insrsid14908671\charrsid4749112 TVTPART@PART@}{\rtlch\fcs1 \af0 \ltrch\fcs0 \insrsid14908671\charrsid4749112 #}{\rtlch\fcs1 _x000d__x000a_\af0 \ltrch\fcs0 \cf10\insrsid14908671\charrsid4749112 \u9658\'3f}{\rtlch\fcs1 \af0 \ltrch\fcs0 \cs17\b0\v\fs20\cf9\lang1024\langfe1024\loch\af1\hich\af1\dbch\af31501\noproof\insrsid14908671\charrsid4749112 \hich\af1\dbch\af31501\loch\f1 &lt;/Article&gt;}{_x000d__x000a_\rtlch\fcs1 \af0 \ltrch\fcs0 \insrsid14908671\charrsid474911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14908671\charrsid4749112 \cell }\pard\plain \ltrpar_x000d__x000a_\ql \li0\ri0\widctlpar\intbl\wrapdefault\aspalpha\aspnum\faauto\adjustright\rin0\lin0 \rtlch\fcs1 \af0\afs20\alang1025 \ltrch\fcs0 \fs24\lang2057\langfe2057\cgrid\langnp2057\langfenp2057 {\rtlch\fcs1 \af0 \ltrch\fcs0 _x000d__x000a_\lang1060\langfe2057\langnp1060\insrsid14908671\charrsid4749112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60\langfe2057\cgrid\langnp1060\langfenp2057 {\rtlch\fcs1 \af0 \ltrch\fcs0 _x000d__x000a_\insrsid14908671\charrsid4749112 Osnutek zakonodajne resolucije\cell Predlog spremembe\cell }\pard\plain \ltrpar\ql \li0\ri0\widctlpar\intbl\wrapdefault\aspalpha\aspnum\faauto\adjustright\rin0\lin0 \rtlch\fcs1 \af0\afs20\alang1025 \ltrch\fcs0 _x000d__x000a_\fs24\lang2057\langfe2057\cgrid\langnp2057\langfenp2057 {\rtlch\fcs1 \af0 \ltrch\fcs0 \lang1060\langfe2057\langnp1060\insrsid14908671\charrsid474911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0\langfe2057\cgrid\langnp1060\langfenp2057 {\rtlch\fcs1 \af0 \ltrch\fcs0 _x000d__x000a_\insrsid14908671\charrsid4749112 #}{\rtlch\fcs1 \af1 \ltrch\fcs0 \cs18\v\f1\fs20\cf15\insrsid14908671\charrsid4749112 TEXTMSG}{\rtlch\fcs1 \af0 \ltrch\fcs0 \insrsid14908671\charrsid4749112 #\cell #}{\rtlch\fcs1 \af1 \ltrch\fcs0 _x000d__x000a_\cs18\v\f1\fs20\cf15\insrsid14908671\charrsid4749112 TEXTMSG}{\rtlch\fcs1 \af0 \ltrch\fcs0 \insrsid14908671\charrsid4749112 #}{\rtlch\fcs1 \af0\afs24 \ltrch\fcs0 \insrsid14908671\charrsid4749112 \cell }\pard\plain \ltrpar_x000d__x000a_\ql \li0\ri0\widctlpar\intbl\wrapdefault\aspalpha\aspnum\faauto\adjustright\rin0\lin0 \rtlch\fcs1 \af0\afs20\alang1025 \ltrch\fcs0 \fs24\lang2057\langfe2057\cgrid\langnp2057\langfenp2057 {\rtlch\fcs1 \af0 \ltrch\fcs0 _x000d__x000a_\lang1060\langfe2057\langnp1060\insrsid14908671\charrsid4749112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4908671 \rtlch\fcs1 \af0\afs20\alang1025 \ltrch\fcs0 _x000d__x000a_\fs24\lang1060\langfe2057\cgrid\langnp1060\langfenp2057 {\rtlch\fcs1 \af0 \ltrch\fcs0 \insrsid14908671\charrsid4749112 Or. }{\rtlch\fcs1 \af0 \ltrch\fcs0 _x000d__x000a_\cs17\v\fs20\cf9\lang1024\langfe1024\loch\af1\hich\af1\dbch\af31501\noproof\insrsid14908671\charrsid4749112 \hich\af1\dbch\af31501\loch\f1 &lt;Original&gt;}{\rtlch\fcs1 \af0 \ltrch\fcs0 \insrsid14908671\charrsid4749112 #}{\rtlch\fcs1 \af1 \ltrch\fcs0 _x000d__x000a_\cs18\v\f1\fs20\cf15\insrsid14908671\charrsid4749112 KEY(MAIN/LANGMIN)sh@ORLANGMSG@}{\rtlch\fcs1 \af0 \ltrch\fcs0 \insrsid14908671\charrsid4749112 #}{\rtlch\fcs1 \af0 \ltrch\fcs0 _x000d__x000a_\cs17\v\fs20\cf9\lang1024\langfe1024\loch\af1\hich\af1\dbch\af31501\noproof\insrsid14908671\charrsid4749112 \hich\af1\dbch\af31501\loch\f1 &lt;/Original&gt;}{\rtlch\fcs1 \af0 \ltrch\fcs0 \insrsid14908671\charrsid4749112 _x000d__x000a_\par }\pard\plain \ltrpar\ql \li0\ri0\widctlpar\wrapdefault\aspalpha\aspnum\faauto\adjustright\rin0\lin0\itap0\pararsid14908671 \rtlch\fcs1 \af0\afs20\alang1025 \ltrch\fcs0 \fs24\lang2057\langfe2057\cgrid\langnp2057\langfenp2057 {\rtlch\fcs1 \af0 \ltrch\fcs0 _x000d__x000a_\cs17\v\fs20\cf9\lang1024\langfe1024\loch\af1\hich\af1\dbch\af31501\noproof\langnp1060\insrsid14908671\charrsid47491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4_x000d__x000a_820b14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76555 HideTWBExt;}{\*\cs18 \additive \v\f1\fs20\cf15 _x000d__x000a_\spriority0 \styrsid8676555 HideTWBInt;}{\s19\ql \li0\ri0\sa120\nowidctlpar\wrapdefault\aspalpha\aspnum\faauto\adjustright\rin0\lin0\itap0 \rtlch\fcs1 \af0\afs20\alang1025 \ltrch\fcs0 \fs24\lang1060\langfe2057\cgrid\langnp1060\langfenp2057 _x000d__x000a_\sbasedon0 \snext19 \spriority0 \styrsid8676555 Normal6a;}{\s20\ql \li0\ri0\nowidctlpar\wrapdefault\aspalpha\aspnum\faauto\adjustright\rin0\lin0\itap0 \rtlch\fcs1 \af0\afs20\alang1025 \ltrch\fcs0 \b\fs24\lang1060\langfe2057\cgrid\langnp1060\langfenp2057 _x000d__x000a_\sbasedon0 \snext20 \spriority0 \styrsid8676555 NormalBold;}{\s21\ql \li0\ri0\sa240\nowidctlpar\wrapdefault\aspalpha\aspnum\faauto\adjustright\rin0\lin0\itap0 \rtlch\fcs1 \af0\afs20\alang1025 \ltrch\fcs0 _x000d__x000a_\i\fs24\lang1060\langfe2057\cgrid\langnp1060\langfenp2057 \sbasedon0 \snext21 \spriority0 \styrsid8676555 AmJustText;}{\s22\qc \li0\ri0\sb240\sa240\nowidctlpar\wrapdefault\aspalpha\aspnum\faauto\adjustright\rin0\lin0\itap0 \rtlch\fcs1 _x000d__x000a_\af0\afs20\alang1025 \ltrch\fcs0 \i\fs24\lang1060\langfe2057\cgrid\langnp1060\langfenp2057 \sbasedon0 \snext22 \spriority0 \styrsid8676555 AmCrossRef;}{_x000d__x000a_\s23\qc \li0\ri0\sb240\sa240\keepn\nowidctlpar\wrapdefault\aspalpha\aspnum\faauto\adjustright\rin0\lin0\itap0 \rtlch\fcs1 \af0\afs20\alang1025 \ltrch\fcs0 \i\fs24\lang1060\langfe2057\cgrid\langnp1060\langfenp2057 _x000d__x000a_\sbasedon0 \snext21 \spriority0 \styrsid8676555 AmJustTitle;}{\s24\qr \li0\ri0\sb240\sa240\nowidctlpar\wrapdefault\aspalpha\aspnum\faauto\adjustright\rin0\lin0\itap0 \rtlch\fcs1 \af0\afs20\alang1025 \ltrch\fcs0 _x000d__x000a_\fs24\lang1060\langfe2057\cgrid\langnp1060\langfenp2057 \sbasedon0 \snext24 \spriority0 \styrsid8676555 AmOrLang;}{\s25\qc \li0\ri0\sa240\nowidctlpar\wrapdefault\aspalpha\aspnum\faauto\adjustright\rin0\lin0\itap0 \rtlch\fcs1 \af0\afs20\alang1025 _x000d__x000a_\ltrch\fcs0 \i\fs24\lang1060\langfe2057\cgrid\langnp1060\langfenp2057 \sbasedon0 \snext25 \spriority0 \styrsid86765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8676555 AmNumberTabs;}}{\*\rsidtbl \rsid24658\rsid223860\rsid735077\rsid1718133\rsid2892074\rsid3565327\rsid4666813\rsid6641733\rsid7823322_x000d__x000a_\rsid8676555\rsid9636012\rsid10377208\rsid11215221\rsid11549030\rsid12154954\rsid14382809\rsid14424199\rsid15204470\rsid15285974\rsid15950462\rsid16324206\rsid16465967\rsid16662270}{\mmathPr\mmathFont34\mbrkBin0\mbrkBinSub0\msmallFrac0\mdispDef1\mlMargin0_x000d__x000a_\mrMargin0\mdefJc1\mwrapIndent1440\mintLim0\mnaryLim1}{\info{\author GROSELJ Tadej}{\operator GROSELJ Tadej}{\creatim\yr2025\mo2\dy4\hr15\min49}{\revtim\yr2025\mo2\dy4\hr15\min49}{\version1}{\edmins0}{\nofpages1}{\nofwords135}{\nofchars773}_x000d__x000a_{\nofcharsws9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76555\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6465967 \chftnsep _x000d__x000a_\par }}{\*\ftnsepc \ltrpar \pard\plain \ltrpar\ql \li0\ri0\widctlpar\wrapdefault\aspalpha\aspnum\faauto\adjustright\rin0\lin0\itap0 \rtlch\fcs1 \af0\afs20\alang1025 \ltrch\fcs0 \fs24\lang2057\langfe2057\cgrid\langnp2057\langfenp2057 {\rtlch\fcs1 \af0 _x000d__x000a_\ltrch\fcs0 \insrsid16465967 \chftnsepc _x000d__x000a_\par }}{\*\aftnsep \ltrpar \pard\plain \ltrpar\ql \li0\ri0\widctlpar\wrapdefault\aspalpha\aspnum\faauto\adjustright\rin0\lin0\itap0 \rtlch\fcs1 \af0\afs20\alang1025 \ltrch\fcs0 \fs24\lang2057\langfe2057\cgrid\langnp2057\langfenp2057 {\rtlch\fcs1 \af0 _x000d__x000a_\ltrch\fcs0 \insrsid16465967 \chftnsep _x000d__x000a_\par }}{\*\aftnsepc \ltrpar \pard\plain \ltrpar\ql \li0\ri0\widctlpar\wrapdefault\aspalpha\aspnum\faauto\adjustright\rin0\lin0\itap0 \rtlch\fcs1 \af0\afs20\alang1025 \ltrch\fcs0 \fs24\lang2057\langfe2057\cgrid\langnp2057\langfenp2057 {\rtlch\fcs1 \af0 _x000d__x000a_\ltrch\fcs0 \insrsid164659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76555 \rtlch\fcs1 _x000d__x000a_\af0\afs20\alang1025 \ltrch\fcs0 \b\fs24\lang1060\langfe2057\cgrid\langnp1060\langfenp2057 {\rtlch\fcs1 \af0 \ltrch\fcs0 \cs17\b0\v\fs20\cf9\lang1024\langfe1024\loch\af1\hich\af1\dbch\af31501\noproof\insrsid8676555\charrsid4749112 {\*\bkmkstart restartB}_x000d__x000a_\hich\af1\dbch\af31501\loch\f1 &lt;AmendB&gt;}{\rtlch\fcs1 \af0 \ltrch\fcs0 \insrsid8676555\charrsid4749112 Predlog spremembe\tab \tab }{\rtlch\fcs1 \af0 \ltrch\fcs0 _x000d__x000a_\cs17\b0\v\fs20\cf9\lang1024\langfe1024\loch\af1\hich\af1\dbch\af31501\noproof\insrsid8676555\charrsid4749112 \hich\af1\dbch\af31501\loch\f1 &lt;NumAmB&gt;}{\rtlch\fcs1 \af0 \ltrch\fcs0 \insrsid8676555\charrsid4749112 #}{\rtlch\fcs1 \af1 \ltrch\fcs0 _x000d__x000a_\cs18\v\f1\fs20\cf15\insrsid8676555\charrsid4749112 ENMIENDA@NRAM@}{\rtlch\fcs1 \af0 \ltrch\fcs0 \insrsid8676555\charrsid4749112 #}{\rtlch\fcs1 \af0 \ltrch\fcs0 _x000d__x000a_\cs17\b0\v\fs20\cf9\lang1024\langfe1024\loch\af1\hich\af1\dbch\af31501\noproof\insrsid8676555\charrsid4749112 \hich\af1\dbch\af31501\loch\f1 &lt;/NumAmB&gt;}{\rtlch\fcs1 \af0 \ltrch\fcs0 \insrsid8676555\charrsid4749112 _x000d__x000a_\par }\pard\plain \ltrpar\s20\ql \li0\ri0\nowidctlpar\wrapdefault\aspalpha\aspnum\faauto\adjustright\rin0\lin0\itap0\pararsid8676555 \rtlch\fcs1 \af0\afs20\alang1025 \ltrch\fcs0 \b\fs24\lang1060\langfe2057\cgrid\langnp1060\langfenp2057 {\rtlch\fcs1 \af0 _x000d__x000a_\ltrch\fcs0 \cs17\b0\v\fs20\cf9\lang1024\langfe1024\loch\af1\hich\af1\dbch\af31501\noproof\insrsid8676555\charrsid4749112 \hich\af1\dbch\af31501\loch\f1 &lt;RepeatBlock-By&gt;}{\rtlch\fcs1 \af0 \ltrch\fcs0 \insrsid8676555\charrsid4749112 #}{\rtlch\fcs1 \af1 _x000d__x000a_\ltrch\fcs0 \cs18\v\f1\fs20\cf15\insrsid8676555\charrsid4749112 (MOD@InsideLoop()}{\rtlch\fcs1 \af0 \ltrch\fcs0 \insrsid8676555\charrsid4749112 ##}{\rtlch\fcs1 \af1 \ltrch\fcs0 \cs18\v\f1\fs20\cf15\insrsid8676555\charrsid4749112 &gt;&gt;&gt;@[ZMEMBERSMSG]@}{_x000d__x000a_\rtlch\fcs1 \af0 \ltrch\fcs0 \insrsid8676555\charrsid4749112 #}{\rtlch\fcs1 \af0 \ltrch\fcs0 \cs17\b0\v\fs20\cf9\lang1024\langfe1024\loch\af1\hich\af1\dbch\af31501\noproof\insrsid8676555\charrsid4749112 \hich\af1\dbch\af31501\loch\f1 &lt;Members&gt;}{_x000d__x000a_\rtlch\fcs1 \af0 \ltrch\fcs0 \insrsid8676555\charrsid4749112 #}{\rtlch\fcs1 \af1 \ltrch\fcs0 \cs18\v\f1\fs20\cf15\insrsid8676555\charrsid4749112 (MOD@InsideLoop(\'a7)}{\rtlch\fcs1 \af0 \ltrch\fcs0 \insrsid8676555\charrsid4749112 #}{\rtlch\fcs1 \af0 _x000d__x000a_\ltrch\fcs0 \cf10\insrsid8676555\charrsid4749112 \u9668\'3f}{\rtlch\fcs1 \af0 \ltrch\fcs0 \insrsid8676555\charrsid4749112 #}{\rtlch\fcs1 \af1 \ltrch\fcs0 \cs18\v\f1\fs20\cf15\insrsid8676555\charrsid4749112 TVTMEMBERS\'a7@MEMBERS@}{\rtlch\fcs1 \af0 _x000d__x000a_\ltrch\fcs0 \insrsid8676555\charrsid4749112 #}{\rtlch\fcs1 \af0 \ltrch\fcs0 \cf10\insrsid8676555\charrsid4749112 \u9658\'3f}{\rtlch\fcs1 \af0 \ltrch\fcs0 _x000d__x000a_\cs17\b0\v\fs20\cf9\lang1024\langfe1024\loch\af1\hich\af1\dbch\af31501\noproof\insrsid8676555\charrsid4749112 \hich\af1\dbch\af31501\loch\f1 &lt;/Members&gt;}{\rtlch\fcs1 \af0 \ltrch\fcs0 \insrsid8676555\charrsid4749112 _x000d__x000a_\par }\pard\plain \ltrpar\ql \li0\ri0\widctlpar\wrapdefault\aspalpha\aspnum\faauto\adjustright\rin0\lin0\itap0\pararsid8676555 \rtlch\fcs1 \af0\afs20\alang1025 \ltrch\fcs0 \fs24\lang2057\langfe2057\cgrid\langnp2057\langfenp2057 {\rtlch\fcs1 \af0 \ltrch\fcs0 _x000d__x000a_\cs17\v\fs20\cf9\lang1024\langfe1024\loch\af1\hich\af1\dbch\af31501\noproof\langnp1060\insrsid8676555\charrsid4749112 \hich\af1\dbch\af31501\loch\f1 &lt;AuNomDe&gt;&lt;OptDel&gt;}{\rtlch\fcs1 \af0 \ltrch\fcs0 _x000d__x000a_\lang1060\langfe2057\langnp1060\insrsid8676555\charrsid4749112 #}{\rtlch\fcs1 \af1 \ltrch\fcs0 \cs18\v\f1\fs20\cf15\lang1060\langfe2057\langnp1060\insrsid8676555\charrsid4749112 MNU[ONBEHALFYES][NOTAPP]@CHOICE@}{\rtlch\fcs1 \af0 \ltrch\fcs0 _x000d__x000a_\lang1060\langfe2057\langnp1060\insrsid8676555\charrsid4749112 #}{\rtlch\fcs1 \af0 \ltrch\fcs0 \cs17\v\fs20\cf9\lang1024\langfe1024\loch\af1\hich\af1\dbch\af31501\noproof\langnp1060\insrsid8676555\charrsid4749112 \hich\af1\dbch\af31501\loch\f1 _x000d__x000a_&lt;/OptDel&gt;&lt;/AuNomDe&gt;}{\rtlch\fcs1 \af0 \ltrch\fcs0 \lang1060\langfe2057\langnp1060\insrsid8676555\charrsid4749112 _x000d__x000a_\par &lt;&lt;&lt;}{\rtlch\fcs1 \af0 \ltrch\fcs0 \cs17\v\fs20\cf9\lang1024\langfe1024\loch\af1\hich\af1\dbch\af31501\noproof\langnp1060\insrsid8676555\charrsid4749112 \hich\af1\dbch\af31501\loch\f1 &lt;/RepeatBlock-By&gt;}{\rtlch\fcs1 \af0 \ltrch\fcs0 _x000d__x000a_\lang1060\langfe2057\langnp1060\insrsid8676555\charrsid4749112 _x000d__x000a_\par }\pard\plain \ltrpar\s20\ql \li0\ri0\nowidctlpar\wrapdefault\aspalpha\aspnum\faauto\adjustright\rin0\lin0\itap0\pararsid8676555 \rtlch\fcs1 \af0\afs20\alang1025 \ltrch\fcs0 \b\fs24\lang1060\langfe2057\cgrid\langnp1060\langfenp2057 {\rtlch\fcs1 \af0 _x000d__x000a_\ltrch\fcs0 \cs17\b0\v\fs20\cf9\lang1024\langfe1024\loch\af1\hich\af1\dbch\af31501\noproof\insrsid8676555\charrsid4749112 \hich\af1\dbch\af31501\loch\f1 &lt;DocAmend&gt;}{\rtlch\fcs1 \af0 \ltrch\fcs0 \insrsid8676555\charrsid4749112 #}{\rtlch\fcs1 \af1 _x000d__x000a_\ltrch\fcs0 \cs18\v\f1\fs20\cf15\insrsid8676555\charrsid4749112 MNU[OPTPROPOSALCOD][OPTPROPOSALCNS][OPTPROPOSALNLE]@CHOICE@CODEMNU}{\rtlch\fcs1 \af0 \ltrch\fcs0 \insrsid8676555\charrsid4749112 #}{\rtlch\fcs1 \af0 \ltrch\fcs0 _x000d__x000a_\cs17\b0\v\fs20\cf9\lang1024\langfe1024\loch\af1\hich\af1\dbch\af31501\noproof\insrsid8676555\charrsid4749112 \hich\af1\dbch\af31501\loch\f1 &lt;/DocAmend&gt;}{\rtlch\fcs1 \af0 \ltrch\fcs0 \insrsid8676555\charrsid4749112 _x000d__x000a_\par }\pard \ltrpar\s20\ql \li0\ri0\keepn\nowidctlpar\wrapdefault\aspalpha\aspnum\faauto\adjustright\rin0\lin0\itap0\pararsid8676555 {\rtlch\fcs1 \af0 \ltrch\fcs0 _x000d__x000a_\cs17\b0\v\fs20\cf9\lang1024\langfe1024\loch\af1\hich\af1\dbch\af31501\noproof\insrsid8676555\charrsid4749112 \hich\af1\dbch\af31501\loch\f1 &lt;Article&gt;}{\rtlch\fcs1 \af0 \ltrch\fcs0 \insrsid8676555\charrsid4749112 #}{\rtlch\fcs1 \af1 \ltrch\fcs0 _x000d__x000a_\cs18\v\f1\fs20\cf15\insrsid8676555\charrsid4749112 MNU[AMACTPARTYES][AMACTPARTNO]@CHOICE@AMACTMNU}{\rtlch\fcs1 \af0 \ltrch\fcs0 \insrsid8676555\charrsid4749112 #}{\rtlch\fcs1 \af0 \ltrch\fcs0 _x000d__x000a_\cs17\b0\v\fs20\cf9\lang1024\langfe1024\loch\af1\hich\af1\dbch\af31501\noproof\insrsid8676555\charrsid4749112 \hich\af1\dbch\af31501\loch\f1 &lt;/Article&gt;}{\rtlch\fcs1 \af0 \ltrch\fcs0 \insrsid8676555\charrsid4749112 _x000d__x000a_\par }\pard\plain \ltrpar\ql \li0\ri0\keepn\widctlpar\wrapdefault\aspalpha\aspnum\faauto\adjustright\rin0\lin0\itap0\pararsid8676555 \rtlch\fcs1 \af0\afs20\alang1025 \ltrch\fcs0 \fs24\lang2057\langfe2057\cgrid\langnp2057\langfenp2057 {\rtlch\fcs1 \af0 _x000d__x000a_\ltrch\fcs0 \cs17\v\fs20\cf9\lang1024\langfe1024\loch\af1\hich\af1\dbch\af31501\noproof\langnp1060\insrsid8676555\charrsid4749112 \hich\af1\dbch\af31501\loch\f1 &lt;DocAmend2&gt;&lt;OptDel&gt;}{\rtlch\fcs1 \af0 \ltrch\fcs0 _x000d__x000a_\lang1060\langfe2057\langnp1060\insrsid8676555\charrsid4749112 #}{\rtlch\fcs1 \af1 \ltrch\fcs0 \cs18\v\f1\fs20\cf15\lang1060\langfe2057\langnp1060\insrsid8676555\charrsid4749112 MNU[OPTNRACTYES][NOTAPP]@CHOICE@AMACTMNU}{\rtlch\fcs1 \af0 \ltrch\fcs0 _x000d__x000a_\lang1060\langfe2057\langnp1060\insrsid8676555\charrsid4749112 #}{\rtlch\fcs1 \af0 \ltrch\fcs0 \cs17\v\fs20\cf9\lang1024\langfe1024\loch\af1\hich\af1\dbch\af31501\noproof\langnp1060\insrsid8676555\charrsid4749112 \hich\af1\dbch\af31501\loch\f1 _x000d__x000a_&lt;/OptDel&gt;&lt;/DocAmend2&gt;}{\rtlch\fcs1 \af0 \ltrch\fcs0 \lang1060\langfe2057\langnp1060\insrsid8676555\charrsid4749112 _x000d__x000a_\par }\pard \ltrpar\ql \li0\ri0\widctlpar\wrapdefault\aspalpha\aspnum\faauto\adjustright\rin0\lin0\itap0\pararsid8676555 {\rtlch\fcs1 \af0 \ltrch\fcs0 _x000d__x000a_\cs17\v\fs20\cf9\lang1024\langfe1024\loch\af1\hich\af1\dbch\af31501\noproof\langnp1060\insrsid8676555\charrsid4749112 \hich\af1\dbch\af31501\loch\f1 &lt;Article2&gt;&lt;OptDel&gt;}{\rtlch\fcs1 \af0 \ltrch\fcs0 _x000d__x000a_\lang1060\langfe2057\langnp1060\insrsid8676555\charrsid4749112 #}{\rtlch\fcs1 \af1 \ltrch\fcs0 \cs18\v\f1\fs20\cf15\lang1060\langfe2057\langnp1060\insrsid8676555\charrsid4749112 MNU[OPTACTPARTYES][NOTAPP]@CHOICE@AMACTMNU}{\rtlch\fcs1 \af0 \ltrch\fcs0 _x000d__x000a_\lang1060\langfe2057\langnp1060\insrsid8676555\charrsid4749112 #}{\rtlch\fcs1 \af0 \ltrch\fcs0 \cs17\v\fs20\cf9\lang1024\langfe1024\loch\af1\hich\af1\dbch\af31501\noproof\langnp1060\insrsid8676555\charrsid4749112 \hich\af1\dbch\af31501\loch\f1 _x000d__x000a_&lt;/OptDel&gt;&lt;/Article2&gt;}{\rtlch\fcs1 \af0 \ltrch\fcs0 \lang1060\langfe2057\langnp1060\insrsid8676555\charrsid474911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8676555\charrsid4749112 \cell }\pard\plain \ltrpar_x000d__x000a_\ql \li0\ri0\widctlpar\intbl\wrapdefault\aspalpha\aspnum\faauto\adjustright\rin0\lin0 \rtlch\fcs1 \af0\afs20\alang1025 \ltrch\fcs0 \fs24\lang2057\langfe2057\cgrid\langnp2057\langfenp2057 {\rtlch\fcs1 \af0 \ltrch\fcs0 _x000d__x000a_\lang1060\langfe2057\langnp1060\insrsid8676555\charrsid4749112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60\langfe2057\cgrid\langnp1060\langfenp2057 {\rtlch\fcs1 \af0 \ltrch\fcs0 _x000d__x000a_\insrsid8676555\charrsid4749112 #}{\rtlch\fcs1 \af1 \ltrch\fcs0 \cs18\v\f1\fs20\cf15\insrsid8676555\charrsid4749112 MNU[OPTLEFTAMACT][LEFTPROP]@CHOICE@AMACTMNU}{\rtlch\fcs1 \af0 \ltrch\fcs0 \insrsid8676555\charrsid4749112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8676555\charrsid4749112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60\langfe2057\cgrid\langnp1060\langfenp2057 {\rtlch\fcs1 \af0 \ltrch\fcs0 \insrsid8676555\charrsid4749112 #}{\rtlch\fcs1 \af1 \ltrch\fcs0 \cs18\v\f1\fs20\cf15\insrsid8676555\charrsid4749112 TEXTMSG}{\rtlch\fcs1 \af0 \ltrch\fcs0 _x000d__x000a_\insrsid8676555\charrsid4749112 #\cell #}{\rtlch\fcs1 \af1 \ltrch\fcs0 \cs18\v\f1\fs20\cf15\insrsid8676555\charrsid4749112 TEXTMSG}{\rtlch\fcs1 \af0 \ltrch\fcs0 \insrsid8676555\charrsid4749112 #}{\rtlch\fcs1 \af0\afs24 \ltrch\fcs0 _x000d__x000a_\insrsid8676555\charrsid4749112 \cell }\pard\plain \ltrpar\ql \li0\ri0\widctlpar\intbl\wrapdefault\aspalpha\aspnum\faauto\adjustright\rin0\lin0 \rtlch\fcs1 \af0\afs20\alang1025 \ltrch\fcs0 \fs24\lang2057\langfe2057\cgrid\langnp2057\langfenp2057 {_x000d__x000a_\rtlch\fcs1 \af0 \ltrch\fcs0 \lang1060\langfe2057\langnp1060\insrsid8676555\charrsid474911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76555 \rtlch\fcs1 \af0\afs20\alang1025 \ltrch\fcs0 \fs24\lang1060\langfe2057\cgrid\langnp1060\langfenp2057 {\rtlch\fcs1 \af0 \ltrch\fcs0 _x000d__x000a_\insrsid8676555\charrsid4749112 Or. }{\rtlch\fcs1 \af0 \ltrch\fcs0 \cs17\v\fs20\cf9\lang1024\langfe1024\loch\af1\hich\af1\dbch\af31501\noproof\insrsid8676555\charrsid4749112 \hich\af1\dbch\af31501\loch\f1 &lt;Original&gt;}{\rtlch\fcs1 \af0 \ltrch\fcs0 _x000d__x000a_\insrsid8676555\charrsid4749112 #}{\rtlch\fcs1 \af1 \ltrch\fcs0 \cs18\v\f1\fs20\cf15\insrsid8676555\charrsid4749112 KEY(MAIN/LANGMIN)sh@ORLANGMSG@}{\rtlch\fcs1 \af0 \ltrch\fcs0 \insrsid8676555\charrsid4749112 #}{\rtlch\fcs1 \af0 \ltrch\fcs0 _x000d__x000a_\cs17\v\fs20\cf9\lang1024\langfe1024\loch\af1\hich\af1\dbch\af31501\noproof\insrsid8676555\charrsid4749112 \hich\af1\dbch\af31501\loch\f1 &lt;/Original&gt;}{\rtlch\fcs1 \af0 \ltrch\fcs0 \insrsid8676555\charrsid4749112 _x000d__x000a_\par }\pard\plain \ltrpar\s22\qc \li0\ri0\sb240\sa240\nowidctlpar\wrapdefault\aspalpha\aspnum\faauto\adjustright\rin0\lin0\itap0\pararsid8676555 \rtlch\fcs1 \af0\afs20\alang1025 \ltrch\fcs0 \i\fs24\lang1060\langfe2057\cgrid\langnp1060\langfenp2057 {_x000d__x000a_\rtlch\fcs1 \af0 \ltrch\fcs0 \cs17\i0\v\fs20\cf9\lang1024\langfe1024\loch\af1\hich\af1\dbch\af31501\noproof\insrsid8676555\charrsid4749112 \hich\af1\dbch\af31501\loch\f1 &lt;OptDel&gt;}{\rtlch\fcs1 \af0 \ltrch\fcs0 \insrsid8676555\charrsid4749112 #}{_x000d__x000a_\rtlch\fcs1 \af1 \ltrch\fcs0 \cs18\v\f1\fs20\cf15\insrsid8676555\charrsid4749112 MNU[CROSSREFNO][CROSSREFYES]@CHOICE@}{\rtlch\fcs1 \af0 \ltrch\fcs0 \insrsid8676555\charrsid4749112 #}{\rtlch\fcs1 \af0 \ltrch\fcs0 _x000d__x000a_\cs17\i0\v\fs20\cf9\lang1024\langfe1024\loch\af1\hich\af1\dbch\af31501\noproof\insrsid8676555\charrsid4749112 \hich\af1\dbch\af31501\loch\f1 &lt;/OptDel&gt;}{\rtlch\fcs1 \af0 \ltrch\fcs0 \insrsid8676555\charrsid4749112 _x000d__x000a_\par }\pard\plain \ltrpar\s23\qc \li0\ri0\sb240\sa240\keepn\nowidctlpar\wrapdefault\aspalpha\aspnum\faauto\adjustright\rin0\lin0\itap0\pararsid8676555 \rtlch\fcs1 \af0\afs20\alang1025 \ltrch\fcs0 \i\fs24\lang1060\langfe2057\cgrid\langnp1060\langfenp2057 {_x000d__x000a_\rtlch\fcs1 \af0 \ltrch\fcs0 \cs17\i0\v\fs20\cf9\lang1024\langfe1024\loch\af1\hich\af1\dbch\af31501\noproof\insrsid8676555\charrsid4749112 \hich\af1\dbch\af31501\loch\f1 &lt;TitreJust&gt;}{\rtlch\fcs1 \af0 \ltrch\fcs0 \insrsid8676555\charrsid4749112 Obrazlo\'9e_x000d__x000a_itev}{\rtlch\fcs1 \af0 \ltrch\fcs0 \cs17\i0\v\fs20\cf9\lang1024\langfe1024\loch\af1\hich\af1\dbch\af31501\noproof\insrsid8676555\charrsid4749112 \hich\af1\dbch\af31501\loch\f1 &lt;/TitreJust&gt;}{\rtlch\fcs1 \af0 \ltrch\fcs0 \insrsid8676555\charrsid4749112 _x000d__x000a__x000d__x000a_\par }\pard\plain \ltrpar\s21\ql \li0\ri0\sa240\nowidctlpar\wrapdefault\aspalpha\aspnum\faauto\adjustright\rin0\lin0\itap0\pararsid8676555 \rtlch\fcs1 \af0\afs20\alang1025 \ltrch\fcs0 \i\fs24\lang1060\langfe2057\cgrid\langnp1060\langfenp2057 {\rtlch\fcs1 \af0 _x000d__x000a_\ltrch\fcs0 \cs17\i0\v\fs20\cf9\lang1024\langfe1024\loch\af1\hich\af1\dbch\af31501\noproof\insrsid8676555\charrsid4749112 \hich\af1\dbch\af31501\loch\f1 &lt;OptDelPrev&gt;}{\rtlch\fcs1 \af0 \ltrch\fcs0 \insrsid8676555\charrsid4749112 #}{\rtlch\fcs1 \af1 _x000d__x000a_\ltrch\fcs0 \cs18\v\f1\fs20\cf15\insrsid8676555\charrsid4749112 MNU[TEXTJUSTYES][TEXTJUSTNO]@CHOICE@}{\rtlch\fcs1 \af0 \ltrch\fcs0 \insrsid8676555\charrsid4749112 #}{\rtlch\fcs1 \af0 \ltrch\fcs0 _x000d__x000a_\cs17\i0\v\fs20\cf9\lang1024\langfe1024\loch\af1\hich\af1\dbch\af31501\noproof\insrsid8676555\charrsid4749112 \hich\af1\dbch\af31501\loch\f1 &lt;/OptDelPrev&gt;}{\rtlch\fcs1 \af0 \ltrch\fcs0 \insrsid8676555\charrsid4749112 _x000d__x000a_\par }\pard\plain \ltrpar\ql \li0\ri0\widctlpar\wrapdefault\aspalpha\aspnum\faauto\adjustright\rin0\lin0\itap0\pararsid8676555 \rtlch\fcs1 \af0\afs20\alang1025 \ltrch\fcs0 \fs24\lang2057\langfe2057\cgrid\langnp2057\langfenp2057 {\rtlch\fcs1 \af0 \ltrch\fcs0 _x000d__x000a_\cs17\v\fs20\cf9\lang1024\langfe1024\loch\af1\hich\af1\dbch\af31501\noproof\langnp1060\insrsid8676555\charrsid47491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4_x000d__x000a_c30c14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AUTHOR" w:val="#TXTNRPE2@NRPE2@#"/>
    <w:docVar w:name="TXTLANGUE" w:val="SL"/>
    <w:docVar w:name="TXTLANGUEMIN" w:val="sl"/>
    <w:docVar w:name="TXTNRC" w:val="#TXTNRPROC@NRPROC@#"/>
    <w:docVar w:name="TXTNRCOM" w:val="(2024)0316"/>
    <w:docVar w:name="TXTNRFIRSTAM" w:val="1 - #TXTNRLASTAM@NRLASTAM@#"/>
    <w:docVar w:name="TXTNRLASTAM" w:val="#TXTAUTHOR@AUTHOR@#"/>
    <w:docVar w:name="TXTNRPE" w:val="766.918"/>
    <w:docVar w:name="TXTNRPE2" w:val="#TXTVERSION2@NRV2@#"/>
    <w:docVar w:name="TXTNRPROC" w:val="2024/0187"/>
    <w:docVar w:name="TXTPE" w:val="766.918"/>
    <w:docVar w:name="TXTPEorAP" w:val="PE"/>
    <w:docVar w:name="TXTROUTE" w:val="AM\1314148SL.docx"/>
    <w:docVar w:name="TXTTITLE" w:val="#TXTNRC@NRC@#"/>
    <w:docVar w:name="TXTVERSION" w:val="02-00"/>
    <w:docVar w:name="TXTVERSION2" w:val="#TXTTITLE@TITLE@#"/>
  </w:docVars>
  <w:rsids>
    <w:rsidRoot w:val="00487738"/>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7738"/>
    <w:rsid w:val="00495E20"/>
    <w:rsid w:val="004E0AAC"/>
    <w:rsid w:val="004E1C4C"/>
    <w:rsid w:val="004F03F0"/>
    <w:rsid w:val="004F2903"/>
    <w:rsid w:val="005246D8"/>
    <w:rsid w:val="00547F73"/>
    <w:rsid w:val="00557617"/>
    <w:rsid w:val="005711DD"/>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16A5A"/>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773C2"/>
    <w:rsid w:val="00D82FCC"/>
    <w:rsid w:val="00D87B31"/>
    <w:rsid w:val="00DB429F"/>
    <w:rsid w:val="00DB65C2"/>
    <w:rsid w:val="00DC4160"/>
    <w:rsid w:val="00DC6A1B"/>
    <w:rsid w:val="00DE672F"/>
    <w:rsid w:val="00E15A86"/>
    <w:rsid w:val="00E25DC5"/>
    <w:rsid w:val="00E27214"/>
    <w:rsid w:val="00E44BB0"/>
    <w:rsid w:val="00E471BE"/>
    <w:rsid w:val="00E57F50"/>
    <w:rsid w:val="00E660E2"/>
    <w:rsid w:val="00EA25AE"/>
    <w:rsid w:val="00EB3A71"/>
    <w:rsid w:val="00EE011D"/>
    <w:rsid w:val="00EE3E0D"/>
    <w:rsid w:val="00EF03A3"/>
    <w:rsid w:val="00EF11AD"/>
    <w:rsid w:val="00F15DAA"/>
    <w:rsid w:val="00F27170"/>
    <w:rsid w:val="00F459F7"/>
    <w:rsid w:val="00F92B49"/>
    <w:rsid w:val="00FA192C"/>
    <w:rsid w:val="00FC1B08"/>
    <w:rsid w:val="00FC5521"/>
    <w:rsid w:val="00FD05BD"/>
    <w:rsid w:val="00FD675F"/>
    <w:rsid w:val="00FE03B4"/>
    <w:rsid w:val="00FE2F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A2F23"/>
  <w15:chartTrackingRefBased/>
  <w15:docId w15:val="{D04D999C-DB76-4A00-A004-EB4DF3FA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FE2F41"/>
    <w:rPr>
      <w:rFonts w:ascii="Arial" w:hAnsi="Arial"/>
      <w:b/>
      <w:i/>
      <w:color w:val="C0C0C0"/>
      <w:sz w:val="22"/>
    </w:rPr>
  </w:style>
  <w:style w:type="paragraph" w:customStyle="1" w:styleId="EPFooterLandscape">
    <w:name w:val="EPFooterLandscape"/>
    <w:rsid w:val="00FE2F41"/>
    <w:pPr>
      <w:widowControl w:val="0"/>
      <w:tabs>
        <w:tab w:val="center" w:pos="6800"/>
        <w:tab w:val="right" w:pos="15020"/>
      </w:tabs>
    </w:pPr>
    <w:rPr>
      <w:sz w:val="22"/>
      <w:lang w:eastAsia="en-US"/>
    </w:rPr>
  </w:style>
  <w:style w:type="paragraph" w:customStyle="1" w:styleId="Normal0">
    <w:name w:val="Normal0"/>
    <w:basedOn w:val="Normal"/>
    <w:rsid w:val="00FE2F41"/>
    <w:rPr>
      <w:sz w:val="0"/>
      <w:szCs w:val="24"/>
      <w:lang w:eastAsia="en-US"/>
    </w:rPr>
  </w:style>
  <w:style w:type="paragraph" w:customStyle="1" w:styleId="EPFooter2Landscape">
    <w:name w:val="EPFooter2Landscape"/>
    <w:rsid w:val="00FE2F41"/>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FE2F41"/>
    <w:rPr>
      <w:rFonts w:ascii="Arial" w:hAnsi="Arial"/>
      <w:b w:val="0"/>
      <w:i/>
      <w:color w:val="AEAAAA"/>
      <w:sz w:val="22"/>
      <w:shd w:val="pct50" w:color="auto" w:fill="auto"/>
    </w:rPr>
  </w:style>
  <w:style w:type="paragraph" w:customStyle="1" w:styleId="PMissingStyle">
    <w:name w:val="P_MissingStyle"/>
    <w:basedOn w:val="Normal"/>
    <w:rsid w:val="00FE2F41"/>
    <w:rPr>
      <w:color w:val="FFFFFF"/>
      <w:szCs w:val="24"/>
      <w:shd w:val="clear" w:color="000000" w:fill="000000"/>
      <w:lang w:eastAsia="en-US"/>
    </w:rPr>
  </w:style>
  <w:style w:type="character" w:customStyle="1" w:styleId="CMissingStyle">
    <w:name w:val="C_MissingStyle"/>
    <w:rsid w:val="00FE2F41"/>
    <w:rPr>
      <w:color w:val="FFFFFF"/>
      <w:sz w:val="22"/>
      <w:shd w:val="clear" w:color="000000" w:fill="000000"/>
    </w:rPr>
  </w:style>
  <w:style w:type="paragraph" w:customStyle="1" w:styleId="Normal12a">
    <w:name w:val="Normal12a"/>
    <w:basedOn w:val="Normal"/>
    <w:rsid w:val="00FE2F41"/>
    <w:pPr>
      <w:spacing w:after="240"/>
    </w:pPr>
    <w:rPr>
      <w:szCs w:val="24"/>
      <w:lang w:eastAsia="en-US"/>
    </w:rPr>
  </w:style>
  <w:style w:type="paragraph" w:customStyle="1" w:styleId="Normal6">
    <w:name w:val="Normal6"/>
    <w:basedOn w:val="Normal"/>
    <w:link w:val="Normal6Char"/>
    <w:rsid w:val="00FE2F41"/>
    <w:pPr>
      <w:spacing w:after="120"/>
    </w:pPr>
  </w:style>
  <w:style w:type="paragraph" w:customStyle="1" w:styleId="Normal12Italic">
    <w:name w:val="Normal12Italic"/>
    <w:basedOn w:val="Normal"/>
    <w:rsid w:val="00FE2F41"/>
    <w:pPr>
      <w:spacing w:after="240"/>
    </w:pPr>
    <w:rPr>
      <w:i/>
      <w:noProof/>
    </w:rPr>
  </w:style>
  <w:style w:type="character" w:customStyle="1" w:styleId="NormalBoldChar">
    <w:name w:val="NormalBold Char"/>
    <w:basedOn w:val="DefaultParagraphFont"/>
    <w:link w:val="NormalBold"/>
    <w:rsid w:val="00FE2F41"/>
    <w:rPr>
      <w:b/>
      <w:sz w:val="24"/>
      <w:lang w:val="sl-SI"/>
    </w:rPr>
  </w:style>
  <w:style w:type="character" w:customStyle="1" w:styleId="Normal6Char">
    <w:name w:val="Normal6 Char"/>
    <w:basedOn w:val="DefaultParagraphFont"/>
    <w:link w:val="Normal6"/>
    <w:rsid w:val="00FE2F41"/>
    <w:rPr>
      <w:sz w:val="24"/>
      <w:lang w:val="sl-SI"/>
    </w:rPr>
  </w:style>
  <w:style w:type="paragraph" w:customStyle="1" w:styleId="ColumnHeading">
    <w:name w:val="ColumnHeading"/>
    <w:basedOn w:val="Normal"/>
    <w:rsid w:val="00FE2F41"/>
    <w:pPr>
      <w:spacing w:after="240"/>
      <w:jc w:val="center"/>
    </w:pPr>
    <w:rPr>
      <w:i/>
    </w:rPr>
  </w:style>
  <w:style w:type="paragraph" w:customStyle="1" w:styleId="AMNumberTabs0">
    <w:name w:val="AMNumberTabs"/>
    <w:basedOn w:val="Normal"/>
    <w:rsid w:val="00FE2F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E2F41"/>
    <w:pPr>
      <w:jc w:val="right"/>
    </w:pPr>
  </w:style>
  <w:style w:type="paragraph" w:customStyle="1" w:styleId="JustificationTitle">
    <w:name w:val="JustificationTitle"/>
    <w:basedOn w:val="Normal"/>
    <w:next w:val="Normal"/>
    <w:rsid w:val="00FE2F41"/>
    <w:pPr>
      <w:keepNext/>
      <w:spacing w:before="240" w:after="240"/>
      <w:jc w:val="center"/>
    </w:pPr>
    <w:rPr>
      <w:i/>
      <w:noProof/>
    </w:rPr>
  </w:style>
  <w:style w:type="paragraph" w:styleId="BalloonText">
    <w:name w:val="Balloon Text"/>
    <w:basedOn w:val="Normal"/>
    <w:link w:val="BalloonTextChar"/>
    <w:semiHidden/>
    <w:unhideWhenUsed/>
    <w:rsid w:val="00FE2F41"/>
    <w:rPr>
      <w:rFonts w:ascii="Segoe UI" w:hAnsi="Segoe UI" w:cs="Segoe UI"/>
      <w:sz w:val="18"/>
      <w:szCs w:val="18"/>
      <w:lang w:eastAsia="en-US"/>
    </w:rPr>
  </w:style>
  <w:style w:type="character" w:customStyle="1" w:styleId="BalloonTextChar">
    <w:name w:val="Balloon Text Char"/>
    <w:basedOn w:val="DefaultParagraphFont"/>
    <w:link w:val="BalloonText"/>
    <w:semiHidden/>
    <w:rsid w:val="00FE2F41"/>
    <w:rPr>
      <w:rFonts w:ascii="Segoe UI" w:hAnsi="Segoe UI" w:cs="Segoe UI"/>
      <w:sz w:val="18"/>
      <w:szCs w:val="18"/>
      <w:lang w:eastAsia="en-US"/>
    </w:rPr>
  </w:style>
  <w:style w:type="paragraph" w:styleId="Footer">
    <w:name w:val="footer"/>
    <w:basedOn w:val="Normal"/>
    <w:link w:val="FooterChar"/>
    <w:semiHidden/>
    <w:unhideWhenUsed/>
    <w:rsid w:val="00FE2F41"/>
    <w:pPr>
      <w:tabs>
        <w:tab w:val="center" w:pos="4513"/>
        <w:tab w:val="right" w:pos="9026"/>
      </w:tabs>
    </w:pPr>
    <w:rPr>
      <w:szCs w:val="24"/>
      <w:lang w:eastAsia="en-US"/>
    </w:rPr>
  </w:style>
  <w:style w:type="character" w:customStyle="1" w:styleId="FooterChar">
    <w:name w:val="Footer Char"/>
    <w:basedOn w:val="DefaultParagraphFont"/>
    <w:link w:val="Footer"/>
    <w:semiHidden/>
    <w:rsid w:val="00FE2F41"/>
    <w:rPr>
      <w:sz w:val="24"/>
      <w:szCs w:val="24"/>
      <w:lang w:eastAsia="en-US"/>
    </w:rPr>
  </w:style>
  <w:style w:type="character" w:styleId="CommentReference">
    <w:name w:val="annotation reference"/>
    <w:basedOn w:val="DefaultParagraphFont"/>
    <w:unhideWhenUsed/>
    <w:rsid w:val="00FE2F41"/>
    <w:rPr>
      <w:sz w:val="16"/>
      <w:szCs w:val="16"/>
    </w:rPr>
  </w:style>
  <w:style w:type="paragraph" w:styleId="CommentText">
    <w:name w:val="annotation text"/>
    <w:basedOn w:val="Normal"/>
    <w:link w:val="CommentTextChar"/>
    <w:unhideWhenUsed/>
    <w:rsid w:val="00FE2F41"/>
    <w:rPr>
      <w:sz w:val="20"/>
      <w:lang w:eastAsia="en-US"/>
    </w:rPr>
  </w:style>
  <w:style w:type="character" w:customStyle="1" w:styleId="CommentTextChar">
    <w:name w:val="Comment Text Char"/>
    <w:basedOn w:val="DefaultParagraphFont"/>
    <w:link w:val="CommentText"/>
    <w:rsid w:val="00FE2F41"/>
    <w:rPr>
      <w:lang w:eastAsia="en-US"/>
    </w:rPr>
  </w:style>
  <w:style w:type="paragraph" w:styleId="CommentSubject">
    <w:name w:val="annotation subject"/>
    <w:basedOn w:val="CommentText"/>
    <w:next w:val="CommentText"/>
    <w:link w:val="CommentSubjectChar"/>
    <w:semiHidden/>
    <w:unhideWhenUsed/>
    <w:rsid w:val="00FE2F41"/>
    <w:rPr>
      <w:b/>
      <w:bCs/>
    </w:rPr>
  </w:style>
  <w:style w:type="character" w:customStyle="1" w:styleId="CommentSubjectChar">
    <w:name w:val="Comment Subject Char"/>
    <w:basedOn w:val="CommentTextChar"/>
    <w:link w:val="CommentSubject"/>
    <w:semiHidden/>
    <w:rsid w:val="00FE2F4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5306</Words>
  <Characters>31765</Characters>
  <Application>Microsoft Office Word</Application>
  <DocSecurity>0</DocSecurity>
  <Lines>1278</Lines>
  <Paragraphs>459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2025-02-14T09:00:00Z</dcterms:created>
  <dcterms:modified xsi:type="dcterms:W3CDTF">2025-02-14T09:00:00Z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\\eiciLUXpr1\pdocep$\DocEP\TRANSFIL\SL\AM_Com_LegReport.SL(16/08/2024 15:58:10)</vt:lpwstr>
  </property>
  <property fmtid="{D5CDD505-2E9C-101B-9397-08002B2CF9AE}" pid="7" name="&lt;Type&gt;">
    <vt:lpwstr>AM</vt:lpwstr>
  </property>
  <property fmtid="{D5CDD505-2E9C-101B-9397-08002B2CF9AE}" pid="8" name="Bookout">
    <vt:lpwstr>OK - 2025/02/14 10:00</vt:lpwstr>
  </property>
  <property fmtid="{D5CDD505-2E9C-101B-9397-08002B2CF9AE}" pid="9" name="Created with">
    <vt:lpwstr>10.0.1 Build [20250114]</vt:lpwstr>
  </property>
  <property fmtid="{D5CDD505-2E9C-101B-9397-08002B2CF9AE}" pid="10" name="FooterPath">
    <vt:lpwstr>AM\1314148SL.docx</vt:lpwstr>
  </property>
  <property fmtid="{D5CDD505-2E9C-101B-9397-08002B2CF9AE}" pid="11" name="LastEdited with">
    <vt:lpwstr>10.0.1 Build [20250114]</vt:lpwstr>
  </property>
  <property fmtid="{D5CDD505-2E9C-101B-9397-08002B2CF9AE}" pid="12" name="PE number">
    <vt:lpwstr>766.918</vt:lpwstr>
  </property>
  <property fmtid="{D5CDD505-2E9C-101B-9397-08002B2CF9AE}" pid="13" name="SDLStudio">
    <vt:lpwstr/>
  </property>
</Properties>
</file>