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C254A">
        <w:trPr>
          <w:trHeight w:hRule="exact" w:val="1417"/>
          <w:jc w:val="center"/>
        </w:trPr>
        <w:tc>
          <w:tcPr>
            <w:tcW w:w="6804" w:type="dxa"/>
            <w:tcBorders>
              <w:top w:val="nil"/>
              <w:left w:val="nil"/>
              <w:bottom w:val="nil"/>
              <w:right w:val="nil"/>
            </w:tcBorders>
            <w:vAlign w:val="center"/>
          </w:tcPr>
          <w:p w:rsidR="00BC254A" w:rsidRDefault="007914A5">
            <w:pPr>
              <w:pStyle w:val="EPName"/>
            </w:pPr>
            <w:r>
              <w:t>Europäisches Parlament</w:t>
            </w:r>
          </w:p>
          <w:p w:rsidR="00BC254A" w:rsidRDefault="007914A5">
            <w:pPr>
              <w:pStyle w:val="EPTerm"/>
            </w:pPr>
            <w:r>
              <w:t>2024-2029</w:t>
            </w:r>
          </w:p>
        </w:tc>
        <w:tc>
          <w:tcPr>
            <w:tcW w:w="2268" w:type="dxa"/>
            <w:tcBorders>
              <w:top w:val="nil"/>
              <w:left w:val="nil"/>
              <w:bottom w:val="nil"/>
              <w:right w:val="nil"/>
            </w:tcBorders>
          </w:tcPr>
          <w:p w:rsidR="00BC254A" w:rsidRDefault="00EA2B4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BC254A" w:rsidRDefault="007914A5">
      <w:pPr>
        <w:pStyle w:val="LineTop"/>
      </w:pPr>
      <w:r>
        <w:t xml:space="preserve"> </w:t>
      </w:r>
    </w:p>
    <w:p w:rsidR="00BC254A" w:rsidRDefault="007914A5">
      <w:pPr>
        <w:pStyle w:val="EPBody"/>
      </w:pPr>
      <w:r>
        <w:rPr>
          <w:rStyle w:val="HideTWBExt"/>
        </w:rPr>
        <w:t>&lt;Commission&gt;</w:t>
      </w:r>
      <w:r>
        <w:rPr>
          <w:rStyle w:val="HideTWBInt"/>
        </w:rPr>
        <w:t>{LIBE}</w:t>
      </w:r>
      <w:r>
        <w:t>Ausschuss für bürgerliche Freiheiten, Justiz und Inneres</w:t>
      </w:r>
      <w:r>
        <w:rPr>
          <w:rStyle w:val="HideTWBExt"/>
        </w:rPr>
        <w:t>&lt;/Commission&gt;</w:t>
      </w:r>
    </w:p>
    <w:p w:rsidR="00BC254A" w:rsidRDefault="007914A5">
      <w:pPr>
        <w:pStyle w:val="LineBottom"/>
      </w:pPr>
      <w:r>
        <w:t xml:space="preserve"> </w:t>
      </w:r>
    </w:p>
    <w:p w:rsidR="00BC254A" w:rsidRDefault="007914A5">
      <w:pPr>
        <w:pStyle w:val="CoverReference"/>
      </w:pPr>
      <w:r>
        <w:rPr>
          <w:rStyle w:val="HideTWBExt"/>
        </w:rPr>
        <w:t>&lt;RefProc&gt;</w:t>
      </w:r>
      <w:r>
        <w:t>2023/0404</w:t>
      </w:r>
      <w:r>
        <w:rPr>
          <w:rStyle w:val="HideTWBExt"/>
        </w:rPr>
        <w:t>&lt;/RefProc&gt;&lt;RefTypeProc&gt;</w:t>
      </w:r>
      <w:r>
        <w:t>(COD)</w:t>
      </w:r>
      <w:r>
        <w:rPr>
          <w:rStyle w:val="HideTWBExt"/>
        </w:rPr>
        <w:t>&lt;/RefTypeProc&gt;</w:t>
      </w:r>
    </w:p>
    <w:p w:rsidR="00BC254A" w:rsidRDefault="007914A5">
      <w:pPr>
        <w:pStyle w:val="CoverDate"/>
      </w:pPr>
      <w:r>
        <w:rPr>
          <w:rStyle w:val="HideTWBExt"/>
        </w:rPr>
        <w:t>&lt;Date&gt;</w:t>
      </w:r>
      <w:r>
        <w:rPr>
          <w:rStyle w:val="HideTWBInt"/>
        </w:rPr>
        <w:t>{29/01/2025}</w:t>
      </w:r>
      <w:r>
        <w:t>29.1.2025</w:t>
      </w:r>
      <w:r>
        <w:rPr>
          <w:rStyle w:val="HideTWBExt"/>
        </w:rPr>
        <w:t>&lt;/Date&gt;</w:t>
      </w:r>
    </w:p>
    <w:p w:rsidR="00BC254A" w:rsidRDefault="007914A5">
      <w:pPr>
        <w:pStyle w:val="CoverDocType"/>
      </w:pPr>
      <w:r>
        <w:rPr>
          <w:rStyle w:val="HideTWBExt"/>
        </w:rPr>
        <w:t>&lt;TypeAM&gt;</w:t>
      </w:r>
      <w:r>
        <w:t>ÄNDERUNGSANTRÄGE</w:t>
      </w:r>
      <w:r>
        <w:rPr>
          <w:rStyle w:val="HideTWBExt"/>
        </w:rPr>
        <w:t>&lt;/TypeAM&gt;</w:t>
      </w:r>
    </w:p>
    <w:p w:rsidR="00BC254A" w:rsidRDefault="007914A5">
      <w:pPr>
        <w:pStyle w:val="CoverDocType24a"/>
      </w:pPr>
      <w:r>
        <w:rPr>
          <w:rStyle w:val="HideTWBExt"/>
        </w:rPr>
        <w:t>&lt;RangeAM&gt;</w:t>
      </w:r>
      <w:r>
        <w:t>112 - 361</w:t>
      </w:r>
      <w:r>
        <w:rPr>
          <w:rStyle w:val="HideTWBExt"/>
        </w:rPr>
        <w:t>&lt;/RangeAM&gt;</w:t>
      </w:r>
    </w:p>
    <w:p w:rsidR="00BC254A" w:rsidRDefault="007914A5">
      <w:pPr>
        <w:pStyle w:val="CoverBold"/>
      </w:pPr>
      <w:r>
        <w:rPr>
          <w:rStyle w:val="HideTWBExt"/>
        </w:rPr>
        <w:t>&lt;TitreType&gt;</w:t>
      </w:r>
      <w:r>
        <w:t>Entwurf eines Berichts</w:t>
      </w:r>
      <w:r>
        <w:rPr>
          <w:rStyle w:val="HideTWBExt"/>
        </w:rPr>
        <w:t>&lt;/TitreType&gt;</w:t>
      </w:r>
    </w:p>
    <w:p w:rsidR="00BC254A" w:rsidRDefault="007914A5">
      <w:pPr>
        <w:pStyle w:val="CoverBold"/>
      </w:pPr>
      <w:r>
        <w:rPr>
          <w:rStyle w:val="HideTWBExt"/>
        </w:rPr>
        <w:t>&lt;Rapporteur&gt;</w:t>
      </w:r>
      <w:r>
        <w:t>Abir Al-Sahlani</w:t>
      </w:r>
      <w:r>
        <w:rPr>
          <w:rStyle w:val="HideTWBExt"/>
        </w:rPr>
        <w:t>&lt;/Rapporteur&gt;</w:t>
      </w:r>
    </w:p>
    <w:p w:rsidR="00BC254A" w:rsidRDefault="007914A5">
      <w:pPr>
        <w:pStyle w:val="CoverNormal24a"/>
      </w:pPr>
      <w:r>
        <w:rPr>
          <w:rStyle w:val="HideTWBExt"/>
        </w:rPr>
        <w:t>&lt;DocRefPE&gt;</w:t>
      </w:r>
      <w:r>
        <w:t>(PE766.973v01-00)</w:t>
      </w:r>
      <w:r>
        <w:rPr>
          <w:rStyle w:val="HideTWBExt"/>
        </w:rPr>
        <w:t>&lt;/DocRefPE&gt;</w:t>
      </w:r>
    </w:p>
    <w:p w:rsidR="00BC254A" w:rsidRDefault="007914A5">
      <w:pPr>
        <w:pStyle w:val="CoverNormal24a"/>
      </w:pPr>
      <w:r>
        <w:rPr>
          <w:rStyle w:val="HideTWBExt"/>
        </w:rPr>
        <w:t>&lt;Titre&gt;</w:t>
      </w:r>
      <w:r>
        <w:t>Einrichtung eines EU-Talentpools</w:t>
      </w:r>
      <w:r>
        <w:rPr>
          <w:rStyle w:val="HideTWBExt"/>
        </w:rPr>
        <w:t>&lt;/Titre&gt;</w:t>
      </w:r>
    </w:p>
    <w:p w:rsidR="00BC254A" w:rsidRDefault="007914A5">
      <w:pPr>
        <w:pStyle w:val="CoverNormal"/>
      </w:pPr>
      <w:r>
        <w:rPr>
          <w:rStyle w:val="HideTWBExt"/>
        </w:rPr>
        <w:t>&lt;DocAmend&gt;</w:t>
      </w:r>
      <w:r>
        <w:t>Vorschlag für eine Verordnung</w:t>
      </w:r>
      <w:r>
        <w:rPr>
          <w:rStyle w:val="HideTWBExt"/>
        </w:rPr>
        <w:t>&lt;/DocAmend&gt;</w:t>
      </w:r>
    </w:p>
    <w:p w:rsidR="00BC254A" w:rsidRDefault="007914A5">
      <w:pPr>
        <w:pStyle w:val="CoverNormal24a"/>
      </w:pPr>
      <w:r>
        <w:rPr>
          <w:rStyle w:val="HideTWBExt"/>
        </w:rPr>
        <w:t>&lt;DocRef&gt;</w:t>
      </w:r>
      <w:r>
        <w:t>(COM(2023)0716 – C9-0413/2023 – 2023/0404(COD))</w:t>
      </w:r>
      <w:r>
        <w:rPr>
          <w:rStyle w:val="HideTWBExt"/>
        </w:rPr>
        <w:t>&lt;/DocRef&gt;</w:t>
      </w:r>
    </w:p>
    <w:p w:rsidR="00BC254A" w:rsidRDefault="007914A5">
      <w:r>
        <w:br w:type="page"/>
      </w:r>
      <w:r>
        <w:lastRenderedPageBreak/>
        <w:t>AM_Com_LegReport</w:t>
      </w:r>
    </w:p>
    <w:p w:rsidR="00BC254A" w:rsidRDefault="007914A5">
      <w:pPr>
        <w:pStyle w:val="AmNumberTabs"/>
      </w:pPr>
      <w:r>
        <w:br w:type="page"/>
      </w:r>
      <w:r>
        <w:rPr>
          <w:rStyle w:val="HideTWBExt"/>
        </w:rPr>
        <w:lastRenderedPageBreak/>
        <w:t>&lt;RepeatBlock-AmendA&gt;&lt;AmendA&gt;</w:t>
      </w:r>
      <w:r>
        <w:t>Änderungsantrag</w:t>
      </w:r>
      <w:r>
        <w:tab/>
      </w:r>
      <w:r>
        <w:tab/>
      </w:r>
      <w:r>
        <w:rPr>
          <w:rStyle w:val="HideTWBExt"/>
        </w:rPr>
        <w:t>&lt;NumAmA&gt;</w:t>
      </w:r>
      <w:r>
        <w:t>112</w:t>
      </w:r>
      <w:r>
        <w:rPr>
          <w:rStyle w:val="HideTWBExt"/>
        </w:rPr>
        <w:t>&lt;/NumAmA&gt;</w:t>
      </w:r>
    </w:p>
    <w:p w:rsidR="00BC254A" w:rsidRDefault="007914A5">
      <w:pPr>
        <w:pStyle w:val="NormalBold"/>
      </w:pPr>
      <w:r>
        <w:rPr>
          <w:rStyle w:val="HideTWBExt"/>
          <w:b w:val="0"/>
        </w:rPr>
        <w:t>&lt;RepeatBlock-By&gt;&lt;Members&gt;</w:t>
      </w:r>
      <w:r>
        <w:t>Tom Vandendriessche, Petra Steger, Jaroslav Bžoch, Fabrice Leggeri, A</w:t>
      </w:r>
      <w:r>
        <w:t>ntónio Tânger Corrêa, Jorge Buxadé Villalba, Marieke Ehlers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Entwurf einer legislativen Entschließung</w:t>
      </w:r>
      <w:r>
        <w:rPr>
          <w:rStyle w:val="HideTWBExt"/>
        </w:rPr>
        <w:t>&lt;/DocAmend&gt;</w:t>
      </w:r>
    </w:p>
    <w:p w:rsidR="00BC254A" w:rsidRDefault="007914A5">
      <w:pPr>
        <w:pStyle w:val="NormalBold"/>
      </w:pPr>
      <w:r>
        <w:rPr>
          <w:rStyle w:val="HideTWBExt"/>
        </w:rPr>
        <w:t>&lt;Article&gt;</w:t>
      </w:r>
      <w:r>
        <w:t>Bezugsvermerk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Entwurf einer legislativen Entschließung</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w:t>
            </w:r>
            <w:r>
              <w:tab/>
            </w:r>
            <w:r>
              <w:rPr>
                <w:b/>
                <w:i/>
              </w:rPr>
              <w:t>unter Hinweis auf Artikel 79 Absatz 5 des Vertrags über die Arbeitsweise der Europäischen Union,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&lt;/AmendA&gt;</w:t>
      </w:r>
    </w:p>
    <w:p w:rsidR="00BC254A" w:rsidRDefault="007914A5">
      <w:pPr>
        <w:pStyle w:val="AmNumberTabs"/>
      </w:pPr>
      <w:r>
        <w:rPr>
          <w:rStyle w:val="HideTWBExt"/>
        </w:rPr>
        <w:t>&lt;AmendA&gt;</w:t>
      </w:r>
      <w:r>
        <w:t>Änderungsantrag</w:t>
      </w:r>
      <w:r>
        <w:tab/>
      </w:r>
      <w:r>
        <w:tab/>
      </w:r>
      <w:r>
        <w:rPr>
          <w:rStyle w:val="HideTWBExt"/>
        </w:rPr>
        <w:t>&lt;NumAmA&gt;</w:t>
      </w:r>
      <w:r>
        <w:t>113</w:t>
      </w:r>
      <w:r>
        <w:rPr>
          <w:rStyle w:val="HideTWBExt"/>
        </w:rPr>
        <w:t>&lt;/NumAmA&gt;</w:t>
      </w:r>
    </w:p>
    <w:p w:rsidR="00BC254A" w:rsidRDefault="007914A5">
      <w:pPr>
        <w:pStyle w:val="NormalBold"/>
      </w:pPr>
      <w:r>
        <w:rPr>
          <w:rStyle w:val="HideTWBExt"/>
          <w:b w:val="0"/>
        </w:rPr>
        <w:t>&lt;RepeatBlock-By&gt;&lt;Members&gt;</w:t>
      </w:r>
      <w:r>
        <w:t xml:space="preserve">Tom Vandendriessche, Petra Steger, Jaroslav </w:t>
      </w:r>
      <w:r>
        <w:t>Bžoch, Fabrice Leggeri, António Tânger Corrêa, Jorge Buxadé Villalba, Marieke Ehlers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Entwurf einer legislativen Entschließung</w:t>
      </w:r>
      <w:r>
        <w:rPr>
          <w:rStyle w:val="HideTWBExt"/>
        </w:rPr>
        <w:t>&lt;/DocAmend&gt;</w:t>
      </w:r>
    </w:p>
    <w:p w:rsidR="00BC254A" w:rsidRDefault="007914A5">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Entwurf einer legislativen Entschließung</w:t>
            </w:r>
          </w:p>
        </w:tc>
        <w:tc>
          <w:tcPr>
            <w:tcW w:w="4876" w:type="dxa"/>
            <w:tcBorders>
              <w:top w:val="nil"/>
              <w:left w:val="nil"/>
              <w:bottom w:val="nil"/>
              <w:right w:val="nil"/>
            </w:tcBorders>
          </w:tcPr>
          <w:p w:rsidR="00BC254A" w:rsidRDefault="007914A5">
            <w:pPr>
              <w:pStyle w:val="AmColumnHeading"/>
            </w:pPr>
            <w:r>
              <w:t>Geänderter</w:t>
            </w:r>
            <w:r>
              <w:t xml:space="preserve"> Text</w:t>
            </w:r>
          </w:p>
        </w:tc>
      </w:tr>
      <w:tr w:rsidR="00BC254A">
        <w:trPr>
          <w:jc w:val="center"/>
        </w:trPr>
        <w:tc>
          <w:tcPr>
            <w:tcW w:w="4876" w:type="dxa"/>
            <w:tcBorders>
              <w:top w:val="nil"/>
              <w:left w:val="nil"/>
              <w:bottom w:val="nil"/>
              <w:right w:val="nil"/>
            </w:tcBorders>
          </w:tcPr>
          <w:p w:rsidR="00BC254A" w:rsidRDefault="007914A5">
            <w:pPr>
              <w:pStyle w:val="Normal6a"/>
            </w:pPr>
            <w:r>
              <w:t>1.</w:t>
            </w:r>
            <w:r>
              <w:tab/>
            </w:r>
            <w:r>
              <w:rPr>
                <w:b/>
                <w:i/>
              </w:rPr>
              <w:t>legt den folgenden Standpunkt</w:t>
            </w:r>
            <w:r>
              <w:t xml:space="preserve"> in erster Lesung </w:t>
            </w:r>
            <w:r>
              <w:rPr>
                <w:b/>
                <w:i/>
              </w:rPr>
              <w:t>fest</w:t>
            </w:r>
            <w:r>
              <w:t>;</w:t>
            </w:r>
          </w:p>
        </w:tc>
        <w:tc>
          <w:tcPr>
            <w:tcW w:w="4876" w:type="dxa"/>
            <w:tcBorders>
              <w:top w:val="nil"/>
              <w:left w:val="nil"/>
              <w:bottom w:val="nil"/>
              <w:right w:val="nil"/>
            </w:tcBorders>
          </w:tcPr>
          <w:p w:rsidR="00BC254A" w:rsidRDefault="007914A5">
            <w:pPr>
              <w:pStyle w:val="Normal6a"/>
            </w:pPr>
            <w:r>
              <w:t>1.</w:t>
            </w:r>
            <w:r>
              <w:tab/>
            </w:r>
            <w:r>
              <w:rPr>
                <w:b/>
                <w:i/>
              </w:rPr>
              <w:t>lehnt den Vorschlag der Kommission</w:t>
            </w:r>
            <w:r>
              <w:t xml:space="preserve"> in erster Lesung </w:t>
            </w:r>
            <w:r>
              <w:rPr>
                <w:b/>
                <w:i/>
              </w:rPr>
              <w:t>ab</w:t>
            </w:r>
            <w:r>
              <w: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&lt;/AmendA&gt;</w:t>
      </w:r>
    </w:p>
    <w:p w:rsidR="00BC254A" w:rsidRDefault="007914A5">
      <w:pPr>
        <w:pStyle w:val="AmNumberTabs"/>
      </w:pPr>
      <w:r>
        <w:rPr>
          <w:rStyle w:val="HideTWBExt"/>
        </w:rPr>
        <w:t>&lt;AmendA&gt;</w:t>
      </w:r>
      <w:r>
        <w:t>Änderungsantrag</w:t>
      </w:r>
      <w:r>
        <w:tab/>
      </w:r>
      <w:r>
        <w:tab/>
      </w:r>
      <w:r>
        <w:rPr>
          <w:rStyle w:val="HideTWBExt"/>
        </w:rPr>
        <w:t>&lt;NumAmA&gt;</w:t>
      </w:r>
      <w:r>
        <w:t>114</w:t>
      </w:r>
      <w:r>
        <w:rPr>
          <w:rStyle w:val="HideTWBExt"/>
        </w:rPr>
        <w:t>&lt;/NumAmA&gt;</w:t>
      </w:r>
    </w:p>
    <w:p w:rsidR="00BC254A" w:rsidRDefault="007914A5">
      <w:pPr>
        <w:pStyle w:val="NormalBold"/>
      </w:pPr>
      <w:r>
        <w:rPr>
          <w:rStyle w:val="HideTWBExt"/>
          <w:b w:val="0"/>
        </w:rPr>
        <w:t>&lt;RepeatBlock-By&gt;&lt;Members&gt;</w:t>
      </w:r>
      <w:r>
        <w:t>Charlie Weimers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Entwurf einer legislativen Entschließung</w:t>
      </w:r>
      <w:r>
        <w:rPr>
          <w:rStyle w:val="HideTWBExt"/>
        </w:rPr>
        <w:t>&lt;/DocAmend&gt;</w:t>
      </w:r>
    </w:p>
    <w:p w:rsidR="00BC254A" w:rsidRDefault="007914A5">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Entwurf einer legislativen Entschließung</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w:t>
            </w:r>
            <w:r>
              <w:tab/>
            </w:r>
            <w:r>
              <w:rPr>
                <w:b/>
                <w:i/>
              </w:rPr>
              <w:t>legt den folgenden Standpunkt in erster Lesung fest</w:t>
            </w:r>
            <w:r>
              <w:t>;</w:t>
            </w:r>
          </w:p>
        </w:tc>
        <w:tc>
          <w:tcPr>
            <w:tcW w:w="4876" w:type="dxa"/>
            <w:tcBorders>
              <w:top w:val="nil"/>
              <w:left w:val="nil"/>
              <w:bottom w:val="nil"/>
              <w:right w:val="nil"/>
            </w:tcBorders>
          </w:tcPr>
          <w:p w:rsidR="00BC254A" w:rsidRDefault="007914A5">
            <w:pPr>
              <w:pStyle w:val="Normal6a"/>
            </w:pPr>
            <w:r>
              <w:t>1.</w:t>
            </w:r>
            <w:r>
              <w:tab/>
            </w:r>
            <w:r>
              <w:rPr>
                <w:b/>
                <w:i/>
              </w:rPr>
              <w:t xml:space="preserve">lehnt den </w:t>
            </w:r>
            <w:r>
              <w:rPr>
                <w:b/>
                <w:i/>
              </w:rPr>
              <w:t>Vorschlag in seiner Gesamtheit ab</w:t>
            </w:r>
            <w:r>
              <w:t>;</w:t>
            </w:r>
          </w:p>
        </w:tc>
      </w:tr>
    </w:tbl>
    <w:p w:rsidR="00BC254A" w:rsidRDefault="007914A5">
      <w:pPr>
        <w:pStyle w:val="AmOrLang"/>
      </w:pPr>
      <w:r>
        <w:t xml:space="preserve">Or. </w:t>
      </w:r>
      <w:r>
        <w:rPr>
          <w:rStyle w:val="HideTWBExt"/>
        </w:rPr>
        <w:t>&lt;Original&gt;</w:t>
      </w:r>
      <w:r>
        <w:rPr>
          <w:rStyle w:val="HideTWBInt"/>
        </w:rPr>
        <w:t>{SV}</w:t>
      </w:r>
      <w:r>
        <w:t>sv</w:t>
      </w:r>
      <w:r>
        <w:rPr>
          <w:rStyle w:val="HideTWBExt"/>
        </w:rPr>
        <w:t>&lt;/Original&gt;</w:t>
      </w:r>
    </w:p>
    <w:p w:rsidR="00BC254A" w:rsidRDefault="007914A5">
      <w:r>
        <w:rPr>
          <w:rStyle w:val="HideTWBExt"/>
        </w:rPr>
        <w:t>&lt;/AmendA&gt;</w:t>
      </w:r>
    </w:p>
    <w:p w:rsidR="00BC254A" w:rsidRDefault="007914A5">
      <w:pPr>
        <w:pStyle w:val="AmNumberTabs"/>
      </w:pPr>
      <w:r>
        <w:rPr>
          <w:rStyle w:val="HideTWBExt"/>
        </w:rPr>
        <w:lastRenderedPageBreak/>
        <w:t>&lt;AmendA&gt;</w:t>
      </w:r>
      <w:r>
        <w:t>Änderungsantrag</w:t>
      </w:r>
      <w:r>
        <w:tab/>
      </w:r>
      <w:r>
        <w:tab/>
      </w:r>
      <w:r>
        <w:rPr>
          <w:rStyle w:val="HideTWBExt"/>
        </w:rPr>
        <w:t>&lt;NumAmA&gt;</w:t>
      </w:r>
      <w:r>
        <w:t>115</w:t>
      </w:r>
      <w:r>
        <w:rPr>
          <w:rStyle w:val="HideTWBExt"/>
        </w:rPr>
        <w:t>&lt;/NumAmA&gt;</w:t>
      </w:r>
    </w:p>
    <w:p w:rsidR="00BC254A" w:rsidRDefault="007914A5">
      <w:pPr>
        <w:pStyle w:val="NormalBold"/>
      </w:pPr>
      <w:r>
        <w:rPr>
          <w:rStyle w:val="HideTWBExt"/>
          <w:b w:val="0"/>
        </w:rPr>
        <w:t>&lt;RepeatBlock-By&gt;&lt;Members&gt;</w:t>
      </w:r>
      <w:r>
        <w:t xml:space="preserve">Tom Vandendriessche, Petra Steger, Jaroslav Bžoch, Fabrice Leggeri, António Tânger Corrêa, Jorge Buxadé </w:t>
      </w:r>
      <w:r>
        <w:t>Villalba, Marieke Ehlers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Entwurf einer legislativen Entschließung</w:t>
      </w:r>
      <w:r>
        <w:rPr>
          <w:rStyle w:val="HideTWBExt"/>
        </w:rPr>
        <w:t>&lt;/DocAmend&gt;</w:t>
      </w:r>
    </w:p>
    <w:p w:rsidR="00BC254A" w:rsidRDefault="007914A5">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Entwurf einer legislativen Entschließung</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w:t>
            </w:r>
            <w:r>
              <w:tab/>
              <w:t xml:space="preserve">fordert die Kommission auf, </w:t>
            </w:r>
            <w:r>
              <w:rPr>
                <w:b/>
                <w:i/>
              </w:rPr>
              <w:t>es erneut zu befassen,</w:t>
            </w:r>
            <w:r>
              <w:rPr>
                <w:b/>
                <w:i/>
              </w:rPr>
              <w:t xml:space="preserve"> falls sie ihren Vorschlag ersetzt, entscheidend ändert oder beabsichtigt, ihn entscheidend zu ändern</w:t>
            </w:r>
            <w:r>
              <w:t>;</w:t>
            </w:r>
          </w:p>
        </w:tc>
        <w:tc>
          <w:tcPr>
            <w:tcW w:w="4876" w:type="dxa"/>
            <w:tcBorders>
              <w:top w:val="nil"/>
              <w:left w:val="nil"/>
              <w:bottom w:val="nil"/>
              <w:right w:val="nil"/>
            </w:tcBorders>
          </w:tcPr>
          <w:p w:rsidR="00BC254A" w:rsidRDefault="007914A5">
            <w:pPr>
              <w:pStyle w:val="Normal6a"/>
            </w:pPr>
            <w:r>
              <w:t>2.</w:t>
            </w:r>
            <w:r>
              <w:tab/>
              <w:t xml:space="preserve">fordert die Kommission auf, </w:t>
            </w:r>
            <w:r>
              <w:rPr>
                <w:b/>
                <w:i/>
              </w:rPr>
              <w:t xml:space="preserve">die Zuständigkeiten der Mitgliedstaaten zu achten und daher keinen Legislativvorschlag vorzulegen, mit dem eine </w:t>
            </w:r>
            <w:r>
              <w:rPr>
                <w:b/>
                <w:i/>
              </w:rPr>
              <w:t>Rechtsgrundlage für die Förderung der Einwanderung in die Union geschaffen wird</w:t>
            </w:r>
            <w:r>
              <w: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&lt;/AmendA&gt;</w:t>
      </w:r>
    </w:p>
    <w:p w:rsidR="00BC254A" w:rsidRDefault="007914A5">
      <w:pPr>
        <w:pStyle w:val="AmNumberTabs"/>
      </w:pPr>
      <w:r>
        <w:rPr>
          <w:rStyle w:val="HideTWBExt"/>
        </w:rPr>
        <w:t>&lt;/RepeatBlock-AmendA&gt;&lt;RepeatBlock-AmendB&gt;&lt;AmendB&gt;</w:t>
      </w:r>
      <w:r>
        <w:t>Änderungsantrag</w:t>
      </w:r>
      <w:r>
        <w:tab/>
      </w:r>
      <w:r>
        <w:tab/>
      </w:r>
      <w:r>
        <w:rPr>
          <w:rStyle w:val="HideTWBExt"/>
        </w:rPr>
        <w:t>&lt;NumAmB&gt;</w:t>
      </w:r>
      <w:r>
        <w:t>116</w:t>
      </w:r>
      <w:r>
        <w:rPr>
          <w:rStyle w:val="HideTWBExt"/>
        </w:rPr>
        <w:t>&lt;/NumAmB&gt;</w:t>
      </w:r>
    </w:p>
    <w:p w:rsidR="00BC254A" w:rsidRDefault="007914A5">
      <w:pPr>
        <w:pStyle w:val="NormalBold"/>
      </w:pPr>
      <w:r>
        <w:rPr>
          <w:rStyle w:val="HideTWBExt"/>
          <w:b w:val="0"/>
        </w:rPr>
        <w:t>&lt;RepeatBlock-By&gt;&lt;Members&gt;</w:t>
      </w:r>
      <w:r>
        <w:t>Charlie Weimers</w:t>
      </w:r>
      <w:r>
        <w:rPr>
          <w:rStyle w:val="HideTWBExt"/>
          <w:b w:val="0"/>
        </w:rPr>
        <w:t>&lt;/Mem</w:t>
      </w:r>
      <w:r>
        <w:rPr>
          <w:rStyle w:val="HideTWBExt"/>
          <w:b w:val="0"/>
        </w:rPr>
        <w:t>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rPr>
                <w:b/>
                <w:i/>
              </w:rPr>
              <w:t>(1)</w:t>
            </w:r>
            <w:r>
              <w:tab/>
            </w:r>
            <w:r>
              <w:rPr>
                <w:b/>
                <w:i/>
              </w:rPr>
              <w:t xml:space="preserve">Die Union und einzelne Mitgliedstaaten sind in einer Vielzahl von Branchen und Berufen mit einem </w:t>
            </w:r>
            <w:r>
              <w:rPr>
                <w:b/>
                <w:i/>
              </w:rPr>
              <w:t>Arbeitskräftemangel konfrontiert, auch in denjenigen, die für den ökologischen und den digitalen Wandel relevant sind.</w:t>
            </w:r>
            <w:r>
              <w:t xml:space="preserve"> </w:t>
            </w:r>
            <w:r>
              <w:rPr>
                <w:b/>
                <w:i/>
              </w:rPr>
              <w:t>Erhebliche Engpässe im Bauwesen, in der Gesundheitsversorgung, im Gastgewerbe, im Verkehr, in der Informations- und Kommunikationstechnol</w:t>
            </w:r>
            <w:r>
              <w:rPr>
                <w:b/>
                <w:i/>
              </w:rPr>
              <w:t>ogie sowie in den Bereichen Wissenschaftstechnik, Ingenieurwesen und Mathematik bestehen seit Langem und sind durch die COVID-19-Pandemie und die Beschleunigung des ökologischen und digitalen Wandels noch verschärft worden.</w:t>
            </w:r>
            <w:r>
              <w:t xml:space="preserve"> </w:t>
            </w:r>
            <w:r>
              <w:rPr>
                <w:b/>
                <w:i/>
              </w:rPr>
              <w:t>Voraussichtlich wird der Arbeits</w:t>
            </w:r>
            <w:r>
              <w:rPr>
                <w:b/>
                <w:i/>
              </w:rPr>
              <w:t xml:space="preserve">kräftemangel anhalten und sich angesichts der demografischen </w:t>
            </w:r>
            <w:r>
              <w:rPr>
                <w:b/>
                <w:i/>
              </w:rPr>
              <w:lastRenderedPageBreak/>
              <w:t>Herausforderungen möglicherweise weiter verschärfen.</w:t>
            </w:r>
          </w:p>
        </w:tc>
        <w:tc>
          <w:tcPr>
            <w:tcW w:w="4876" w:type="dxa"/>
            <w:tcBorders>
              <w:top w:val="nil"/>
              <w:left w:val="nil"/>
              <w:bottom w:val="nil"/>
              <w:right w:val="nil"/>
            </w:tcBorders>
          </w:tcPr>
          <w:p w:rsidR="00BC254A" w:rsidRDefault="007914A5">
            <w:pPr>
              <w:pStyle w:val="Normal6a"/>
            </w:pPr>
            <w:r>
              <w:rPr>
                <w:b/>
                <w:i/>
              </w:rPr>
              <w:lastRenderedPageBreak/>
              <w:t>entfällt</w:t>
            </w:r>
          </w:p>
        </w:tc>
      </w:tr>
    </w:tbl>
    <w:p w:rsidR="00BC254A" w:rsidRDefault="007914A5">
      <w:pPr>
        <w:pStyle w:val="AmOrLang"/>
      </w:pPr>
      <w:r>
        <w:t xml:space="preserve">Or. </w:t>
      </w:r>
      <w:r>
        <w:rPr>
          <w:rStyle w:val="HideTWBExt"/>
        </w:rPr>
        <w:t>&lt;Original&gt;</w:t>
      </w:r>
      <w:r>
        <w:rPr>
          <w:rStyle w:val="HideTWBInt"/>
        </w:rPr>
        <w:t>{SV}</w:t>
      </w:r>
      <w:r>
        <w:t>sv</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117</w:t>
      </w:r>
      <w:r>
        <w:rPr>
          <w:rStyle w:val="HideTWBExt"/>
        </w:rPr>
        <w:t>&lt;/NumAmB&gt;</w:t>
      </w:r>
    </w:p>
    <w:p w:rsidR="00BC254A" w:rsidRDefault="007914A5">
      <w:pPr>
        <w:pStyle w:val="NormalBold"/>
      </w:pPr>
      <w:r>
        <w:rPr>
          <w:rStyle w:val="HideTWBExt"/>
          <w:b w:val="0"/>
        </w:rPr>
        <w:t>&lt;RepeatBlock-By&gt;&lt;Members&gt;</w:t>
      </w:r>
      <w:r>
        <w:t>Nadine Morano</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w:t>
            </w:r>
            <w:r>
              <w:tab/>
            </w:r>
            <w:r>
              <w:t xml:space="preserve">Die Union und einzelne Mitgliedstaaten sind in einer Vielzahl von Branchen und Berufen mit einem Arbeitskräftemangel konfrontiert, auch in denjenigen, die für den ökologischen und den digitalen Wandel relevant sind. Erhebliche Engpässe im Bauwesen, in der </w:t>
            </w:r>
            <w:r>
              <w:t xml:space="preserve">Gesundheitsversorgung, im Gastgewerbe, im Verkehr, in der Informations- und Kommunikationstechnologie sowie in den Bereichen Wissenschaftstechnik, Ingenieurwesen und Mathematik bestehen seit Langem und sind durch die COVID-19-Pandemie </w:t>
            </w:r>
            <w:r>
              <w:rPr>
                <w:b/>
                <w:i/>
              </w:rPr>
              <w:t>und</w:t>
            </w:r>
            <w:r>
              <w:t xml:space="preserve"> die Beschleunigun</w:t>
            </w:r>
            <w:r>
              <w:t>g des ökologischen und digitalen Wandels noch verschärft worden. Voraussichtlich wird der Arbeitskräftemangel anhalten und sich angesichts der demografischen Herausforderungen möglicherweise weiter verschärfen.</w:t>
            </w:r>
          </w:p>
        </w:tc>
        <w:tc>
          <w:tcPr>
            <w:tcW w:w="4876" w:type="dxa"/>
            <w:tcBorders>
              <w:top w:val="nil"/>
              <w:left w:val="nil"/>
              <w:bottom w:val="nil"/>
              <w:right w:val="nil"/>
            </w:tcBorders>
          </w:tcPr>
          <w:p w:rsidR="00BC254A" w:rsidRDefault="007914A5">
            <w:pPr>
              <w:pStyle w:val="Normal6a"/>
            </w:pPr>
            <w:r>
              <w:t>(1)</w:t>
            </w:r>
            <w:r>
              <w:tab/>
              <w:t>Die Union und einzelne Mitgliedstaaten si</w:t>
            </w:r>
            <w:r>
              <w:t>nd in einer Vielzahl von Branchen und Berufen mit einem Arbeitskräftemangel konfrontiert, auch in denjenigen, die für den ökologischen und den digitalen Wandel relevant sind. Erhebliche Engpässe im Bauwesen, in der Gesundheitsversorgung, im Gastgewerbe, im</w:t>
            </w:r>
            <w:r>
              <w:t xml:space="preserve"> Verkehr, in der Informations- und Kommunikationstechnologie sowie in den Bereichen Wissenschaftstechnik, Ingenieurwesen und Mathematik bestehen seit Langem und sind durch die COVID-19-Pandemie</w:t>
            </w:r>
            <w:r>
              <w:rPr>
                <w:b/>
                <w:i/>
              </w:rPr>
              <w:t>, mangelnde Investitionen in Europa, das Unvermögen, europäisch</w:t>
            </w:r>
            <w:r>
              <w:rPr>
                <w:b/>
                <w:i/>
              </w:rPr>
              <w:t>e Nachwuchskräfte aufgrund der mangelnden Attraktivität der Gehälter in Europa zu halten, sowie</w:t>
            </w:r>
            <w:r>
              <w:t xml:space="preserve"> die Beschleunigung des ökologischen und digitalen Wandels noch verschärft worden. Voraussichtlich wird der Arbeitskräftemangel anhalten und sich angesichts der </w:t>
            </w:r>
            <w:r>
              <w:t xml:space="preserve">demografischen Herausforderungen möglicherweise weiter verschärfen. </w:t>
            </w:r>
            <w:r>
              <w:rPr>
                <w:b/>
                <w:i/>
              </w:rPr>
              <w:t>Es ist darauf hinzuweisen, dass die Europäische Union und die Mitgliedstaaten dazu verpflichtet sind, konkrete Maßnahmen zu ergreifen, um diesem Mangel zu begegnen sowie Maßnahmen zur Stei</w:t>
            </w:r>
            <w:r>
              <w:rPr>
                <w:b/>
                <w:i/>
              </w:rPr>
              <w:t>gerung der Geburtenrate zu fördern, um den Bevölkerungsrückgang zu stoppen.</w:t>
            </w:r>
          </w:p>
        </w:tc>
      </w:tr>
    </w:tbl>
    <w:p w:rsidR="00BC254A" w:rsidRDefault="007914A5">
      <w:pPr>
        <w:pStyle w:val="AmOrLang"/>
      </w:pPr>
      <w:r>
        <w:lastRenderedPageBreak/>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118</w:t>
      </w:r>
      <w:r>
        <w:rPr>
          <w:rStyle w:val="HideTWBExt"/>
        </w:rPr>
        <w:t>&lt;/NumAmB&gt;</w:t>
      </w:r>
    </w:p>
    <w:p w:rsidR="00BC254A" w:rsidRDefault="007914A5">
      <w:pPr>
        <w:pStyle w:val="NormalBold"/>
      </w:pPr>
      <w:r>
        <w:rPr>
          <w:rStyle w:val="HideTWBExt"/>
          <w:b w:val="0"/>
        </w:rPr>
        <w:t>&lt;RepeatBlock-By&gt;&lt;Members&gt;</w:t>
      </w:r>
      <w:r>
        <w:t>Tom Vandendriessche, Petra Steger, Jaroslav Bžoch, Fabrice Leggeri</w:t>
      </w:r>
      <w:r>
        <w:t>, António Tânger Corrêa, Jorge Buxadé Villalba</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w:t>
            </w:r>
            <w:r>
              <w:tab/>
            </w:r>
            <w:r>
              <w:t xml:space="preserve">Die Union und einzelne Mitgliedstaaten sind in einer Vielzahl von Branchen und Berufen mit einem Arbeitskräftemangel konfrontiert, </w:t>
            </w:r>
            <w:r>
              <w:rPr>
                <w:b/>
                <w:i/>
              </w:rPr>
              <w:t>auch in denjenigen, die für den ökologischen und den digitalen Wandel relevant sind.</w:t>
            </w:r>
            <w:r>
              <w:t xml:space="preserve"> </w:t>
            </w:r>
            <w:r>
              <w:rPr>
                <w:b/>
                <w:i/>
              </w:rPr>
              <w:t xml:space="preserve">Erhebliche Engpässe im Bauwesen, in der </w:t>
            </w:r>
            <w:r>
              <w:rPr>
                <w:b/>
                <w:i/>
              </w:rPr>
              <w:t>Gesundheitsversorgung, im Gastgewerbe, im Verkehr, in der Informations- und Kommunikationstechnologie sowie in den Bereichen Wissenschaftstechnik</w:t>
            </w:r>
            <w:r>
              <w:t xml:space="preserve">, </w:t>
            </w:r>
            <w:r>
              <w:rPr>
                <w:b/>
                <w:i/>
              </w:rPr>
              <w:t>Ingenieurwesen und Mathematik bestehen seit Langem und sind durch die COVID-19-Pandemie und die Beschleunigun</w:t>
            </w:r>
            <w:r>
              <w:rPr>
                <w:b/>
                <w:i/>
              </w:rPr>
              <w:t>g des ökologischen und digitalen Wandels noch verschärft worden.</w:t>
            </w:r>
            <w:r>
              <w:t xml:space="preserve"> </w:t>
            </w:r>
            <w:r>
              <w:rPr>
                <w:b/>
                <w:i/>
              </w:rPr>
              <w:t>Voraussichtlich wird der Arbeitskräftemangel anhalten und sich angesichts der demografischen Herausforderungen möglicherweise weiter verschärfen</w:t>
            </w:r>
            <w:r>
              <w:t>.</w:t>
            </w:r>
          </w:p>
        </w:tc>
        <w:tc>
          <w:tcPr>
            <w:tcW w:w="4876" w:type="dxa"/>
            <w:tcBorders>
              <w:top w:val="nil"/>
              <w:left w:val="nil"/>
              <w:bottom w:val="nil"/>
              <w:right w:val="nil"/>
            </w:tcBorders>
          </w:tcPr>
          <w:p w:rsidR="00BC254A" w:rsidRDefault="007914A5">
            <w:pPr>
              <w:pStyle w:val="Normal6a"/>
            </w:pPr>
            <w:r>
              <w:t>(1)</w:t>
            </w:r>
            <w:r>
              <w:tab/>
            </w:r>
            <w:r>
              <w:t xml:space="preserve">Die Union und einzelne Mitgliedstaaten sind in einer Vielzahl von Branchen und Berufen mit einem Arbeitskräftemangel konfrontiert, </w:t>
            </w:r>
            <w:r>
              <w:rPr>
                <w:b/>
                <w:i/>
              </w:rPr>
              <w:t>der niedrigen Fertilitätsraten geschuldet ist.</w:t>
            </w:r>
            <w:r>
              <w:t xml:space="preserve"> </w:t>
            </w:r>
            <w:r>
              <w:rPr>
                <w:b/>
                <w:i/>
              </w:rPr>
              <w:t xml:space="preserve">Die mangelnde Unterstützung von Familien und EU-weite Propagandakampagnen, in </w:t>
            </w:r>
            <w:r>
              <w:rPr>
                <w:b/>
                <w:i/>
              </w:rPr>
              <w:t>denen dafür plädiert wird, keine Kinder zu bekommen</w:t>
            </w:r>
            <w:r>
              <w:t xml:space="preserve">, </w:t>
            </w:r>
            <w:r>
              <w:rPr>
                <w:b/>
                <w:i/>
              </w:rPr>
              <w:t>und die auf Mythen, Umweltextremismus oder Verschwörungstheorien beruhen, haben sich als äußerst schädlich für das soziale Gefüge in Europa erwiesen</w:t>
            </w:r>
            <w:r>
              <w: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w:t>
      </w:r>
      <w:r>
        <w:t>derungsantrag</w:t>
      </w:r>
      <w:r>
        <w:tab/>
      </w:r>
      <w:r>
        <w:tab/>
      </w:r>
      <w:r>
        <w:rPr>
          <w:rStyle w:val="HideTWBExt"/>
        </w:rPr>
        <w:t>&lt;NumAmB&gt;</w:t>
      </w:r>
      <w:r>
        <w:t>119</w:t>
      </w:r>
      <w:r>
        <w:rPr>
          <w:rStyle w:val="HideTWBExt"/>
        </w:rPr>
        <w:t>&lt;/NumAmB&gt;</w:t>
      </w:r>
    </w:p>
    <w:p w:rsidR="00BC254A" w:rsidRDefault="007914A5">
      <w:pPr>
        <w:pStyle w:val="NormalBold"/>
      </w:pPr>
      <w:r>
        <w:rPr>
          <w:rStyle w:val="HideTWBExt"/>
          <w:b w:val="0"/>
        </w:rPr>
        <w:t>&lt;RepeatBlock-By&gt;&lt;Members&gt;</w:t>
      </w:r>
      <w:r>
        <w:t>Nikolaos Anadiotis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w:t>
            </w:r>
            <w:r>
              <w:tab/>
            </w:r>
            <w:r>
              <w:t xml:space="preserve">Die Union und einzelne Mitgliedstaaten sind in </w:t>
            </w:r>
            <w:r>
              <w:rPr>
                <w:b/>
                <w:i/>
              </w:rPr>
              <w:t>einer Vielzahl von</w:t>
            </w:r>
            <w:r>
              <w:t xml:space="preserve"> </w:t>
            </w:r>
            <w:r>
              <w:lastRenderedPageBreak/>
              <w:t xml:space="preserve">Branchen </w:t>
            </w:r>
            <w:r>
              <w:rPr>
                <w:b/>
                <w:i/>
              </w:rPr>
              <w:t>und Berufen</w:t>
            </w:r>
            <w:r>
              <w:t xml:space="preserve"> mit einem Arbeitskräftemangel konfrontiert</w:t>
            </w:r>
            <w:r>
              <w:rPr>
                <w:b/>
                <w:i/>
              </w:rPr>
              <w:t>, auch in denjenigen, die für den ökologischen und den digitalen Wandel relevant sind</w:t>
            </w:r>
            <w:r>
              <w:t xml:space="preserve">. Erhebliche Engpässe im Bauwesen, in der </w:t>
            </w:r>
            <w:r>
              <w:t xml:space="preserve">Gesundheitsversorgung, im Gastgewerbe, im Verkehr, in der Informations- und Kommunikationstechnologie sowie in den Bereichen Wissenschaftstechnik, Ingenieurwesen und Mathematik </w:t>
            </w:r>
            <w:r>
              <w:rPr>
                <w:b/>
                <w:i/>
              </w:rPr>
              <w:t>bestehen seit Langem und sind durch die COVID-19-Pandemie und die Beschleunigun</w:t>
            </w:r>
            <w:r>
              <w:rPr>
                <w:b/>
                <w:i/>
              </w:rPr>
              <w:t>g des ökologischen und digitalen Wandels noch verschärft worden.</w:t>
            </w:r>
            <w:r>
              <w:t xml:space="preserve"> </w:t>
            </w:r>
            <w:r>
              <w:rPr>
                <w:b/>
                <w:i/>
              </w:rPr>
              <w:t>Voraussichtlich wird der Arbeitskräftemangel anhalten und sich angesichts der demografischen Herausforderungen möglicherweise weiter verschärfen</w:t>
            </w:r>
            <w:r>
              <w:t>.</w:t>
            </w:r>
          </w:p>
        </w:tc>
        <w:tc>
          <w:tcPr>
            <w:tcW w:w="4876" w:type="dxa"/>
            <w:tcBorders>
              <w:top w:val="nil"/>
              <w:left w:val="nil"/>
              <w:bottom w:val="nil"/>
              <w:right w:val="nil"/>
            </w:tcBorders>
          </w:tcPr>
          <w:p w:rsidR="00BC254A" w:rsidRDefault="007914A5">
            <w:pPr>
              <w:pStyle w:val="Normal6a"/>
            </w:pPr>
            <w:r>
              <w:lastRenderedPageBreak/>
              <w:t>(1)</w:t>
            </w:r>
            <w:r>
              <w:tab/>
              <w:t>Die Union und einzelne Mitgliedstaaten si</w:t>
            </w:r>
            <w:r>
              <w:t xml:space="preserve">nd in </w:t>
            </w:r>
            <w:r>
              <w:rPr>
                <w:b/>
                <w:i/>
              </w:rPr>
              <w:lastRenderedPageBreak/>
              <w:t>bestimmten</w:t>
            </w:r>
            <w:r>
              <w:t> Branchen mit einem Arbeitskräftemangel konfrontiert. Erhebliche Engpässe im Bauwesen, in der Gesundheitsversorgung, im Gastgewerbe, im Verkehr, in der Informations- und Kommunikationstechnologie sowie in den Bereichen Wissenschaftstechnik,</w:t>
            </w:r>
            <w:r>
              <w:t xml:space="preserve"> Ingenieurwesen und Mathematik </w:t>
            </w:r>
            <w:r>
              <w:rPr>
                <w:b/>
                <w:i/>
              </w:rPr>
              <w:t>erfordern, dass der Mobilisierung der in den Mitgliedstaaten bereits vorhandenen Arbeitskräfte durch Maßnahmen zur Stärkung ihrer allgemeinen und beruflichen Bildung Priorität eingeräumt wird</w:t>
            </w:r>
            <w:r>
              <w:t>.</w:t>
            </w:r>
          </w:p>
        </w:tc>
      </w:tr>
    </w:tbl>
    <w:p w:rsidR="00BC254A" w:rsidRDefault="007914A5">
      <w:pPr>
        <w:pStyle w:val="AmOrLang"/>
      </w:pPr>
      <w:r>
        <w:lastRenderedPageBreak/>
        <w:t xml:space="preserve">Or. </w:t>
      </w:r>
      <w:r>
        <w:rPr>
          <w:rStyle w:val="HideTWBExt"/>
        </w:rPr>
        <w:t>&lt;Original&gt;</w:t>
      </w:r>
      <w:r>
        <w:rPr>
          <w:rStyle w:val="HideTWBInt"/>
        </w:rPr>
        <w:t>{EL}</w:t>
      </w:r>
      <w:r>
        <w:t>el</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120</w:t>
      </w:r>
      <w:r>
        <w:rPr>
          <w:rStyle w:val="HideTWBExt"/>
        </w:rPr>
        <w:t>&lt;/NumAmB&gt;</w:t>
      </w:r>
    </w:p>
    <w:p w:rsidR="00BC254A" w:rsidRDefault="007914A5">
      <w:pPr>
        <w:pStyle w:val="NormalBold"/>
      </w:pPr>
      <w:r>
        <w:rPr>
          <w:rStyle w:val="HideTWBExt"/>
          <w:b w:val="0"/>
        </w:rPr>
        <w:t>&lt;RepeatBlock-By&gt;&lt;Members&gt;</w:t>
      </w:r>
      <w:r>
        <w:t>Jan-Christoph Oetjen, Abir Al-Sahlani, Hilde Vautmans, Irena Joveva,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w:t>
      </w:r>
      <w:r>
        <w:t>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w:t>
            </w:r>
            <w:r>
              <w:tab/>
              <w:t xml:space="preserve">Die Union und einzelne Mitgliedstaaten sind in einer Vielzahl von Branchen und Berufen mit einem Arbeitskräftemangel konfrontiert, auch in denjenigen, die für den ökologischen und den digitalen </w:t>
            </w:r>
            <w:r>
              <w:t>Wandel relevant sind. Erhebliche Engpässe im Bauwesen, in der Gesundheitsversorgung, im Gastgewerbe, im Verkehr, in der Informations- und Kommunikationstechnologie sowie in den Bereichen Wissenschaftstechnik, Ingenieurwesen und Mathematik bestehen seit Lan</w:t>
            </w:r>
            <w:r>
              <w:t xml:space="preserve">gem und sind durch die COVID-19-Pandemie und die Beschleunigung des ökologischen und digitalen Wandels noch verschärft worden. Voraussichtlich wird </w:t>
            </w:r>
            <w:r>
              <w:lastRenderedPageBreak/>
              <w:t>der Arbeitskräftemangel anhalten und sich angesichts der demografischen Herausforderungen möglicherweise wei</w:t>
            </w:r>
            <w:r>
              <w:t>ter verschärfen.</w:t>
            </w:r>
          </w:p>
        </w:tc>
        <w:tc>
          <w:tcPr>
            <w:tcW w:w="4876" w:type="dxa"/>
            <w:tcBorders>
              <w:top w:val="nil"/>
              <w:left w:val="nil"/>
              <w:bottom w:val="nil"/>
              <w:right w:val="nil"/>
            </w:tcBorders>
          </w:tcPr>
          <w:p w:rsidR="00BC254A" w:rsidRDefault="007914A5">
            <w:pPr>
              <w:pStyle w:val="Normal6a"/>
            </w:pPr>
            <w:r>
              <w:lastRenderedPageBreak/>
              <w:t>(1)</w:t>
            </w:r>
            <w:r>
              <w:tab/>
              <w:t xml:space="preserve">Die Union und einzelne Mitgliedstaaten sind in einer Vielzahl von Branchen und Berufen mit einem Arbeitskräftemangel konfrontiert, auch in denjenigen, die für den ökologischen und den digitalen Wandel relevant sind. </w:t>
            </w:r>
            <w:r>
              <w:rPr>
                <w:b/>
                <w:i/>
              </w:rPr>
              <w:t>Es liegt auf der Ha</w:t>
            </w:r>
            <w:r>
              <w:rPr>
                <w:b/>
                <w:i/>
              </w:rPr>
              <w:t>nd, dass unterschiedlichste Qualifikationen gebraucht werden, um den Arbeitskräftemangel zu beheben.</w:t>
            </w:r>
            <w:r>
              <w:t xml:space="preserve"> Erhebliche Engpässe im Bauwesen, in der Gesundheitsversorgung, im Gastgewerbe, im Verkehr, in der Informations- und Kommunikationstechnologie sowie in den </w:t>
            </w:r>
            <w:r>
              <w:t xml:space="preserve">Bereichen Wissenschaftstechnik, Ingenieurwesen und Mathematik bestehen </w:t>
            </w:r>
            <w:r>
              <w:lastRenderedPageBreak/>
              <w:t>seit Langem und sind durch die COVID-19-Pandemie und die Beschleunigung des ökologischen und digitalen Wandels noch verschärft worden. Voraussichtlich wird der Arbeitskräftemangel anhal</w:t>
            </w:r>
            <w:r>
              <w:t>ten und sich angesichts der demografischen Herausforderungen möglicherweise weiter verschärfen.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121</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w:t>
            </w:r>
            <w:r>
              <w:tab/>
              <w:t xml:space="preserve">Die Union und einzelne Mitgliedstaaten sind in einer Vielzahl von Branchen und Berufen mit einem Arbeitskräftemangel </w:t>
            </w:r>
            <w:r>
              <w:t>konfrontiert, auch in denjenigen, die für den ökologischen und den digitalen Wandel relevant sind. Erhebliche Engpässe im Bauwesen, in der Gesundheitsversorgung, im Gastgewerbe, im Verkehr, in der Informations- und Kommunikationstechnologie sowie in den Be</w:t>
            </w:r>
            <w:r>
              <w:t>reichen Wissenschaftstechnik, Ingenieurwesen und Mathematik bestehen seit Langem und sind durch die COVID-19-Pandemie und die Beschleunigung des ökologischen und digitalen Wandels noch verschärft worden. Voraussichtlich wird der Arbeitskräftemangel anhalte</w:t>
            </w:r>
            <w:r>
              <w:t>n und sich angesichts der demografischen Herausforderungen möglicherweise weiter verschärfen.</w:t>
            </w:r>
          </w:p>
        </w:tc>
        <w:tc>
          <w:tcPr>
            <w:tcW w:w="4876" w:type="dxa"/>
            <w:tcBorders>
              <w:top w:val="nil"/>
              <w:left w:val="nil"/>
              <w:bottom w:val="nil"/>
              <w:right w:val="nil"/>
            </w:tcBorders>
          </w:tcPr>
          <w:p w:rsidR="00BC254A" w:rsidRDefault="007914A5">
            <w:pPr>
              <w:pStyle w:val="Normal6a"/>
            </w:pPr>
            <w:r>
              <w:t>(1)</w:t>
            </w:r>
            <w:r>
              <w:tab/>
              <w:t xml:space="preserve">Die Union und einzelne Mitgliedstaaten sind in einer Vielzahl von Branchen und Berufen </w:t>
            </w:r>
            <w:r>
              <w:rPr>
                <w:b/>
                <w:i/>
              </w:rPr>
              <w:t>auf allen Qualifikationsniveaus </w:t>
            </w:r>
            <w:r>
              <w:t xml:space="preserve">mit einem Arbeitskräftemangel </w:t>
            </w:r>
            <w:r>
              <w:t>konfrontiert, auch in denjenigen, die für den ökologischen und den digitalen Wandel relevant sind. Erhebliche Engpässe im Bauwesen, in der Gesundheitsversorgung, im Gastgewerbe, im Verkehr, in der Informations- und Kommunikationstechnologie sowie in den Be</w:t>
            </w:r>
            <w:r>
              <w:t>reichen Wissenschaftstechnik, Ingenieurwesen und Mathematik bestehen seit Langem und sind durch die COVID-19-Pandemie und die Beschleunigung des ökologischen und digitalen Wandels noch verschärft worden. Voraussichtlich wird der Arbeitskräftemangel anhalte</w:t>
            </w:r>
            <w:r>
              <w:t>n und sich angesichts der demografischen Herausforderungen möglicherweise weiter verschärfen.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122</w:t>
      </w:r>
      <w:r>
        <w:rPr>
          <w:rStyle w:val="HideTWBExt"/>
        </w:rPr>
        <w:t>&lt;/NumAmB&gt;</w:t>
      </w:r>
    </w:p>
    <w:p w:rsidR="00BC254A" w:rsidRDefault="007914A5">
      <w:pPr>
        <w:pStyle w:val="NormalBold"/>
      </w:pPr>
      <w:r>
        <w:rPr>
          <w:rStyle w:val="HideTWBExt"/>
          <w:b w:val="0"/>
        </w:rPr>
        <w:lastRenderedPageBreak/>
        <w:t>&lt;RepeatBlock-By&gt;&lt;Members&gt;</w:t>
      </w:r>
      <w:r>
        <w:t>Sebastian Tynkkynen</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w:t>
            </w:r>
            <w:r>
              <w:tab/>
            </w:r>
            <w:r>
              <w:t xml:space="preserve">Die Union und einzelne Mitgliedstaaten sind in einer Vielzahl von Branchen und Berufen mit einem Arbeitskräftemangel konfrontiert, auch in denjenigen, die für </w:t>
            </w:r>
            <w:r>
              <w:rPr>
                <w:b/>
                <w:i/>
              </w:rPr>
              <w:t>den ökologischen</w:t>
            </w:r>
            <w:r>
              <w:t xml:space="preserve"> und den digitalen Wandel relevant sind. Erhebliche Engpässe im Bauwesen, in der </w:t>
            </w:r>
            <w:r>
              <w:t>Gesundheitsversorgung, im Gastgewerbe, im Verkehr, in der Informations- und Kommunikationstechnologie sowie in den Bereichen Wissenschaftstechnik, Ingenieurwesen und Mathematik bestehen seit Langem und sind durch die COVID-19-Pandemie und die Beschleunigun</w:t>
            </w:r>
            <w:r>
              <w:t xml:space="preserve">g </w:t>
            </w:r>
            <w:r>
              <w:rPr>
                <w:b/>
                <w:i/>
              </w:rPr>
              <w:t>des ökologischen und</w:t>
            </w:r>
            <w:r>
              <w:t xml:space="preserve"> digitalen Wandels noch verschärft worden. Voraussichtlich wird der Arbeitskräftemangel anhalten und sich angesichts der demografischen Herausforderungen möglicherweise weiter verschärfen.</w:t>
            </w:r>
          </w:p>
        </w:tc>
        <w:tc>
          <w:tcPr>
            <w:tcW w:w="4876" w:type="dxa"/>
            <w:tcBorders>
              <w:top w:val="nil"/>
              <w:left w:val="nil"/>
              <w:bottom w:val="nil"/>
              <w:right w:val="nil"/>
            </w:tcBorders>
          </w:tcPr>
          <w:p w:rsidR="00BC254A" w:rsidRDefault="007914A5">
            <w:pPr>
              <w:pStyle w:val="Normal6a"/>
            </w:pPr>
            <w:r>
              <w:t>(1)</w:t>
            </w:r>
            <w:r>
              <w:tab/>
              <w:t>Die Union und einzelne Mitgliedstaaten si</w:t>
            </w:r>
            <w:r>
              <w:t xml:space="preserve">nd in einer Vielzahl von Branchen und Berufen mit einem Arbeitskräftemangel konfrontiert, auch in denjenigen, die für </w:t>
            </w:r>
            <w:r>
              <w:rPr>
                <w:b/>
                <w:i/>
              </w:rPr>
              <w:t>die Umstellung auf saubere Energie</w:t>
            </w:r>
            <w:r>
              <w:t xml:space="preserve"> und den digitalen Wandel relevant sind. Erhebliche Engpässe im Bauwesen, in der Gesundheitsversorgung, </w:t>
            </w:r>
            <w:r>
              <w:t xml:space="preserve">im Gastgewerbe, im Verkehr, in der Informations- und Kommunikationstechnologie sowie in den Bereichen Wissenschaftstechnik, Ingenieurwesen und Mathematik bestehen seit Langem und sind durch die COVID-19-Pandemie und die Beschleunigung </w:t>
            </w:r>
            <w:r>
              <w:rPr>
                <w:b/>
                <w:i/>
              </w:rPr>
              <w:t>der Umstellung auf sa</w:t>
            </w:r>
            <w:r>
              <w:rPr>
                <w:b/>
                <w:i/>
              </w:rPr>
              <w:t>ubere Energie und des</w:t>
            </w:r>
            <w:r>
              <w:t xml:space="preserve"> digitalen Wandels noch verschärft worden. Voraussichtlich wird der Arbeitskräftemangel anhalten und sich angesichts der demografischen Herausforderungen möglicherweise weiter verschärfen.</w:t>
            </w:r>
          </w:p>
        </w:tc>
      </w:tr>
    </w:tbl>
    <w:p w:rsidR="00BC254A" w:rsidRDefault="007914A5">
      <w:pPr>
        <w:pStyle w:val="AmOrLang"/>
      </w:pPr>
      <w:r>
        <w:t xml:space="preserve">Or. </w:t>
      </w:r>
      <w:r>
        <w:rPr>
          <w:rStyle w:val="HideTWBExt"/>
        </w:rPr>
        <w:t>&lt;Original&gt;</w:t>
      </w:r>
      <w:r>
        <w:rPr>
          <w:rStyle w:val="HideTWBInt"/>
        </w:rPr>
        <w:t>{FI}</w:t>
      </w:r>
      <w:r>
        <w:t>fi</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123</w:t>
      </w:r>
      <w:r>
        <w:rPr>
          <w:rStyle w:val="HideTWBExt"/>
        </w:rPr>
        <w:t>&lt;/NumAmB&gt;</w:t>
      </w:r>
    </w:p>
    <w:p w:rsidR="00BC254A" w:rsidRDefault="007914A5">
      <w:pPr>
        <w:pStyle w:val="NormalBold"/>
      </w:pPr>
      <w:r>
        <w:rPr>
          <w:rStyle w:val="HideTWBExt"/>
          <w:b w:val="0"/>
        </w:rPr>
        <w:t>&lt;RepeatBlock-By&gt;&lt;Members&gt;</w:t>
      </w:r>
      <w:r>
        <w:t>Javier 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(1a)</w:t>
            </w:r>
            <w:r>
              <w:tab/>
            </w:r>
            <w:r>
              <w:rPr>
                <w:b/>
                <w:i/>
              </w:rPr>
              <w:t>Die Bevölkerung der Union wird voraussichtlich erheblich schrumpfen, und zwar von 451 Millionen im Jahr 2022 auf 406 Millionen im Jahr 2050.</w:t>
            </w:r>
            <w:r>
              <w:t xml:space="preserve"> </w:t>
            </w:r>
            <w:r>
              <w:rPr>
                <w:b/>
                <w:i/>
              </w:rPr>
              <w:t>Die Zahl der Menschen im erwerbsfähigen Alter wird den Prognosen zufolge in noch höherem Ausmaß zurückgehen, u</w:t>
            </w:r>
            <w:r>
              <w:rPr>
                <w:b/>
                <w:i/>
              </w:rPr>
              <w:t xml:space="preserve">nd zwar </w:t>
            </w:r>
            <w:r>
              <w:rPr>
                <w:b/>
                <w:i/>
              </w:rPr>
              <w:lastRenderedPageBreak/>
              <w:t>von 264 Millionen auf 207 Millionen, was einem Rückgang um 21 % entspricht.</w:t>
            </w:r>
            <w:r>
              <w:t xml:space="preserve"> </w:t>
            </w:r>
            <w:r>
              <w:rPr>
                <w:b/>
                <w:i/>
              </w:rPr>
              <w:t>Unterdessen wird die Zahl der älteren Menschen (65 Jahre oder älter) in diesem Zeitraum voraussichtlich um 32 Millionen ansteigen, und die Zahl der Kinder (unter 20 Jahren)</w:t>
            </w:r>
            <w:r>
              <w:rPr>
                <w:b/>
                <w:i/>
              </w:rPr>
              <w:t xml:space="preserve"> dürfte um 21 Millionen sinken.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124</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w:t>
            </w:r>
            <w:r>
              <w:tab/>
              <w:t>Die Bewältigung des Arbeitskräftemangels erfordert einen umfassenden Ansatz auf Unionsebene und auf nationaler Ebene, der vorrangig die bessere Ausschöpfung des vollen Potenzials von Grup</w:t>
            </w:r>
            <w:r>
              <w:t>pen mit einer geringeren Erwerbsbeteiligung, die Umschulung und Weiterbildung der vorhandenen Arbeitskräfte, die Erleichterung der Arbeitskräftemobilität innerhalb der EU sowie die Verbesserung der Arbeitsbedingungen und der Attraktivität bestimmter Berufe</w:t>
            </w:r>
            <w:r>
              <w:t xml:space="preserve"> umfasst. Aufgrund des derzeitigen Ausmaßes des Arbeitskräftemangels und der demografischen Entwicklung </w:t>
            </w:r>
            <w:r>
              <w:rPr>
                <w:b/>
                <w:i/>
              </w:rPr>
              <w:t>dürften</w:t>
            </w:r>
            <w:r>
              <w:t xml:space="preserve"> Maßnahmen, die allein auf die einheimischen Arbeitskräfte und die Arbeitskräfte in der Union abzielen, </w:t>
            </w:r>
            <w:r>
              <w:rPr>
                <w:b/>
                <w:i/>
              </w:rPr>
              <w:t>jedoch</w:t>
            </w:r>
            <w:r>
              <w:t xml:space="preserve"> nicht </w:t>
            </w:r>
            <w:r>
              <w:rPr>
                <w:b/>
                <w:i/>
              </w:rPr>
              <w:t>ausreichen</w:t>
            </w:r>
            <w:r>
              <w:t>, um den bestehend</w:t>
            </w:r>
            <w:r>
              <w:t>en und künftigen Arbeitskräfte- und Fachkräftemangel zu beheben. Die legale Migration ist daher von entscheidender Bedeutung, um diese Maßnahmen zu ergänzen, und muss Teil der Lösung sein, um den ökologischen und digitalen Wandel in vollem Umfang zu unters</w:t>
            </w:r>
            <w:r>
              <w:t>tützen.</w:t>
            </w:r>
          </w:p>
        </w:tc>
        <w:tc>
          <w:tcPr>
            <w:tcW w:w="4876" w:type="dxa"/>
            <w:tcBorders>
              <w:top w:val="nil"/>
              <w:left w:val="nil"/>
              <w:bottom w:val="nil"/>
              <w:right w:val="nil"/>
            </w:tcBorders>
          </w:tcPr>
          <w:p w:rsidR="00BC254A" w:rsidRDefault="007914A5">
            <w:pPr>
              <w:pStyle w:val="Normal6a"/>
            </w:pPr>
            <w:r>
              <w:t>(2)</w:t>
            </w:r>
            <w:r>
              <w:tab/>
            </w:r>
            <w:r>
              <w:t>Die Bewältigung des Arbeitskräftemangels erfordert einen umfassenden Ansatz auf Unionsebene und auf nationaler Ebene, der vorrangig die bessere Ausschöpfung des vollen Potenzials von Gruppen mit einer geringeren Erwerbsbeteiligung, die Umschulung und Weite</w:t>
            </w:r>
            <w:r>
              <w:t xml:space="preserve">rbildung der vorhandenen Arbeitskräfte, die Erleichterung der Arbeitskräftemobilität innerhalb der EU sowie die Verbesserung der Arbeitsbedingungen und der Attraktivität bestimmter Berufe umfasst. Aufgrund des derzeitigen Ausmaßes des Arbeitskräftemangels </w:t>
            </w:r>
            <w:r>
              <w:t xml:space="preserve">und der demografischen Entwicklung </w:t>
            </w:r>
            <w:r>
              <w:rPr>
                <w:b/>
                <w:i/>
              </w:rPr>
              <w:t>sind jedoch</w:t>
            </w:r>
            <w:r>
              <w:t xml:space="preserve"> Maßnahmen, die allein auf die einheimischen Arbeitskräfte und die Arbeitskräfte in der Union abzielen, nicht </w:t>
            </w:r>
            <w:r>
              <w:rPr>
                <w:b/>
                <w:i/>
              </w:rPr>
              <w:t>ausreichend</w:t>
            </w:r>
            <w:r>
              <w:t xml:space="preserve">, um den bestehenden und künftigen Arbeitskräfte- und Fachkräftemangel zu beheben. Die </w:t>
            </w:r>
            <w:r>
              <w:rPr>
                <w:b/>
                <w:i/>
              </w:rPr>
              <w:t>Ko</w:t>
            </w:r>
            <w:r>
              <w:rPr>
                <w:b/>
                <w:i/>
              </w:rPr>
              <w:t>mmission geht davon aus, dass aufgrund des vorausgesagten Rückgangs der Bevölkerung im erwerbsfähigen Alter bis 2030 mindestens 7 Mio. Menschen mehr in Europa benötigt werden. Die</w:t>
            </w:r>
            <w:r>
              <w:t xml:space="preserve"> </w:t>
            </w:r>
            <w:r>
              <w:lastRenderedPageBreak/>
              <w:t xml:space="preserve">legale Migration ist daher von entscheidender Bedeutung, um diese Maßnahmen </w:t>
            </w:r>
            <w:r>
              <w:t xml:space="preserve">zu ergänzen, und muss Teil der Lösung sein, um den ökologischen und digitalen Wandel in vollem Umfang zu unterstützen </w:t>
            </w:r>
            <w:r>
              <w:rPr>
                <w:b/>
                <w:i/>
              </w:rPr>
              <w:t>und die Wettbewerbsfähigkeit sowie ein dauerhaftes Wirtschaftswachstum in der Union zu sichern</w:t>
            </w:r>
            <w:r>
              <w:t>.</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125</w:t>
      </w:r>
      <w:r>
        <w:rPr>
          <w:rStyle w:val="HideTWBExt"/>
        </w:rPr>
        <w:t>&lt;/NumAmB&gt;</w:t>
      </w:r>
    </w:p>
    <w:p w:rsidR="00BC254A" w:rsidRDefault="007914A5">
      <w:pPr>
        <w:pStyle w:val="NormalBold"/>
      </w:pPr>
      <w:r>
        <w:rPr>
          <w:rStyle w:val="HideTWBExt"/>
          <w:b w:val="0"/>
        </w:rPr>
        <w:t>&lt;RepeatBlock-By&gt;&lt;Members&gt;</w:t>
      </w:r>
      <w:r>
        <w:t>Javier 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w:t>
            </w:r>
            <w:r>
              <w:tab/>
            </w:r>
            <w:r>
              <w:t>Die Bewältigung des Arbeitskräftemangels erfordert einen umfassenden Ansatz auf Unionsebene und auf nationaler Ebene, der vorrangig die bessere Ausschöpfung des vollen Potenzials von Gruppen mit einer geringeren Erwerbsbeteiligung, die Umschulung und Weite</w:t>
            </w:r>
            <w:r>
              <w:t xml:space="preserve">rbildung der vorhandenen Arbeitskräfte, die Erleichterung der Arbeitskräftemobilität innerhalb der EU sowie die Verbesserung der Arbeitsbedingungen und der Attraktivität bestimmter Berufe umfasst. Aufgrund des derzeitigen Ausmaßes des Arbeitskräftemangels </w:t>
            </w:r>
            <w:r>
              <w:t xml:space="preserve">und der demografischen Entwicklung </w:t>
            </w:r>
            <w:r>
              <w:rPr>
                <w:b/>
                <w:i/>
              </w:rPr>
              <w:t>dürften</w:t>
            </w:r>
            <w:r>
              <w:t xml:space="preserve"> Maßnahmen, die allein auf die einheimischen Arbeitskräfte und die Arbeitskräfte in der Union abzielen, </w:t>
            </w:r>
            <w:r>
              <w:rPr>
                <w:b/>
                <w:i/>
              </w:rPr>
              <w:t>jedoch</w:t>
            </w:r>
            <w:r>
              <w:t xml:space="preserve"> nicht ausreichen, um den bestehenden und künftigen Arbeitskräfte- und Fachkräftemangel zu beheben. Die </w:t>
            </w:r>
            <w:r>
              <w:t xml:space="preserve">legale Migration ist daher von entscheidender Bedeutung, um diese Maßnahmen zu ergänzen, und muss Teil der Lösung sein, um den ökologischen und digitalen Wandel </w:t>
            </w:r>
            <w:r>
              <w:lastRenderedPageBreak/>
              <w:t>in vollem Umfang zu unterstützen.</w:t>
            </w:r>
          </w:p>
        </w:tc>
        <w:tc>
          <w:tcPr>
            <w:tcW w:w="4876" w:type="dxa"/>
            <w:tcBorders>
              <w:top w:val="nil"/>
              <w:left w:val="nil"/>
              <w:bottom w:val="nil"/>
              <w:right w:val="nil"/>
            </w:tcBorders>
          </w:tcPr>
          <w:p w:rsidR="00BC254A" w:rsidRDefault="007914A5">
            <w:pPr>
              <w:pStyle w:val="Normal6a"/>
            </w:pPr>
            <w:r>
              <w:lastRenderedPageBreak/>
              <w:t>(2)</w:t>
            </w:r>
            <w:r>
              <w:tab/>
              <w:t xml:space="preserve">Die Bewältigung des Arbeitskräftemangels erfordert einen </w:t>
            </w:r>
            <w:r>
              <w:t>umfassenden Ansatz auf Unionsebene und auf nationaler Ebene, der vorrangig die bessere Ausschöpfung des vollen Potenzials von Gruppen mit einer geringeren Erwerbsbeteiligung, die Umschulung und Weiterbildung der vorhandenen Arbeitskräfte, die Erleichterung</w:t>
            </w:r>
            <w:r>
              <w:t xml:space="preserve"> der Arbeitskräftemobilität innerhalb der EU</w:t>
            </w:r>
            <w:r>
              <w:rPr>
                <w:b/>
                <w:i/>
              </w:rPr>
              <w:t>, auch durch bessere Nutzung der Richtlinie 2003/109/EG des Rates, der Richtlinie (EU) 2021/1883 des Europäischen Parlaments und des Rates und des EURES-Netzes, höhere Löhne</w:t>
            </w:r>
            <w:r>
              <w:t xml:space="preserve"> sowie die Verbesserung der Arbeitsbedi</w:t>
            </w:r>
            <w:r>
              <w:t xml:space="preserve">ngungen und der Attraktivität bestimmter Berufe umfasst. Aufgrund des derzeitigen Ausmaßes des Arbeitskräftemangels und der demografischen Entwicklung </w:t>
            </w:r>
            <w:r>
              <w:rPr>
                <w:b/>
                <w:i/>
              </w:rPr>
              <w:t>werden</w:t>
            </w:r>
            <w:r>
              <w:t xml:space="preserve"> Maßnahmen, die allein auf die einheimischen Arbeitskräfte und die Arbeitskräfte in der Union abzie</w:t>
            </w:r>
            <w:r>
              <w:t xml:space="preserve">len, nicht ausreichen, um den bestehenden und künftigen Arbeitskräfte- und </w:t>
            </w:r>
            <w:r>
              <w:lastRenderedPageBreak/>
              <w:t>Fachkräftemangel zu beheben. Die legale Migration ist daher von entscheidender Bedeutung, um diese Maßnahmen zu ergänzen, und muss Teil der Lösung sein, um den ökologischen und digi</w:t>
            </w:r>
            <w:r>
              <w:t>talen Wandel in vollem Umfang zu unterstützen.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126</w:t>
      </w:r>
      <w:r>
        <w:rPr>
          <w:rStyle w:val="HideTWBExt"/>
        </w:rPr>
        <w:t>&lt;/NumAmB&gt;</w:t>
      </w:r>
    </w:p>
    <w:p w:rsidR="00BC254A" w:rsidRDefault="007914A5">
      <w:pPr>
        <w:pStyle w:val="NormalBold"/>
      </w:pPr>
      <w:r>
        <w:rPr>
          <w:rStyle w:val="HideTWBExt"/>
          <w:b w:val="0"/>
        </w:rPr>
        <w:t>&lt;RepeatBlock-By&gt;&lt;Members&gt;</w:t>
      </w:r>
      <w:r>
        <w:t>Pernando Barrena Arza</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w:t>
            </w:r>
            <w:r>
              <w:tab/>
            </w:r>
            <w:r>
              <w:t>Die Bewältigung des Arbeitskräftemangels erfordert einen umfassenden Ansatz auf Unionsebene und auf nationaler Ebene, der vorrangig die bessere Ausschöpfung des vollen Potenzials von Gruppen mit einer geringeren Erwerbsbeteiligung, die Umschulung und Weite</w:t>
            </w:r>
            <w:r>
              <w:t xml:space="preserve">rbildung der vorhandenen Arbeitskräfte, die Erleichterung der Arbeitskräftemobilität innerhalb der EU </w:t>
            </w:r>
            <w:r>
              <w:rPr>
                <w:b/>
                <w:i/>
              </w:rPr>
              <w:t>sowie die Verbesserung der</w:t>
            </w:r>
            <w:r>
              <w:t xml:space="preserve"> Arbeitsbedingungen </w:t>
            </w:r>
            <w:r>
              <w:rPr>
                <w:b/>
                <w:i/>
              </w:rPr>
              <w:t>und der</w:t>
            </w:r>
            <w:r>
              <w:t xml:space="preserve"> Attraktivität bestimmter Berufe umfasst. Aufgrund des derzeitigen Ausmaßes des Arbeitskräftemangels </w:t>
            </w:r>
            <w:r>
              <w:t xml:space="preserve">und der demografischen Entwicklung dürften Maßnahmen, die allein auf die einheimischen Arbeitskräfte und die Arbeitskräfte in der Union abzielen, jedoch nicht ausreichen, um den bestehenden und künftigen Arbeitskräfte- und Fachkräftemangel zu beheben. Die </w:t>
            </w:r>
            <w:r>
              <w:t xml:space="preserve">legale Migration ist daher von entscheidender Bedeutung, um diese Maßnahmen zu ergänzen, und muss Teil der </w:t>
            </w:r>
            <w:r>
              <w:rPr>
                <w:b/>
                <w:i/>
              </w:rPr>
              <w:t>Lösung</w:t>
            </w:r>
            <w:r>
              <w:t xml:space="preserve"> sein, um den ökologischen und digitalen Wandel in vollem Umfang zu unterstützen.</w:t>
            </w:r>
          </w:p>
        </w:tc>
        <w:tc>
          <w:tcPr>
            <w:tcW w:w="4876" w:type="dxa"/>
            <w:tcBorders>
              <w:top w:val="nil"/>
              <w:left w:val="nil"/>
              <w:bottom w:val="nil"/>
              <w:right w:val="nil"/>
            </w:tcBorders>
          </w:tcPr>
          <w:p w:rsidR="00BC254A" w:rsidRDefault="007914A5">
            <w:pPr>
              <w:pStyle w:val="Normal6a"/>
            </w:pPr>
            <w:r>
              <w:t>(2)</w:t>
            </w:r>
            <w:r>
              <w:tab/>
              <w:t xml:space="preserve">Die Bewältigung des Arbeitskräftemangels erfordert einen </w:t>
            </w:r>
            <w:r>
              <w:t>umfassenden Ansatz auf Unionsebene und auf nationaler Ebene, der vorrangig die bessere Ausschöpfung des vollen Potenzials von Gruppen mit einer geringeren Erwerbsbeteiligung, die Umschulung und Weiterbildung der vorhandenen Arbeitskräfte, die Erleichterung</w:t>
            </w:r>
            <w:r>
              <w:t xml:space="preserve"> der Arbeitskräftemobilität innerhalb der EU</w:t>
            </w:r>
            <w:r>
              <w:rPr>
                <w:b/>
                <w:i/>
              </w:rPr>
              <w:t>, höhere Löhne, die Gewährleistung sicherer und fairer</w:t>
            </w:r>
            <w:r>
              <w:t xml:space="preserve"> Arbeitsbedingungen</w:t>
            </w:r>
            <w:r>
              <w:rPr>
                <w:b/>
                <w:i/>
              </w:rPr>
              <w:t>, einen soliden Schutz vor Diskriminierung und die</w:t>
            </w:r>
            <w:r>
              <w:t xml:space="preserve"> Attraktivität bestimmter Berufe umfasst. Aufgrund des derzeitigen Ausmaßes des Arbeitskr</w:t>
            </w:r>
            <w:r>
              <w:t>äftemangels und der demografischen Entwicklung dürften Maßnahmen, die allein auf die einheimischen Arbeitskräfte und die Arbeitskräfte in der Union abzielen, jedoch nicht ausreichen, um den bestehenden und künftigen Arbeitskräfte- und Fachkräftemangel zu b</w:t>
            </w:r>
            <w:r>
              <w:t xml:space="preserve">eheben. Die legale Migration ist daher von entscheidender Bedeutung, um diese Maßnahmen zu ergänzen, und muss </w:t>
            </w:r>
            <w:r>
              <w:rPr>
                <w:b/>
                <w:i/>
              </w:rPr>
              <w:t>ein bedeutender</w:t>
            </w:r>
            <w:r>
              <w:t xml:space="preserve"> Teil der </w:t>
            </w:r>
            <w:r>
              <w:rPr>
                <w:b/>
                <w:i/>
              </w:rPr>
              <w:t>Migrationspolitik der EU</w:t>
            </w:r>
            <w:r>
              <w:t xml:space="preserve"> sein, um den ökologischen und </w:t>
            </w:r>
            <w:r>
              <w:rPr>
                <w:b/>
                <w:i/>
              </w:rPr>
              <w:t>den</w:t>
            </w:r>
            <w:r>
              <w:t xml:space="preserve"> digitalen Wandel in </w:t>
            </w:r>
            <w:r>
              <w:lastRenderedPageBreak/>
              <w:t>vollem Umfang zu unterstützen.</w:t>
            </w:r>
          </w:p>
        </w:tc>
      </w:tr>
    </w:tbl>
    <w:p w:rsidR="00BC254A" w:rsidRDefault="007914A5">
      <w:pPr>
        <w:pStyle w:val="AmOrLang"/>
      </w:pPr>
      <w:r>
        <w:lastRenderedPageBreak/>
        <w:t xml:space="preserve">Or. </w:t>
      </w:r>
      <w:r>
        <w:rPr>
          <w:rStyle w:val="HideTWBExt"/>
        </w:rPr>
        <w:t>&lt;Origi</w:t>
      </w:r>
      <w:r>
        <w:rPr>
          <w:rStyle w:val="HideTWBExt"/>
        </w:rPr>
        <w:t>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127</w:t>
      </w:r>
      <w:r>
        <w:rPr>
          <w:rStyle w:val="HideTWBExt"/>
        </w:rPr>
        <w:t>&lt;/NumAmB&gt;</w:t>
      </w:r>
    </w:p>
    <w:p w:rsidR="00BC254A" w:rsidRDefault="007914A5">
      <w:pPr>
        <w:pStyle w:val="NormalBold"/>
      </w:pPr>
      <w:r>
        <w:rPr>
          <w:rStyle w:val="HideTWBExt"/>
          <w:b w:val="0"/>
        </w:rPr>
        <w:t>&lt;RepeatBlock-By&gt;&lt;Members&gt;</w:t>
      </w:r>
      <w:r>
        <w:t>Nadine Morano</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w:t>
            </w:r>
            <w:r>
              <w:tab/>
              <w:t>Die Bewältigung des Arbeitskräftemangels erfordert einen umfassenden Ansatz auf Unionsebene und auf nationaler Ebene, der vorrangig die bessere Ausschöpfung des vollen Potenzials von Gruppen mit einer geringeren Erwerbsbeteiligung, die</w:t>
            </w:r>
            <w:r>
              <w:t xml:space="preserve"> Umschulung und Weiterbildung der vorhandenen Arbeitskräfte, die Erleichterung der Arbeitskräftemobilität innerhalb der EU sowie die Verbesserung der Arbeitsbedingungen und der Attraktivität bestimmter Berufe umfasst. Aufgrund des derzeitigen Ausmaßes des </w:t>
            </w:r>
            <w:r>
              <w:t>Arbeitskräftemangels und der demografischen Entwicklung dürften Maßnahmen, die allein auf die einheimischen Arbeitskräfte und die Arbeitskräfte in der Union abzielen, jedoch nicht ausreichen, um den bestehenden und künftigen Arbeitskräfte- und Fachkräftema</w:t>
            </w:r>
            <w:r>
              <w:t xml:space="preserve">ngel zu beheben. Die legale Migration </w:t>
            </w:r>
            <w:r>
              <w:rPr>
                <w:b/>
                <w:i/>
              </w:rPr>
              <w:t>ist</w:t>
            </w:r>
            <w:r>
              <w:t xml:space="preserve"> daher </w:t>
            </w:r>
            <w:r>
              <w:rPr>
                <w:b/>
                <w:i/>
              </w:rPr>
              <w:t>von entscheidender Bedeutung</w:t>
            </w:r>
            <w:r>
              <w:t xml:space="preserve">, um diese Maßnahmen zu ergänzen, und </w:t>
            </w:r>
            <w:r>
              <w:rPr>
                <w:b/>
                <w:i/>
              </w:rPr>
              <w:t>muss</w:t>
            </w:r>
            <w:r>
              <w:t xml:space="preserve"> Teil der Lösung sein, um den ökologischen und digitalen Wandel in vollem Umfang zu unterstützen.</w:t>
            </w:r>
          </w:p>
        </w:tc>
        <w:tc>
          <w:tcPr>
            <w:tcW w:w="4876" w:type="dxa"/>
            <w:tcBorders>
              <w:top w:val="nil"/>
              <w:left w:val="nil"/>
              <w:bottom w:val="nil"/>
              <w:right w:val="nil"/>
            </w:tcBorders>
          </w:tcPr>
          <w:p w:rsidR="00BC254A" w:rsidRDefault="007914A5">
            <w:pPr>
              <w:pStyle w:val="Normal6a"/>
            </w:pPr>
            <w:r>
              <w:t>(2)</w:t>
            </w:r>
            <w:r>
              <w:tab/>
            </w:r>
            <w:r>
              <w:t xml:space="preserve">Die Bewältigung des Arbeitskräftemangels erfordert einen umfassenden </w:t>
            </w:r>
            <w:r>
              <w:rPr>
                <w:b/>
                <w:i/>
              </w:rPr>
              <w:t>und komplementären</w:t>
            </w:r>
            <w:r>
              <w:t xml:space="preserve"> Ansatz auf Unionsebene und auf nationaler Ebene, der vorrangig die bessere Ausschöpfung des vollen Potenzials von Gruppen mit einer geringeren Erwerbsbeteiligung, die U</w:t>
            </w:r>
            <w:r>
              <w:t xml:space="preserve">mschulung und Weiterbildung der vorhandenen Arbeitskräfte, die Erleichterung der Arbeitskräftemobilität innerhalb der EU sowie die Verbesserung der Arbeitsbedingungen und der Attraktivität bestimmter Berufe umfasst. </w:t>
            </w:r>
            <w:r>
              <w:rPr>
                <w:b/>
                <w:i/>
              </w:rPr>
              <w:t>Es ist zudem wichtig, Betrug und Missbra</w:t>
            </w:r>
            <w:r>
              <w:rPr>
                <w:b/>
                <w:i/>
              </w:rPr>
              <w:t>uch nationaler Arbeitslosenversicherungssysteme besser zu bekämpfen.</w:t>
            </w:r>
            <w:r>
              <w:t xml:space="preserve"> Aufgrund des derzeitigen Ausmaßes des Arbeitskräftemangels und der demografischen Entwicklung dürften Maßnahmen, die allein auf die einheimischen Arbeitskräfte und die Arbeitskräfte in der Union abzielen, jedoch nicht ausreichen, um den bestehenden und kü</w:t>
            </w:r>
            <w:r>
              <w:t>nftigen Arbeitskräfte- und Fachkräftemangel zu beheben. Die legale</w:t>
            </w:r>
            <w:r>
              <w:rPr>
                <w:b/>
                <w:i/>
              </w:rPr>
              <w:t>, freiwillige und geordnete</w:t>
            </w:r>
            <w:r>
              <w:t xml:space="preserve"> Migration </w:t>
            </w:r>
            <w:r>
              <w:rPr>
                <w:b/>
                <w:i/>
              </w:rPr>
              <w:t>kann</w:t>
            </w:r>
            <w:r>
              <w:t xml:space="preserve"> daher </w:t>
            </w:r>
            <w:r>
              <w:rPr>
                <w:b/>
                <w:i/>
              </w:rPr>
              <w:t>notwendig sein</w:t>
            </w:r>
            <w:r>
              <w:t xml:space="preserve">, um diese Maßnahmen zu ergänzen, und </w:t>
            </w:r>
            <w:r>
              <w:rPr>
                <w:b/>
                <w:i/>
              </w:rPr>
              <w:t>kann</w:t>
            </w:r>
            <w:r>
              <w:t xml:space="preserve"> Teil der Lösung sein, um den ökologischen und digitalen Wandel in vollem Umfang zu u</w:t>
            </w:r>
            <w:r>
              <w:t>nterstützen.</w:t>
            </w:r>
          </w:p>
        </w:tc>
      </w:tr>
    </w:tbl>
    <w:p w:rsidR="00BC254A" w:rsidRDefault="007914A5">
      <w:pPr>
        <w:pStyle w:val="AmOrLang"/>
      </w:pPr>
      <w:r>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lastRenderedPageBreak/>
        <w:t>&lt;/AmendB&gt;</w:t>
      </w:r>
    </w:p>
    <w:p w:rsidR="00BC254A" w:rsidRDefault="007914A5">
      <w:pPr>
        <w:pStyle w:val="AmNumberTabs"/>
      </w:pPr>
      <w:r>
        <w:rPr>
          <w:rStyle w:val="HideTWBExt"/>
        </w:rPr>
        <w:t>&lt;AmendB&gt;</w:t>
      </w:r>
      <w:r>
        <w:t>Änderungsantrag</w:t>
      </w:r>
      <w:r>
        <w:tab/>
      </w:r>
      <w:r>
        <w:tab/>
      </w:r>
      <w:r>
        <w:rPr>
          <w:rStyle w:val="HideTWBExt"/>
        </w:rPr>
        <w:t>&lt;NumAmB&gt;</w:t>
      </w:r>
      <w:r>
        <w:t>128</w:t>
      </w:r>
      <w:r>
        <w:rPr>
          <w:rStyle w:val="HideTWBExt"/>
        </w:rPr>
        <w:t>&lt;/NumAmB&gt;</w:t>
      </w:r>
    </w:p>
    <w:p w:rsidR="00BC254A" w:rsidRDefault="007914A5">
      <w:pPr>
        <w:pStyle w:val="NormalBold"/>
      </w:pPr>
      <w:r>
        <w:rPr>
          <w:rStyle w:val="HideTWBExt"/>
          <w:b w:val="0"/>
        </w:rPr>
        <w:t>&lt;RepeatBlock-By&gt;&lt;Members&gt;</w:t>
      </w:r>
      <w:r>
        <w:t>Alice Teodorescu Måwe</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w:t>
      </w:r>
      <w:r>
        <w:rPr>
          <w:rStyle w:val="HideTWBExt"/>
        </w:rPr>
        <w:t>&lt;/Article</w:t>
      </w:r>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w:t>
            </w:r>
            <w:r>
              <w:tab/>
              <w:t xml:space="preserve">Die Bewältigung des Arbeitskräftemangels erfordert einen umfassenden Ansatz auf Unionsebene und auf nationaler Ebene, der </w:t>
            </w:r>
            <w:r>
              <w:rPr>
                <w:b/>
                <w:i/>
              </w:rPr>
              <w:t>vorrangig</w:t>
            </w:r>
            <w:r>
              <w:t xml:space="preserve"> die bessere Ausschöpfung des vollen Potenzials von Gruppen mit einer geringeren Erwerbsbeteiligung, die Umschulung und Weiterbildung der vorhandenen Arbeitskräfte, die Erleichterung der Arbeitskräftemobilität innerhalb der EU sowie die Verbesserung der Ar</w:t>
            </w:r>
            <w:r>
              <w:t xml:space="preserve">beitsbedingungen und der Attraktivität bestimmter Berufe umfasst. Aufgrund des derzeitigen Ausmaßes des Arbeitskräftemangels und der demografischen Entwicklung </w:t>
            </w:r>
            <w:r>
              <w:rPr>
                <w:b/>
                <w:i/>
              </w:rPr>
              <w:t>dürften</w:t>
            </w:r>
            <w:r>
              <w:t xml:space="preserve"> Maßnahmen, die allein auf die einheimischen Arbeitskräfte und die Arbeitskräfte in der U</w:t>
            </w:r>
            <w:r>
              <w:t xml:space="preserve">nion abzielen, </w:t>
            </w:r>
            <w:r>
              <w:rPr>
                <w:b/>
                <w:i/>
              </w:rPr>
              <w:t>jedoch</w:t>
            </w:r>
            <w:r>
              <w:t xml:space="preserve"> nicht ausreichen, um den bestehenden und künftigen Arbeitskräfte- und Fachkräftemangel zu beheben. Die legale Migration </w:t>
            </w:r>
            <w:r>
              <w:rPr>
                <w:b/>
                <w:i/>
              </w:rPr>
              <w:t>ist daher von entscheidender Bedeutung, um</w:t>
            </w:r>
            <w:r>
              <w:t xml:space="preserve"> diese Maßnahmen </w:t>
            </w:r>
            <w:r>
              <w:rPr>
                <w:b/>
                <w:i/>
              </w:rPr>
              <w:t>zu</w:t>
            </w:r>
            <w:r>
              <w:t xml:space="preserve"> ergänzen</w:t>
            </w:r>
            <w:r>
              <w:rPr>
                <w:b/>
                <w:i/>
              </w:rPr>
              <w:t>, und muss</w:t>
            </w:r>
            <w:r>
              <w:t xml:space="preserve"> Teil der Lösung sein, um den ökol</w:t>
            </w:r>
            <w:r>
              <w:t xml:space="preserve">ogischen und digitalen Wandel </w:t>
            </w:r>
            <w:r>
              <w:rPr>
                <w:b/>
                <w:i/>
              </w:rPr>
              <w:t>in vollem Umfang</w:t>
            </w:r>
            <w:r>
              <w:t xml:space="preserve"> zu unterstützen.</w:t>
            </w:r>
          </w:p>
        </w:tc>
        <w:tc>
          <w:tcPr>
            <w:tcW w:w="4876" w:type="dxa"/>
            <w:tcBorders>
              <w:top w:val="nil"/>
              <w:left w:val="nil"/>
              <w:bottom w:val="nil"/>
              <w:right w:val="nil"/>
            </w:tcBorders>
          </w:tcPr>
          <w:p w:rsidR="00BC254A" w:rsidRDefault="007914A5">
            <w:pPr>
              <w:pStyle w:val="Normal6a"/>
            </w:pPr>
            <w:r>
              <w:t>(2)</w:t>
            </w:r>
            <w:r>
              <w:tab/>
              <w:t xml:space="preserve">Die Bewältigung des Arbeitskräftemangels erfordert einen umfassenden Ansatz auf Unionsebene und auf nationaler Ebene, der </w:t>
            </w:r>
            <w:r>
              <w:rPr>
                <w:b/>
                <w:i/>
              </w:rPr>
              <w:t>in erster Linie</w:t>
            </w:r>
            <w:r>
              <w:t xml:space="preserve"> die bessere Ausschöpfung des vollen Potenzials von</w:t>
            </w:r>
            <w:r>
              <w:t xml:space="preserve"> Gruppen mit einer geringeren Erwerbsbeteiligung </w:t>
            </w:r>
            <w:r>
              <w:rPr>
                <w:b/>
                <w:i/>
              </w:rPr>
              <w:t>im Wege neuer Beschäftigungsanreize</w:t>
            </w:r>
            <w:r>
              <w:t>, die Umschulung und Weiterbildung der vorhandenen Arbeitskräfte, die Erleichterung der Arbeitskräftemobilität innerhalb der EU sowie die Verbesserung der Arbeitsbedingunge</w:t>
            </w:r>
            <w:r>
              <w:t xml:space="preserve">n und der Attraktivität bestimmter Berufe umfasst. Aufgrund des derzeitigen Ausmaßes des Arbeitskräftemangels und der demografischen Entwicklung </w:t>
            </w:r>
            <w:r>
              <w:rPr>
                <w:b/>
                <w:i/>
              </w:rPr>
              <w:t>könnten</w:t>
            </w:r>
            <w:r>
              <w:t xml:space="preserve"> Maßnahmen, die allein auf die einheimischen Arbeitskräfte und die Arbeitskräfte in der Union abzielen, </w:t>
            </w:r>
            <w:r>
              <w:t>nicht ausreichen, um den bestehenden und künftigen Arbeitskräfte- und Fachkräftemangel </w:t>
            </w:r>
            <w:r>
              <w:rPr>
                <w:b/>
                <w:i/>
              </w:rPr>
              <w:t>bei Berufen mit hohen Qualifikationsanforderungen</w:t>
            </w:r>
            <w:r>
              <w:t xml:space="preserve"> zu beheben. Die legale Migration </w:t>
            </w:r>
            <w:r>
              <w:rPr>
                <w:b/>
                <w:i/>
              </w:rPr>
              <w:t>von Hochqualifizierten könnte</w:t>
            </w:r>
            <w:r>
              <w:t xml:space="preserve"> diese Maßnahmen ergänzen </w:t>
            </w:r>
            <w:r>
              <w:rPr>
                <w:b/>
                <w:i/>
              </w:rPr>
              <w:t>und</w:t>
            </w:r>
            <w:r>
              <w:t xml:space="preserve"> Teil der Lösung sein, um </w:t>
            </w:r>
            <w:r>
              <w:rPr>
                <w:b/>
                <w:i/>
              </w:rPr>
              <w:t>di</w:t>
            </w:r>
            <w:r>
              <w:rPr>
                <w:b/>
                <w:i/>
              </w:rPr>
              <w:t>e Wettbewerbsfähigkeit Europas zu steigern und</w:t>
            </w:r>
            <w:r>
              <w:t xml:space="preserve"> den ökologischen und </w:t>
            </w:r>
            <w:r>
              <w:rPr>
                <w:b/>
                <w:i/>
              </w:rPr>
              <w:t>den</w:t>
            </w:r>
            <w:r>
              <w:t xml:space="preserve"> digitalen Wandel zu unterstützen.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129</w:t>
      </w:r>
      <w:r>
        <w:rPr>
          <w:rStyle w:val="HideTWBExt"/>
        </w:rPr>
        <w:t>&lt;/NumAmB&gt;</w:t>
      </w:r>
    </w:p>
    <w:p w:rsidR="00BC254A" w:rsidRDefault="007914A5">
      <w:pPr>
        <w:pStyle w:val="NormalBold"/>
      </w:pPr>
      <w:r>
        <w:rPr>
          <w:rStyle w:val="HideTWBExt"/>
          <w:b w:val="0"/>
        </w:rPr>
        <w:t>&lt;RepeatBlock-By&gt;&lt;Members&gt;</w:t>
      </w:r>
      <w:r>
        <w:t>Charlie Weimers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lastRenderedPageBreak/>
        <w:t>&lt;Article&gt;</w:t>
      </w:r>
      <w:r>
        <w:t>Erwägung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w:t>
            </w:r>
            <w:r>
              <w:tab/>
              <w:t xml:space="preserve">Die Bewältigung des Arbeitskräftemangels </w:t>
            </w:r>
            <w:r>
              <w:rPr>
                <w:b/>
                <w:i/>
              </w:rPr>
              <w:t xml:space="preserve">erfordert einen umfassenden Ansatz auf Unionsebene und auf </w:t>
            </w:r>
            <w:r>
              <w:rPr>
                <w:b/>
                <w:i/>
              </w:rPr>
              <w:t>nationaler Ebene, der vorrangig</w:t>
            </w:r>
            <w:r>
              <w:t xml:space="preserve"> die bessere Ausschöpfung des vollen Potenzials von Gruppen mit einer geringeren Erwerbsbeteiligung, die Umschulung und Weiterbildung der vorhandenen Arbeitskräfte</w:t>
            </w:r>
            <w:r>
              <w:rPr>
                <w:b/>
                <w:i/>
              </w:rPr>
              <w:t>, die Erleichterung der Arbeitskräftemobilität innerhalb der E</w:t>
            </w:r>
            <w:r>
              <w:rPr>
                <w:b/>
                <w:i/>
              </w:rPr>
              <w:t>U</w:t>
            </w:r>
            <w:r>
              <w:t xml:space="preserve"> sowie die Verbesserung der Arbeitsbedingungen und der Attraktivität bestimmter Berufe </w:t>
            </w:r>
            <w:r>
              <w:rPr>
                <w:b/>
                <w:i/>
              </w:rPr>
              <w:t>umfasst.</w:t>
            </w:r>
            <w:r>
              <w:t xml:space="preserve"> </w:t>
            </w:r>
            <w:r>
              <w:rPr>
                <w:b/>
                <w:i/>
              </w:rPr>
              <w:t>Aufgrund des derzeitigen Ausmaßes des Arbeitskräftemangels und der demografischen Entwicklung dürften Maßnahmen, die allein auf die einheimischen Arbeitskräfte</w:t>
            </w:r>
            <w:r>
              <w:rPr>
                <w:b/>
                <w:i/>
              </w:rPr>
              <w:t xml:space="preserve"> und die Arbeitskräfte in der Union abzielen, jedoch nicht ausreichen, um den bestehenden und künftigen Arbeitskräfte- und Fachkräftemangel zu beheben.</w:t>
            </w:r>
            <w:r>
              <w:t xml:space="preserve"> </w:t>
            </w:r>
            <w:r>
              <w:rPr>
                <w:b/>
                <w:i/>
              </w:rPr>
              <w:t>Die legale Migration ist daher von entscheidender Bedeutung, um diese Maßnahmen zu ergänzen, und muss Te</w:t>
            </w:r>
            <w:r>
              <w:rPr>
                <w:b/>
                <w:i/>
              </w:rPr>
              <w:t>il der Lösung</w:t>
            </w:r>
            <w:r>
              <w:t xml:space="preserve"> sein, </w:t>
            </w:r>
            <w:r>
              <w:rPr>
                <w:b/>
                <w:i/>
              </w:rPr>
              <w:t>um den ökologischen und digitalen Wandel in vollem Umfang zu unterstützen</w:t>
            </w:r>
            <w:r>
              <w:t>.</w:t>
            </w:r>
          </w:p>
        </w:tc>
        <w:tc>
          <w:tcPr>
            <w:tcW w:w="4876" w:type="dxa"/>
            <w:tcBorders>
              <w:top w:val="nil"/>
              <w:left w:val="nil"/>
              <w:bottom w:val="nil"/>
              <w:right w:val="nil"/>
            </w:tcBorders>
          </w:tcPr>
          <w:p w:rsidR="00BC254A" w:rsidRDefault="007914A5">
            <w:pPr>
              <w:pStyle w:val="Normal6a"/>
            </w:pPr>
            <w:r>
              <w:t>(2)</w:t>
            </w:r>
            <w:r>
              <w:tab/>
              <w:t xml:space="preserve">Die Bewältigung des Arbeitskräftemangels </w:t>
            </w:r>
            <w:r>
              <w:rPr>
                <w:b/>
                <w:i/>
              </w:rPr>
              <w:t>ist eine komplexe und vielfältige Herausforderung, deren Lösungen</w:t>
            </w:r>
            <w:r>
              <w:t xml:space="preserve"> die bessere Ausschöpfung des vollen Potenzials von</w:t>
            </w:r>
            <w:r>
              <w:t xml:space="preserve"> Gruppen mit einer geringeren Erwerbsbeteiligung, die Umschulung und Weiterbildung der vorhandenen Arbeitskräfte sowie die Verbesserung der Arbeitsbedingungen und der Attraktivität bestimmter Berufe </w:t>
            </w:r>
            <w:r>
              <w:rPr>
                <w:b/>
                <w:i/>
              </w:rPr>
              <w:t>umfassen sollten.</w:t>
            </w:r>
            <w:r>
              <w:t xml:space="preserve"> </w:t>
            </w:r>
            <w:r>
              <w:rPr>
                <w:b/>
                <w:i/>
              </w:rPr>
              <w:t>Es liegt in der Zuständigkeit der Mitgl</w:t>
            </w:r>
            <w:r>
              <w:rPr>
                <w:b/>
                <w:i/>
              </w:rPr>
              <w:t>iedstaaten, die Zahl der Drittstaatsangehörigen, denen ein Aufenthaltstitel als Arbeitnehmer oder Selbstständiger erteilt werden soll, festzulegen; daher muss es Sache der Mitgliedstaaten sein, zu entscheiden, ob sie am EU-Talentpool teilnehmen oder nicht,</w:t>
            </w:r>
            <w:r>
              <w:rPr>
                <w:b/>
                <w:i/>
              </w:rPr>
              <w:t xml:space="preserve"> und es ist wichtig, dass die Aufteilung der Befugnisse zwischen der EU und den Mitgliedstaaten respektiert wird; EU-Initiativen sollten stets so konzipiert</w:t>
            </w:r>
            <w:r>
              <w:t xml:space="preserve"> sein, </w:t>
            </w:r>
            <w:r>
              <w:rPr>
                <w:b/>
                <w:i/>
              </w:rPr>
              <w:t>dass Überschneidungen mit bestehenden Instrumenten vermieden werden</w:t>
            </w:r>
            <w:r>
              <w:t>.</w:t>
            </w:r>
          </w:p>
        </w:tc>
      </w:tr>
    </w:tbl>
    <w:p w:rsidR="00BC254A" w:rsidRDefault="007914A5">
      <w:pPr>
        <w:pStyle w:val="AmOrLang"/>
      </w:pPr>
      <w:r>
        <w:t xml:space="preserve">Or. </w:t>
      </w:r>
      <w:r>
        <w:rPr>
          <w:rStyle w:val="HideTWBExt"/>
        </w:rPr>
        <w:t>&lt;Original&gt;</w:t>
      </w:r>
      <w:r>
        <w:rPr>
          <w:rStyle w:val="HideTWBInt"/>
        </w:rPr>
        <w:t>{SV}</w:t>
      </w:r>
      <w:r>
        <w:t>sv</w:t>
      </w:r>
      <w:r>
        <w:rPr>
          <w:rStyle w:val="HideTWBExt"/>
        </w:rPr>
        <w:t>&lt;/O</w:t>
      </w:r>
      <w:r>
        <w:rPr>
          <w:rStyle w:val="HideTWBExt"/>
        </w:rPr>
        <w:t>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130</w:t>
      </w:r>
      <w:r>
        <w:rPr>
          <w:rStyle w:val="HideTWBExt"/>
        </w:rPr>
        <w:t>&lt;/NumAmB&gt;</w:t>
      </w:r>
    </w:p>
    <w:p w:rsidR="00BC254A" w:rsidRDefault="007914A5">
      <w:pPr>
        <w:pStyle w:val="NormalBold"/>
      </w:pPr>
      <w:r>
        <w:rPr>
          <w:rStyle w:val="HideTWBExt"/>
          <w:b w:val="0"/>
        </w:rPr>
        <w:t>&lt;RepeatBlock-By&gt;&lt;Members&gt;</w:t>
      </w:r>
      <w:r>
        <w:t>Nikolaos Anadiotis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 xml:space="preserve">Geänderter </w:t>
            </w:r>
            <w:r>
              <w:t>Text</w:t>
            </w:r>
          </w:p>
        </w:tc>
      </w:tr>
      <w:tr w:rsidR="00BC254A">
        <w:trPr>
          <w:jc w:val="center"/>
        </w:trPr>
        <w:tc>
          <w:tcPr>
            <w:tcW w:w="4876" w:type="dxa"/>
            <w:tcBorders>
              <w:top w:val="nil"/>
              <w:left w:val="nil"/>
              <w:bottom w:val="nil"/>
              <w:right w:val="nil"/>
            </w:tcBorders>
          </w:tcPr>
          <w:p w:rsidR="00BC254A" w:rsidRDefault="007914A5">
            <w:pPr>
              <w:pStyle w:val="Normal6a"/>
            </w:pPr>
            <w:r>
              <w:t>(2)</w:t>
            </w:r>
            <w:r>
              <w:tab/>
              <w:t xml:space="preserve">Die Bewältigung des Arbeitskräftemangels erfordert einen umfassenden Ansatz auf Unionsebene und auf nationaler Ebene, der vorrangig die </w:t>
            </w:r>
            <w:r>
              <w:lastRenderedPageBreak/>
              <w:t>bessere Ausschöpfung des vollen Potenzials von Gruppen mit einer geringeren Erwerbsbeteiligung, die Umschulung</w:t>
            </w:r>
            <w:r>
              <w:t xml:space="preserve"> und Weiterbildung der vorhandenen Arbeitskräfte</w:t>
            </w:r>
            <w:r>
              <w:rPr>
                <w:b/>
                <w:i/>
              </w:rPr>
              <w:t>, die Erleichterung der Arbeitskräftemobilität innerhalb der EU</w:t>
            </w:r>
            <w:r>
              <w:t xml:space="preserve"> sowie die Verbesserung der Arbeitsbedingungen und der Attraktivität bestimmter Berufe umfasst. Aufgrund des </w:t>
            </w:r>
            <w:r>
              <w:rPr>
                <w:b/>
                <w:i/>
              </w:rPr>
              <w:t>derzeitigen Ausmaßes des</w:t>
            </w:r>
            <w:r>
              <w:t xml:space="preserve"> Arbeitskräf</w:t>
            </w:r>
            <w:r>
              <w:t xml:space="preserve">temangels und der demografischen Entwicklung </w:t>
            </w:r>
            <w:r>
              <w:rPr>
                <w:b/>
                <w:i/>
              </w:rPr>
              <w:t>dürften</w:t>
            </w:r>
            <w:r>
              <w:t xml:space="preserve"> Maßnahmen, die </w:t>
            </w:r>
            <w:r>
              <w:rPr>
                <w:b/>
                <w:i/>
              </w:rPr>
              <w:t>allein</w:t>
            </w:r>
            <w:r>
              <w:t xml:space="preserve"> auf die einheimischen Arbeitskräfte und die Arbeitskräfte in der Union </w:t>
            </w:r>
            <w:r>
              <w:rPr>
                <w:b/>
                <w:i/>
              </w:rPr>
              <w:t>abzielen, jedoch nicht ausreichen</w:t>
            </w:r>
            <w:r>
              <w:t>, um den bestehenden und künftigen Arbeitskräfte- und Fachkräftemangel zu beh</w:t>
            </w:r>
            <w:r>
              <w:t>eben</w:t>
            </w:r>
            <w:r>
              <w:rPr>
                <w:b/>
                <w:i/>
              </w:rPr>
              <w:t>.</w:t>
            </w:r>
            <w:r>
              <w:t xml:space="preserve"> </w:t>
            </w:r>
            <w:r>
              <w:rPr>
                <w:b/>
                <w:i/>
              </w:rPr>
              <w:t>Die legale Migration ist daher von entscheidender Bedeutung, um diese Maßnahmen zu ergänzen, und muss Teil der Lösung sein, um den ökologischen und digitalen Wandel in vollem Umfang zu unterstützen</w:t>
            </w:r>
            <w:r>
              <w:t>.</w:t>
            </w:r>
          </w:p>
        </w:tc>
        <w:tc>
          <w:tcPr>
            <w:tcW w:w="4876" w:type="dxa"/>
            <w:tcBorders>
              <w:top w:val="nil"/>
              <w:left w:val="nil"/>
              <w:bottom w:val="nil"/>
              <w:right w:val="nil"/>
            </w:tcBorders>
          </w:tcPr>
          <w:p w:rsidR="00BC254A" w:rsidRDefault="007914A5">
            <w:pPr>
              <w:pStyle w:val="Normal6a"/>
            </w:pPr>
            <w:r>
              <w:lastRenderedPageBreak/>
              <w:t>(2)</w:t>
            </w:r>
            <w:r>
              <w:tab/>
            </w:r>
            <w:r>
              <w:t xml:space="preserve">Die Bewältigung des Arbeitskräftemangels erfordert einen umfassenden Ansatz auf Unionsebene und auf nationaler Ebene, der vorrangig die </w:t>
            </w:r>
            <w:r>
              <w:lastRenderedPageBreak/>
              <w:t>bessere Ausschöpfung des vollen Potenzials von Gruppen mit einer geringeren Erwerbsbeteiligung, die Umschulung und Weite</w:t>
            </w:r>
            <w:r>
              <w:t xml:space="preserve">rbildung der vorhandenen Arbeitskräfte sowie die Verbesserung der Arbeitsbedingungen und der Attraktivität bestimmter Berufe umfasst. Aufgrund des Arbeitskräftemangels und der demografischen Entwicklung </w:t>
            </w:r>
            <w:r>
              <w:rPr>
                <w:b/>
                <w:i/>
              </w:rPr>
              <w:t>setzen</w:t>
            </w:r>
            <w:r>
              <w:t xml:space="preserve"> Maßnahmen, die </w:t>
            </w:r>
            <w:r>
              <w:rPr>
                <w:b/>
                <w:i/>
              </w:rPr>
              <w:t>nicht nur</w:t>
            </w:r>
            <w:r>
              <w:t xml:space="preserve"> auf die einheimischen</w:t>
            </w:r>
            <w:r>
              <w:t xml:space="preserve"> Arbeitskräfte und die Arbeitskräfte in der Union</w:t>
            </w:r>
            <w:r>
              <w:rPr>
                <w:b/>
                <w:i/>
              </w:rPr>
              <w:t>, sondern auch auf die legale Migration abzielen</w:t>
            </w:r>
            <w:r>
              <w:t>, um den bestehenden und künftigen Arbeitskräfte- und Fachkräftemangel zu beheben</w:t>
            </w:r>
            <w:r>
              <w:rPr>
                <w:b/>
                <w:i/>
              </w:rPr>
              <w:t>, in erster Linie die Umsetzung von Strategien voraus, mit denen der Kompetenz</w:t>
            </w:r>
            <w:r>
              <w:rPr>
                <w:b/>
                <w:i/>
              </w:rPr>
              <w:t>aufbau innerhalb der Union gefördert und so die Produktivität der bereits vorhandenen Bevölkerung in den Mitgliedstaaten gesteigert wird</w:t>
            </w:r>
            <w:r>
              <w:t>.</w:t>
            </w:r>
          </w:p>
        </w:tc>
      </w:tr>
    </w:tbl>
    <w:p w:rsidR="00BC254A" w:rsidRDefault="007914A5">
      <w:pPr>
        <w:pStyle w:val="AmOrLang"/>
      </w:pPr>
      <w:r>
        <w:lastRenderedPageBreak/>
        <w:t xml:space="preserve">Or. </w:t>
      </w:r>
      <w:r>
        <w:rPr>
          <w:rStyle w:val="HideTWBExt"/>
        </w:rPr>
        <w:t>&lt;Original&gt;</w:t>
      </w:r>
      <w:r>
        <w:rPr>
          <w:rStyle w:val="HideTWBInt"/>
        </w:rPr>
        <w:t>{EL}</w:t>
      </w:r>
      <w:r>
        <w:t>el</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131</w:t>
      </w:r>
      <w:r>
        <w:rPr>
          <w:rStyle w:val="HideTWBExt"/>
        </w:rPr>
        <w:t>&lt;/NumAmB&gt;</w:t>
      </w:r>
    </w:p>
    <w:p w:rsidR="00BC254A" w:rsidRDefault="007914A5">
      <w:pPr>
        <w:pStyle w:val="NormalBold"/>
      </w:pPr>
      <w:r>
        <w:rPr>
          <w:rStyle w:val="HideTWBExt"/>
          <w:b w:val="0"/>
        </w:rPr>
        <w:t>&lt;RepeatBlock-By&gt;&lt;Members&gt;</w:t>
      </w:r>
      <w:r>
        <w:t>Lena</w:t>
      </w:r>
      <w:r>
        <w:t xml:space="preserve"> Düpont, Tomas Tobé</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w:t>
            </w:r>
            <w:r>
              <w:tab/>
            </w:r>
            <w:r>
              <w:t>Die Bewältigung des Arbeitskräftemangels erfordert einen umfassenden Ansatz auf Unionsebene und auf nationaler Ebene, der vorrangig die bessere Ausschöpfung des vollen Potenzials von Gruppen mit einer geringeren Erwerbsbeteiligung, die Umschulung und Weite</w:t>
            </w:r>
            <w:r>
              <w:t xml:space="preserve">rbildung der vorhandenen Arbeitskräfte, die Erleichterung der Arbeitskräftemobilität innerhalb der EU sowie die Verbesserung </w:t>
            </w:r>
            <w:r>
              <w:lastRenderedPageBreak/>
              <w:t xml:space="preserve">der Arbeitsbedingungen und der Attraktivität bestimmter Berufe umfasst. Aufgrund des derzeitigen Ausmaßes des Arbeitskräftemangels </w:t>
            </w:r>
            <w:r>
              <w:t xml:space="preserve">und der demografischen Entwicklung dürften Maßnahmen, die allein auf die einheimischen Arbeitskräfte und die Arbeitskräfte in der Union abzielen, jedoch nicht ausreichen, um den bestehenden und künftigen Arbeitskräfte- und Fachkräftemangel zu beheben. Die </w:t>
            </w:r>
            <w:r>
              <w:t xml:space="preserve">legale Migration </w:t>
            </w:r>
            <w:r>
              <w:rPr>
                <w:b/>
                <w:i/>
              </w:rPr>
              <w:t>ist daher von entscheidender Bedeutung, um</w:t>
            </w:r>
            <w:r>
              <w:t xml:space="preserve"> diese Maßnahmen </w:t>
            </w:r>
            <w:r>
              <w:rPr>
                <w:b/>
                <w:i/>
              </w:rPr>
              <w:t>zu</w:t>
            </w:r>
            <w:r>
              <w:t xml:space="preserve"> ergänzen</w:t>
            </w:r>
            <w:r>
              <w:rPr>
                <w:b/>
                <w:i/>
              </w:rPr>
              <w:t>, und muss</w:t>
            </w:r>
            <w:r>
              <w:t xml:space="preserve"> Teil der Lösung sein, um den ökologischen und digitalen Wandel in vollem Umfang zu unterstützen.</w:t>
            </w:r>
          </w:p>
        </w:tc>
        <w:tc>
          <w:tcPr>
            <w:tcW w:w="4876" w:type="dxa"/>
            <w:tcBorders>
              <w:top w:val="nil"/>
              <w:left w:val="nil"/>
              <w:bottom w:val="nil"/>
              <w:right w:val="nil"/>
            </w:tcBorders>
          </w:tcPr>
          <w:p w:rsidR="00BC254A" w:rsidRDefault="007914A5">
            <w:pPr>
              <w:pStyle w:val="Normal6a"/>
            </w:pPr>
            <w:r>
              <w:lastRenderedPageBreak/>
              <w:t>(2)</w:t>
            </w:r>
            <w:r>
              <w:tab/>
              <w:t xml:space="preserve">Die Bewältigung des Arbeitskräftemangels erfordert einen </w:t>
            </w:r>
            <w:r>
              <w:t>umfassenden Ansatz auf Unionsebene und auf nationaler Ebene, der vorrangig die bessere Ausschöpfung des vollen Potenzials von Gruppen mit einer geringeren Erwerbsbeteiligung, die Umschulung und Weiterbildung der vorhandenen Arbeitskräfte, die Erleichterung</w:t>
            </w:r>
            <w:r>
              <w:t xml:space="preserve"> der Arbeitskräftemobilität innerhalb der EU sowie die Verbesserung </w:t>
            </w:r>
            <w:r>
              <w:lastRenderedPageBreak/>
              <w:t>der Arbeitsbedingungen und der Attraktivität bestimmter Berufe umfasst. Aufgrund des derzeitigen Ausmaßes des Arbeitskräftemangels und der demografischen Entwicklung dürften Maßnahmen, die</w:t>
            </w:r>
            <w:r>
              <w:t xml:space="preserve"> allein auf die einheimischen Arbeitskräfte und die Arbeitskräfte in der Union abzielen, jedoch nicht ausreichen, um den bestehenden und künftigen Arbeitskräfte- und Fachkräftemangel zu beheben. Die legale Migration </w:t>
            </w:r>
            <w:r>
              <w:rPr>
                <w:b/>
                <w:i/>
              </w:rPr>
              <w:t>könnte</w:t>
            </w:r>
            <w:r>
              <w:t xml:space="preserve"> diese Maßnahmen ergänzen </w:t>
            </w:r>
            <w:r>
              <w:rPr>
                <w:b/>
                <w:i/>
              </w:rPr>
              <w:t>und</w:t>
            </w:r>
            <w:r>
              <w:t xml:space="preserve"> Teil</w:t>
            </w:r>
            <w:r>
              <w:t xml:space="preserve"> der Lösung sein, um </w:t>
            </w:r>
            <w:r>
              <w:rPr>
                <w:b/>
                <w:i/>
              </w:rPr>
              <w:t>die Wettbewerbsfähigkeit Europas zu steigern und</w:t>
            </w:r>
            <w:r>
              <w:t xml:space="preserve"> den ökologischen und </w:t>
            </w:r>
            <w:r>
              <w:rPr>
                <w:b/>
                <w:i/>
              </w:rPr>
              <w:t>den</w:t>
            </w:r>
            <w:r>
              <w:t xml:space="preserve"> digitalen Wandel in vollem Umfang zu unterstützen.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132</w:t>
      </w:r>
      <w:r>
        <w:rPr>
          <w:rStyle w:val="HideTWBExt"/>
        </w:rPr>
        <w:t>&lt;/NumAmB&gt;</w:t>
      </w:r>
    </w:p>
    <w:p w:rsidR="00BC254A" w:rsidRDefault="007914A5">
      <w:pPr>
        <w:pStyle w:val="NormalBold"/>
      </w:pPr>
      <w:r>
        <w:rPr>
          <w:rStyle w:val="HideTWBExt"/>
          <w:b w:val="0"/>
        </w:rPr>
        <w:t>&lt;RepeatBlock-By&gt;</w:t>
      </w:r>
      <w:r>
        <w:rPr>
          <w:rStyle w:val="HideTWBExt"/>
          <w:b w:val="0"/>
        </w:rPr>
        <w:t>&lt;Members&gt;</w:t>
      </w:r>
      <w:r>
        <w:t>François-Xavier Bellamy</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w:t>
            </w:r>
            <w:r>
              <w:tab/>
            </w:r>
            <w:r>
              <w:t>Die Bewältigung des Arbeitskräftemangels erfordert einen umfassenden Ansatz auf Unionsebene und auf nationaler Ebene, der vorrangig die bessere Ausschöpfung des vollen Potenzials von Gruppen mit einer geringeren Erwerbsbeteiligung, die Umschulung und Weite</w:t>
            </w:r>
            <w:r>
              <w:t xml:space="preserve">rbildung der vorhandenen Arbeitskräfte, die Erleichterung der Arbeitskräftemobilität innerhalb der EU sowie die Verbesserung der Arbeitsbedingungen und der Attraktivität bestimmter Berufe umfasst. Aufgrund des derzeitigen Ausmaßes des Arbeitskräftemangels </w:t>
            </w:r>
            <w:r>
              <w:t xml:space="preserve">und der demografischen Entwicklung </w:t>
            </w:r>
            <w:r>
              <w:rPr>
                <w:b/>
                <w:i/>
              </w:rPr>
              <w:t>dürften Maßnahmen, die allein</w:t>
            </w:r>
            <w:r>
              <w:t xml:space="preserve"> auf die </w:t>
            </w:r>
            <w:r>
              <w:rPr>
                <w:b/>
                <w:i/>
              </w:rPr>
              <w:t xml:space="preserve">einheimischen Arbeitskräfte und die Arbeitskräfte in der Union abzielen, </w:t>
            </w:r>
            <w:r>
              <w:rPr>
                <w:b/>
                <w:i/>
              </w:rPr>
              <w:lastRenderedPageBreak/>
              <w:t>jedoch nicht ausreichen, um den bestehenden und künftigen Arbeitskräfte- und Fachkräftemangel zu beheben.</w:t>
            </w:r>
            <w:r>
              <w:t xml:space="preserve"> </w:t>
            </w:r>
            <w:r>
              <w:rPr>
                <w:b/>
                <w:i/>
              </w:rPr>
              <w:t xml:space="preserve">Die </w:t>
            </w:r>
            <w:r>
              <w:rPr>
                <w:b/>
                <w:i/>
              </w:rPr>
              <w:t>legale Migration ist daher</w:t>
            </w:r>
            <w:r>
              <w:t xml:space="preserve"> von entscheidender Bedeutung, </w:t>
            </w:r>
            <w:r>
              <w:rPr>
                <w:b/>
                <w:i/>
              </w:rPr>
              <w:t>um diese Maßnahmen zu ergänzen, und muss Teil der Lösung sein, um den ökologischen und digitalen Wandel in vollem Umfang zu unterstützen</w:t>
            </w:r>
            <w:r>
              <w:t>.</w:t>
            </w:r>
          </w:p>
        </w:tc>
        <w:tc>
          <w:tcPr>
            <w:tcW w:w="4876" w:type="dxa"/>
            <w:tcBorders>
              <w:top w:val="nil"/>
              <w:left w:val="nil"/>
              <w:bottom w:val="nil"/>
              <w:right w:val="nil"/>
            </w:tcBorders>
          </w:tcPr>
          <w:p w:rsidR="00BC254A" w:rsidRDefault="007914A5">
            <w:pPr>
              <w:pStyle w:val="Normal6a"/>
            </w:pPr>
            <w:r>
              <w:lastRenderedPageBreak/>
              <w:t>(2)</w:t>
            </w:r>
            <w:r>
              <w:tab/>
            </w:r>
            <w:r>
              <w:t>Die Bewältigung des Arbeitskräftemangels erfordert einen umfassenden Ansatz auf Unionsebene und auf nationaler Ebene, der vorrangig die bessere Ausschöpfung des vollen Potenzials von Gruppen mit einer geringeren Erwerbsbeteiligung, die Umschulung und Weite</w:t>
            </w:r>
            <w:r>
              <w:t xml:space="preserve">rbildung der vorhandenen Arbeitskräfte, die Erleichterung der Arbeitskräftemobilität innerhalb der EU sowie die Verbesserung der Arbeitsbedingungen und der Attraktivität bestimmter Berufe umfasst. Aufgrund des derzeitigen Ausmaßes des Arbeitskräftemangels </w:t>
            </w:r>
            <w:r>
              <w:t xml:space="preserve">und der demografischen Entwicklung </w:t>
            </w:r>
            <w:r>
              <w:rPr>
                <w:b/>
                <w:i/>
              </w:rPr>
              <w:t>und im Hinblick</w:t>
            </w:r>
            <w:r>
              <w:t xml:space="preserve"> auf die </w:t>
            </w:r>
            <w:r>
              <w:rPr>
                <w:b/>
                <w:i/>
              </w:rPr>
              <w:t xml:space="preserve">Bekämpfung der strukturellen Arbeitslosigkeit bei gleichzeitiger Förderung eines </w:t>
            </w:r>
            <w:r>
              <w:rPr>
                <w:b/>
                <w:i/>
              </w:rPr>
              <w:lastRenderedPageBreak/>
              <w:t>nachhaltigen Wirtschaftswachstums in Europa ist es</w:t>
            </w:r>
            <w:r>
              <w:t xml:space="preserve"> von entscheidender Bedeutung, </w:t>
            </w:r>
            <w:r>
              <w:rPr>
                <w:b/>
                <w:i/>
              </w:rPr>
              <w:t xml:space="preserve">in die Entwicklung der Kompetenzen </w:t>
            </w:r>
            <w:r>
              <w:rPr>
                <w:b/>
                <w:i/>
              </w:rPr>
              <w:t>europäischer Arbeitskräfte zu investieren und die Arbeitsbedingungen zu verbessern, um Mangelberufe attraktiver zu machen</w:t>
            </w:r>
            <w:r>
              <w:t>.</w:t>
            </w:r>
          </w:p>
        </w:tc>
      </w:tr>
    </w:tbl>
    <w:p w:rsidR="00BC254A" w:rsidRDefault="007914A5">
      <w:pPr>
        <w:pStyle w:val="AmOrLang"/>
      </w:pPr>
      <w:r>
        <w:lastRenderedPageBreak/>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133</w:t>
      </w:r>
      <w:r>
        <w:rPr>
          <w:rStyle w:val="HideTWBExt"/>
        </w:rPr>
        <w:t>&lt;/NumAmB&gt;</w:t>
      </w:r>
    </w:p>
    <w:p w:rsidR="00BC254A" w:rsidRDefault="007914A5">
      <w:pPr>
        <w:pStyle w:val="NormalBold"/>
      </w:pPr>
      <w:r>
        <w:rPr>
          <w:rStyle w:val="HideTWBExt"/>
          <w:b w:val="0"/>
        </w:rPr>
        <w:t>&lt;RepeatBlock-By&gt;&lt;Members&gt;</w:t>
      </w:r>
      <w:r>
        <w:t>Sebastian Tynkkynen</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w:t>
            </w:r>
            <w:r>
              <w:tab/>
            </w:r>
            <w:r>
              <w:t>Die Bewältigung des Arbeitskräftemangels erfordert einen umfassenden Ansatz auf Unionsebene und auf nationaler Ebene, der vorrangig die bessere Ausschöpfung des vollen Potenzials von Gruppen mit einer geringeren Erwerbsbeteiligung, die Umschulung und Weite</w:t>
            </w:r>
            <w:r>
              <w:t xml:space="preserve">rbildung der vorhandenen Arbeitskräfte, die Erleichterung der Arbeitskräftemobilität innerhalb der EU sowie die Verbesserung der Arbeitsbedingungen und der Attraktivität bestimmter Berufe umfasst. Aufgrund des derzeitigen Ausmaßes des Arbeitskräftemangels </w:t>
            </w:r>
            <w:r>
              <w:t xml:space="preserve">und der demografischen Entwicklung dürften Maßnahmen, die allein auf die einheimischen Arbeitskräfte und die Arbeitskräfte in der Union abzielen, jedoch nicht ausreichen, um den bestehenden und künftigen Arbeitskräfte- und Fachkräftemangel zu beheben. Die </w:t>
            </w:r>
            <w:r>
              <w:t xml:space="preserve">legale Migration ist daher von entscheidender Bedeutung, um diese Maßnahmen zu ergänzen, und muss Teil der Lösung sein, um </w:t>
            </w:r>
            <w:r>
              <w:rPr>
                <w:b/>
                <w:i/>
              </w:rPr>
              <w:t>den ökologischen und</w:t>
            </w:r>
            <w:r>
              <w:t xml:space="preserve"> digitalen </w:t>
            </w:r>
            <w:r>
              <w:lastRenderedPageBreak/>
              <w:t>Wandel in vollem Umfang zu unterstützen.</w:t>
            </w:r>
          </w:p>
        </w:tc>
        <w:tc>
          <w:tcPr>
            <w:tcW w:w="4876" w:type="dxa"/>
            <w:tcBorders>
              <w:top w:val="nil"/>
              <w:left w:val="nil"/>
              <w:bottom w:val="nil"/>
              <w:right w:val="nil"/>
            </w:tcBorders>
          </w:tcPr>
          <w:p w:rsidR="00BC254A" w:rsidRDefault="007914A5">
            <w:pPr>
              <w:pStyle w:val="Normal6a"/>
            </w:pPr>
            <w:r>
              <w:lastRenderedPageBreak/>
              <w:t>(2)</w:t>
            </w:r>
            <w:r>
              <w:tab/>
            </w:r>
            <w:r>
              <w:t>Die Bewältigung des Arbeitskräftemangels erfordert einen umfassenden Ansatz auf Unionsebene und auf nationaler Ebene, der vorrangig die bessere Ausschöpfung des vollen Potenzials von Gruppen mit einer geringeren Erwerbsbeteiligung, die Umschulung und Weite</w:t>
            </w:r>
            <w:r>
              <w:t xml:space="preserve">rbildung der vorhandenen Arbeitskräfte, die Erleichterung der Arbeitskräftemobilität innerhalb der EU sowie die Verbesserung der Arbeitsbedingungen und der Attraktivität bestimmter Berufe umfasst. Aufgrund des derzeitigen Ausmaßes des Arbeitskräftemangels </w:t>
            </w:r>
            <w:r>
              <w:t xml:space="preserve">und der demografischen Entwicklung dürften Maßnahmen, die allein auf die einheimischen Arbeitskräfte und die Arbeitskräfte in der Union abzielen, jedoch nicht ausreichen, um den bestehenden und künftigen Arbeitskräfte- und Fachkräftemangel zu beheben. Die </w:t>
            </w:r>
            <w:r>
              <w:t xml:space="preserve">legale Migration ist daher von entscheidender Bedeutung, um diese Maßnahmen zu ergänzen, und muss Teil der Lösung sein, um </w:t>
            </w:r>
            <w:r>
              <w:rPr>
                <w:b/>
                <w:i/>
              </w:rPr>
              <w:t xml:space="preserve">die Umstellung auf saubere Energie </w:t>
            </w:r>
            <w:r>
              <w:rPr>
                <w:b/>
                <w:i/>
              </w:rPr>
              <w:lastRenderedPageBreak/>
              <w:t>und den</w:t>
            </w:r>
            <w:r>
              <w:t xml:space="preserve"> digitalen Wandel in vollem Umfang zu unterstützen.</w:t>
            </w:r>
          </w:p>
        </w:tc>
      </w:tr>
    </w:tbl>
    <w:p w:rsidR="00BC254A" w:rsidRDefault="007914A5">
      <w:pPr>
        <w:pStyle w:val="AmOrLang"/>
      </w:pPr>
      <w:r>
        <w:lastRenderedPageBreak/>
        <w:t xml:space="preserve">Or. </w:t>
      </w:r>
      <w:r>
        <w:rPr>
          <w:rStyle w:val="HideTWBExt"/>
        </w:rPr>
        <w:t>&lt;Original&gt;</w:t>
      </w:r>
      <w:r>
        <w:rPr>
          <w:rStyle w:val="HideTWBInt"/>
        </w:rPr>
        <w:t>{FI}</w:t>
      </w:r>
      <w:r>
        <w:t>fi</w:t>
      </w:r>
      <w:r>
        <w:rPr>
          <w:rStyle w:val="HideTWBExt"/>
        </w:rPr>
        <w:t>&lt;/Original&gt;</w:t>
      </w:r>
    </w:p>
    <w:p w:rsidR="00BC254A" w:rsidRDefault="007914A5">
      <w:r>
        <w:rPr>
          <w:rStyle w:val="HideTWBExt"/>
        </w:rPr>
        <w:t>&lt;/Amen</w:t>
      </w:r>
      <w:r>
        <w:rPr>
          <w:rStyle w:val="HideTWBExt"/>
        </w:rPr>
        <w:t>dB&gt;</w:t>
      </w:r>
    </w:p>
    <w:p w:rsidR="00BC254A" w:rsidRDefault="007914A5">
      <w:pPr>
        <w:pStyle w:val="AmNumberTabs"/>
      </w:pPr>
      <w:r>
        <w:rPr>
          <w:rStyle w:val="HideTWBExt"/>
        </w:rPr>
        <w:t>&lt;AmendB&gt;</w:t>
      </w:r>
      <w:r>
        <w:t>Änderungsantrag</w:t>
      </w:r>
      <w:r>
        <w:tab/>
      </w:r>
      <w:r>
        <w:tab/>
      </w:r>
      <w:r>
        <w:rPr>
          <w:rStyle w:val="HideTWBExt"/>
        </w:rPr>
        <w:t>&lt;NumAmB&gt;</w:t>
      </w:r>
      <w:r>
        <w:t>134</w:t>
      </w:r>
      <w:r>
        <w:rPr>
          <w:rStyle w:val="HideTWBExt"/>
        </w:rPr>
        <w:t>&lt;/NumAmB&gt;</w:t>
      </w:r>
    </w:p>
    <w:p w:rsidR="00BC254A" w:rsidRDefault="007914A5">
      <w:pPr>
        <w:pStyle w:val="NormalBold"/>
      </w:pPr>
      <w:r>
        <w:rPr>
          <w:rStyle w:val="HideTWBExt"/>
          <w:b w:val="0"/>
        </w:rPr>
        <w:t>&lt;RepeatBlock-By&gt;&lt;Members&gt;</w:t>
      </w:r>
      <w:r>
        <w:t>Charlie Weimers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w:t>
            </w:r>
            <w:r>
              <w:tab/>
            </w:r>
            <w:r>
              <w:t xml:space="preserve">Die Bewältigung </w:t>
            </w:r>
            <w:r>
              <w:rPr>
                <w:b/>
                <w:i/>
              </w:rPr>
              <w:t>des</w:t>
            </w:r>
            <w:r>
              <w:t xml:space="preserve"> Arbeitskräftemangels erfordert </w:t>
            </w:r>
            <w:r>
              <w:rPr>
                <w:b/>
                <w:i/>
              </w:rPr>
              <w:t>einen umfassenden Ansatz auf Unionsebene und auf nationaler Ebene, der vorrangig die</w:t>
            </w:r>
            <w:r>
              <w:t xml:space="preserve"> bessere Ausschöpfung des vollen Potenzials </w:t>
            </w:r>
            <w:r>
              <w:rPr>
                <w:b/>
                <w:i/>
              </w:rPr>
              <w:t>von Gruppen mit einer geringeren Erwerbsbeteiligung, die Umschulung und Weite</w:t>
            </w:r>
            <w:r>
              <w:rPr>
                <w:b/>
                <w:i/>
              </w:rPr>
              <w:t>rbildung der vorhandenen Arbeitskräfte, die Erleichterung der Arbeitskräftemobilität innerhalb der EU sowie die Verbesserung der Arbeitsbedingungen und der Attraktivität bestimmter Berufe umfasst.</w:t>
            </w:r>
            <w:r>
              <w:t xml:space="preserve"> </w:t>
            </w:r>
            <w:r>
              <w:rPr>
                <w:b/>
                <w:i/>
              </w:rPr>
              <w:t xml:space="preserve">Aufgrund des derzeitigen Ausmaßes des Arbeitskräftemangels </w:t>
            </w:r>
            <w:r>
              <w:rPr>
                <w:b/>
                <w:i/>
              </w:rPr>
              <w:t>und der demografischen Entwicklung dürften Maßnahmen, die allein auf die einheimischen Arbeitskräfte und die Arbeitskräfte in der Union abzielen, jedoch nicht ausreichen, um den bestehenden und künftigen Arbeitskräfte- und Fachkräftemangel zu beheben.</w:t>
            </w:r>
            <w:r>
              <w:t xml:space="preserve"> </w:t>
            </w:r>
            <w:r>
              <w:rPr>
                <w:b/>
                <w:i/>
              </w:rPr>
              <w:t xml:space="preserve">Die </w:t>
            </w:r>
            <w:r>
              <w:rPr>
                <w:b/>
                <w:i/>
              </w:rPr>
              <w:t>legale Migration ist daher von entscheidender Bedeutung, um diese Maßnahmen zu ergänzen, und muss Teil der Lösung sein, um den ökologischen und digitalen Wandel in vollem Umfang zu unterstützen</w:t>
            </w:r>
            <w:r>
              <w:t>.</w:t>
            </w:r>
          </w:p>
        </w:tc>
        <w:tc>
          <w:tcPr>
            <w:tcW w:w="4876" w:type="dxa"/>
            <w:tcBorders>
              <w:top w:val="nil"/>
              <w:left w:val="nil"/>
              <w:bottom w:val="nil"/>
              <w:right w:val="nil"/>
            </w:tcBorders>
          </w:tcPr>
          <w:p w:rsidR="00BC254A" w:rsidRDefault="007914A5">
            <w:pPr>
              <w:pStyle w:val="Normal6a"/>
            </w:pPr>
            <w:r>
              <w:t>(2)</w:t>
            </w:r>
            <w:r>
              <w:tab/>
              <w:t xml:space="preserve">Die Bewältigung </w:t>
            </w:r>
            <w:r>
              <w:rPr>
                <w:b/>
                <w:i/>
              </w:rPr>
              <w:t>eines möglichen</w:t>
            </w:r>
            <w:r>
              <w:t xml:space="preserve"> Arbeitskräftemangels erfordert </w:t>
            </w:r>
            <w:r>
              <w:rPr>
                <w:b/>
                <w:i/>
              </w:rPr>
              <w:t>eine nationale Strategie, die insbesondere eine</w:t>
            </w:r>
            <w:r>
              <w:t xml:space="preserve"> bessere Ausschöpfung des vollen Potenzials </w:t>
            </w:r>
            <w:r>
              <w:rPr>
                <w:b/>
                <w:i/>
              </w:rPr>
              <w:t>der eigenen Bevölkerung des Landes, aber auch Vorausdenken und die Stärkung der rechtlichen, wirtschaftlichen und moralischen Stellun</w:t>
            </w:r>
            <w:r>
              <w:rPr>
                <w:b/>
                <w:i/>
              </w:rPr>
              <w:t>g der Familie umfasst. Darüber hinaus muss das Problem des ungehinderten Zustroms von Migranten angegangen werden, da dadurch die Wohlfahrt der Nationen ausgehöhlt wird und unbegrenzte Hindernisse für das Wohlstandswachstum geschaffen werden, da früher hom</w:t>
            </w:r>
            <w:r>
              <w:rPr>
                <w:b/>
                <w:i/>
              </w:rPr>
              <w:t>ogene Gesellschaften immer fragmentierter, unsicherer und völlig unvorhersehbar werden. Daher muss Illegalen die Einreise verweigert werden, Illegale müssen in Haft genommen und anschließend abgeschoben werden, jegliche Hilfe für illegale Migranten muss al</w:t>
            </w:r>
            <w:r>
              <w:rPr>
                <w:b/>
                <w:i/>
              </w:rPr>
              <w:t>s Straftat eingestuft werden, Migranten, die sich nach fünf bis zehn Jahren nicht angepasst haben, müssen abgeschoben werden, Migranten, die Straftaten begehen, müssen die Staatsbürgerschaft verlieren und gemeinsam mit ihren Familien abgeschoben werden – u</w:t>
            </w:r>
            <w:r>
              <w:rPr>
                <w:b/>
                <w:i/>
              </w:rPr>
              <w:t>mgekehrte Familienzusammenführung</w:t>
            </w:r>
            <w:r>
              <w:t>.</w:t>
            </w:r>
          </w:p>
        </w:tc>
      </w:tr>
    </w:tbl>
    <w:p w:rsidR="00BC254A" w:rsidRDefault="007914A5">
      <w:pPr>
        <w:pStyle w:val="AmOrLang"/>
      </w:pPr>
      <w:r>
        <w:t xml:space="preserve">Or. </w:t>
      </w:r>
      <w:r>
        <w:rPr>
          <w:rStyle w:val="HideTWBExt"/>
        </w:rPr>
        <w:t>&lt;Original&gt;</w:t>
      </w:r>
      <w:r>
        <w:rPr>
          <w:rStyle w:val="HideTWBInt"/>
        </w:rPr>
        <w:t>{SV}</w:t>
      </w:r>
      <w:r>
        <w:t>sv</w:t>
      </w:r>
      <w:r>
        <w:rPr>
          <w:rStyle w:val="HideTWBExt"/>
        </w:rPr>
        <w:t>&lt;/Original&gt;</w:t>
      </w:r>
    </w:p>
    <w:p w:rsidR="00BC254A" w:rsidRDefault="007914A5">
      <w:r>
        <w:rPr>
          <w:rStyle w:val="HideTWBExt"/>
        </w:rPr>
        <w:lastRenderedPageBreak/>
        <w:t>&lt;/AmendB&gt;</w:t>
      </w:r>
    </w:p>
    <w:p w:rsidR="00BC254A" w:rsidRDefault="007914A5">
      <w:pPr>
        <w:pStyle w:val="AmNumberTabs"/>
      </w:pPr>
      <w:r>
        <w:rPr>
          <w:rStyle w:val="HideTWBExt"/>
        </w:rPr>
        <w:t>&lt;AmendB&gt;</w:t>
      </w:r>
      <w:r>
        <w:t>Änderungsantrag</w:t>
      </w:r>
      <w:r>
        <w:tab/>
      </w:r>
      <w:r>
        <w:tab/>
      </w:r>
      <w:r>
        <w:rPr>
          <w:rStyle w:val="HideTWBExt"/>
        </w:rPr>
        <w:t>&lt;NumAmB&gt;</w:t>
      </w:r>
      <w:r>
        <w:t>135</w:t>
      </w:r>
      <w:r>
        <w:rPr>
          <w:rStyle w:val="HideTWBExt"/>
        </w:rPr>
        <w:t>&lt;/NumAmB&gt;</w:t>
      </w:r>
    </w:p>
    <w:p w:rsidR="00BC254A" w:rsidRDefault="007914A5">
      <w:pPr>
        <w:pStyle w:val="NormalBold"/>
      </w:pPr>
      <w:r>
        <w:rPr>
          <w:rStyle w:val="HideTWBExt"/>
          <w:b w:val="0"/>
        </w:rPr>
        <w:t>&lt;RepeatBlock-By&gt;&lt;Members&gt;</w:t>
      </w:r>
      <w:r>
        <w:t>Petra Steger, Jaroslav Bžoch, Fabrice Leggeri, António Tânger Corrêa, Jorge Buxadé Villalba</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w:t>
            </w:r>
            <w:r>
              <w:tab/>
              <w:t xml:space="preserve">Die Bewältigung des Arbeitskräftemangels </w:t>
            </w:r>
            <w:r>
              <w:rPr>
                <w:b/>
                <w:i/>
              </w:rPr>
              <w:t xml:space="preserve">erfordert einen umfassenden Ansatz auf Unionsebene und auf </w:t>
            </w:r>
            <w:r>
              <w:rPr>
                <w:b/>
                <w:i/>
              </w:rPr>
              <w:t>nationaler Ebene, der vorrangig die bessere Ausschöpfung des vollen Potenzials von Gruppen mit einer geringeren Erwerbsbeteiligung, die Umschulung und Weiterbildung der vorhandenen Arbeitskräfte, die Erleichterung der</w:t>
            </w:r>
            <w:r>
              <w:t xml:space="preserve"> Arbeitskräftemobilität innerhalb der E</w:t>
            </w:r>
            <w:r>
              <w:t xml:space="preserve">U </w:t>
            </w:r>
            <w:r>
              <w:rPr>
                <w:b/>
                <w:i/>
              </w:rPr>
              <w:t>sowie die Verbesserung der</w:t>
            </w:r>
            <w:r>
              <w:t xml:space="preserve"> Arbeitsbedingungen und </w:t>
            </w:r>
            <w:r>
              <w:rPr>
                <w:b/>
                <w:i/>
              </w:rPr>
              <w:t>der</w:t>
            </w:r>
            <w:r>
              <w:t xml:space="preserve"> Attraktivität bestimmter Berufe </w:t>
            </w:r>
            <w:r>
              <w:rPr>
                <w:b/>
                <w:i/>
              </w:rPr>
              <w:t>umfasst.</w:t>
            </w:r>
            <w:r>
              <w:t xml:space="preserve"> </w:t>
            </w:r>
            <w:r>
              <w:rPr>
                <w:b/>
                <w:i/>
              </w:rPr>
              <w:t>Aufgrund des derzeitigen Ausmaßes des Arbeitskräftemangels und der demografischen Entwicklung dürften Maßnahmen, die allein auf die einheimischen Arbeitskräfte</w:t>
            </w:r>
            <w:r>
              <w:rPr>
                <w:b/>
                <w:i/>
              </w:rPr>
              <w:t xml:space="preserve"> und die Arbeitskräfte in der Union abzielen, jedoch nicht ausreichen, um den bestehenden und künftigen Arbeitskräfte- und Fachkräftemangel zu</w:t>
            </w:r>
            <w:r>
              <w:t xml:space="preserve"> beheben. </w:t>
            </w:r>
            <w:r>
              <w:rPr>
                <w:b/>
                <w:i/>
              </w:rPr>
              <w:t>Die legale Migration ist daher von entscheidender Bedeutung, um diese Maßnahmen zu ergänzen, und muss Te</w:t>
            </w:r>
            <w:r>
              <w:rPr>
                <w:b/>
                <w:i/>
              </w:rPr>
              <w:t>il der Lösung sein, um den ökologischen und digitalen Wandel in vollem Umfang zu unterstützen.</w:t>
            </w:r>
          </w:p>
        </w:tc>
        <w:tc>
          <w:tcPr>
            <w:tcW w:w="4876" w:type="dxa"/>
            <w:tcBorders>
              <w:top w:val="nil"/>
              <w:left w:val="nil"/>
              <w:bottom w:val="nil"/>
              <w:right w:val="nil"/>
            </w:tcBorders>
          </w:tcPr>
          <w:p w:rsidR="00BC254A" w:rsidRDefault="007914A5">
            <w:pPr>
              <w:pStyle w:val="Normal6a"/>
            </w:pPr>
            <w:r>
              <w:t>(2)</w:t>
            </w:r>
            <w:r>
              <w:tab/>
              <w:t xml:space="preserve">Die Bewältigung des Arbeitskräftemangels </w:t>
            </w:r>
            <w:r>
              <w:rPr>
                <w:b/>
                <w:i/>
              </w:rPr>
              <w:t>und die Sicherung der Sozialsysteme der Mitgliedstaaten in der Zukunft erfordern nationale Strategien zur Unterstütz</w:t>
            </w:r>
            <w:r>
              <w:rPr>
                <w:b/>
                <w:i/>
              </w:rPr>
              <w:t>ung von Familien, damit die Fertilitätsraten erhöht werden.</w:t>
            </w:r>
            <w:r>
              <w:t xml:space="preserve"> </w:t>
            </w:r>
            <w:r>
              <w:rPr>
                <w:b/>
                <w:i/>
              </w:rPr>
              <w:t>Um den unmittelbaren Arbeitskräftemangel zu beheben, ist es wichtig, die</w:t>
            </w:r>
            <w:r>
              <w:t xml:space="preserve"> Arbeitskräftemobilität innerhalb der EU </w:t>
            </w:r>
            <w:r>
              <w:rPr>
                <w:b/>
                <w:i/>
              </w:rPr>
              <w:t>zu erleichtern und die</w:t>
            </w:r>
            <w:r>
              <w:t xml:space="preserve"> Arbeitsbedingungen und </w:t>
            </w:r>
            <w:r>
              <w:rPr>
                <w:b/>
                <w:i/>
              </w:rPr>
              <w:t>die</w:t>
            </w:r>
            <w:r>
              <w:t xml:space="preserve"> Attraktivität bestimmter Berufe </w:t>
            </w:r>
            <w:r>
              <w:rPr>
                <w:b/>
                <w:i/>
              </w:rPr>
              <w:t>z</w:t>
            </w:r>
            <w:r>
              <w:rPr>
                <w:b/>
                <w:i/>
              </w:rPr>
              <w:t>u verbessern.</w:t>
            </w:r>
            <w:r>
              <w:t xml:space="preserve"> </w:t>
            </w:r>
            <w:r>
              <w:rPr>
                <w:b/>
                <w:i/>
              </w:rPr>
              <w:t>Ein freiwilliges und befristetes Instrument zur Anwerbung hoch qualifizierter Arbeitskräfte aus Drittstaaten kann bestimmte Engpässe unter anderem bei der Einführung neuer Technologien</w:t>
            </w:r>
            <w:r>
              <w:t xml:space="preserve"> beheben.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w:t>
      </w:r>
      <w:r>
        <w:rPr>
          <w:rStyle w:val="HideTWBExt"/>
        </w:rPr>
        <w:t>dB&gt;</w:t>
      </w:r>
      <w:r>
        <w:t>Änderungsantrag</w:t>
      </w:r>
      <w:r>
        <w:tab/>
      </w:r>
      <w:r>
        <w:tab/>
      </w:r>
      <w:r>
        <w:rPr>
          <w:rStyle w:val="HideTWBExt"/>
        </w:rPr>
        <w:t>&lt;NumAmB&gt;</w:t>
      </w:r>
      <w:r>
        <w:t>136</w:t>
      </w:r>
      <w:r>
        <w:rPr>
          <w:rStyle w:val="HideTWBExt"/>
        </w:rPr>
        <w:t>&lt;/NumAmB&gt;</w:t>
      </w:r>
    </w:p>
    <w:p w:rsidR="00BC254A" w:rsidRDefault="007914A5">
      <w:pPr>
        <w:pStyle w:val="NormalBold"/>
      </w:pPr>
      <w:r>
        <w:rPr>
          <w:rStyle w:val="HideTWBExt"/>
          <w:b w:val="0"/>
        </w:rPr>
        <w:t>&lt;RepeatBlock-By&gt;&lt;Members&gt;</w:t>
      </w:r>
      <w:r>
        <w:t>Jan-Christoph Oetjen, Abir Al-Sahlani,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w:t>
            </w:r>
            <w:r>
              <w:tab/>
              <w:t>Die Bewältigung des Arbeitskräftemangels erfordert einen umfassenden Ansatz auf Unionsebene und auf nationaler Ebene, der vorrangig die bessere Ausschöpfung des vollen Potenzials von Gruppen mit einer geringeren Erwerbsbeteiligung, die</w:t>
            </w:r>
            <w:r>
              <w:t xml:space="preserve"> Umschulung und Weiterbildung der vorhandenen Arbeitskräfte, die Erleichterung der Arbeitskräftemobilität innerhalb der EU sowie die Verbesserung der Arbeitsbedingungen und der Attraktivität bestimmter Berufe umfasst. Aufgrund des derzeitigen Ausmaßes des </w:t>
            </w:r>
            <w:r>
              <w:t xml:space="preserve">Arbeitskräftemangels und der demografischen Entwicklung </w:t>
            </w:r>
            <w:r>
              <w:rPr>
                <w:b/>
                <w:i/>
              </w:rPr>
              <w:t>dürften</w:t>
            </w:r>
            <w:r>
              <w:t xml:space="preserve"> Maßnahmen, die allein auf die einheimischen Arbeitskräfte und die Arbeitskräfte in der Union abzielen, </w:t>
            </w:r>
            <w:r>
              <w:rPr>
                <w:b/>
                <w:i/>
              </w:rPr>
              <w:t>jedoch</w:t>
            </w:r>
            <w:r>
              <w:t xml:space="preserve"> nicht ausreichen, um den bestehenden und künftigen Arbeitskräfte- und Fachkräftema</w:t>
            </w:r>
            <w:r>
              <w:t>ngel zu beheben. Die legale Migration ist daher von entscheidender Bedeutung, um diese Maßnahmen zu ergänzen, und muss Teil der Lösung sein, um den ökologischen und digitalen Wandel in vollem Umfang zu unterstützen.</w:t>
            </w:r>
          </w:p>
        </w:tc>
        <w:tc>
          <w:tcPr>
            <w:tcW w:w="4876" w:type="dxa"/>
            <w:tcBorders>
              <w:top w:val="nil"/>
              <w:left w:val="nil"/>
              <w:bottom w:val="nil"/>
              <w:right w:val="nil"/>
            </w:tcBorders>
          </w:tcPr>
          <w:p w:rsidR="00BC254A" w:rsidRDefault="007914A5">
            <w:pPr>
              <w:pStyle w:val="Normal6a"/>
            </w:pPr>
            <w:r>
              <w:t>(2)</w:t>
            </w:r>
            <w:r>
              <w:tab/>
            </w:r>
            <w:r>
              <w:t>Die Bewältigung des Arbeitskräftemangels erfordert einen umfassenden Ansatz auf Unionsebene und auf nationaler Ebene, der vorrangig die bessere Ausschöpfung des vollen Potenzials von Gruppen mit einer geringeren Erwerbsbeteiligung, die Umschulung und Weite</w:t>
            </w:r>
            <w:r>
              <w:t xml:space="preserve">rbildung der vorhandenen Arbeitskräfte, die Erleichterung der Arbeitskräftemobilität innerhalb der EU sowie die Verbesserung der Arbeitsbedingungen und der Attraktivität bestimmter Berufe umfasst. Aufgrund des derzeitigen Ausmaßes des Arbeitskräftemangels </w:t>
            </w:r>
            <w:r>
              <w:t xml:space="preserve">und der demografischen Entwicklung </w:t>
            </w:r>
            <w:r>
              <w:rPr>
                <w:b/>
                <w:i/>
              </w:rPr>
              <w:t>werden</w:t>
            </w:r>
            <w:r>
              <w:t xml:space="preserve"> Maßnahmen, die allein auf die einheimischen Arbeitskräfte und die Arbeitskräfte in der Union abzielen, nicht ausreichen, um den bestehenden und künftigen Arbeitskräfte- und Fachkräftemangel zu beheben. Die legale M</w:t>
            </w:r>
            <w:r>
              <w:t>igration ist daher von entscheidender Bedeutung, um diese Maßnahmen zu ergänzen, und muss Teil der Lösung sein, um den ökologischen und digitalen Wandel in vollem Umfang zu unterstützen.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w:t>
      </w:r>
      <w:r>
        <w:rPr>
          <w:rStyle w:val="HideTWBExt"/>
        </w:rPr>
        <w:t>NumAmB&gt;</w:t>
      </w:r>
      <w:r>
        <w:t>137</w:t>
      </w:r>
      <w:r>
        <w:rPr>
          <w:rStyle w:val="HideTWBExt"/>
        </w:rPr>
        <w:t>&lt;/NumAmB&gt;</w:t>
      </w:r>
    </w:p>
    <w:p w:rsidR="00BC254A" w:rsidRDefault="007914A5">
      <w:pPr>
        <w:pStyle w:val="NormalBold"/>
      </w:pPr>
      <w:r>
        <w:rPr>
          <w:rStyle w:val="HideTWBExt"/>
          <w:b w:val="0"/>
        </w:rPr>
        <w:t>&lt;RepeatBlock-By&gt;&lt;Members&gt;</w:t>
      </w:r>
      <w:r>
        <w:t>François-Xavier Bellamy</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(2a)</w:t>
            </w:r>
            <w:r>
              <w:tab/>
            </w:r>
            <w:r>
              <w:rPr>
                <w:b/>
                <w:i/>
              </w:rPr>
              <w:t xml:space="preserve">Um Abhilfe im </w:t>
            </w:r>
            <w:r>
              <w:rPr>
                <w:b/>
                <w:i/>
              </w:rPr>
              <w:t xml:space="preserve">Hinblick auf den in den Mitgliedstaaten bestehenden Arbeitskräftemangel zu schaffen, ist es von wesentlicher Bedeutung, Verwaltungslasten und Bürokratie, die EU-Unternehmen belasten, zu verringern, </w:t>
            </w:r>
            <w:r>
              <w:rPr>
                <w:b/>
                <w:i/>
              </w:rPr>
              <w:lastRenderedPageBreak/>
              <w:t>den Wert von Arbeit hervorzuheben und Vorschriften zu ents</w:t>
            </w:r>
            <w:r>
              <w:rPr>
                <w:b/>
                <w:i/>
              </w:rPr>
              <w:t>chlacken, die Einstellungen behindern.</w:t>
            </w:r>
            <w:r>
              <w:t xml:space="preserve"> </w:t>
            </w:r>
            <w:r>
              <w:rPr>
                <w:b/>
                <w:i/>
              </w:rPr>
              <w:t>Diese Maßnahmen müssen mit einer Verbesserung der Arbeitsbedingungen in Mangelberufen einhergehen, um diese attraktiver zu machen.</w:t>
            </w:r>
          </w:p>
        </w:tc>
      </w:tr>
    </w:tbl>
    <w:p w:rsidR="00BC254A" w:rsidRDefault="007914A5">
      <w:pPr>
        <w:pStyle w:val="AmOrLang"/>
      </w:pPr>
      <w:r>
        <w:lastRenderedPageBreak/>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138</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w:t>
            </w:r>
            <w:r>
              <w:tab/>
            </w:r>
            <w:r>
              <w:t xml:space="preserve">Um internationale Einstellungen zu erleichtern und Drittstaatsangehörigen Möglichkeiten zu eröffnen, in </w:t>
            </w:r>
            <w:r>
              <w:rPr>
                <w:b/>
                <w:i/>
              </w:rPr>
              <w:t>Berufen</w:t>
            </w:r>
            <w:r>
              <w:t xml:space="preserve"> zu arbeiten, </w:t>
            </w:r>
            <w:r>
              <w:rPr>
                <w:b/>
                <w:i/>
              </w:rPr>
              <w:t>in denen EU-weit ein Mangel besteht,</w:t>
            </w:r>
            <w:r>
              <w:t xml:space="preserve"> sollte ein EU-Talentpool in Form einer unionsweiten Plattform eingerichtet werden</w:t>
            </w:r>
            <w:r>
              <w:rPr>
                <w:b/>
                <w:i/>
              </w:rPr>
              <w:t>, auf der die</w:t>
            </w:r>
            <w:r>
              <w:rPr>
                <w:b/>
                <w:i/>
              </w:rPr>
              <w:t xml:space="preserve"> Profile von registrierten Arbeitsuchenden</w:t>
            </w:r>
            <w:r>
              <w:t xml:space="preserve"> aus Drittstaaten mit </w:t>
            </w:r>
            <w:r>
              <w:rPr>
                <w:b/>
                <w:i/>
              </w:rPr>
              <w:t>Wohnsitz außerhalb</w:t>
            </w:r>
            <w:r>
              <w:t xml:space="preserve"> der Union mit den offenen Stellen von in den teilnehmenden Mitgliedstaaten ansässigen Arbeitgebern </w:t>
            </w:r>
            <w:r>
              <w:rPr>
                <w:b/>
                <w:i/>
              </w:rPr>
              <w:t>zusammengeführt und</w:t>
            </w:r>
            <w:r>
              <w:t xml:space="preserve"> abgeglichen werden.</w:t>
            </w:r>
          </w:p>
        </w:tc>
        <w:tc>
          <w:tcPr>
            <w:tcW w:w="4876" w:type="dxa"/>
            <w:tcBorders>
              <w:top w:val="nil"/>
              <w:left w:val="nil"/>
              <w:bottom w:val="nil"/>
              <w:right w:val="nil"/>
            </w:tcBorders>
          </w:tcPr>
          <w:p w:rsidR="00BC254A" w:rsidRDefault="007914A5">
            <w:pPr>
              <w:pStyle w:val="Normal6a"/>
            </w:pPr>
            <w:r>
              <w:t>(3)</w:t>
            </w:r>
            <w:r>
              <w:tab/>
              <w:t xml:space="preserve">Um </w:t>
            </w:r>
            <w:r>
              <w:rPr>
                <w:b/>
                <w:i/>
              </w:rPr>
              <w:t>die Attraktivität der Union</w:t>
            </w:r>
            <w:r>
              <w:rPr>
                <w:b/>
                <w:i/>
              </w:rPr>
              <w:t xml:space="preserve"> für internationale Fachkräfte zu erhöhen, die Arbeitskräftemobilität und</w:t>
            </w:r>
            <w:r>
              <w:t xml:space="preserve"> internationale Einstellungen zu erleichtern und Drittstaatsangehörigen Möglichkeiten zu eröffnen, in </w:t>
            </w:r>
            <w:r>
              <w:rPr>
                <w:b/>
                <w:i/>
              </w:rPr>
              <w:t>der EU</w:t>
            </w:r>
            <w:r>
              <w:t xml:space="preserve"> zu arbeiten, sollte ein EU-Talentpool in Form einer </w:t>
            </w:r>
            <w:r>
              <w:rPr>
                <w:b/>
                <w:i/>
              </w:rPr>
              <w:t>benutzerfreundlichen</w:t>
            </w:r>
            <w:r>
              <w:t xml:space="preserve"> u</w:t>
            </w:r>
            <w:r>
              <w:t>nionsweiten Plattform eingerichtet werden</w:t>
            </w:r>
            <w:r>
              <w:rPr>
                <w:b/>
                <w:i/>
              </w:rPr>
              <w:t>.</w:t>
            </w:r>
            <w:r>
              <w:t xml:space="preserve"> </w:t>
            </w:r>
            <w:r>
              <w:rPr>
                <w:b/>
                <w:i/>
              </w:rPr>
              <w:t>Die Plattform sollte Arbeitnehmer</w:t>
            </w:r>
            <w:r>
              <w:t xml:space="preserve"> aus Drittstaaten mit </w:t>
            </w:r>
            <w:r>
              <w:rPr>
                <w:b/>
                <w:i/>
              </w:rPr>
              <w:t>Arbeitgebern in</w:t>
            </w:r>
            <w:r>
              <w:t xml:space="preserve"> der Union </w:t>
            </w:r>
            <w:r>
              <w:rPr>
                <w:b/>
                <w:i/>
              </w:rPr>
              <w:t>vernetzen, indem sie es ermöglicht, dass die Profile von registrierten Arbeitsuchenden aus Drittstaaten</w:t>
            </w:r>
            <w:r>
              <w:t xml:space="preserve"> mit den offenen Stellen von </w:t>
            </w:r>
            <w:r>
              <w:t xml:space="preserve">in den teilnehmenden Mitgliedstaaten ansässigen Arbeitgebern </w:t>
            </w:r>
            <w:r>
              <w:rPr>
                <w:b/>
                <w:i/>
              </w:rPr>
              <w:t>wirksam</w:t>
            </w:r>
            <w:r>
              <w:t xml:space="preserve"> abgeglichen werden. </w:t>
            </w:r>
            <w:r>
              <w:rPr>
                <w:b/>
                <w:i/>
              </w:rPr>
              <w:t>Darüber hinaus sollte der EU-Talentpool darauf abzielen, eine engere Zusammenarbeit zwischen den Mitgliedstaaten im Bereich der Arbeitskräftemigration zu fördern.</w:t>
            </w:r>
            <w:r>
              <w:t xml:space="preserve"> </w:t>
            </w:r>
            <w:r>
              <w:rPr>
                <w:b/>
                <w:i/>
              </w:rPr>
              <w:t>Sein</w:t>
            </w:r>
            <w:r>
              <w:rPr>
                <w:b/>
                <w:i/>
              </w:rPr>
              <w:t>e Einführung wird zwar für die Mitgliedstaaten zwingend vorgeschrieben sein, seine Nutzung wird Arbeitgebern und Drittstaatsangehörigen jedoch freistehen.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lastRenderedPageBreak/>
        <w:t>&lt;/AmendB&gt;</w:t>
      </w:r>
    </w:p>
    <w:p w:rsidR="00BC254A" w:rsidRDefault="007914A5">
      <w:pPr>
        <w:pStyle w:val="AmNumberTabs"/>
      </w:pPr>
      <w:r>
        <w:rPr>
          <w:rStyle w:val="HideTWBExt"/>
        </w:rPr>
        <w:t>&lt;AmendB&gt;</w:t>
      </w:r>
      <w:r>
        <w:t>Änderungsantrag</w:t>
      </w:r>
      <w:r>
        <w:tab/>
      </w:r>
      <w:r>
        <w:tab/>
      </w:r>
      <w:r>
        <w:rPr>
          <w:rStyle w:val="HideTWBExt"/>
        </w:rPr>
        <w:t>&lt;NumAmB&gt;</w:t>
      </w:r>
      <w:r>
        <w:t>139</w:t>
      </w:r>
      <w:r>
        <w:rPr>
          <w:rStyle w:val="HideTWBExt"/>
        </w:rPr>
        <w:t>&lt;/NumAmB&gt;</w:t>
      </w:r>
    </w:p>
    <w:p w:rsidR="00BC254A" w:rsidRDefault="007914A5">
      <w:pPr>
        <w:pStyle w:val="NormalBold"/>
      </w:pPr>
      <w:r>
        <w:rPr>
          <w:rStyle w:val="HideTWBExt"/>
          <w:b w:val="0"/>
        </w:rPr>
        <w:t>&lt;RepeatBlock</w:t>
      </w:r>
      <w:r>
        <w:rPr>
          <w:rStyle w:val="HideTWBExt"/>
          <w:b w:val="0"/>
        </w:rPr>
        <w:t>-By&gt;&lt;Members&gt;</w:t>
      </w:r>
      <w:r>
        <w:t>Alice Teodorescu Måwe</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w:t>
            </w:r>
            <w:r>
              <w:tab/>
              <w:t xml:space="preserve">Um internationale Einstellungen zu erleichtern und </w:t>
            </w:r>
            <w:r>
              <w:t>Drittstaatsangehörigen Möglichkeiten zu eröffnen, in Berufen zu arbeiten, in denen EU-weit ein Mangel besteht, sollte ein EU-Talentpool in Form einer unionsweiten Plattform eingerichtet werden, auf der die Profile von registrierten Arbeitsuchenden aus Drit</w:t>
            </w:r>
            <w:r>
              <w:t>tstaaten mit Wohnsitz außerhalb der Union mit den offenen Stellen von in den teilnehmenden Mitgliedstaaten ansässigen Arbeitgebern zusammengeführt und abgeglichen werden.</w:t>
            </w:r>
          </w:p>
        </w:tc>
        <w:tc>
          <w:tcPr>
            <w:tcW w:w="4876" w:type="dxa"/>
            <w:tcBorders>
              <w:top w:val="nil"/>
              <w:left w:val="nil"/>
              <w:bottom w:val="nil"/>
              <w:right w:val="nil"/>
            </w:tcBorders>
          </w:tcPr>
          <w:p w:rsidR="00BC254A" w:rsidRDefault="007914A5">
            <w:pPr>
              <w:pStyle w:val="Normal6a"/>
            </w:pPr>
            <w:r>
              <w:t>(3)</w:t>
            </w:r>
            <w:r>
              <w:tab/>
              <w:t xml:space="preserve">Um internationale Einstellungen zu erleichtern und </w:t>
            </w:r>
            <w:r>
              <w:rPr>
                <w:b/>
                <w:i/>
              </w:rPr>
              <w:t>hoch qualifizierten</w:t>
            </w:r>
            <w:r>
              <w:t xml:space="preserve"> Drittstaatsangehörigen Möglichkeiten zu eröffnen, in Berufen zu arbeiten, in denen EU-weit ein Mangel besteht, sollte ein EU-Talentpool</w:t>
            </w:r>
            <w:r>
              <w:rPr>
                <w:b/>
                <w:i/>
              </w:rPr>
              <w:t>, an dem sich die Mitgliedstaaten auf freiwilliger Basis beteiligen können,</w:t>
            </w:r>
            <w:r>
              <w:t xml:space="preserve"> in Form einer unionsweiten Plattform eingeri</w:t>
            </w:r>
            <w:r>
              <w:t xml:space="preserve">chtet werden, auf der die Profile von registrierten </w:t>
            </w:r>
            <w:r>
              <w:rPr>
                <w:b/>
                <w:i/>
              </w:rPr>
              <w:t>hoch qualifizierten</w:t>
            </w:r>
            <w:r>
              <w:t xml:space="preserve"> Arbeitsuchenden aus Drittstaaten mit Wohnsitz außerhalb der Union mit den offenen Stellen von in den teilnehmenden Mitgliedstaaten ansässigen Arbeitgebern zusammengeführt und abgeglich</w:t>
            </w:r>
            <w:r>
              <w:t>en werden.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140</w:t>
      </w:r>
      <w:r>
        <w:rPr>
          <w:rStyle w:val="HideTWBExt"/>
        </w:rPr>
        <w:t>&lt;/NumAmB&gt;</w:t>
      </w:r>
    </w:p>
    <w:p w:rsidR="00BC254A" w:rsidRDefault="007914A5">
      <w:pPr>
        <w:pStyle w:val="NormalBold"/>
      </w:pPr>
      <w:r>
        <w:rPr>
          <w:rStyle w:val="HideTWBExt"/>
          <w:b w:val="0"/>
        </w:rPr>
        <w:t>&lt;RepeatBlock-By&gt;&lt;Members&gt;</w:t>
      </w:r>
      <w:r>
        <w:t>Jan-Christoph Oetjen, Abir Al-Sahlani,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w:t>
      </w:r>
      <w:r>
        <w:rPr>
          <w:rStyle w:val="HideTWBExt"/>
        </w:rPr>
        <w:t>ticle&gt;</w:t>
      </w:r>
      <w:r>
        <w:t>Erwägung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w:t>
            </w:r>
            <w:r>
              <w:tab/>
              <w:t xml:space="preserve">Um internationale Einstellungen zu erleichtern und Drittstaatsangehörigen Möglichkeiten zu eröffnen, in Berufen zu arbeiten, in denen EU-weit ein Mangel besteht, sollte ein </w:t>
            </w:r>
            <w:r>
              <w:t>EU-Talentpool in Form einer unionsweiten Plattform eingerichtet werden</w:t>
            </w:r>
            <w:r>
              <w:rPr>
                <w:b/>
                <w:i/>
              </w:rPr>
              <w:t>, auf der</w:t>
            </w:r>
            <w:r>
              <w:t xml:space="preserve"> die Profile von registrierten Arbeitsuchenden aus Drittstaaten mit Wohnsitz außerhalb der Union mit den offenen Stellen von in den </w:t>
            </w:r>
            <w:r>
              <w:lastRenderedPageBreak/>
              <w:t>teilnehmenden Mitgliedstaaten ansässigen Arbe</w:t>
            </w:r>
            <w:r>
              <w:t xml:space="preserve">itgebern </w:t>
            </w:r>
            <w:r>
              <w:rPr>
                <w:b/>
                <w:i/>
              </w:rPr>
              <w:t>zusammengeführt und abgeglichen werden</w:t>
            </w:r>
            <w:r>
              <w:t>.</w:t>
            </w:r>
          </w:p>
        </w:tc>
        <w:tc>
          <w:tcPr>
            <w:tcW w:w="4876" w:type="dxa"/>
            <w:tcBorders>
              <w:top w:val="nil"/>
              <w:left w:val="nil"/>
              <w:bottom w:val="nil"/>
              <w:right w:val="nil"/>
            </w:tcBorders>
          </w:tcPr>
          <w:p w:rsidR="00BC254A" w:rsidRDefault="007914A5">
            <w:pPr>
              <w:pStyle w:val="Normal6a"/>
            </w:pPr>
            <w:r>
              <w:lastRenderedPageBreak/>
              <w:t>(3)</w:t>
            </w:r>
            <w:r>
              <w:tab/>
              <w:t>Um internationale Einstellungen zu erleichtern und Drittstaatsangehörigen Möglichkeiten zu eröffnen, in Berufen zu arbeiten, in denen EU-weit ein Mangel besteht, sollte ein EU-Talentpool in Form einer un</w:t>
            </w:r>
            <w:r>
              <w:t>ionsweiten Plattform eingerichtet werden</w:t>
            </w:r>
            <w:r>
              <w:rPr>
                <w:b/>
                <w:i/>
              </w:rPr>
              <w:t>.</w:t>
            </w:r>
            <w:r>
              <w:t xml:space="preserve"> </w:t>
            </w:r>
            <w:r>
              <w:rPr>
                <w:b/>
                <w:i/>
              </w:rPr>
              <w:t xml:space="preserve">Die Teilnahme an der Plattform sollte zwar zwingend für die Mitgliedstaaten vorgeschrieben sein, ihre Nutzung sollte Arbeitgebern und </w:t>
            </w:r>
            <w:r>
              <w:rPr>
                <w:b/>
                <w:i/>
              </w:rPr>
              <w:lastRenderedPageBreak/>
              <w:t>Arbeitsuchenden aus Drittstaaten jedoch freistehen.</w:t>
            </w:r>
            <w:r>
              <w:t xml:space="preserve"> </w:t>
            </w:r>
            <w:r>
              <w:rPr>
                <w:b/>
                <w:i/>
              </w:rPr>
              <w:t>Die Plattform sollte</w:t>
            </w:r>
            <w:r>
              <w:t xml:space="preserve"> die Pro</w:t>
            </w:r>
            <w:r>
              <w:t xml:space="preserve">file von registrierten Arbeitsuchenden aus Drittstaaten mit Wohnsitz außerhalb der Union mit den offenen Stellen von in den teilnehmenden Mitgliedstaaten ansässigen Arbeitgebern </w:t>
            </w:r>
            <w:r>
              <w:rPr>
                <w:b/>
                <w:i/>
              </w:rPr>
              <w:t>zusammenführen und den Abgleich erleichtern</w:t>
            </w:r>
            <w:r>
              <w:t>.</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141</w:t>
      </w:r>
      <w:r>
        <w:rPr>
          <w:rStyle w:val="HideTWBExt"/>
        </w:rPr>
        <w:t>&lt;/NumAmB&gt;</w:t>
      </w:r>
    </w:p>
    <w:p w:rsidR="00BC254A" w:rsidRDefault="007914A5">
      <w:pPr>
        <w:pStyle w:val="NormalBold"/>
      </w:pPr>
      <w:r>
        <w:rPr>
          <w:rStyle w:val="HideTWBExt"/>
          <w:b w:val="0"/>
        </w:rPr>
        <w:t>&lt;RepeatBlock-By&gt;&lt;Members&gt;</w:t>
      </w:r>
      <w:r>
        <w:t>Charlie Weimers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w:t>
            </w:r>
            <w:r>
              <w:tab/>
            </w:r>
            <w:r>
              <w:rPr>
                <w:b/>
                <w:i/>
              </w:rPr>
              <w:t>Um</w:t>
            </w:r>
            <w:r>
              <w:t xml:space="preserve"> internationale Einstellungen </w:t>
            </w:r>
            <w:r>
              <w:rPr>
                <w:b/>
                <w:i/>
              </w:rPr>
              <w:t>zu erleichtern und Drittstaatsangehörigen Möglichkeiten zu eröffnen, in Berufen zu arbeiten, in denen EU-weit ein Mangel besteht, sollte ein EU-Talentpool in Form einer unionsweiten Plattform eingerichtet werden, auf der die P</w:t>
            </w:r>
            <w:r>
              <w:rPr>
                <w:b/>
                <w:i/>
              </w:rPr>
              <w:t>rofile von registrierten Arbeitsuchenden aus Drittstaaten mit Wohnsitz außerhalb der Union mit den offenen Stellen von in den teilnehmenden</w:t>
            </w:r>
            <w:r>
              <w:t xml:space="preserve"> Mitgliedstaaten </w:t>
            </w:r>
            <w:r>
              <w:rPr>
                <w:b/>
                <w:i/>
              </w:rPr>
              <w:t>ansässigen Arbeitgebern zusammengeführt und abgeglichen werden</w:t>
            </w:r>
            <w:r>
              <w:t>.</w:t>
            </w:r>
          </w:p>
        </w:tc>
        <w:tc>
          <w:tcPr>
            <w:tcW w:w="4876" w:type="dxa"/>
            <w:tcBorders>
              <w:top w:val="nil"/>
              <w:left w:val="nil"/>
              <w:bottom w:val="nil"/>
              <w:right w:val="nil"/>
            </w:tcBorders>
          </w:tcPr>
          <w:p w:rsidR="00BC254A" w:rsidRDefault="007914A5">
            <w:pPr>
              <w:pStyle w:val="Normal6a"/>
            </w:pPr>
            <w:r>
              <w:t>(3)</w:t>
            </w:r>
            <w:r>
              <w:tab/>
              <w:t xml:space="preserve">Internationale Einstellungen </w:t>
            </w:r>
            <w:r>
              <w:rPr>
                <w:b/>
                <w:i/>
              </w:rPr>
              <w:t>sin</w:t>
            </w:r>
            <w:r>
              <w:rPr>
                <w:b/>
                <w:i/>
              </w:rPr>
              <w:t>d etwas, was Unternehmen selbst bezahlen und organisieren können. Begrenzte Arbeitsmigration ohne das Recht auf Familienzusammenführung und Neuansiedlung sollte innerhalb der EU die Regel sein, dies ist jedoch Sache der einzelnen</w:t>
            </w:r>
            <w:r>
              <w:t xml:space="preserve"> Mitgliedstaaten.</w:t>
            </w:r>
          </w:p>
        </w:tc>
      </w:tr>
    </w:tbl>
    <w:p w:rsidR="00BC254A" w:rsidRDefault="007914A5">
      <w:pPr>
        <w:pStyle w:val="AmOrLang"/>
      </w:pPr>
      <w:r>
        <w:t xml:space="preserve">Or. </w:t>
      </w:r>
      <w:r>
        <w:rPr>
          <w:rStyle w:val="HideTWBExt"/>
        </w:rPr>
        <w:t>&lt;Ori</w:t>
      </w:r>
      <w:r>
        <w:rPr>
          <w:rStyle w:val="HideTWBExt"/>
        </w:rPr>
        <w:t>ginal&gt;</w:t>
      </w:r>
      <w:r>
        <w:rPr>
          <w:rStyle w:val="HideTWBInt"/>
        </w:rPr>
        <w:t>{SV}</w:t>
      </w:r>
      <w:r>
        <w:t>sv</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142</w:t>
      </w:r>
      <w:r>
        <w:rPr>
          <w:rStyle w:val="HideTWBExt"/>
        </w:rPr>
        <w:t>&lt;/NumAmB&gt;</w:t>
      </w:r>
    </w:p>
    <w:p w:rsidR="00BC254A" w:rsidRDefault="007914A5">
      <w:pPr>
        <w:pStyle w:val="NormalBold"/>
      </w:pPr>
      <w:r>
        <w:rPr>
          <w:rStyle w:val="HideTWBExt"/>
          <w:b w:val="0"/>
        </w:rPr>
        <w:t>&lt;RepeatBlock-By&gt;&lt;Members&gt;</w:t>
      </w:r>
      <w:r>
        <w:t>Nikolaos Anadiotis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 xml:space="preserve">Vorschlag der </w:t>
            </w:r>
            <w:r>
              <w:t>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w:t>
            </w:r>
            <w:r>
              <w:tab/>
              <w:t xml:space="preserve">Um </w:t>
            </w:r>
            <w:r>
              <w:rPr>
                <w:b/>
                <w:i/>
              </w:rPr>
              <w:t xml:space="preserve">internationale Einstellungen zu erleichtern und Drittstaatsangehörigen </w:t>
            </w:r>
            <w:r>
              <w:rPr>
                <w:b/>
                <w:i/>
              </w:rPr>
              <w:lastRenderedPageBreak/>
              <w:t xml:space="preserve">Möglichkeiten zu eröffnen, in Berufen zu arbeiten, in denen EU-weit ein Mangel besteht, sollte ein EU-Talentpool in Form einer unionsweiten Plattform </w:t>
            </w:r>
            <w:r>
              <w:rPr>
                <w:b/>
                <w:i/>
              </w:rPr>
              <w:t>eingerichtet werden, auf</w:t>
            </w:r>
            <w:r>
              <w:t xml:space="preserve"> der </w:t>
            </w:r>
            <w:r>
              <w:rPr>
                <w:b/>
                <w:i/>
              </w:rPr>
              <w:t>die Profile</w:t>
            </w:r>
            <w:r>
              <w:t xml:space="preserve"> von registrierten Arbeitsuchenden aus Drittstaaten mit Wohnsitz außerhalb der Union mit den offenen Stellen von in den teilnehmenden Mitgliedstaaten ansässigen Arbeitgebern </w:t>
            </w:r>
            <w:r>
              <w:rPr>
                <w:b/>
                <w:i/>
              </w:rPr>
              <w:t>zusammengeführt und abgeglichen werden</w:t>
            </w:r>
            <w:r>
              <w:t>.</w:t>
            </w:r>
          </w:p>
        </w:tc>
        <w:tc>
          <w:tcPr>
            <w:tcW w:w="4876" w:type="dxa"/>
            <w:tcBorders>
              <w:top w:val="nil"/>
              <w:left w:val="nil"/>
              <w:bottom w:val="nil"/>
              <w:right w:val="nil"/>
            </w:tcBorders>
          </w:tcPr>
          <w:p w:rsidR="00BC254A" w:rsidRDefault="007914A5">
            <w:pPr>
              <w:pStyle w:val="Normal6a"/>
            </w:pPr>
            <w:r>
              <w:lastRenderedPageBreak/>
              <w:t>(3)</w:t>
            </w:r>
            <w:r>
              <w:tab/>
              <w:t xml:space="preserve">Um </w:t>
            </w:r>
            <w:r>
              <w:rPr>
                <w:b/>
                <w:i/>
              </w:rPr>
              <w:t xml:space="preserve">den Arbeitskräftemangel in Branchen der EU zu beheben, in denen </w:t>
            </w:r>
            <w:r>
              <w:rPr>
                <w:b/>
                <w:i/>
              </w:rPr>
              <w:lastRenderedPageBreak/>
              <w:t xml:space="preserve">ein solcher festgestellt wurde, sollte die Union Strategien umsetzen, um in erster Linie das Potenzial der einheimischen Arbeitskräfte in der Union besser zu nutzen und erst in zweiter </w:t>
            </w:r>
            <w:r>
              <w:rPr>
                <w:b/>
                <w:i/>
              </w:rPr>
              <w:t>Linie einen EU-Talentpool für Drittstaatsangehörige zu schaffen,</w:t>
            </w:r>
            <w:r>
              <w:t xml:space="preserve"> der </w:t>
            </w:r>
            <w:r>
              <w:rPr>
                <w:b/>
                <w:i/>
              </w:rPr>
              <w:t>für die Mitgliedstaaten verbindlich ist und die Zusammenführung von Profilen</w:t>
            </w:r>
            <w:r>
              <w:t xml:space="preserve"> von registrierten Arbeitsuchenden aus Drittstaaten mit Wohnsitz außerhalb der Union </w:t>
            </w:r>
            <w:r>
              <w:rPr>
                <w:b/>
                <w:i/>
              </w:rPr>
              <w:t>und den Abgleich dieser Pr</w:t>
            </w:r>
            <w:r>
              <w:rPr>
                <w:b/>
                <w:i/>
              </w:rPr>
              <w:t>ofile</w:t>
            </w:r>
            <w:r>
              <w:t xml:space="preserve"> mit den offenen Stellen von in den teilnehmenden Mitgliedstaaten ansässigen Arbeitgebern </w:t>
            </w:r>
            <w:r>
              <w:rPr>
                <w:b/>
                <w:i/>
              </w:rPr>
              <w:t>ermöglicht</w:t>
            </w:r>
            <w:r>
              <w:t>.</w:t>
            </w:r>
          </w:p>
        </w:tc>
      </w:tr>
    </w:tbl>
    <w:p w:rsidR="00BC254A" w:rsidRDefault="007914A5">
      <w:pPr>
        <w:pStyle w:val="AmOrLang"/>
      </w:pPr>
      <w:r>
        <w:lastRenderedPageBreak/>
        <w:t xml:space="preserve">Or. </w:t>
      </w:r>
      <w:r>
        <w:rPr>
          <w:rStyle w:val="HideTWBExt"/>
        </w:rPr>
        <w:t>&lt;Original&gt;</w:t>
      </w:r>
      <w:r>
        <w:rPr>
          <w:rStyle w:val="HideTWBInt"/>
        </w:rPr>
        <w:t>{EL}</w:t>
      </w:r>
      <w:r>
        <w:t>el</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143</w:t>
      </w:r>
      <w:r>
        <w:rPr>
          <w:rStyle w:val="HideTWBExt"/>
        </w:rPr>
        <w:t>&lt;/NumAmB&gt;</w:t>
      </w:r>
    </w:p>
    <w:p w:rsidR="00BC254A" w:rsidRDefault="007914A5">
      <w:pPr>
        <w:pStyle w:val="NormalBold"/>
      </w:pPr>
      <w:r>
        <w:rPr>
          <w:rStyle w:val="HideTWBExt"/>
          <w:b w:val="0"/>
        </w:rPr>
        <w:t>&lt;RepeatBlock-By&gt;&lt;Members&gt;</w:t>
      </w:r>
      <w:r>
        <w:t>Lena Düpont, Tomas Tobé</w:t>
      </w:r>
      <w:r>
        <w:rPr>
          <w:rStyle w:val="HideTWBExt"/>
          <w:b w:val="0"/>
        </w:rPr>
        <w:t>&lt;/Members&gt;</w:t>
      </w:r>
    </w:p>
    <w:p w:rsidR="00BC254A" w:rsidRDefault="007914A5">
      <w:pPr>
        <w:pStyle w:val="NormalBold"/>
      </w:pPr>
      <w:r>
        <w:rPr>
          <w:rStyle w:val="HideTWBExt"/>
          <w:b w:val="0"/>
        </w:rPr>
        <w:t>&lt;</w:t>
      </w:r>
      <w:r>
        <w:rPr>
          <w:rStyle w:val="HideTWBExt"/>
          <w:b w:val="0"/>
        </w:rPr>
        <w: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w:t>
            </w:r>
            <w:r>
              <w:tab/>
              <w:t xml:space="preserve">Um internationale Einstellungen zu erleichtern und Drittstaatsangehörigen Möglichkeiten zu eröffnen, in </w:t>
            </w:r>
            <w:r>
              <w:t>Berufen zu arbeiten, in denen EU-weit ein Mangel besteht, sollte ein EU-Talentpool in Form einer unionsweiten Plattform eingerichtet werden, auf der die Profile von registrierten Arbeitsuchenden aus Drittstaaten mit Wohnsitz außerhalb der Union mit den off</w:t>
            </w:r>
            <w:r>
              <w:t>enen Stellen von in den teilnehmenden Mitgliedstaaten ansässigen Arbeitgebern zusammengeführt und abgeglichen werden.</w:t>
            </w:r>
          </w:p>
        </w:tc>
        <w:tc>
          <w:tcPr>
            <w:tcW w:w="4876" w:type="dxa"/>
            <w:tcBorders>
              <w:top w:val="nil"/>
              <w:left w:val="nil"/>
              <w:bottom w:val="nil"/>
              <w:right w:val="nil"/>
            </w:tcBorders>
          </w:tcPr>
          <w:p w:rsidR="00BC254A" w:rsidRDefault="007914A5">
            <w:pPr>
              <w:pStyle w:val="Normal6a"/>
            </w:pPr>
            <w:r>
              <w:t>(3)</w:t>
            </w:r>
            <w:r>
              <w:tab/>
              <w:t xml:space="preserve">Um internationale Einstellungen zu erleichtern und Drittstaatsangehörigen Möglichkeiten zu eröffnen, in Berufen zu arbeiten, in denen </w:t>
            </w:r>
            <w:r>
              <w:t xml:space="preserve">EU-weit ein Mangel besteht, sollte ein EU-Talentpool in Form einer unionsweiten Plattform eingerichtet werden, </w:t>
            </w:r>
            <w:r>
              <w:rPr>
                <w:b/>
                <w:i/>
              </w:rPr>
              <w:t>der sich die Mitgliedstaaten auf Wunsch anschließen können und</w:t>
            </w:r>
            <w:r>
              <w:t xml:space="preserve"> auf der die Profile von registrierten Arbeitsuchenden aus Drittstaaten mit Wohnsit</w:t>
            </w:r>
            <w:r>
              <w:t>z außerhalb der Union mit den offenen Stellen von in den teilnehmenden Mitgliedstaaten ansässigen Arbeitgebern zusammengeführt und abgeglichen werden.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144</w:t>
      </w:r>
      <w:r>
        <w:rPr>
          <w:rStyle w:val="HideTWBExt"/>
        </w:rPr>
        <w:t>&lt;/NumAmB&gt;</w:t>
      </w:r>
    </w:p>
    <w:p w:rsidR="00BC254A" w:rsidRDefault="007914A5">
      <w:pPr>
        <w:pStyle w:val="NormalBold"/>
      </w:pPr>
      <w:r>
        <w:rPr>
          <w:rStyle w:val="HideTWBExt"/>
          <w:b w:val="0"/>
        </w:rPr>
        <w:lastRenderedPageBreak/>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w:t>
            </w:r>
            <w:r>
              <w:tab/>
              <w:t xml:space="preserve">Um internationale Einstellungen zu erleichtern und Drittstaatsangehörigen Möglichkeiten zu eröffnen, </w:t>
            </w:r>
            <w:r>
              <w:rPr>
                <w:b/>
                <w:i/>
              </w:rPr>
              <w:t>in Berufen zu arbeiten, in denen EU-weit ein Mangel besteht</w:t>
            </w:r>
            <w:r>
              <w:t>, sollte ein EU-Talentpool in Form einer unionswei</w:t>
            </w:r>
            <w:r>
              <w:t>ten Plattform eingerichtet werden, auf der die Profile von registrierten Arbeitsuchenden aus Drittstaaten mit Wohnsitz außerhalb der Union mit den offenen Stellen von in den teilnehmenden Mitgliedstaaten ansässigen Arbeitgebern zusammengeführt und abgeglic</w:t>
            </w:r>
            <w:r>
              <w:t>hen werden.</w:t>
            </w:r>
          </w:p>
        </w:tc>
        <w:tc>
          <w:tcPr>
            <w:tcW w:w="4876" w:type="dxa"/>
            <w:tcBorders>
              <w:top w:val="nil"/>
              <w:left w:val="nil"/>
              <w:bottom w:val="nil"/>
              <w:right w:val="nil"/>
            </w:tcBorders>
          </w:tcPr>
          <w:p w:rsidR="00BC254A" w:rsidRDefault="007914A5">
            <w:pPr>
              <w:pStyle w:val="Normal6a"/>
            </w:pPr>
            <w:r>
              <w:t>(3)</w:t>
            </w:r>
            <w:r>
              <w:tab/>
              <w:t xml:space="preserve">Um internationale Einstellungen zu erleichtern und </w:t>
            </w:r>
            <w:r>
              <w:rPr>
                <w:b/>
                <w:i/>
              </w:rPr>
              <w:t>hoch qualifizierten</w:t>
            </w:r>
            <w:r>
              <w:t xml:space="preserve"> Drittstaatsangehörigen Möglichkeiten zu eröffnen, </w:t>
            </w:r>
            <w:r>
              <w:rPr>
                <w:b/>
                <w:i/>
              </w:rPr>
              <w:t>den Mangel in bestimmten Berufen zu beheben</w:t>
            </w:r>
            <w:r>
              <w:t xml:space="preserve">, sollte ein </w:t>
            </w:r>
            <w:r>
              <w:rPr>
                <w:b/>
                <w:i/>
              </w:rPr>
              <w:t>befristeter</w:t>
            </w:r>
            <w:r>
              <w:t xml:space="preserve"> EU-Talentpool in Form einer unionsweiten Plattform eingerichtet werden, auf der die Profile von registrierten Arbeitsuchenden aus Drittstaaten mit Wohnsitz außerhalb der Union mit den offenen Stellen von in den teilnehmenden Mitgliedstaaten ansässigen Arb</w:t>
            </w:r>
            <w:r>
              <w:t>eitgebern zusammengeführt und abgeglichen werden.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145</w:t>
      </w:r>
      <w:r>
        <w:rPr>
          <w:rStyle w:val="HideTWBExt"/>
        </w:rPr>
        <w:t>&lt;/NumAmB&gt;</w:t>
      </w:r>
    </w:p>
    <w:p w:rsidR="00BC254A" w:rsidRDefault="007914A5">
      <w:pPr>
        <w:pStyle w:val="NormalBold"/>
      </w:pPr>
      <w:r>
        <w:rPr>
          <w:rStyle w:val="HideTWBExt"/>
          <w:b w:val="0"/>
        </w:rPr>
        <w:t>&lt;RepeatBlock-By&gt;&lt;Members&gt;</w:t>
      </w:r>
      <w:r>
        <w:t>Nadine Morano</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w:t>
            </w:r>
            <w:r>
              <w:tab/>
              <w:t>Um internationale Einstellungen zu erleichtern und Drittstaatsangehörigen Möglichkeiten zu eröffnen, in Berufen zu arbeiten, in denen EU-weit ein Mangel besteht, sollte ein EU-T</w:t>
            </w:r>
            <w:r>
              <w:t>alentpool in Form einer unionsweiten Plattform eingerichtet werden, auf der die Profile von registrierten Arbeitsuchenden aus Drittstaaten mit Wohnsitz außerhalb der Union mit den offenen Stellen von in den teilnehmenden Mitgliedstaaten ansässigen Arbeitge</w:t>
            </w:r>
            <w:r>
              <w:t>bern zusammengeführt und abgeglichen werden.</w:t>
            </w:r>
          </w:p>
        </w:tc>
        <w:tc>
          <w:tcPr>
            <w:tcW w:w="4876" w:type="dxa"/>
            <w:tcBorders>
              <w:top w:val="nil"/>
              <w:left w:val="nil"/>
              <w:bottom w:val="nil"/>
              <w:right w:val="nil"/>
            </w:tcBorders>
          </w:tcPr>
          <w:p w:rsidR="00BC254A" w:rsidRDefault="007914A5">
            <w:pPr>
              <w:pStyle w:val="Normal6a"/>
            </w:pPr>
            <w:r>
              <w:t>(3)</w:t>
            </w:r>
            <w:r>
              <w:tab/>
            </w:r>
            <w:r>
              <w:t>Um internationale Einstellungen zu erleichtern und Drittstaatsangehörigen Möglichkeiten zu eröffnen, in Berufen zu arbeiten, in denen EU-weit ein Mangel besteht, sollte ein EU-Talentpool in Form einer unionsweiten Plattform eingerichtet werden, auf der die</w:t>
            </w:r>
            <w:r>
              <w:t xml:space="preserve"> Profile von registrierten Arbeitsuchenden aus Drittstaaten mit Wohnsitz außerhalb der Union mit den offenen Stellen von in den teilnehmenden Mitgliedstaaten ansässigen </w:t>
            </w:r>
            <w:r>
              <w:rPr>
                <w:b/>
                <w:i/>
              </w:rPr>
              <w:t>teilnehmenden</w:t>
            </w:r>
            <w:r>
              <w:t xml:space="preserve"> Arbeitgebern zusammengeführt und abgeglichen werden.</w:t>
            </w:r>
          </w:p>
        </w:tc>
      </w:tr>
    </w:tbl>
    <w:p w:rsidR="00BC254A" w:rsidRDefault="007914A5">
      <w:pPr>
        <w:pStyle w:val="AmOrLang"/>
      </w:pPr>
      <w:r>
        <w:lastRenderedPageBreak/>
        <w:t xml:space="preserve">Or. </w:t>
      </w:r>
      <w:r>
        <w:rPr>
          <w:rStyle w:val="HideTWBExt"/>
        </w:rPr>
        <w:t>&lt;Original&gt;</w:t>
      </w:r>
      <w:r>
        <w:rPr>
          <w:rStyle w:val="HideTWBInt"/>
        </w:rPr>
        <w:t>{FR}</w:t>
      </w:r>
      <w:r>
        <w:t>f</w:t>
      </w:r>
      <w:r>
        <w:t>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146</w:t>
      </w:r>
      <w:r>
        <w:rPr>
          <w:rStyle w:val="HideTWBExt"/>
        </w:rPr>
        <w:t>&lt;/NumAmB&gt;</w:t>
      </w:r>
    </w:p>
    <w:p w:rsidR="00BC254A" w:rsidRDefault="007914A5">
      <w:pPr>
        <w:pStyle w:val="NormalBold"/>
      </w:pPr>
      <w:r>
        <w:rPr>
          <w:rStyle w:val="HideTWBExt"/>
          <w:b w:val="0"/>
        </w:rPr>
        <w:t>&lt;RepeatBlock-By&gt;&lt;Members&gt;</w:t>
      </w:r>
      <w:r>
        <w:t>Javier 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w:t>
            </w:r>
            <w:r>
              <w:tab/>
              <w:t>Um internationale Einstellungen zu erleichtern und Drittstaatsangehörigen Möglichkeiten zu eröffnen, in Berufen zu arbeiten, in denen EU-weit ein Mangel besteht, sollte ein EU-Talentpool in Form einer unionsweiten Plattform eingerichte</w:t>
            </w:r>
            <w:r>
              <w:t xml:space="preserve">t werden, auf der die Profile von registrierten Arbeitsuchenden aus Drittstaaten mit </w:t>
            </w:r>
            <w:r>
              <w:rPr>
                <w:b/>
                <w:i/>
              </w:rPr>
              <w:t>Wohnsitz außerhalb der Union mit</w:t>
            </w:r>
            <w:r>
              <w:t xml:space="preserve"> den offenen Stellen von in den teilnehmenden Mitgliedstaaten ansässigen Arbeitgebern zusammengeführt und abgeglichen werden.</w:t>
            </w:r>
          </w:p>
        </w:tc>
        <w:tc>
          <w:tcPr>
            <w:tcW w:w="4876" w:type="dxa"/>
            <w:tcBorders>
              <w:top w:val="nil"/>
              <w:left w:val="nil"/>
              <w:bottom w:val="nil"/>
              <w:right w:val="nil"/>
            </w:tcBorders>
          </w:tcPr>
          <w:p w:rsidR="00BC254A" w:rsidRDefault="007914A5">
            <w:pPr>
              <w:pStyle w:val="Normal6a"/>
            </w:pPr>
            <w:r>
              <w:t>(3)</w:t>
            </w:r>
            <w:r>
              <w:tab/>
              <w:t>Um intern</w:t>
            </w:r>
            <w:r>
              <w:t xml:space="preserve">ationale Einstellungen zu erleichtern und Drittstaatsangehörigen Möglichkeiten zu eröffnen, in Berufen zu arbeiten, in denen EU-weit ein Mangel besteht, sollte ein EU-Talentpool in Form einer unionsweiten Plattform eingerichtet werden, auf der die Profile </w:t>
            </w:r>
            <w:r>
              <w:t>von registrierten Arbeitsuchenden aus Drittstaaten mit den offenen Stellen von in den teilnehmenden Mitgliedstaaten ansässigen Arbeitgebern zusammengeführt und abgeglichen werden.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147</w:t>
      </w:r>
      <w:r>
        <w:rPr>
          <w:rStyle w:val="HideTWBExt"/>
        </w:rPr>
        <w:t>&lt;/NumAmB&gt;</w:t>
      </w:r>
    </w:p>
    <w:p w:rsidR="00BC254A" w:rsidRDefault="007914A5">
      <w:pPr>
        <w:pStyle w:val="NormalBold"/>
      </w:pPr>
      <w:r>
        <w:rPr>
          <w:rStyle w:val="HideTWBExt"/>
          <w:b w:val="0"/>
        </w:rPr>
        <w:t>&lt;RepeatBlock-By&gt;&lt;Members&gt;</w:t>
      </w:r>
      <w:r>
        <w:t>Francisco Assis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w:t>
            </w:r>
            <w:r>
              <w:tab/>
            </w:r>
            <w:r>
              <w:t>Um internationale Einstellungen zu erleichtern und Drittstaatsangehörigen Möglichkeiten zu eröffnen, in Berufen zu arbeiten, in denen EU-weit ein Mangel besteht, sollte ein EU-Talentpool in Form einer unionsweiten Plattform eingerichtet werden, auf der die</w:t>
            </w:r>
            <w:r>
              <w:t xml:space="preserve"> Profile von registrierten Arbeitsuchenden aus Drittstaaten mit </w:t>
            </w:r>
            <w:r>
              <w:rPr>
                <w:b/>
                <w:i/>
              </w:rPr>
              <w:t>Wohnsitz außerhalb der Union mit</w:t>
            </w:r>
            <w:r>
              <w:t xml:space="preserve"> den offenen Stellen von in den teilnehmenden Mitgliedstaaten ansässigen </w:t>
            </w:r>
            <w:r>
              <w:lastRenderedPageBreak/>
              <w:t>Arbeitgebern zusammengeführt und abgeglichen werden.</w:t>
            </w:r>
          </w:p>
        </w:tc>
        <w:tc>
          <w:tcPr>
            <w:tcW w:w="4876" w:type="dxa"/>
            <w:tcBorders>
              <w:top w:val="nil"/>
              <w:left w:val="nil"/>
              <w:bottom w:val="nil"/>
              <w:right w:val="nil"/>
            </w:tcBorders>
          </w:tcPr>
          <w:p w:rsidR="00BC254A" w:rsidRDefault="007914A5">
            <w:pPr>
              <w:pStyle w:val="Normal6a"/>
            </w:pPr>
            <w:r>
              <w:lastRenderedPageBreak/>
              <w:t>(3)</w:t>
            </w:r>
            <w:r>
              <w:tab/>
              <w:t>Um internationale Einstellunge</w:t>
            </w:r>
            <w:r>
              <w:t>n zu erleichtern und Drittstaatsangehörigen Möglichkeiten zu eröffnen, in Berufen zu arbeiten, in denen EU-weit ein Mangel besteht, sollte ein EU-Talentpool in Form einer unionsweiten Plattform eingerichtet werden, auf der die Profile von registrierten Arb</w:t>
            </w:r>
            <w:r>
              <w:t xml:space="preserve">eitsuchenden aus Drittstaaten mit den offenen Stellen von in den teilnehmenden Mitgliedstaaten ansässigen Arbeitgebern zusammengeführt </w:t>
            </w:r>
            <w:r>
              <w:lastRenderedPageBreak/>
              <w:t>und abgeglichen werden.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148</w:t>
      </w:r>
      <w:r>
        <w:rPr>
          <w:rStyle w:val="HideTWBExt"/>
        </w:rPr>
        <w:t>&lt;/NumAmB&gt;</w:t>
      </w:r>
    </w:p>
    <w:p w:rsidR="00BC254A" w:rsidRDefault="007914A5">
      <w:pPr>
        <w:pStyle w:val="NormalBold"/>
      </w:pPr>
      <w:r>
        <w:rPr>
          <w:rStyle w:val="HideTWBExt"/>
          <w:b w:val="0"/>
        </w:rPr>
        <w:t>&lt;RepeatB</w:t>
      </w:r>
      <w:r>
        <w:rPr>
          <w:rStyle w:val="HideTWBExt"/>
          <w:b w:val="0"/>
        </w:rPr>
        <w:t>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(3a)</w:t>
            </w:r>
            <w:r>
              <w:tab/>
            </w:r>
            <w:r>
              <w:rPr>
                <w:b/>
                <w:i/>
              </w:rPr>
              <w:t xml:space="preserve">Der Talentpool sollte zur Verwirklichung des Ziels des </w:t>
            </w:r>
            <w:r>
              <w:rPr>
                <w:b/>
                <w:i/>
              </w:rPr>
              <w:t>Grünen Deals der EU, bis 2050 klimaneutral zu werden, sowie der UN-Agenda 2030 für nachhaltige Entwicklung und der entsprechenden Nachhaltigkeitsziele beitragen, insbesondere zu Ziel Nr. 1 (Beseitigung der Armut), zu Ziel Nr. 5 (Gleichstellung der Geschlec</w:t>
            </w:r>
            <w:r>
              <w:rPr>
                <w:b/>
                <w:i/>
              </w:rPr>
              <w:t xml:space="preserve">hter und Stärkung aller Frauen und Mädchen), zu Ziel Nr. 8 (Förderung eines dauerhaften, breitenwirksamen und nachhaltigen Wirtschaftswachstums, einer produktiven Vollbeschäftigung und menschenwürdiger Arbeit für alle) und zu Ziel Nr. 10 (Verringerung von </w:t>
            </w:r>
            <w:r>
              <w:rPr>
                <w:b/>
                <w:i/>
              </w:rPr>
              <w:t>Ungleichheit innerhalb und zwischen Ländern).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149</w:t>
      </w:r>
      <w:r>
        <w:rPr>
          <w:rStyle w:val="HideTWBExt"/>
        </w:rPr>
        <w:t>&lt;/NumAmB&gt;</w:t>
      </w:r>
    </w:p>
    <w:p w:rsidR="00BC254A" w:rsidRDefault="007914A5">
      <w:pPr>
        <w:pStyle w:val="NormalBold"/>
      </w:pPr>
      <w:r>
        <w:rPr>
          <w:rStyle w:val="HideTWBExt"/>
          <w:b w:val="0"/>
        </w:rPr>
        <w:t>&lt;RepeatBlock-By&gt;&lt;Members&gt;</w:t>
      </w:r>
      <w:r>
        <w:t>Pernando Barrena Arza</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w:t>
      </w:r>
      <w:r>
        <w:rPr>
          <w:rStyle w:val="HideTWBExt"/>
        </w:rPr>
        <w:t>end&gt;</w:t>
      </w:r>
    </w:p>
    <w:p w:rsidR="00BC254A" w:rsidRDefault="007914A5">
      <w:pPr>
        <w:pStyle w:val="NormalBold"/>
      </w:pPr>
      <w:r>
        <w:rPr>
          <w:rStyle w:val="HideTWBExt"/>
        </w:rPr>
        <w:t>&lt;Article&gt;</w:t>
      </w:r>
      <w:r>
        <w:t>Erwägung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(3a)</w:t>
            </w:r>
            <w:r>
              <w:tab/>
            </w:r>
            <w:r>
              <w:rPr>
                <w:b/>
                <w:i/>
              </w:rPr>
              <w:t xml:space="preserve">Der EU-Talentpool sollte faire und ethische Einstellungsverfahren fördern, die den Entwicklungsbedürfnissen von </w:t>
            </w:r>
            <w:r>
              <w:rPr>
                <w:b/>
                <w:i/>
              </w:rPr>
              <w:lastRenderedPageBreak/>
              <w:t xml:space="preserve">Drittländern Rechnung tragen und darauf abzielen, </w:t>
            </w:r>
            <w:r>
              <w:rPr>
                <w:b/>
                <w:i/>
              </w:rPr>
              <w:t>die Abwanderung hoch qualifizierter Kräfte in kritischen Sektoren zu verhindern.</w:t>
            </w:r>
            <w:r>
              <w:t xml:space="preserve"> </w:t>
            </w:r>
            <w:r>
              <w:rPr>
                <w:b/>
                <w:i/>
              </w:rPr>
              <w:t>Der EU-Talentpool sollte so umgesetzt werden, dass potenzielle negative Auswirkungen auf die Entwicklung von Drittländern abgemildert werden, indem insbesondere der Schwund kr</w:t>
            </w:r>
            <w:r>
              <w:rPr>
                <w:b/>
                <w:i/>
              </w:rPr>
              <w:t>itischer Kompetenzen in Sektoren, die für den sozioökonomischen Fortschritt dieser Länder von entscheidender Bedeutung sind, verhindert wird.</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150</w:t>
      </w:r>
      <w:r>
        <w:rPr>
          <w:rStyle w:val="HideTWBExt"/>
        </w:rPr>
        <w:t>&lt;/NumAmB&gt;</w:t>
      </w:r>
    </w:p>
    <w:p w:rsidR="00BC254A" w:rsidRDefault="007914A5">
      <w:pPr>
        <w:pStyle w:val="NormalBold"/>
      </w:pPr>
      <w:r>
        <w:rPr>
          <w:rStyle w:val="HideTWBExt"/>
          <w:b w:val="0"/>
        </w:rPr>
        <w:t>&lt;RepeatBlock-By&gt;&lt;Members&gt;</w:t>
      </w:r>
      <w:r>
        <w:t>Lena Düpont, Tomas Tobé</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(3a)</w:t>
            </w:r>
            <w:r>
              <w:tab/>
            </w:r>
            <w:r>
              <w:rPr>
                <w:b/>
                <w:i/>
              </w:rPr>
              <w:t xml:space="preserve">Der Begriff „Arbeitgeber“ sollte und muss in dieser Verordnung </w:t>
            </w:r>
            <w:r>
              <w:rPr>
                <w:b/>
                <w:i/>
              </w:rPr>
              <w:t>nicht bestimmt werden.</w:t>
            </w:r>
            <w:r>
              <w:t xml:space="preserve"> </w:t>
            </w:r>
            <w:r>
              <w:rPr>
                <w:b/>
                <w:i/>
              </w:rPr>
              <w:t>Es sollte klargestellt werden, dass private Arbeitsvermittler, Leiharbeitsunternehmen und andere Arbeitsmarktvermittler, die Zugang zum EU-Talentpool haben, neben den „teilnehmenden Arbeitgebern“ Arbeitsmarktakteure im Sinne „sonstig</w:t>
            </w:r>
            <w:r>
              <w:rPr>
                <w:b/>
                <w:i/>
              </w:rPr>
              <w:t>er teilnehmender Einrichtungen“ sind.</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151</w:t>
      </w:r>
      <w:r>
        <w:rPr>
          <w:rStyle w:val="HideTWBExt"/>
        </w:rPr>
        <w:t>&lt;/NumAmB&gt;</w:t>
      </w:r>
    </w:p>
    <w:p w:rsidR="00BC254A" w:rsidRDefault="007914A5">
      <w:pPr>
        <w:pStyle w:val="NormalBold"/>
      </w:pPr>
      <w:r>
        <w:rPr>
          <w:rStyle w:val="HideTWBExt"/>
          <w:b w:val="0"/>
        </w:rPr>
        <w:t>&lt;RepeatBlock-By&gt;&lt;Members&gt;</w:t>
      </w:r>
      <w:r>
        <w:t>Alice Teodorescu Måwe</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(3a)</w:t>
            </w:r>
            <w:r>
              <w:tab/>
            </w:r>
            <w:r>
              <w:rPr>
                <w:b/>
                <w:i/>
              </w:rPr>
              <w:t>Der Begriff „Arbeitgeber“ sollte und muss in dieser Verordnung nicht bestimmt werden.</w:t>
            </w:r>
            <w:r>
              <w:t xml:space="preserve"> </w:t>
            </w:r>
            <w:r>
              <w:rPr>
                <w:b/>
                <w:i/>
              </w:rPr>
              <w:t xml:space="preserve">Es sollte klargestellt werden, dass private Arbeitsvermittler, </w:t>
            </w:r>
            <w:r>
              <w:rPr>
                <w:b/>
                <w:i/>
              </w:rPr>
              <w:t>Leiharbeitsunternehmen und andere Arbeitsmarktvermittler, die Zugang zum EU-Talentpool haben, neben den „teilnehmenden Arbeitgebern“ Arbeitsmarktakteure im Sinne „sonstiger teilnehmender Einrichtungen“ sind.</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w:t>
      </w:r>
      <w:r>
        <w:rPr>
          <w:rStyle w:val="HideTWBExt"/>
        </w:rPr>
        <w:t>dB&gt;</w:t>
      </w:r>
      <w:r>
        <w:t>Änderungsantrag</w:t>
      </w:r>
      <w:r>
        <w:tab/>
      </w:r>
      <w:r>
        <w:tab/>
      </w:r>
      <w:r>
        <w:rPr>
          <w:rStyle w:val="HideTWBExt"/>
        </w:rPr>
        <w:t>&lt;NumAmB&gt;</w:t>
      </w:r>
      <w:r>
        <w:t>152</w:t>
      </w:r>
      <w:r>
        <w:rPr>
          <w:rStyle w:val="HideTWBExt"/>
        </w:rPr>
        <w:t>&lt;/NumAmB&gt;</w:t>
      </w:r>
    </w:p>
    <w:p w:rsidR="00BC254A" w:rsidRDefault="007914A5">
      <w:pPr>
        <w:pStyle w:val="NormalBold"/>
      </w:pPr>
      <w:r>
        <w:rPr>
          <w:rStyle w:val="HideTWBExt"/>
          <w:b w:val="0"/>
        </w:rPr>
        <w:t>&lt;RepeatBlock-By&gt;&lt;Members&gt;</w:t>
      </w:r>
      <w:r>
        <w:t>François-Xavier Bellamy</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(3a)</w:t>
            </w:r>
            <w:r>
              <w:tab/>
            </w:r>
            <w:r>
              <w:rPr>
                <w:b/>
                <w:i/>
              </w:rPr>
              <w:t>Internationale Einstellungen müssen kontrolliert erfolgen und jährlichen Quoten unterliegen, die auf nationaler Ebene anhand des dringendsten Bedarfs am Arbeitsmarkt festgelegt werden.</w:t>
            </w:r>
          </w:p>
        </w:tc>
      </w:tr>
    </w:tbl>
    <w:p w:rsidR="00BC254A" w:rsidRDefault="007914A5">
      <w:pPr>
        <w:pStyle w:val="AmOrLang"/>
      </w:pPr>
      <w:r>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153</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(3b)</w:t>
            </w:r>
            <w:r>
              <w:tab/>
            </w:r>
            <w:r>
              <w:rPr>
                <w:b/>
                <w:i/>
              </w:rPr>
              <w:t xml:space="preserve">Frauen stellen zwar in </w:t>
            </w:r>
            <w:r>
              <w:rPr>
                <w:b/>
                <w:i/>
              </w:rPr>
              <w:t xml:space="preserve">einigen wichtigen Branchen einen großen Teil der Arbeitskräfte, mobile weibliche Arbeitskräfte und Migrantinnen haben es jedoch mitunter mit prekären Arbeitsplätzen und der informellen Wirtschaft zu tun und sind häufig in </w:t>
            </w:r>
            <w:r>
              <w:rPr>
                <w:b/>
                <w:i/>
              </w:rPr>
              <w:lastRenderedPageBreak/>
              <w:t>besonderem Maße von Diskriminierun</w:t>
            </w:r>
            <w:r>
              <w:rPr>
                <w:b/>
                <w:i/>
              </w:rPr>
              <w:t>g, sozialer Ausgrenzung und fehlenden Arbeits- und Ausbildungsmöglichkeiten bedroht sowie Missbrauch, Gewalt und Belästigung ausgesetzt.</w:t>
            </w:r>
            <w:r>
              <w:t xml:space="preserve"> </w:t>
            </w:r>
            <w:r>
              <w:rPr>
                <w:b/>
                <w:i/>
              </w:rPr>
              <w:t xml:space="preserve">Die Mitgliedstaaten sollten den Schutz der Frauenrechte konsequent in allen Politikbereichen berücksichtigen und einen </w:t>
            </w:r>
            <w:r>
              <w:rPr>
                <w:b/>
                <w:i/>
              </w:rPr>
              <w:t>mit Blick auf die Geschlechterrollen transformativen Ansatz verfolgen, der unter anderem gleichen Lohn bei gleichwertiger Arbeit umfasst.</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154</w:t>
      </w:r>
      <w:r>
        <w:rPr>
          <w:rStyle w:val="HideTWBExt"/>
        </w:rPr>
        <w:t>&lt;/NumAmB&gt;</w:t>
      </w:r>
    </w:p>
    <w:p w:rsidR="00BC254A" w:rsidRDefault="007914A5">
      <w:pPr>
        <w:pStyle w:val="NormalBold"/>
      </w:pPr>
      <w:r>
        <w:rPr>
          <w:rStyle w:val="HideTWBExt"/>
          <w:b w:val="0"/>
        </w:rPr>
        <w:t>&lt;RepeatBlock-By&gt;&lt;Members&gt;</w:t>
      </w:r>
      <w:r>
        <w:t>Pern</w:t>
      </w:r>
      <w:r>
        <w:t>ando Barrena Arza</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(3b)</w:t>
            </w:r>
            <w:r>
              <w:tab/>
            </w:r>
            <w:r>
              <w:rPr>
                <w:b/>
                <w:i/>
              </w:rPr>
              <w:t xml:space="preserve">Mit dem EU-Talentpool sollte sichergestellt werden, dass </w:t>
            </w:r>
            <w:r>
              <w:rPr>
                <w:b/>
                <w:i/>
              </w:rPr>
              <w:t>Wanderarbeitnehmer, die über diese Plattform eingestellt werden, im Einklang mit dem Grundsatz der Gleichbehandlung dieselben Rechte und Arbeitsbedingungen und denselben Sozialschutz genießen wie EU-Bürger.</w:t>
            </w:r>
            <w:r>
              <w:t xml:space="preserve"> </w:t>
            </w:r>
            <w:r>
              <w:rPr>
                <w:b/>
                <w:i/>
              </w:rPr>
              <w:t>Er sollte im Einklang mit den internationalen Men</w:t>
            </w:r>
            <w:r>
              <w:rPr>
                <w:b/>
                <w:i/>
              </w:rPr>
              <w:t>schenrechts- und Arbeitsnormen menschenwürdige Arbeit und die Gleichbehandlung aller Arbeitnehmer, unabhängig von ihrer Staatsangehörigkeit oder ihrem Einwanderungsstatus, fördern.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w:t>
      </w:r>
      <w:r>
        <w:rPr>
          <w:rStyle w:val="HideTWBExt"/>
        </w:rPr>
        <w:t>&gt;</w:t>
      </w:r>
      <w:r>
        <w:t>155</w:t>
      </w:r>
      <w:r>
        <w:rPr>
          <w:rStyle w:val="HideTWBExt"/>
        </w:rPr>
        <w:t>&lt;/NumAmB&gt;</w:t>
      </w:r>
    </w:p>
    <w:p w:rsidR="00BC254A" w:rsidRDefault="007914A5">
      <w:pPr>
        <w:pStyle w:val="NormalBold"/>
      </w:pPr>
      <w:r>
        <w:rPr>
          <w:rStyle w:val="HideTWBExt"/>
          <w:b w:val="0"/>
        </w:rPr>
        <w:t>&lt;RepeatBlock-By&gt;&lt;Members&gt;</w:t>
      </w:r>
      <w:r>
        <w:t>François-Xavier Bellamy</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(3b)</w:t>
            </w:r>
            <w:r>
              <w:tab/>
            </w:r>
            <w:r>
              <w:rPr>
                <w:b/>
                <w:i/>
              </w:rPr>
              <w:t xml:space="preserve">Internationale </w:t>
            </w:r>
            <w:r>
              <w:rPr>
                <w:b/>
                <w:i/>
              </w:rPr>
              <w:t>Einstellungen dürfen nicht dazu führen, dass den Herkunftsländern jene Kompetenzen fehlen, die für ihr Wachstum und ihre Entwicklung erforderlich sind.</w:t>
            </w:r>
          </w:p>
        </w:tc>
      </w:tr>
    </w:tbl>
    <w:p w:rsidR="00BC254A" w:rsidRDefault="007914A5">
      <w:pPr>
        <w:pStyle w:val="AmOrLang"/>
      </w:pPr>
      <w:r>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156</w:t>
      </w:r>
      <w:r>
        <w:rPr>
          <w:rStyle w:val="HideTWBExt"/>
        </w:rPr>
        <w:t>&lt;/NumAmB&gt;</w:t>
      </w:r>
    </w:p>
    <w:p w:rsidR="00BC254A" w:rsidRDefault="007914A5">
      <w:pPr>
        <w:pStyle w:val="NormalBold"/>
      </w:pPr>
      <w:r>
        <w:rPr>
          <w:rStyle w:val="HideTWBExt"/>
          <w:b w:val="0"/>
        </w:rPr>
        <w:t>&lt;RepeatBlock-By&gt;&lt;Members&gt;</w:t>
      </w:r>
      <w:r>
        <w:t>François-Xavier Bellamy</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rPr>
                <w:b/>
                <w:i/>
              </w:rPr>
              <w:t>(4)</w:t>
            </w:r>
            <w:r>
              <w:tab/>
            </w:r>
            <w:r>
              <w:rPr>
                <w:b/>
                <w:i/>
              </w:rPr>
              <w:t xml:space="preserve">In der Empfehlung der Kommission zu legalen </w:t>
            </w:r>
            <w:r>
              <w:rPr>
                <w:b/>
                <w:i/>
              </w:rPr>
              <w:t>Schutzwegen in die EU</w:t>
            </w:r>
            <w:r>
              <w:rPr>
                <w:b/>
                <w:i/>
                <w:vertAlign w:val="superscript"/>
              </w:rPr>
              <w:t>4</w:t>
            </w:r>
            <w:r>
              <w:rPr>
                <w:b/>
                <w:i/>
              </w:rPr>
              <w:t>werden die Mitgliedstaaten aufgefordert, für Menschen, die internationalen Schutz benötigen, komplementäre Zugangswege zur Beschäftigung einzurichten und zu unterstützen.</w:t>
            </w:r>
            <w:r>
              <w:rPr>
                <w:b/>
                <w:i/>
                <w:vertAlign w:val="superscript"/>
              </w:rPr>
              <w:t>5</w:t>
            </w:r>
            <w:r>
              <w:rPr>
                <w:b/>
                <w:i/>
              </w:rPr>
              <w:t xml:space="preserve">Der EU-Talentpool könnte auch für die praktische Umsetzung der </w:t>
            </w:r>
            <w:r>
              <w:rPr>
                <w:b/>
                <w:i/>
              </w:rPr>
              <w:t>komplementären Zugangswege hilfreich sein.</w:t>
            </w:r>
          </w:p>
        </w:tc>
        <w:tc>
          <w:tcPr>
            <w:tcW w:w="4876" w:type="dxa"/>
            <w:tcBorders>
              <w:top w:val="nil"/>
              <w:left w:val="nil"/>
              <w:bottom w:val="nil"/>
              <w:right w:val="nil"/>
            </w:tcBorders>
          </w:tcPr>
          <w:p w:rsidR="00BC254A" w:rsidRDefault="007914A5">
            <w:pPr>
              <w:pStyle w:val="Normal6a"/>
            </w:pPr>
            <w:r>
              <w:rPr>
                <w:b/>
                <w:i/>
              </w:rPr>
              <w:t>entfällt</w:t>
            </w:r>
          </w:p>
        </w:tc>
      </w:tr>
      <w:tr w:rsidR="00BC254A">
        <w:trPr>
          <w:jc w:val="center"/>
        </w:trPr>
        <w:tc>
          <w:tcPr>
            <w:tcW w:w="4876" w:type="dxa"/>
            <w:tcBorders>
              <w:top w:val="nil"/>
              <w:left w:val="nil"/>
              <w:bottom w:val="nil"/>
              <w:right w:val="nil"/>
            </w:tcBorders>
          </w:tcPr>
          <w:p w:rsidR="00BC254A" w:rsidRDefault="007914A5">
            <w:pPr>
              <w:pStyle w:val="Normal6a"/>
            </w:pPr>
            <w:r>
              <w:rPr>
                <w:b/>
                <w:i/>
              </w:rPr>
              <w:t>_________________</w:t>
            </w:r>
          </w:p>
        </w:tc>
        <w:tc>
          <w:tcPr>
            <w:tcW w:w="4876" w:type="dxa"/>
            <w:tcBorders>
              <w:top w:val="nil"/>
              <w:left w:val="nil"/>
              <w:bottom w:val="nil"/>
              <w:right w:val="nil"/>
            </w:tcBorders>
          </w:tcPr>
          <w:p w:rsidR="00BC254A" w:rsidRDefault="00BC254A"/>
        </w:tc>
      </w:tr>
      <w:tr w:rsidR="00BC254A">
        <w:trPr>
          <w:jc w:val="center"/>
        </w:trPr>
        <w:tc>
          <w:tcPr>
            <w:tcW w:w="4876" w:type="dxa"/>
            <w:tcBorders>
              <w:top w:val="nil"/>
              <w:left w:val="nil"/>
              <w:bottom w:val="nil"/>
              <w:right w:val="nil"/>
            </w:tcBorders>
          </w:tcPr>
          <w:p w:rsidR="00BC254A" w:rsidRDefault="007914A5">
            <w:pPr>
              <w:pStyle w:val="Normal6a"/>
            </w:pPr>
            <w:r>
              <w:rPr>
                <w:b/>
                <w:i/>
                <w:vertAlign w:val="superscript"/>
              </w:rPr>
              <w:t>4</w:t>
            </w:r>
            <w:r>
              <w:t xml:space="preserve"> </w:t>
            </w:r>
            <w:r>
              <w:rPr>
                <w:b/>
                <w:i/>
              </w:rPr>
              <w:t>Empfehlung (EU) 2020/1364 der Kommission vom 23. September 2020 zu legalen Schutzwegen in die EU:</w:t>
            </w:r>
            <w:r>
              <w:t xml:space="preserve"> </w:t>
            </w:r>
            <w:r>
              <w:rPr>
                <w:b/>
                <w:i/>
              </w:rPr>
              <w:t xml:space="preserve">Förderung der Neuansiedlung, der Aufnahme aus humanitären Gründen und anderer </w:t>
            </w:r>
            <w:r>
              <w:rPr>
                <w:b/>
                <w:i/>
              </w:rPr>
              <w:t>komplementärer Zugangswege.</w:t>
            </w:r>
          </w:p>
        </w:tc>
        <w:tc>
          <w:tcPr>
            <w:tcW w:w="4876" w:type="dxa"/>
            <w:tcBorders>
              <w:top w:val="nil"/>
              <w:left w:val="nil"/>
              <w:bottom w:val="nil"/>
              <w:right w:val="nil"/>
            </w:tcBorders>
          </w:tcPr>
          <w:p w:rsidR="00BC254A" w:rsidRDefault="00BC254A"/>
        </w:tc>
      </w:tr>
      <w:tr w:rsidR="00BC254A">
        <w:trPr>
          <w:jc w:val="center"/>
        </w:trPr>
        <w:tc>
          <w:tcPr>
            <w:tcW w:w="4876" w:type="dxa"/>
            <w:tcBorders>
              <w:top w:val="nil"/>
              <w:left w:val="nil"/>
              <w:bottom w:val="nil"/>
              <w:right w:val="nil"/>
            </w:tcBorders>
          </w:tcPr>
          <w:p w:rsidR="00BC254A" w:rsidRDefault="007914A5">
            <w:pPr>
              <w:pStyle w:val="Normal6a"/>
            </w:pPr>
            <w:r>
              <w:rPr>
                <w:b/>
                <w:i/>
                <w:vertAlign w:val="superscript"/>
              </w:rPr>
              <w:t>5</w:t>
            </w:r>
            <w:r>
              <w:t xml:space="preserve"> </w:t>
            </w:r>
            <w:r>
              <w:rPr>
                <w:b/>
                <w:i/>
              </w:rPr>
              <w:t xml:space="preserve">„Komplementäre Zugangswege“ sind sichere und regulierte Zugangsmöglichkeiten für Personen, die internationalen Schutz benötigen, und ergänzen die Neuansiedlung durch einen rechtmäßigen Aufenthalt in einem Drittstaat, in dem </w:t>
            </w:r>
            <w:r>
              <w:rPr>
                <w:b/>
                <w:i/>
              </w:rPr>
              <w:t xml:space="preserve">ihr Bedarf an </w:t>
            </w:r>
            <w:r>
              <w:rPr>
                <w:b/>
                <w:i/>
              </w:rPr>
              <w:lastRenderedPageBreak/>
              <w:t>internationalem Schutz gedeckt ist.</w:t>
            </w:r>
            <w:r>
              <w:t xml:space="preserve"> </w:t>
            </w:r>
            <w:r>
              <w:rPr>
                <w:b/>
                <w:i/>
              </w:rPr>
              <w:t>Komplementäre Zugangswege zur Beschäftigung ermöglichen es Personen, die internationalen Schutz benötigen, Zugang zu bestehenden Wegen der Arbeitsmigration zu erhalten, ihre Kompetenzen zu nutzen und zur Be</w:t>
            </w:r>
            <w:r>
              <w:rPr>
                <w:b/>
                <w:i/>
              </w:rPr>
              <w:t>hebung des Arbeitskräftemangels in den Aufnahmeländern beizutragen.</w:t>
            </w:r>
            <w:r>
              <w:t xml:space="preserve"> </w:t>
            </w:r>
            <w:r>
              <w:rPr>
                <w:b/>
                <w:i/>
              </w:rPr>
              <w:t>Siehe auch:</w:t>
            </w:r>
            <w:r>
              <w:t xml:space="preserve"> </w:t>
            </w:r>
            <w:r>
              <w:rPr>
                <w:b/>
                <w:i/>
              </w:rPr>
              <w:t>https://www.unhcr.org/complementary-pathways.html.</w:t>
            </w:r>
          </w:p>
        </w:tc>
        <w:tc>
          <w:tcPr>
            <w:tcW w:w="4876" w:type="dxa"/>
            <w:tcBorders>
              <w:top w:val="nil"/>
              <w:left w:val="nil"/>
              <w:bottom w:val="nil"/>
              <w:right w:val="nil"/>
            </w:tcBorders>
          </w:tcPr>
          <w:p w:rsidR="00BC254A" w:rsidRDefault="00BC254A"/>
        </w:tc>
      </w:tr>
    </w:tbl>
    <w:p w:rsidR="00BC254A" w:rsidRDefault="007914A5">
      <w:pPr>
        <w:pStyle w:val="AmOrLang"/>
      </w:pPr>
      <w:r>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157</w:t>
      </w:r>
      <w:r>
        <w:rPr>
          <w:rStyle w:val="HideTWBExt"/>
        </w:rPr>
        <w:t>&lt;/NumAmB&gt;</w:t>
      </w:r>
    </w:p>
    <w:p w:rsidR="00BC254A" w:rsidRDefault="007914A5">
      <w:pPr>
        <w:pStyle w:val="NormalBold"/>
      </w:pPr>
      <w:r>
        <w:rPr>
          <w:rStyle w:val="HideTWBExt"/>
          <w:b w:val="0"/>
        </w:rPr>
        <w:t>&lt;RepeatBlock-By&gt;&lt;Members&gt;</w:t>
      </w:r>
      <w:r>
        <w:t>Petra Steg</w:t>
      </w:r>
      <w:r>
        <w:t>er, Jaroslav Bžoch, Fabrice Leggeri, António Tânger Corrêa, Jorge Buxadé Villalba, Marieke Ehlers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rPr>
                <w:b/>
                <w:i/>
              </w:rPr>
              <w:t>(4)</w:t>
            </w:r>
            <w:r>
              <w:tab/>
            </w:r>
            <w:r>
              <w:rPr>
                <w:b/>
                <w:i/>
              </w:rPr>
              <w:t>In der Empfehlung der Kommission zu legalen Schutzwegen in die EU</w:t>
            </w:r>
            <w:r>
              <w:rPr>
                <w:b/>
                <w:i/>
                <w:vertAlign w:val="superscript"/>
              </w:rPr>
              <w:t>4</w:t>
            </w:r>
            <w:r>
              <w:rPr>
                <w:b/>
                <w:i/>
              </w:rPr>
              <w:t>werden die Mitgliedstaaten aufgefordert, für Menschen, die internationalen Schutz benötigen, komplementäre Zugangswege zur Beschäftigung einzurichten und zu unterstützen.</w:t>
            </w:r>
            <w:r>
              <w:rPr>
                <w:b/>
                <w:i/>
                <w:vertAlign w:val="superscript"/>
              </w:rPr>
              <w:t>5</w:t>
            </w:r>
            <w:r>
              <w:rPr>
                <w:b/>
                <w:i/>
              </w:rPr>
              <w:t>Der EU-Talentpool k</w:t>
            </w:r>
            <w:r>
              <w:rPr>
                <w:b/>
                <w:i/>
              </w:rPr>
              <w:t>önnte auch für die praktische Umsetzung der komplementären Zugangswege hilfreich sein.</w:t>
            </w:r>
          </w:p>
        </w:tc>
        <w:tc>
          <w:tcPr>
            <w:tcW w:w="4876" w:type="dxa"/>
            <w:tcBorders>
              <w:top w:val="nil"/>
              <w:left w:val="nil"/>
              <w:bottom w:val="nil"/>
              <w:right w:val="nil"/>
            </w:tcBorders>
          </w:tcPr>
          <w:p w:rsidR="00BC254A" w:rsidRDefault="007914A5">
            <w:pPr>
              <w:pStyle w:val="Normal6a"/>
            </w:pPr>
            <w:r>
              <w:rPr>
                <w:b/>
                <w:i/>
              </w:rPr>
              <w:t>entfällt</w:t>
            </w:r>
          </w:p>
        </w:tc>
      </w:tr>
      <w:tr w:rsidR="00BC254A">
        <w:trPr>
          <w:jc w:val="center"/>
        </w:trPr>
        <w:tc>
          <w:tcPr>
            <w:tcW w:w="4876" w:type="dxa"/>
            <w:tcBorders>
              <w:top w:val="nil"/>
              <w:left w:val="nil"/>
              <w:bottom w:val="nil"/>
              <w:right w:val="nil"/>
            </w:tcBorders>
          </w:tcPr>
          <w:p w:rsidR="00BC254A" w:rsidRDefault="007914A5">
            <w:pPr>
              <w:pStyle w:val="Normal6a"/>
            </w:pPr>
            <w:r>
              <w:rPr>
                <w:b/>
                <w:i/>
              </w:rPr>
              <w:t>_________________</w:t>
            </w:r>
          </w:p>
        </w:tc>
        <w:tc>
          <w:tcPr>
            <w:tcW w:w="4876" w:type="dxa"/>
            <w:tcBorders>
              <w:top w:val="nil"/>
              <w:left w:val="nil"/>
              <w:bottom w:val="nil"/>
              <w:right w:val="nil"/>
            </w:tcBorders>
          </w:tcPr>
          <w:p w:rsidR="00BC254A" w:rsidRDefault="00BC254A"/>
        </w:tc>
      </w:tr>
      <w:tr w:rsidR="00BC254A">
        <w:trPr>
          <w:jc w:val="center"/>
        </w:trPr>
        <w:tc>
          <w:tcPr>
            <w:tcW w:w="4876" w:type="dxa"/>
            <w:tcBorders>
              <w:top w:val="nil"/>
              <w:left w:val="nil"/>
              <w:bottom w:val="nil"/>
              <w:right w:val="nil"/>
            </w:tcBorders>
          </w:tcPr>
          <w:p w:rsidR="00BC254A" w:rsidRDefault="007914A5">
            <w:pPr>
              <w:pStyle w:val="Normal6a"/>
            </w:pPr>
            <w:r>
              <w:rPr>
                <w:b/>
                <w:i/>
                <w:vertAlign w:val="superscript"/>
              </w:rPr>
              <w:t>4</w:t>
            </w:r>
            <w:r>
              <w:t xml:space="preserve"> </w:t>
            </w:r>
            <w:r>
              <w:rPr>
                <w:b/>
                <w:i/>
              </w:rPr>
              <w:t>Empfehlung (EU) 2020/1364 der Kommission vom 23. September 2020 zu legalen Schutzwegen in die EU:</w:t>
            </w:r>
            <w:r>
              <w:t xml:space="preserve"> </w:t>
            </w:r>
            <w:r>
              <w:rPr>
                <w:b/>
                <w:i/>
              </w:rPr>
              <w:t xml:space="preserve">Förderung der Neuansiedlung, der </w:t>
            </w:r>
            <w:r>
              <w:rPr>
                <w:b/>
                <w:i/>
              </w:rPr>
              <w:t>Aufnahme aus humanitären Gründen und anderer komplementärer Zugangswege.</w:t>
            </w:r>
          </w:p>
        </w:tc>
        <w:tc>
          <w:tcPr>
            <w:tcW w:w="4876" w:type="dxa"/>
            <w:tcBorders>
              <w:top w:val="nil"/>
              <w:left w:val="nil"/>
              <w:bottom w:val="nil"/>
              <w:right w:val="nil"/>
            </w:tcBorders>
          </w:tcPr>
          <w:p w:rsidR="00BC254A" w:rsidRDefault="00BC254A"/>
        </w:tc>
      </w:tr>
      <w:tr w:rsidR="00BC254A">
        <w:trPr>
          <w:jc w:val="center"/>
        </w:trPr>
        <w:tc>
          <w:tcPr>
            <w:tcW w:w="4876" w:type="dxa"/>
            <w:tcBorders>
              <w:top w:val="nil"/>
              <w:left w:val="nil"/>
              <w:bottom w:val="nil"/>
              <w:right w:val="nil"/>
            </w:tcBorders>
          </w:tcPr>
          <w:p w:rsidR="00BC254A" w:rsidRDefault="007914A5">
            <w:pPr>
              <w:pStyle w:val="Normal6a"/>
            </w:pPr>
            <w:r>
              <w:rPr>
                <w:b/>
                <w:i/>
                <w:vertAlign w:val="superscript"/>
              </w:rPr>
              <w:t>5</w:t>
            </w:r>
            <w:r>
              <w:t xml:space="preserve"> </w:t>
            </w:r>
            <w:r>
              <w:rPr>
                <w:b/>
                <w:i/>
              </w:rPr>
              <w:t xml:space="preserve">„Komplementäre Zugangswege“ sind sichere und regulierte </w:t>
            </w:r>
            <w:r>
              <w:rPr>
                <w:b/>
                <w:i/>
              </w:rPr>
              <w:lastRenderedPageBreak/>
              <w:t>Zugangsmöglichkeiten für Personen, die internationalen Schutz benötigen, und ergänzen die Neuansiedlung durch einen rechtmä</w:t>
            </w:r>
            <w:r>
              <w:rPr>
                <w:b/>
                <w:i/>
              </w:rPr>
              <w:t>ßigen Aufenthalt in einem Drittstaat, in dem ihr Bedarf an internationalem Schutz gedeckt ist.</w:t>
            </w:r>
            <w:r>
              <w:t xml:space="preserve"> </w:t>
            </w:r>
            <w:r>
              <w:rPr>
                <w:b/>
                <w:i/>
              </w:rPr>
              <w:t>Komplementäre Zugangswege zur Beschäftigung ermöglichen es Personen, die internationalen Schutz benötigen, Zugang zu bestehenden Wegen der Arbeitsmigration zu er</w:t>
            </w:r>
            <w:r>
              <w:rPr>
                <w:b/>
                <w:i/>
              </w:rPr>
              <w:t>halten, ihre Kompetenzen zu nutzen und zur Behebung des Arbeitskräftemangels in den Aufnahmeländern beizutragen.</w:t>
            </w:r>
            <w:r>
              <w:t xml:space="preserve"> </w:t>
            </w:r>
            <w:r>
              <w:rPr>
                <w:b/>
                <w:i/>
              </w:rPr>
              <w:t>Siehe auch:</w:t>
            </w:r>
            <w:r>
              <w:t xml:space="preserve"> </w:t>
            </w:r>
            <w:r>
              <w:rPr>
                <w:b/>
                <w:i/>
              </w:rPr>
              <w:t>https://www.unhcr.org/complementary-pathways.html.</w:t>
            </w:r>
          </w:p>
        </w:tc>
        <w:tc>
          <w:tcPr>
            <w:tcW w:w="4876" w:type="dxa"/>
            <w:tcBorders>
              <w:top w:val="nil"/>
              <w:left w:val="nil"/>
              <w:bottom w:val="nil"/>
              <w:right w:val="nil"/>
            </w:tcBorders>
          </w:tcPr>
          <w:p w:rsidR="00BC254A" w:rsidRDefault="00BC254A"/>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158</w:t>
      </w:r>
      <w:r>
        <w:rPr>
          <w:rStyle w:val="HideTWBExt"/>
        </w:rPr>
        <w:t>&lt;/NumAmB&gt;</w:t>
      </w:r>
    </w:p>
    <w:p w:rsidR="00BC254A" w:rsidRDefault="007914A5">
      <w:pPr>
        <w:pStyle w:val="NormalBold"/>
      </w:pPr>
      <w:r>
        <w:rPr>
          <w:rStyle w:val="HideTWBExt"/>
          <w:b w:val="0"/>
        </w:rPr>
        <w:t>&lt;RepeatBlock-By&gt;&lt;Members&gt;</w:t>
      </w:r>
      <w:r>
        <w:t>Charlie Weimers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rPr>
                <w:b/>
                <w:i/>
              </w:rPr>
              <w:t>(4)</w:t>
            </w:r>
            <w:r>
              <w:tab/>
            </w:r>
            <w:r>
              <w:rPr>
                <w:b/>
                <w:i/>
              </w:rPr>
              <w:t xml:space="preserve">In der Empfehlung der Kommission zu legalen </w:t>
            </w:r>
            <w:r>
              <w:rPr>
                <w:b/>
                <w:i/>
              </w:rPr>
              <w:t>Schutzwegen in die EU</w:t>
            </w:r>
            <w:r>
              <w:rPr>
                <w:b/>
                <w:i/>
                <w:vertAlign w:val="superscript"/>
              </w:rPr>
              <w:t>4</w:t>
            </w:r>
            <w:r>
              <w:rPr>
                <w:b/>
                <w:i/>
              </w:rPr>
              <w:t>werden die Mitgliedstaaten aufgefordert, für Menschen, die internationalen Schutz benötigen, komplementäre Zugangswege zur Beschäftigung einzurichten und zu unterstützen.</w:t>
            </w:r>
            <w:r>
              <w:rPr>
                <w:b/>
                <w:i/>
                <w:vertAlign w:val="superscript"/>
              </w:rPr>
              <w:t>5</w:t>
            </w:r>
            <w:r>
              <w:rPr>
                <w:b/>
                <w:i/>
              </w:rPr>
              <w:t xml:space="preserve">Der EU-Talentpool könnte auch für die praktische Umsetzung der </w:t>
            </w:r>
            <w:r>
              <w:rPr>
                <w:b/>
                <w:i/>
              </w:rPr>
              <w:t>komplementären Zugangswege hilfreich sein.</w:t>
            </w:r>
          </w:p>
        </w:tc>
        <w:tc>
          <w:tcPr>
            <w:tcW w:w="4876" w:type="dxa"/>
            <w:tcBorders>
              <w:top w:val="nil"/>
              <w:left w:val="nil"/>
              <w:bottom w:val="nil"/>
              <w:right w:val="nil"/>
            </w:tcBorders>
          </w:tcPr>
          <w:p w:rsidR="00BC254A" w:rsidRDefault="007914A5">
            <w:pPr>
              <w:pStyle w:val="Normal6a"/>
            </w:pPr>
            <w:r>
              <w:rPr>
                <w:b/>
                <w:i/>
              </w:rPr>
              <w:t>entfällt</w:t>
            </w:r>
          </w:p>
        </w:tc>
      </w:tr>
      <w:tr w:rsidR="00BC254A">
        <w:trPr>
          <w:jc w:val="center"/>
        </w:trPr>
        <w:tc>
          <w:tcPr>
            <w:tcW w:w="4876" w:type="dxa"/>
            <w:tcBorders>
              <w:top w:val="nil"/>
              <w:left w:val="nil"/>
              <w:bottom w:val="nil"/>
              <w:right w:val="nil"/>
            </w:tcBorders>
          </w:tcPr>
          <w:p w:rsidR="00BC254A" w:rsidRDefault="007914A5">
            <w:pPr>
              <w:pStyle w:val="Normal6a"/>
            </w:pPr>
            <w:r>
              <w:rPr>
                <w:b/>
                <w:i/>
              </w:rPr>
              <w:t>_________________</w:t>
            </w:r>
          </w:p>
        </w:tc>
        <w:tc>
          <w:tcPr>
            <w:tcW w:w="4876" w:type="dxa"/>
            <w:tcBorders>
              <w:top w:val="nil"/>
              <w:left w:val="nil"/>
              <w:bottom w:val="nil"/>
              <w:right w:val="nil"/>
            </w:tcBorders>
          </w:tcPr>
          <w:p w:rsidR="00BC254A" w:rsidRDefault="00BC254A"/>
        </w:tc>
      </w:tr>
      <w:tr w:rsidR="00BC254A">
        <w:trPr>
          <w:jc w:val="center"/>
        </w:trPr>
        <w:tc>
          <w:tcPr>
            <w:tcW w:w="4876" w:type="dxa"/>
            <w:tcBorders>
              <w:top w:val="nil"/>
              <w:left w:val="nil"/>
              <w:bottom w:val="nil"/>
              <w:right w:val="nil"/>
            </w:tcBorders>
          </w:tcPr>
          <w:p w:rsidR="00BC254A" w:rsidRDefault="007914A5">
            <w:pPr>
              <w:pStyle w:val="Normal6a"/>
            </w:pPr>
            <w:r>
              <w:rPr>
                <w:b/>
                <w:i/>
                <w:vertAlign w:val="superscript"/>
              </w:rPr>
              <w:t>4</w:t>
            </w:r>
            <w:r>
              <w:t xml:space="preserve"> </w:t>
            </w:r>
            <w:r>
              <w:rPr>
                <w:b/>
                <w:i/>
              </w:rPr>
              <w:t>Empfehlung (EU) 2020/1364 der Kommission vom 23. September 2020 zu legalen Schutzwegen in die EU:</w:t>
            </w:r>
            <w:r>
              <w:t xml:space="preserve"> </w:t>
            </w:r>
            <w:r>
              <w:rPr>
                <w:b/>
                <w:i/>
              </w:rPr>
              <w:t xml:space="preserve">Förderung der Neuansiedlung, der Aufnahme aus humanitären Gründen </w:t>
            </w:r>
            <w:r>
              <w:rPr>
                <w:b/>
                <w:i/>
              </w:rPr>
              <w:lastRenderedPageBreak/>
              <w:t xml:space="preserve">und anderer </w:t>
            </w:r>
            <w:r>
              <w:rPr>
                <w:b/>
                <w:i/>
              </w:rPr>
              <w:t>komplementärer Zugangswege.</w:t>
            </w:r>
          </w:p>
        </w:tc>
        <w:tc>
          <w:tcPr>
            <w:tcW w:w="4876" w:type="dxa"/>
            <w:tcBorders>
              <w:top w:val="nil"/>
              <w:left w:val="nil"/>
              <w:bottom w:val="nil"/>
              <w:right w:val="nil"/>
            </w:tcBorders>
          </w:tcPr>
          <w:p w:rsidR="00BC254A" w:rsidRDefault="00BC254A"/>
        </w:tc>
      </w:tr>
      <w:tr w:rsidR="00BC254A">
        <w:trPr>
          <w:jc w:val="center"/>
        </w:trPr>
        <w:tc>
          <w:tcPr>
            <w:tcW w:w="4876" w:type="dxa"/>
            <w:tcBorders>
              <w:top w:val="nil"/>
              <w:left w:val="nil"/>
              <w:bottom w:val="nil"/>
              <w:right w:val="nil"/>
            </w:tcBorders>
          </w:tcPr>
          <w:p w:rsidR="00BC254A" w:rsidRDefault="007914A5">
            <w:pPr>
              <w:pStyle w:val="Normal6a"/>
            </w:pPr>
            <w:r>
              <w:rPr>
                <w:b/>
                <w:i/>
                <w:vertAlign w:val="superscript"/>
              </w:rPr>
              <w:t>5</w:t>
            </w:r>
            <w:r>
              <w:t xml:space="preserve"> </w:t>
            </w:r>
            <w:r>
              <w:rPr>
                <w:b/>
                <w:i/>
              </w:rPr>
              <w:t xml:space="preserve">„Komplementäre Zugangswege“ sind sichere und regulierte Zugangsmöglichkeiten für Personen, die internationalen Schutz benötigen, und ergänzen die Neuansiedlung durch einen rechtmäßigen Aufenthalt in einem Drittstaat, in dem </w:t>
            </w:r>
            <w:r>
              <w:rPr>
                <w:b/>
                <w:i/>
              </w:rPr>
              <w:t>ihr Bedarf an internationalem Schutz gedeckt ist.</w:t>
            </w:r>
            <w:r>
              <w:t xml:space="preserve"> </w:t>
            </w:r>
            <w:r>
              <w:rPr>
                <w:b/>
                <w:i/>
              </w:rPr>
              <w:t>Komplementäre Zugangswege zur Beschäftigung ermöglichen es Personen, die internationalen Schutz benötigen, Zugang zu bestehenden Wegen der Arbeitsmigration zu erhalten, ihre Kompetenzen zu nutzen und zur Be</w:t>
            </w:r>
            <w:r>
              <w:rPr>
                <w:b/>
                <w:i/>
              </w:rPr>
              <w:t>hebung des Arbeitskräftemangels in den Aufnahmeländern beizutragen.</w:t>
            </w:r>
            <w:r>
              <w:t xml:space="preserve"> </w:t>
            </w:r>
            <w:r>
              <w:rPr>
                <w:b/>
                <w:i/>
              </w:rPr>
              <w:t>Siehe auch:</w:t>
            </w:r>
            <w:r>
              <w:t xml:space="preserve"> </w:t>
            </w:r>
            <w:r>
              <w:rPr>
                <w:b/>
                <w:i/>
              </w:rPr>
              <w:t>https://www.unhcr.org/complementary-pathways.html.</w:t>
            </w:r>
          </w:p>
        </w:tc>
        <w:tc>
          <w:tcPr>
            <w:tcW w:w="4876" w:type="dxa"/>
            <w:tcBorders>
              <w:top w:val="nil"/>
              <w:left w:val="nil"/>
              <w:bottom w:val="nil"/>
              <w:right w:val="nil"/>
            </w:tcBorders>
          </w:tcPr>
          <w:p w:rsidR="00BC254A" w:rsidRDefault="00BC254A"/>
        </w:tc>
      </w:tr>
    </w:tbl>
    <w:p w:rsidR="00BC254A" w:rsidRDefault="007914A5">
      <w:pPr>
        <w:pStyle w:val="AmOrLang"/>
      </w:pPr>
      <w:r>
        <w:t xml:space="preserve">Or. </w:t>
      </w:r>
      <w:r>
        <w:rPr>
          <w:rStyle w:val="HideTWBExt"/>
        </w:rPr>
        <w:t>&lt;Original&gt;</w:t>
      </w:r>
      <w:r>
        <w:rPr>
          <w:rStyle w:val="HideTWBInt"/>
        </w:rPr>
        <w:t>{SV}</w:t>
      </w:r>
      <w:r>
        <w:t>sv</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159</w:t>
      </w:r>
      <w:r>
        <w:rPr>
          <w:rStyle w:val="HideTWBExt"/>
        </w:rPr>
        <w:t>&lt;/NumAmB&gt;</w:t>
      </w:r>
    </w:p>
    <w:p w:rsidR="00BC254A" w:rsidRDefault="007914A5">
      <w:pPr>
        <w:pStyle w:val="NormalBold"/>
      </w:pPr>
      <w:r>
        <w:rPr>
          <w:rStyle w:val="HideTWBExt"/>
          <w:b w:val="0"/>
        </w:rPr>
        <w:t>&lt;RepeatBlock-By&gt;&lt;Members&gt;</w:t>
      </w:r>
      <w:r>
        <w:t>Nikolaos A</w:t>
      </w:r>
      <w:r>
        <w:t>nadiotis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(4)</w:t>
            </w:r>
            <w:r>
              <w:tab/>
              <w:t>In der Empfehlung der Kommission zu legalen Schutzwegen in die EU</w:t>
            </w:r>
            <w:r>
              <w:rPr>
                <w:vertAlign w:val="superscript"/>
              </w:rPr>
              <w:t>4</w:t>
            </w:r>
            <w:r>
              <w:t xml:space="preserve">werden die </w:t>
            </w:r>
            <w:r>
              <w:t>Mitgliedstaaten aufgefordert, für Menschen, die internationalen Schutz benötigen, komplementäre Zugangswege zur Beschäftigung einzurichten und zu unterstützen.</w:t>
            </w:r>
            <w:r>
              <w:rPr>
                <w:vertAlign w:val="superscript"/>
              </w:rPr>
              <w:t>5</w:t>
            </w:r>
            <w:r>
              <w:t>Der EU-Talentpool könnte auch für die praktische Umsetzung der komplementären Zugangswege hilfre</w:t>
            </w:r>
            <w:r>
              <w:t>ich sein.</w:t>
            </w:r>
          </w:p>
        </w:tc>
        <w:tc>
          <w:tcPr>
            <w:tcW w:w="4876" w:type="dxa"/>
            <w:tcBorders>
              <w:top w:val="nil"/>
              <w:left w:val="nil"/>
              <w:bottom w:val="nil"/>
              <w:right w:val="nil"/>
            </w:tcBorders>
          </w:tcPr>
          <w:p w:rsidR="00BC254A" w:rsidRDefault="007914A5">
            <w:pPr>
              <w:pStyle w:val="Normal6a"/>
            </w:pPr>
            <w:r>
              <w:t>(4)</w:t>
            </w:r>
            <w:r>
              <w:tab/>
              <w:t>In der Empfehlung der Kommission zu legalen Schutzwegen in die EU</w:t>
            </w:r>
            <w:r>
              <w:rPr>
                <w:vertAlign w:val="superscript"/>
              </w:rPr>
              <w:t>4</w:t>
            </w:r>
            <w:r>
              <w:t xml:space="preserve"> werden die Mitgliedstaaten aufgefordert, für Menschen, die internationalen Schutz benötigen, komplementäre Zugangswege zur Beschäftigung einzurichten und zu unterstützen</w:t>
            </w:r>
            <w:r>
              <w:rPr>
                <w:vertAlign w:val="superscript"/>
              </w:rPr>
              <w:t>5</w:t>
            </w:r>
            <w:r>
              <w:t>. Der</w:t>
            </w:r>
            <w:r>
              <w:t xml:space="preserve"> EU-Talentpool könnte auch für die praktische Umsetzung der komplementären Zugangswege hilfreich sein</w:t>
            </w:r>
            <w:r>
              <w:rPr>
                <w:b/>
                <w:i/>
              </w:rPr>
              <w:t xml:space="preserve">, wobei die Mitgliedstaaten verpflichtet werden, regelmäßig Bewertungs- und Evaluierungsberichte über die sozialen und wirtschaftlichen </w:t>
            </w:r>
            <w:r>
              <w:rPr>
                <w:b/>
                <w:i/>
              </w:rPr>
              <w:lastRenderedPageBreak/>
              <w:t>Auswirkungen zu ers</w:t>
            </w:r>
            <w:r>
              <w:rPr>
                <w:b/>
                <w:i/>
              </w:rPr>
              <w:t>tellen</w:t>
            </w:r>
            <w:r>
              <w:t>.</w:t>
            </w:r>
          </w:p>
        </w:tc>
      </w:tr>
      <w:tr w:rsidR="00BC254A">
        <w:trPr>
          <w:jc w:val="center"/>
        </w:trPr>
        <w:tc>
          <w:tcPr>
            <w:tcW w:w="4876" w:type="dxa"/>
            <w:tcBorders>
              <w:top w:val="nil"/>
              <w:left w:val="nil"/>
              <w:bottom w:val="nil"/>
              <w:right w:val="nil"/>
            </w:tcBorders>
          </w:tcPr>
          <w:p w:rsidR="00BC254A" w:rsidRDefault="007914A5">
            <w:pPr>
              <w:pStyle w:val="Normal6a"/>
            </w:pPr>
            <w:r>
              <w:rPr>
                <w:b/>
                <w:i/>
              </w:rPr>
              <w:lastRenderedPageBreak/>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4</w:t>
            </w:r>
            <w:r>
              <w:t xml:space="preserve"> Empfehlung (EU) 2020/1364 der Kommission vom 23. September 2020 zu legalen Schutzwegen in die EU: Förderung der Neuansiedlung, der Aufnahme aus humanitären Gründen und anderer komplementärer Zugangswege.</w:t>
            </w:r>
          </w:p>
        </w:tc>
        <w:tc>
          <w:tcPr>
            <w:tcW w:w="4876" w:type="dxa"/>
            <w:tcBorders>
              <w:top w:val="nil"/>
              <w:left w:val="nil"/>
              <w:bottom w:val="nil"/>
              <w:right w:val="nil"/>
            </w:tcBorders>
          </w:tcPr>
          <w:p w:rsidR="00BC254A" w:rsidRDefault="007914A5">
            <w:pPr>
              <w:pStyle w:val="Normal6a"/>
            </w:pPr>
            <w:r>
              <w:rPr>
                <w:vertAlign w:val="superscript"/>
              </w:rPr>
              <w:t>4</w:t>
            </w:r>
            <w:r>
              <w:t xml:space="preserve"> </w:t>
            </w:r>
            <w:r>
              <w:t>Empfehlung (EU) 2020/1364 der Kommission vom 23. September 2020 zu legalen Schutzwegen in die EU: Förderung der Neuansiedlung, der Aufnahme aus humanitären Gründen und anderer komplementärer Zugangswege.</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5</w:t>
            </w:r>
            <w:r>
              <w:t xml:space="preserve"> „Komplementäre Zugangswege“ sind sichere und regu</w:t>
            </w:r>
            <w:r>
              <w:t>lierte Zugangsmöglichkeiten für Personen, die internationalen Schutz benötigen, und ergänzen die Neuansiedlung durch einen rechtmäßigen Aufenthalt in einem Drittstaat, in dem ihr Bedarf an internationalem Schutz gedeckt ist. Komplementäre Zugangswege zur B</w:t>
            </w:r>
            <w:r>
              <w:t>eschäftigung ermöglichen es Personen, die internationalen Schutz benötigen, Zugang zu bestehenden Wegen der Arbeitsmigration zu erhalten, ihre Kompetenzen zu nutzen und zur Behebung des Arbeitskräftemangels in den Aufnahmeländern beizutragen. Siehe auch: h</w:t>
            </w:r>
            <w:r>
              <w:t>ttps://www.unhcr.org/complementary-pathways.html.</w:t>
            </w:r>
          </w:p>
        </w:tc>
        <w:tc>
          <w:tcPr>
            <w:tcW w:w="4876" w:type="dxa"/>
            <w:tcBorders>
              <w:top w:val="nil"/>
              <w:left w:val="nil"/>
              <w:bottom w:val="nil"/>
              <w:right w:val="nil"/>
            </w:tcBorders>
          </w:tcPr>
          <w:p w:rsidR="00BC254A" w:rsidRDefault="007914A5">
            <w:pPr>
              <w:pStyle w:val="Normal6a"/>
            </w:pPr>
            <w:r>
              <w:rPr>
                <w:vertAlign w:val="superscript"/>
              </w:rPr>
              <w:t>5</w:t>
            </w:r>
            <w:r>
              <w:t xml:space="preserve"> „Komplementäre Zugangswege“ sind sichere und regulierte Zugangsmöglichkeiten für Personen, die internationalen Schutz benötigen, und ergänzen die Neuansiedlung durch einen rechtmäßigen Aufenthalt in einem</w:t>
            </w:r>
            <w:r>
              <w:t xml:space="preserve"> Drittstaat, in dem ihr Bedarf an internationalem Schutz gedeckt ist. Komplementäre Zugangswege zur Beschäftigung ermöglichen es Personen, die internationalen Schutz benötigen, Zugang zu bestehenden Wegen der Arbeitsmigration zu erhalten, ihre Kompetenzen </w:t>
            </w:r>
            <w:r>
              <w:t>zu nutzen und zur Behebung des Arbeitskräftemangels in den Aufnahmeländern beizutragen. Siehe auch: https://www.unhcr.org/complementary-pathways.html.</w:t>
            </w:r>
          </w:p>
        </w:tc>
      </w:tr>
    </w:tbl>
    <w:p w:rsidR="00BC254A" w:rsidRDefault="007914A5">
      <w:pPr>
        <w:pStyle w:val="AmOrLang"/>
      </w:pPr>
      <w:r>
        <w:t xml:space="preserve">Or. </w:t>
      </w:r>
      <w:r>
        <w:rPr>
          <w:rStyle w:val="HideTWBExt"/>
        </w:rPr>
        <w:t>&lt;Original&gt;</w:t>
      </w:r>
      <w:r>
        <w:rPr>
          <w:rStyle w:val="HideTWBInt"/>
        </w:rPr>
        <w:t>{EL}</w:t>
      </w:r>
      <w:r>
        <w:t>el</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160</w:t>
      </w:r>
      <w:r>
        <w:rPr>
          <w:rStyle w:val="HideTWBExt"/>
        </w:rPr>
        <w:t>&lt;/NumAmB&gt;</w:t>
      </w:r>
    </w:p>
    <w:p w:rsidR="00BC254A" w:rsidRDefault="007914A5">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(5)</w:t>
            </w:r>
            <w:r>
              <w:tab/>
            </w:r>
            <w:r>
              <w:t xml:space="preserve">Der EU-Talentpool sollte darauf abzielen, die </w:t>
            </w:r>
            <w:r>
              <w:rPr>
                <w:b/>
                <w:i/>
              </w:rPr>
              <w:t>teilnehmenden</w:t>
            </w:r>
            <w:r>
              <w:t xml:space="preserve"> Mitgliedstaaten dabei zu unterstützen, bestehende und künftige Qualifikationsdefizite und den bestehenden und künftigen Arbeitskräftemangel durch die Einstellung von Drittstaatsangehörigen </w:t>
            </w:r>
            <w:r>
              <w:lastRenderedPageBreak/>
              <w:t>zu behe</w:t>
            </w:r>
            <w:r>
              <w:t xml:space="preserve">ben, sofern die Aktivierung einheimischer Arbeitskräfte und die Mobilität innerhalb der EU nicht ausreichen, um dieses Ziel zu erreichen. </w:t>
            </w:r>
            <w:r>
              <w:rPr>
                <w:b/>
                <w:i/>
              </w:rPr>
              <w:t>Als freiwilliges Instrument zur Erleichterung der Anwerbung von Arbeitskräften aus Drittstaaten sollte der EU-Talentpo</w:t>
            </w:r>
            <w:r>
              <w:rPr>
                <w:b/>
                <w:i/>
              </w:rPr>
              <w:t>ol interessierten Mitgliedstaaten zusätzliche Unterstützung auf Unionsebene bieten.</w:t>
            </w:r>
            <w:r>
              <w:t xml:space="preserve"> Zu diesem Zweck sollten Komplementarität und Interoperabilität mit bestehenden nationalen Initiativen und Plattformen sichergestellt werden. Die besonderen Bedürfnisse der </w:t>
            </w:r>
            <w:r>
              <w:t xml:space="preserve">Mitgliedstaaten sollten bei der Entwicklung des EU-Talentpools berücksichtigt werden, um eine möglichst </w:t>
            </w:r>
            <w:r>
              <w:rPr>
                <w:b/>
                <w:i/>
              </w:rPr>
              <w:t>breite Beteiligung zu gewährleisten</w:t>
            </w:r>
            <w:r>
              <w:t xml:space="preserve">. „Talent“ ist </w:t>
            </w:r>
            <w:r>
              <w:rPr>
                <w:b/>
                <w:i/>
              </w:rPr>
              <w:t>daher</w:t>
            </w:r>
            <w:r>
              <w:t xml:space="preserve"> ein umfassender Begriff, der sich auf das gesamte Spektrum von Kompetenzen bezieht, die auf den </w:t>
            </w:r>
            <w:r>
              <w:t>Arbeitsmärkten der Mitgliedstaaten möglicherweise benötigt werden.</w:t>
            </w:r>
          </w:p>
        </w:tc>
        <w:tc>
          <w:tcPr>
            <w:tcW w:w="4876" w:type="dxa"/>
            <w:tcBorders>
              <w:top w:val="nil"/>
              <w:left w:val="nil"/>
              <w:bottom w:val="nil"/>
              <w:right w:val="nil"/>
            </w:tcBorders>
          </w:tcPr>
          <w:p w:rsidR="00BC254A" w:rsidRDefault="007914A5">
            <w:pPr>
              <w:pStyle w:val="Normal6a"/>
            </w:pPr>
            <w:r>
              <w:lastRenderedPageBreak/>
              <w:t>(5)</w:t>
            </w:r>
            <w:r>
              <w:tab/>
            </w:r>
            <w:r>
              <w:rPr>
                <w:b/>
                <w:i/>
              </w:rPr>
              <w:t>Da der Arbeitskräftemangel ein unionsweites Problem ist, ist eine strategische und einheitliche Herangehensweise erforderlich, um dagegen vorzugehen.</w:t>
            </w:r>
            <w:r>
              <w:t xml:space="preserve"> </w:t>
            </w:r>
            <w:r>
              <w:rPr>
                <w:b/>
                <w:i/>
              </w:rPr>
              <w:t>Es sollten sich alle Mitgliedstaate</w:t>
            </w:r>
            <w:r>
              <w:rPr>
                <w:b/>
                <w:i/>
              </w:rPr>
              <w:t xml:space="preserve">n am EU-Talentpool beteiligen, damit Skaleneffekte genutzt </w:t>
            </w:r>
            <w:r>
              <w:rPr>
                <w:b/>
                <w:i/>
              </w:rPr>
              <w:lastRenderedPageBreak/>
              <w:t>und bewährte Verfahren ausgetauscht werden können.</w:t>
            </w:r>
            <w:r>
              <w:t xml:space="preserve"> </w:t>
            </w:r>
            <w:r>
              <w:rPr>
                <w:b/>
                <w:i/>
              </w:rPr>
              <w:t>Eine EU-weite Umsetzung würde außerdem zu mehr Vorhersehbarkeit und Rechtssicherheit für Arbeitsuchende und Arbeitgeber beitragen.</w:t>
            </w:r>
            <w:r>
              <w:t xml:space="preserve"> Der EU-Talentpo</w:t>
            </w:r>
            <w:r>
              <w:t>ol sollte darauf abzielen, die Mitgliedstaaten dabei zu unterstützen, bestehende und künftige Qualifikationsdefizite und den bestehenden und künftigen Arbeitskräftemangel durch die Einstellung von Drittstaatsangehörigen zu beheben, sofern die Aktivierung e</w:t>
            </w:r>
            <w:r>
              <w:t xml:space="preserve">inheimischer Arbeitskräfte und die Mobilität innerhalb der EU nicht ausreichen, um dieses Ziel zu erreichen. Zu diesem Zweck sollten </w:t>
            </w:r>
            <w:r>
              <w:rPr>
                <w:b/>
                <w:i/>
              </w:rPr>
              <w:t>seine</w:t>
            </w:r>
            <w:r>
              <w:t xml:space="preserve"> Komplementarität und Interoperabilität mit bestehenden nationalen Initiativen und Plattformen sichergestellt werden</w:t>
            </w:r>
            <w:r>
              <w:rPr>
                <w:b/>
                <w:i/>
              </w:rPr>
              <w:t xml:space="preserve">, </w:t>
            </w:r>
            <w:r>
              <w:rPr>
                <w:b/>
                <w:i/>
              </w:rPr>
              <w:t>er sollte bestehende nationale Strukturen jedoch nicht ersetzen</w:t>
            </w:r>
            <w:r>
              <w:t xml:space="preserve">. Die besonderen Bedürfnisse der Mitgliedstaaten sollten bei der Entwicklung des EU-Talentpools berücksichtigt werden, um eine möglichst </w:t>
            </w:r>
            <w:r>
              <w:rPr>
                <w:b/>
                <w:i/>
              </w:rPr>
              <w:t>erfolgreiche Umsetzung sicherzustellen, indem beispielsw</w:t>
            </w:r>
            <w:r>
              <w:rPr>
                <w:b/>
                <w:i/>
              </w:rPr>
              <w:t>eise die Zuständigkeit der Mitgliedstaaten für die Festlegung der Zahl an Drittstaatsangehörigen, die zu Beschäftigungszwecken aufgenommen werden, unangetastet bleibt</w:t>
            </w:r>
            <w:r>
              <w:t xml:space="preserve">. „Talent“ ist ein umfassender Begriff, der sich auf das gesamte Spektrum von Kompetenzen </w:t>
            </w:r>
            <w:r>
              <w:t xml:space="preserve">bezieht, die auf den Arbeitsmärkten der Mitgliedstaaten möglicherweise benötigt werden. </w:t>
            </w:r>
            <w:r>
              <w:rPr>
                <w:b/>
                <w:i/>
              </w:rPr>
              <w:t>Damit sowohl Drittländer als auch die EU und ihre Mitgliedstaaten profitieren, die Abwanderung hoch qualifizierter Kräfte bekämpft wird und die zirkuläre Migration gefö</w:t>
            </w:r>
            <w:r>
              <w:rPr>
                <w:b/>
                <w:i/>
              </w:rPr>
              <w:t>rdert wird, sollten Synergieeffekte mit EU-finanzierten Bildungsprogrammen in Drittländern wie der Globalen Partnerschaft für Bildung, der Initiative „Bildung kann nicht warten“, dem Programm Erasmus+ und anderen Maßnahmen zur beruflichen Aus- und Weiterbi</w:t>
            </w:r>
            <w:r>
              <w:rPr>
                <w:b/>
                <w:i/>
              </w:rPr>
              <w:t xml:space="preserve">ldung und zur Kompetenzentwicklung im Rahmen von </w:t>
            </w:r>
            <w:r>
              <w:rPr>
                <w:b/>
                <w:i/>
              </w:rPr>
              <w:lastRenderedPageBreak/>
              <w:t>Global Gateway sichergestellt werden.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161</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(5)</w:t>
            </w:r>
            <w:r>
              <w:tab/>
              <w:t xml:space="preserve">Der EU-Talentpool sollte darauf abzielen, die </w:t>
            </w:r>
            <w:r>
              <w:rPr>
                <w:b/>
                <w:i/>
              </w:rPr>
              <w:t>teilnehmenden</w:t>
            </w:r>
            <w:r>
              <w:t xml:space="preserve"> Mitgliedstaaten dabei zu unterstützen, bestehende und künftige Qualifikationsdefizite und den bestehenden und künftigen Arbeitskräftemangel durch die Einstellung von Drittstaatsangehörigen zu beheben, sofern die Aktivierung einheimischer Arbeitskräfte und</w:t>
            </w:r>
            <w:r>
              <w:t xml:space="preserve"> die Mobilität innerhalb der EU nicht ausreichen, um dieses Ziel zu erreichen. </w:t>
            </w:r>
            <w:r>
              <w:rPr>
                <w:b/>
                <w:i/>
              </w:rPr>
              <w:t>Als freiwilliges Instrument zur Erleichterung der Anwerbung von Arbeitskräften aus Drittstaaten</w:t>
            </w:r>
            <w:r>
              <w:t xml:space="preserve"> sollte der EU-Talentpool </w:t>
            </w:r>
            <w:r>
              <w:rPr>
                <w:b/>
                <w:i/>
              </w:rPr>
              <w:t>interessierten</w:t>
            </w:r>
            <w:r>
              <w:t xml:space="preserve"> Mitgliedstaaten </w:t>
            </w:r>
            <w:r>
              <w:rPr>
                <w:b/>
                <w:i/>
              </w:rPr>
              <w:t>zusätzliche Unterstützung</w:t>
            </w:r>
            <w:r>
              <w:rPr>
                <w:b/>
                <w:i/>
              </w:rPr>
              <w:t xml:space="preserve"> auf Unionsebene bieten.</w:t>
            </w:r>
            <w:r>
              <w:t xml:space="preserve"> </w:t>
            </w:r>
            <w:r>
              <w:rPr>
                <w:b/>
                <w:i/>
              </w:rPr>
              <w:t>Zu diesem Zweck</w:t>
            </w:r>
            <w:r>
              <w:t xml:space="preserve"> sollten Komplementarität und Interoperabilität mit bestehenden nationalen Initiativen und Plattformen sichergestellt werden</w:t>
            </w:r>
            <w:r>
              <w:rPr>
                <w:b/>
                <w:i/>
              </w:rPr>
              <w:t>.</w:t>
            </w:r>
            <w:r>
              <w:t xml:space="preserve"> Die besonderen Bedürfnisse der Mitgliedstaaten sollten bei der Entwicklung des EU-Talentpo</w:t>
            </w:r>
            <w:r>
              <w:t>ols berücksichtigt werden</w:t>
            </w:r>
            <w:r>
              <w:rPr>
                <w:b/>
                <w:i/>
              </w:rPr>
              <w:t>, um eine möglichst breite Beteiligung zu gewährleisten</w:t>
            </w:r>
            <w:r>
              <w:t xml:space="preserve">. „Talent“ ist daher ein umfassender Begriff, der sich auf das gesamte Spektrum </w:t>
            </w:r>
            <w:r>
              <w:rPr>
                <w:b/>
                <w:i/>
              </w:rPr>
              <w:t>von</w:t>
            </w:r>
            <w:r>
              <w:t xml:space="preserve"> Kompetenzen bezieht, die auf den Arbeitsmärkten der Mitgliedstaaten möglicherweise benötigt </w:t>
            </w:r>
            <w:r>
              <w:t>werden.</w:t>
            </w:r>
          </w:p>
        </w:tc>
        <w:tc>
          <w:tcPr>
            <w:tcW w:w="4876" w:type="dxa"/>
            <w:tcBorders>
              <w:top w:val="nil"/>
              <w:left w:val="nil"/>
              <w:bottom w:val="nil"/>
              <w:right w:val="nil"/>
            </w:tcBorders>
          </w:tcPr>
          <w:p w:rsidR="00BC254A" w:rsidRDefault="007914A5">
            <w:pPr>
              <w:pStyle w:val="Normal6a"/>
            </w:pPr>
            <w:r>
              <w:t>(5)</w:t>
            </w:r>
            <w:r>
              <w:tab/>
              <w:t>Der EU-Talentpool sollte darauf abzielen, die Mitgliedstaaten dabei zu unterstützen, bestehende und künftige Qualifikationsdefizite und den bestehenden und künftigen Arbeitskräftemangel durch die Einstellung von Drittstaatsangehörigen zu behebe</w:t>
            </w:r>
            <w:r>
              <w:t xml:space="preserve">n, sofern die Aktivierung einheimischer Arbeitskräfte und die Mobilität innerhalb der EU nicht ausreichen, um dieses Ziel zu erreichen. </w:t>
            </w:r>
            <w:r>
              <w:rPr>
                <w:b/>
                <w:i/>
              </w:rPr>
              <w:t>Um die Attraktivität des EU-Talentpools und der Union für internationale Fachkräfte zu erhöhen und eine einheitliche Her</w:t>
            </w:r>
            <w:r>
              <w:rPr>
                <w:b/>
                <w:i/>
              </w:rPr>
              <w:t>angehensweise an die Arbeitskräftemigration sicherzustellen,</w:t>
            </w:r>
            <w:r>
              <w:t xml:space="preserve"> sollte der EU-Talentpool </w:t>
            </w:r>
            <w:r>
              <w:rPr>
                <w:b/>
                <w:i/>
              </w:rPr>
              <w:t>von allen</w:t>
            </w:r>
            <w:r>
              <w:t xml:space="preserve"> Mitgliedstaaten </w:t>
            </w:r>
            <w:r>
              <w:rPr>
                <w:b/>
                <w:i/>
              </w:rPr>
              <w:t>eingeführt werden.</w:t>
            </w:r>
            <w:r>
              <w:t xml:space="preserve"> </w:t>
            </w:r>
            <w:r>
              <w:rPr>
                <w:b/>
                <w:i/>
              </w:rPr>
              <w:t>Eine EU-weite Einführung trägt außerdem zu mehr Vorhersehbarkeit und Rechtssicherheit für Arbeitsuchende und Arbeitgeber bei.</w:t>
            </w:r>
            <w:r>
              <w:t xml:space="preserve"> </w:t>
            </w:r>
            <w:r>
              <w:rPr>
                <w:b/>
                <w:i/>
              </w:rPr>
              <w:t>Damit für eine wirksame Einführung gesorgt ist und die Beteiligung der Mitgliedstaaten gefördert wird,</w:t>
            </w:r>
            <w:r>
              <w:t xml:space="preserve"> sollten Komplementarität und Interoperabilität mit bestehenden nationalen Initiativen und Plattformen sichergestellt werden</w:t>
            </w:r>
            <w:r>
              <w:rPr>
                <w:b/>
                <w:i/>
              </w:rPr>
              <w:t>, und</w:t>
            </w:r>
            <w:r>
              <w:t xml:space="preserve"> die besonderen Bedürfni</w:t>
            </w:r>
            <w:r>
              <w:t xml:space="preserve">sse der Mitgliedstaaten sollten bei der Entwicklung des EU-Talentpools berücksichtigt werden. „Talent“ ist daher ein umfassender Begriff, der sich auf das gesamte Spektrum </w:t>
            </w:r>
            <w:r>
              <w:rPr>
                <w:b/>
                <w:i/>
              </w:rPr>
              <w:t>der Fähigkeiten und der</w:t>
            </w:r>
            <w:r>
              <w:t xml:space="preserve"> Kompetenzen </w:t>
            </w:r>
            <w:r>
              <w:rPr>
                <w:b/>
                <w:i/>
              </w:rPr>
              <w:t>von Arbeitsuchenden</w:t>
            </w:r>
            <w:r>
              <w:t xml:space="preserve"> bezieht, die auf den Arbeits</w:t>
            </w:r>
            <w:r>
              <w:t xml:space="preserve">märkten der </w:t>
            </w:r>
            <w:r>
              <w:lastRenderedPageBreak/>
              <w:t>Mitgliedstaaten möglicherweise benötigt werden.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162</w:t>
      </w:r>
      <w:r>
        <w:rPr>
          <w:rStyle w:val="HideTWBExt"/>
        </w:rPr>
        <w:t>&lt;/NumAmB&gt;</w:t>
      </w:r>
    </w:p>
    <w:p w:rsidR="00BC254A" w:rsidRDefault="007914A5">
      <w:pPr>
        <w:pStyle w:val="NormalBold"/>
      </w:pPr>
      <w:r>
        <w:rPr>
          <w:rStyle w:val="HideTWBExt"/>
          <w:b w:val="0"/>
        </w:rPr>
        <w:t>&lt;RepeatBlock-By&gt;&lt;Members&gt;</w:t>
      </w:r>
      <w:r>
        <w:t>Alice Teodorescu Måwe</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 xml:space="preserve">Vorschlag für eine </w:t>
      </w:r>
      <w:r>
        <w:t>Verordnung</w:t>
      </w:r>
      <w:r>
        <w:rPr>
          <w:rStyle w:val="HideTWBExt"/>
        </w:rPr>
        <w:t>&lt;/DocAmend&gt;</w:t>
      </w:r>
    </w:p>
    <w:p w:rsidR="00BC254A" w:rsidRDefault="007914A5">
      <w:pPr>
        <w:pStyle w:val="NormalBold"/>
      </w:pPr>
      <w:r>
        <w:rPr>
          <w:rStyle w:val="HideTWBExt"/>
        </w:rPr>
        <w:t>&lt;Article&gt;</w:t>
      </w:r>
      <w:r>
        <w:t>Erwägung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(5)</w:t>
            </w:r>
            <w:r>
              <w:tab/>
              <w:t>Der EU-Talentpool sollte darauf abzielen, die teilnehmenden Mitgliedstaaten dabei zu unterstützen, bestehende und künftige Qualifikationsdefizite und den be</w:t>
            </w:r>
            <w:r>
              <w:t xml:space="preserve">stehenden und künftigen Arbeitskräftemangel durch die Einstellung von Drittstaatsangehörigen zu beheben, sofern die Aktivierung einheimischer Arbeitskräfte und die Mobilität innerhalb der EU nicht </w:t>
            </w:r>
            <w:r>
              <w:rPr>
                <w:b/>
                <w:i/>
              </w:rPr>
              <w:t>ausreichen</w:t>
            </w:r>
            <w:r>
              <w:t>, um dieses Ziel zu erreichen. Als freiwilliges I</w:t>
            </w:r>
            <w:r>
              <w:t>nstrument zur Erleichterung der Anwerbung von Arbeitskräften aus Drittstaaten sollte der EU-Talentpool interessierten Mitgliedstaaten zusätzliche Unterstützung auf Unionsebene bieten. Zu diesem Zweck sollten Komplementarität und Interoperabilität mit beste</w:t>
            </w:r>
            <w:r>
              <w:t xml:space="preserve">henden nationalen Initiativen und Plattformen sichergestellt werden. Die besonderen Bedürfnisse der Mitgliedstaaten sollten bei der Entwicklung des EU-Talentpools berücksichtigt werden, um eine möglichst breite Beteiligung zu gewährleisten. „Talent“ </w:t>
            </w:r>
            <w:r>
              <w:rPr>
                <w:b/>
                <w:i/>
              </w:rPr>
              <w:t>ist da</w:t>
            </w:r>
            <w:r>
              <w:rPr>
                <w:b/>
                <w:i/>
              </w:rPr>
              <w:t>her ein umfassender</w:t>
            </w:r>
            <w:r>
              <w:t xml:space="preserve"> Begriff, der sich auf </w:t>
            </w:r>
            <w:r>
              <w:rPr>
                <w:b/>
                <w:i/>
              </w:rPr>
              <w:t>das gesamte Spektrum von Kompetenzen</w:t>
            </w:r>
            <w:r>
              <w:t xml:space="preserve"> bezieht, die auf den Arbeitsmärkten der Mitgliedstaaten möglicherweise benötigt werden.</w:t>
            </w:r>
          </w:p>
        </w:tc>
        <w:tc>
          <w:tcPr>
            <w:tcW w:w="4876" w:type="dxa"/>
            <w:tcBorders>
              <w:top w:val="nil"/>
              <w:left w:val="nil"/>
              <w:bottom w:val="nil"/>
              <w:right w:val="nil"/>
            </w:tcBorders>
          </w:tcPr>
          <w:p w:rsidR="00BC254A" w:rsidRDefault="007914A5">
            <w:pPr>
              <w:pStyle w:val="Normal6a"/>
            </w:pPr>
            <w:r>
              <w:t>(5)</w:t>
            </w:r>
            <w:r>
              <w:tab/>
            </w:r>
            <w:r>
              <w:t xml:space="preserve">Der EU-Talentpool sollte darauf abzielen, die teilnehmenden Mitgliedstaaten dabei zu unterstützen, bestehende und künftige Qualifikationsdefizite und den bestehenden und künftigen Arbeitskräftemangel durch die Einstellung von </w:t>
            </w:r>
            <w:r>
              <w:rPr>
                <w:b/>
                <w:i/>
              </w:rPr>
              <w:t>hoch qualifizierten</w:t>
            </w:r>
            <w:r>
              <w:t xml:space="preserve"> Drittstaat</w:t>
            </w:r>
            <w:r>
              <w:t xml:space="preserve">sangehörigen zu beheben, sofern die Aktivierung einheimischer Arbeitskräfte </w:t>
            </w:r>
            <w:r>
              <w:rPr>
                <w:b/>
                <w:i/>
              </w:rPr>
              <w:t>im Wege besserer Anreize und vermehrter Weiterbildung</w:t>
            </w:r>
            <w:r>
              <w:t xml:space="preserve"> und die Mobilität innerhalb der EU </w:t>
            </w:r>
            <w:r>
              <w:rPr>
                <w:b/>
                <w:i/>
              </w:rPr>
              <w:t>sich als</w:t>
            </w:r>
            <w:r>
              <w:t xml:space="preserve"> nicht </w:t>
            </w:r>
            <w:r>
              <w:rPr>
                <w:b/>
                <w:i/>
              </w:rPr>
              <w:t>ausreichend erweisen sollten</w:t>
            </w:r>
            <w:r>
              <w:t xml:space="preserve">, um dieses Ziel zu erreichen. Als freiwilliges </w:t>
            </w:r>
            <w:r>
              <w:t>Instrument zur Erleichterung der Anwerbung von Arbeitskräften aus Drittstaaten</w:t>
            </w:r>
            <w:r>
              <w:rPr>
                <w:b/>
                <w:i/>
              </w:rPr>
              <w:t>, bei dem jeder Mitgliedstaat darüber entscheiden können sollte, ob er darauf zurückgreift,</w:t>
            </w:r>
            <w:r>
              <w:t xml:space="preserve"> sollte der EU-Talentpool interessierten Mitgliedstaaten zusätzliche Unterstützung auf </w:t>
            </w:r>
            <w:r>
              <w:t>Unionsebene bieten. Zu diesem Zweck sollten Komplementarität und Interoperabilität mit bestehenden nationalen Initiativen und Plattformen sichergestellt werden. Die besonderen Bedürfnisse der Mitgliedstaaten sollten bei der Entwicklung des EU-Talentpools b</w:t>
            </w:r>
            <w:r>
              <w:t xml:space="preserve">erücksichtigt werden, um eine möglichst breite Beteiligung zu gewährleisten. „Talent“ </w:t>
            </w:r>
            <w:r>
              <w:rPr>
                <w:b/>
                <w:i/>
              </w:rPr>
              <w:t>bezeichnet einen</w:t>
            </w:r>
            <w:r>
              <w:t xml:space="preserve"> Begriff, der sich auf </w:t>
            </w:r>
            <w:r>
              <w:rPr>
                <w:b/>
                <w:i/>
              </w:rPr>
              <w:t>hoch qualifizierte Drittstaatsangehörige</w:t>
            </w:r>
            <w:r>
              <w:t xml:space="preserve"> bezieht, die auf den </w:t>
            </w:r>
            <w:r>
              <w:lastRenderedPageBreak/>
              <w:t>Arbeitsmärkten der Mitgliedstaaten möglicherweise benötigt werden.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163</w:t>
      </w:r>
      <w:r>
        <w:rPr>
          <w:rStyle w:val="HideTWBExt"/>
        </w:rPr>
        <w:t>&lt;/NumAmB&gt;</w:t>
      </w:r>
    </w:p>
    <w:p w:rsidR="00BC254A" w:rsidRDefault="007914A5">
      <w:pPr>
        <w:pStyle w:val="NormalBold"/>
      </w:pPr>
      <w:r>
        <w:rPr>
          <w:rStyle w:val="HideTWBExt"/>
          <w:b w:val="0"/>
        </w:rPr>
        <w:t>&lt;RepeatBlock-By&gt;&lt;Members&gt;</w:t>
      </w:r>
      <w:r>
        <w:t>Nikolaos Anadiotis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w:t>
            </w:r>
            <w:r>
              <w:t xml:space="preserve">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(5)</w:t>
            </w:r>
            <w:r>
              <w:tab/>
              <w:t>Der EU-Talentpool sollte darauf abzielen, die teilnehmenden Mitgliedstaaten dabei zu unterstützen, bestehende und künftige Qualifikationsdefizite und den bestehenden und künftigen Arbeitskräftemangel durch die Einstellung v</w:t>
            </w:r>
            <w:r>
              <w:t>on Drittstaatsangehörigen zu beheben, sofern die Aktivierung einheimischer Arbeitskräfte und die Mobilität innerhalb der EU nicht ausreichen, um dieses Ziel zu erreichen. Als freiwilliges Instrument zur Erleichterung der Anwerbung von Arbeitskräften aus Dr</w:t>
            </w:r>
            <w:r>
              <w:t>ittstaaten sollte der EU-Talentpool interessierten Mitgliedstaaten zusätzliche Unterstützung auf Unionsebene bieten. Zu diesem Zweck sollten Komplementarität und Interoperabilität mit bestehenden nationalen Initiativen und Plattformen sichergestellt werden</w:t>
            </w:r>
            <w:r>
              <w:t xml:space="preserve">. Die </w:t>
            </w:r>
            <w:r>
              <w:rPr>
                <w:b/>
                <w:i/>
              </w:rPr>
              <w:t>besonderen</w:t>
            </w:r>
            <w:r>
              <w:t xml:space="preserve"> Bedürfnisse der Mitgliedstaaten sollten bei der Entwicklung des EU-Talentpools berücksichtigt werden</w:t>
            </w:r>
            <w:r>
              <w:rPr>
                <w:b/>
                <w:i/>
              </w:rPr>
              <w:t>, um eine möglichst breite Beteiligung zu gewährleisten</w:t>
            </w:r>
            <w:r>
              <w:t xml:space="preserve">. „Talent“ ist daher ein umfassender Begriff, der sich auf das gesamte Spektrum von </w:t>
            </w:r>
            <w:r>
              <w:t>Kompetenzen bezieht, die auf den Arbeitsmärkten der Mitgliedstaaten möglicherweise benötigt werden.</w:t>
            </w:r>
          </w:p>
        </w:tc>
        <w:tc>
          <w:tcPr>
            <w:tcW w:w="4876" w:type="dxa"/>
            <w:tcBorders>
              <w:top w:val="nil"/>
              <w:left w:val="nil"/>
              <w:bottom w:val="nil"/>
              <w:right w:val="nil"/>
            </w:tcBorders>
          </w:tcPr>
          <w:p w:rsidR="00BC254A" w:rsidRDefault="007914A5">
            <w:pPr>
              <w:pStyle w:val="Normal6a"/>
            </w:pPr>
            <w:r>
              <w:t>(5)</w:t>
            </w:r>
            <w:r>
              <w:tab/>
              <w:t xml:space="preserve">Der EU-Talentpool sollte darauf abzielen, die </w:t>
            </w:r>
            <w:r>
              <w:rPr>
                <w:b/>
                <w:i/>
              </w:rPr>
              <w:t>freiwillig</w:t>
            </w:r>
            <w:r>
              <w:t xml:space="preserve"> teilnehmenden Mitgliedstaaten dabei zu unterstützen, bestehende und </w:t>
            </w:r>
            <w:r>
              <w:rPr>
                <w:b/>
                <w:i/>
              </w:rPr>
              <w:t>potenzielle</w:t>
            </w:r>
            <w:r>
              <w:t xml:space="preserve"> künftige Qualif</w:t>
            </w:r>
            <w:r>
              <w:t xml:space="preserve">ikationsdefizite und den bestehenden und </w:t>
            </w:r>
            <w:r>
              <w:rPr>
                <w:b/>
                <w:i/>
              </w:rPr>
              <w:t>potenziellen</w:t>
            </w:r>
            <w:r>
              <w:t xml:space="preserve"> künftigen Arbeitskräftemangel durch die Einstellung von Drittstaatsangehörigen </w:t>
            </w:r>
            <w:r>
              <w:rPr>
                <w:b/>
                <w:i/>
              </w:rPr>
              <w:t>in bestimmten Branchen und entsprechend ihrem Qualifikationsniveau</w:t>
            </w:r>
            <w:r>
              <w:t xml:space="preserve"> zu beheben, sofern die Aktivierung einheimischer Arbeits</w:t>
            </w:r>
            <w:r>
              <w:t>kräfte und die Mobilität innerhalb der EU nicht ausreichen, um dieses Ziel zu erreichen. Als freiwilliges Instrument zur Erleichterung der Anwerbung von Arbeitskräften aus Drittstaaten sollte der EU-Talentpool interessierten Mitgliedstaaten zusätzliche Unt</w:t>
            </w:r>
            <w:r>
              <w:t xml:space="preserve">erstützung auf Unionsebene bieten. Zu diesem Zweck sollten Komplementarität und Interoperabilität mit bestehenden nationalen Initiativen und Plattformen sichergestellt werden. Die </w:t>
            </w:r>
            <w:r>
              <w:rPr>
                <w:b/>
                <w:i/>
              </w:rPr>
              <w:t>spezifischen sozialen, wirtschaftlichen und beschäftigungspolitischen</w:t>
            </w:r>
            <w:r>
              <w:t xml:space="preserve"> Bedürf</w:t>
            </w:r>
            <w:r>
              <w:t xml:space="preserve">nisse </w:t>
            </w:r>
            <w:r>
              <w:rPr>
                <w:b/>
                <w:i/>
              </w:rPr>
              <w:t>und Besonderheiten</w:t>
            </w:r>
            <w:r>
              <w:t xml:space="preserve"> der Mitgliedstaaten sollten bei der Entwicklung des EU-Talentpools berücksichtigt werden. „Talent“ ist daher ein umfassender Begriff, der sich auf das gesamte Spektrum von Kompetenzen bezieht, die auf den Arbeitsmärkten der Mitglie</w:t>
            </w:r>
            <w:r>
              <w:t>dstaaten möglicherweise benötigt werden.</w:t>
            </w:r>
          </w:p>
        </w:tc>
      </w:tr>
    </w:tbl>
    <w:p w:rsidR="00BC254A" w:rsidRDefault="007914A5">
      <w:pPr>
        <w:pStyle w:val="AmOrLang"/>
      </w:pPr>
      <w:r>
        <w:lastRenderedPageBreak/>
        <w:t xml:space="preserve">Or. </w:t>
      </w:r>
      <w:r>
        <w:rPr>
          <w:rStyle w:val="HideTWBExt"/>
        </w:rPr>
        <w:t>&lt;Original&gt;</w:t>
      </w:r>
      <w:r>
        <w:rPr>
          <w:rStyle w:val="HideTWBInt"/>
        </w:rPr>
        <w:t>{EL}</w:t>
      </w:r>
      <w:r>
        <w:t>el</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164</w:t>
      </w:r>
      <w:r>
        <w:rPr>
          <w:rStyle w:val="HideTWBExt"/>
        </w:rPr>
        <w:t>&lt;/NumAmB&gt;</w:t>
      </w:r>
    </w:p>
    <w:p w:rsidR="00BC254A" w:rsidRDefault="007914A5">
      <w:pPr>
        <w:pStyle w:val="NormalBold"/>
      </w:pPr>
      <w:r>
        <w:rPr>
          <w:rStyle w:val="HideTWBExt"/>
          <w:b w:val="0"/>
        </w:rPr>
        <w:t>&lt;RepeatBlock-By&gt;&lt;Members&gt;</w:t>
      </w:r>
      <w:r>
        <w:t>Nadine Morano</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(5)</w:t>
            </w:r>
            <w:r>
              <w:tab/>
            </w:r>
            <w:r>
              <w:t>Der EU-Talentpool sollte darauf abzielen, die teilnehmenden Mitgliedstaaten dabei zu unterstützen, bestehende und künftige Qualifikationsdefizite und den bestehenden und künftigen Arbeitskräftemangel durch die Einstellung von Drittstaatsangehörigen zu behe</w:t>
            </w:r>
            <w:r>
              <w:t xml:space="preserve">ben, </w:t>
            </w:r>
            <w:r>
              <w:rPr>
                <w:b/>
                <w:i/>
              </w:rPr>
              <w:t>sofern</w:t>
            </w:r>
            <w:r>
              <w:t xml:space="preserve"> die Aktivierung einheimischer Arbeitskräfte und die Mobilität innerhalb der EU nicht ausreichen, um dieses Ziel zu erreichen. Als freiwilliges Instrument zur Erleichterung der Anwerbung von Arbeitskräften aus Drittstaaten sollte der EU-Talentpo</w:t>
            </w:r>
            <w:r>
              <w:t xml:space="preserve">ol interessierten Mitgliedstaaten zusätzliche Unterstützung auf Unionsebene bieten. Zu diesem Zweck sollten Komplementarität und Interoperabilität mit bestehenden </w:t>
            </w:r>
            <w:r>
              <w:rPr>
                <w:b/>
                <w:i/>
              </w:rPr>
              <w:t>nationalen</w:t>
            </w:r>
            <w:r>
              <w:t xml:space="preserve"> Initiativen und Plattformen sichergestellt werden. Die besonderen Bedürfnisse der </w:t>
            </w:r>
            <w:r>
              <w:t xml:space="preserve">Mitgliedstaaten sollten bei der Entwicklung des EU-Talentpools berücksichtigt werden, um eine möglichst breite Beteiligung zu gewährleisten. „Talent“ ist daher ein umfassender Begriff, der sich auf das gesamte Spektrum von Kompetenzen bezieht, die auf den </w:t>
            </w:r>
            <w:r>
              <w:t>Arbeitsmärkten der Mitgliedstaaten möglicherweise benötigt werden.</w:t>
            </w:r>
          </w:p>
        </w:tc>
        <w:tc>
          <w:tcPr>
            <w:tcW w:w="4876" w:type="dxa"/>
            <w:tcBorders>
              <w:top w:val="nil"/>
              <w:left w:val="nil"/>
              <w:bottom w:val="nil"/>
              <w:right w:val="nil"/>
            </w:tcBorders>
          </w:tcPr>
          <w:p w:rsidR="00BC254A" w:rsidRDefault="007914A5">
            <w:pPr>
              <w:pStyle w:val="Normal6a"/>
            </w:pPr>
            <w:r>
              <w:t>(5)</w:t>
            </w:r>
            <w:r>
              <w:tab/>
              <w:t xml:space="preserve">Der EU-Talentpool sollte darauf abzielen, die teilnehmenden Mitgliedstaaten </w:t>
            </w:r>
            <w:r>
              <w:rPr>
                <w:b/>
                <w:i/>
              </w:rPr>
              <w:t>nur dann</w:t>
            </w:r>
            <w:r>
              <w:t xml:space="preserve"> dabei zu unterstützen, bestehende und künftige Qualifikationsdefizite und den bestehenden und künftigen Arbeitskräftemangel durch die Einstellung von Drittstaatsangehörigen zu beheben, </w:t>
            </w:r>
            <w:r>
              <w:rPr>
                <w:b/>
                <w:i/>
              </w:rPr>
              <w:t>wenn</w:t>
            </w:r>
            <w:r>
              <w:t xml:space="preserve"> die Aktivierung einheimischer Arbeitskräfte und die Mobilität inn</w:t>
            </w:r>
            <w:r>
              <w:t>erhalb der EU nicht ausreichen, um dieses Ziel zu erreichen. Als freiwilliges Instrument zur Erleichterung der Anwerbung von Arbeitskräften aus Drittstaaten sollte der EU-Talentpool interessierten Mitgliedstaaten zusätzliche Unterstützung auf Unionsebene b</w:t>
            </w:r>
            <w:r>
              <w:t xml:space="preserve">ieten. Zu diesem Zweck sollten Komplementarität und Interoperabilität mit bestehenden Initiativen und Plattformen </w:t>
            </w:r>
            <w:r>
              <w:rPr>
                <w:b/>
                <w:i/>
              </w:rPr>
              <w:t>auf Unionsebene und in den Mitgliedstaaten</w:t>
            </w:r>
            <w:r>
              <w:t xml:space="preserve"> sichergestellt werden. Die besonderen Bedürfnisse der Mitgliedstaaten sollten bei der Entwicklung d</w:t>
            </w:r>
            <w:r>
              <w:t>es EU-Talentpools berücksichtigt werden, um eine möglichst breite Beteiligung zu gewährleisten. „Talent“ ist daher ein umfassender Begriff, der sich auf das gesamte Spektrum von Kompetenzen bezieht, die auf den Arbeitsmärkten der Mitgliedstaaten möglicherw</w:t>
            </w:r>
            <w:r>
              <w:t>eise benötigt werden.</w:t>
            </w:r>
          </w:p>
        </w:tc>
      </w:tr>
    </w:tbl>
    <w:p w:rsidR="00BC254A" w:rsidRDefault="007914A5">
      <w:pPr>
        <w:pStyle w:val="AmOrLang"/>
      </w:pPr>
      <w:r>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165</w:t>
      </w:r>
      <w:r>
        <w:rPr>
          <w:rStyle w:val="HideTWBExt"/>
        </w:rPr>
        <w:t>&lt;/NumAmB&gt;</w:t>
      </w:r>
    </w:p>
    <w:p w:rsidR="00BC254A" w:rsidRDefault="007914A5">
      <w:pPr>
        <w:pStyle w:val="NormalBold"/>
      </w:pPr>
      <w:r>
        <w:rPr>
          <w:rStyle w:val="HideTWBExt"/>
          <w:b w:val="0"/>
        </w:rPr>
        <w:lastRenderedPageBreak/>
        <w:t>&lt;RepeatBlock-By&gt;&lt;Members&gt;</w:t>
      </w:r>
      <w:r>
        <w:t>Pernando Barrena Arza</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(5)</w:t>
            </w:r>
            <w:r>
              <w:tab/>
              <w:t>Der EU-Talentpool sollte darauf abzielen, die teilnehmenden Mitgliedstaaten dabei zu unterstützen, bestehende und künftige Qualifikationsdefizite und den bestehenden und künftigen Arbeitskräftemang</w:t>
            </w:r>
            <w:r>
              <w:t xml:space="preserve">el durch die Einstellung von Drittstaatsangehörigen zu beheben, sofern die Aktivierung einheimischer Arbeitskräfte und die Mobilität innerhalb der EU nicht ausreichen, um dieses Ziel zu erreichen. Als </w:t>
            </w:r>
            <w:r>
              <w:rPr>
                <w:b/>
                <w:i/>
              </w:rPr>
              <w:t>freiwilliges</w:t>
            </w:r>
            <w:r>
              <w:t xml:space="preserve"> Instrument zur Erleichterung der Anwerbung</w:t>
            </w:r>
            <w:r>
              <w:t xml:space="preserve"> von Arbeitskräften aus Drittstaaten sollte der EU-Talentpool interessierten Mitgliedstaaten zusätzliche Unterstützung auf Unionsebene bieten. Zu diesem Zweck sollten Komplementarität und Interoperabilität mit bestehenden nationalen Initiativen und Plattfo</w:t>
            </w:r>
            <w:r>
              <w:t>rmen sichergestellt werden. Die besonderen Bedürfnisse der Mitgliedstaaten sollten bei der Entwicklung des EU-Talentpools berücksichtigt werden, um eine möglichst breite Beteiligung zu gewährleisten. „Talent“ ist daher ein umfassender Begriff, der sich auf</w:t>
            </w:r>
            <w:r>
              <w:t xml:space="preserve"> das gesamte Spektrum von Kompetenzen bezieht, die auf den Arbeitsmärkten der Mitgliedstaaten möglicherweise benötigt werden.</w:t>
            </w:r>
          </w:p>
        </w:tc>
        <w:tc>
          <w:tcPr>
            <w:tcW w:w="4876" w:type="dxa"/>
            <w:tcBorders>
              <w:top w:val="nil"/>
              <w:left w:val="nil"/>
              <w:bottom w:val="nil"/>
              <w:right w:val="nil"/>
            </w:tcBorders>
          </w:tcPr>
          <w:p w:rsidR="00BC254A" w:rsidRDefault="007914A5">
            <w:pPr>
              <w:pStyle w:val="Normal6a"/>
            </w:pPr>
            <w:r>
              <w:t>(5)</w:t>
            </w:r>
            <w:r>
              <w:tab/>
            </w:r>
            <w:r>
              <w:t>Der EU-Talentpool sollte darauf abzielen, die teilnehmenden Mitgliedstaaten dabei zu unterstützen, bestehende und künftige Qualifikationsdefizite und den bestehenden und künftigen Arbeitskräftemangel durch die Einstellung von Drittstaatsangehörigen zu behe</w:t>
            </w:r>
            <w:r>
              <w:t xml:space="preserve">ben, sofern die Aktivierung einheimischer Arbeitskräfte und die Mobilität innerhalb der EU nicht ausreichen, um dieses Ziel zu erreichen. Als </w:t>
            </w:r>
            <w:r>
              <w:rPr>
                <w:b/>
                <w:i/>
              </w:rPr>
              <w:t>zwingend vorgeschriebenes</w:t>
            </w:r>
            <w:r>
              <w:t xml:space="preserve"> Instrument zur Erleichterung der Anwerbung von Arbeitskräften aus Drittstaaten sollte de</w:t>
            </w:r>
            <w:r>
              <w:t>r EU-Talentpool interessierten Mitgliedstaaten zusätzliche Unterstützung auf Unionsebene bieten. Zu diesem Zweck sollten Komplementarität und Interoperabilität mit bestehenden nationalen Initiativen und Plattformen sichergestellt werden. Die besonderen Bed</w:t>
            </w:r>
            <w:r>
              <w:t>ürfnisse der Mitgliedstaaten sollten bei der Entwicklung des EU-Talentpools berücksichtigt werden, um eine möglichst breite Beteiligung zu gewährleisten. „Talent“ ist daher ein umfassender Begriff, der sich auf das gesamte Spektrum von Kompetenzen bezieht,</w:t>
            </w:r>
            <w:r>
              <w:t xml:space="preserve"> die auf den Arbeitsmärkten der Mitgliedstaaten möglicherweise benötigt werden.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166</w:t>
      </w:r>
      <w:r>
        <w:rPr>
          <w:rStyle w:val="HideTWBExt"/>
        </w:rPr>
        <w:t>&lt;/NumAmB&gt;</w:t>
      </w:r>
    </w:p>
    <w:p w:rsidR="00BC254A" w:rsidRDefault="007914A5">
      <w:pPr>
        <w:pStyle w:val="NormalBold"/>
      </w:pPr>
      <w:r>
        <w:rPr>
          <w:rStyle w:val="HideTWBExt"/>
          <w:b w:val="0"/>
        </w:rPr>
        <w:t>&lt;RepeatBlock-By&gt;&lt;Members&gt;</w:t>
      </w:r>
      <w:r>
        <w:t>Johan Danielsson, Evin Incir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w:t>
      </w:r>
      <w:r>
        <w:rPr>
          <w:rStyle w:val="HideTWBExt"/>
        </w:rPr>
        <w:t>mend&gt;</w:t>
      </w:r>
      <w:r>
        <w:t>Vorschlag für eine Verordnung</w:t>
      </w:r>
      <w:r>
        <w:rPr>
          <w:rStyle w:val="HideTWBExt"/>
        </w:rPr>
        <w:t>&lt;/DocAmend&gt;</w:t>
      </w:r>
    </w:p>
    <w:p w:rsidR="00BC254A" w:rsidRDefault="007914A5">
      <w:pPr>
        <w:pStyle w:val="NormalBold"/>
      </w:pPr>
      <w:r>
        <w:rPr>
          <w:rStyle w:val="HideTWBExt"/>
        </w:rPr>
        <w:t>&lt;Article&gt;</w:t>
      </w:r>
      <w:r>
        <w:t>Erwägung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lastRenderedPageBreak/>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(5a)</w:t>
            </w:r>
            <w:r>
              <w:tab/>
            </w:r>
            <w:r>
              <w:rPr>
                <w:b/>
                <w:i/>
              </w:rPr>
              <w:t xml:space="preserve">Das Europäische Netz der Arbeitsvermittlungen (EURES), das Informationen, Beratung und Anwerbung oder Vermittlung für </w:t>
            </w:r>
            <w:r>
              <w:rPr>
                <w:b/>
                <w:i/>
              </w:rPr>
              <w:t>Arbeitnehmer und Arbeitgeber in der gesamten Union bietet, kann eine wichtige Rolle bei der Veröffentlichung freier Stellen spielen, um Arbeitskräfte aus anderen Mitgliedstaaten anzuwerben.</w:t>
            </w:r>
            <w:r>
              <w:t xml:space="preserve"> </w:t>
            </w:r>
            <w:r>
              <w:rPr>
                <w:b/>
                <w:i/>
              </w:rPr>
              <w:t>Das EURES sollte daher genutzt werden, um freie Stellen zu besetze</w:t>
            </w:r>
            <w:r>
              <w:rPr>
                <w:b/>
                <w:i/>
              </w:rPr>
              <w:t>n, bevor auf den EU-Talentpool zurückgegriffen wird.</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167</w:t>
      </w:r>
      <w:r>
        <w:rPr>
          <w:rStyle w:val="HideTWBExt"/>
        </w:rPr>
        <w:t>&lt;/NumAmB&gt;</w:t>
      </w:r>
    </w:p>
    <w:p w:rsidR="00BC254A" w:rsidRDefault="007914A5">
      <w:pPr>
        <w:pStyle w:val="NormalBold"/>
      </w:pPr>
      <w:r>
        <w:rPr>
          <w:rStyle w:val="HideTWBExt"/>
          <w:b w:val="0"/>
        </w:rPr>
        <w:t>&lt;RepeatBlock-By&gt;&lt;Members&gt;</w:t>
      </w:r>
      <w:r>
        <w:t>Lena Düpont, Tomas Tobé</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 xml:space="preserve">Vorschlag für eine </w:t>
      </w:r>
      <w:r>
        <w:t>Verordnung</w:t>
      </w:r>
      <w:r>
        <w:rPr>
          <w:rStyle w:val="HideTWBExt"/>
        </w:rPr>
        <w:t>&lt;/DocAmend&gt;</w:t>
      </w:r>
    </w:p>
    <w:p w:rsidR="00BC254A" w:rsidRDefault="007914A5">
      <w:pPr>
        <w:pStyle w:val="NormalBold"/>
      </w:pPr>
      <w:r>
        <w:rPr>
          <w:rStyle w:val="HideTWBExt"/>
        </w:rPr>
        <w:t>&lt;Article&gt;</w:t>
      </w:r>
      <w:r>
        <w:t>Erwägung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(5a)</w:t>
            </w:r>
            <w:r>
              <w:tab/>
            </w:r>
            <w:r>
              <w:rPr>
                <w:b/>
                <w:i/>
              </w:rPr>
              <w:t xml:space="preserve">Da es sich um ein freiwilliges Instrument handelt, ist es zudem erforderlich, das Recht der Mitgliedstaaten auf einen geordneten und binnen eines </w:t>
            </w:r>
            <w:r>
              <w:rPr>
                <w:b/>
                <w:i/>
              </w:rPr>
              <w:t>angemessenen Zeitraums zu vollziehenden Rückzug aus dem Talentpool zu regeln, ohne dass die allgemeine Funktionsweise des EU-Talentpools und die Rechte der anderen teilnehmenden Mitgliedstaaten beeinträchtigt werden.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w:t>
      </w:r>
      <w:r>
        <w:rPr>
          <w:rStyle w:val="HideTWBExt"/>
        </w:rPr>
        <w:t>dB&gt;</w:t>
      </w:r>
    </w:p>
    <w:p w:rsidR="00BC254A" w:rsidRDefault="007914A5">
      <w:pPr>
        <w:pStyle w:val="AmNumberTabs"/>
      </w:pPr>
      <w:r>
        <w:rPr>
          <w:rStyle w:val="HideTWBExt"/>
        </w:rPr>
        <w:t>&lt;AmendB&gt;</w:t>
      </w:r>
      <w:r>
        <w:t>Änderungsantrag</w:t>
      </w:r>
      <w:r>
        <w:tab/>
      </w:r>
      <w:r>
        <w:tab/>
      </w:r>
      <w:r>
        <w:rPr>
          <w:rStyle w:val="HideTWBExt"/>
        </w:rPr>
        <w:t>&lt;NumAmB&gt;</w:t>
      </w:r>
      <w:r>
        <w:t>168</w:t>
      </w:r>
      <w:r>
        <w:rPr>
          <w:rStyle w:val="HideTWBExt"/>
        </w:rPr>
        <w:t>&lt;/NumAmB&gt;</w:t>
      </w:r>
    </w:p>
    <w:p w:rsidR="00BC254A" w:rsidRDefault="007914A5">
      <w:pPr>
        <w:pStyle w:val="NormalBold"/>
      </w:pPr>
      <w:r>
        <w:rPr>
          <w:rStyle w:val="HideTWBExt"/>
          <w:b w:val="0"/>
        </w:rPr>
        <w:t>&lt;RepeatBlock-By&gt;&lt;Members&gt;</w:t>
      </w:r>
      <w:r>
        <w:t>Pernando Barrena Arza</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lastRenderedPageBreak/>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(5a)</w:t>
            </w:r>
            <w:r>
              <w:tab/>
            </w:r>
            <w:r>
              <w:rPr>
                <w:b/>
                <w:i/>
              </w:rPr>
              <w:t xml:space="preserve">Mit dem Talentpool sollte sichergestellt werden, dass der Arbeitskräftemangel auf Unionsebene, auf nationaler und auf sektoraler Ebene auf transparente Weise und in Absprache mit den Sozialpartnern auf allen Ebenen ermittelt wird und dabei die </w:t>
            </w:r>
            <w:r>
              <w:rPr>
                <w:b/>
                <w:i/>
              </w:rPr>
              <w:t>Einflussfaktoren und die Ursachen für diesen Mangel berücksichtigt werden.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169</w:t>
      </w:r>
      <w:r>
        <w:rPr>
          <w:rStyle w:val="HideTWBExt"/>
        </w:rPr>
        <w:t>&lt;/NumAmB&gt;</w:t>
      </w:r>
    </w:p>
    <w:p w:rsidR="00BC254A" w:rsidRDefault="007914A5">
      <w:pPr>
        <w:pStyle w:val="NormalBold"/>
      </w:pPr>
      <w:r>
        <w:rPr>
          <w:rStyle w:val="HideTWBExt"/>
          <w:b w:val="0"/>
        </w:rPr>
        <w:t>&lt;RepeatBlock-By&gt;&lt;Members&gt;</w:t>
      </w:r>
      <w:r>
        <w:t>Nadine Morano</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w:t>
      </w:r>
      <w:r>
        <w:t>ine Verordnung</w:t>
      </w:r>
      <w:r>
        <w:rPr>
          <w:rStyle w:val="HideTWBExt"/>
        </w:rPr>
        <w:t>&lt;/DocAmend&gt;</w:t>
      </w:r>
    </w:p>
    <w:p w:rsidR="00BC254A" w:rsidRDefault="007914A5">
      <w:pPr>
        <w:pStyle w:val="NormalBold"/>
      </w:pPr>
      <w:r>
        <w:rPr>
          <w:rStyle w:val="HideTWBExt"/>
        </w:rPr>
        <w:t>&lt;Article&gt;</w:t>
      </w:r>
      <w:r>
        <w:t>Erwägung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(6)</w:t>
            </w:r>
            <w:r>
              <w:tab/>
              <w:t xml:space="preserve">Ziel des EU-Talentpools ist die Erbringung von Dienstleistungen für Arbeitgeber, die in den teilnehmenden Mitgliedstaaten niedergelassen sind, darunter </w:t>
            </w:r>
            <w:r>
              <w:t>private Arbeitsvermittler, Leiharbeitsunternehmen und Arbeitsmarktvermittler im Sinne des Übereinkommens 181 der Internationalen Arbeitsorganisation aus dem Jahr 1997.</w:t>
            </w:r>
          </w:p>
        </w:tc>
        <w:tc>
          <w:tcPr>
            <w:tcW w:w="4876" w:type="dxa"/>
            <w:tcBorders>
              <w:top w:val="nil"/>
              <w:left w:val="nil"/>
              <w:bottom w:val="nil"/>
              <w:right w:val="nil"/>
            </w:tcBorders>
          </w:tcPr>
          <w:p w:rsidR="00BC254A" w:rsidRDefault="007914A5">
            <w:pPr>
              <w:pStyle w:val="Normal6a"/>
            </w:pPr>
            <w:r>
              <w:t>(6)</w:t>
            </w:r>
            <w:r>
              <w:tab/>
              <w:t xml:space="preserve">Ziel des EU-Talentpools ist die Erbringung von Dienstleistungen für </w:t>
            </w:r>
            <w:r>
              <w:rPr>
                <w:b/>
                <w:i/>
              </w:rPr>
              <w:t>teilnehmende</w:t>
            </w:r>
            <w:r>
              <w:t xml:space="preserve"> Arb</w:t>
            </w:r>
            <w:r>
              <w:t xml:space="preserve">eitgeber, die in den teilnehmenden Mitgliedstaaten niedergelassen sind, darunter private Arbeitsvermittler, Leiharbeitsunternehmen und Arbeitsmarktvermittler im Sinne des Übereinkommens 181 der Internationalen Arbeitsorganisation aus dem Jahr 1997. </w:t>
            </w:r>
            <w:r>
              <w:rPr>
                <w:b/>
                <w:i/>
              </w:rPr>
              <w:t>Ein tei</w:t>
            </w:r>
            <w:r>
              <w:rPr>
                <w:b/>
                <w:i/>
              </w:rPr>
              <w:t>lnehmender Arbeitgeber ist ein Arbeitgeber, dessen Stellenangebote von der nationalen Kontaktstelle des Mitgliedstaats, in dem der Arbeitgeber ansässig ist, auf der IT-Plattform des EU-Talentpools zugänglich gemacht werden.</w:t>
            </w:r>
            <w:r>
              <w:t xml:space="preserve"> </w:t>
            </w:r>
            <w:r>
              <w:rPr>
                <w:b/>
                <w:i/>
              </w:rPr>
              <w:t>Sobald diese Stellenangebote von</w:t>
            </w:r>
            <w:r>
              <w:rPr>
                <w:b/>
                <w:i/>
              </w:rPr>
              <w:t xml:space="preserve"> der IT-Plattform des EU-Talentpools entfernt werden, gilt der Arbeitgeber nicht mehr als teilnehmender Arbeitgeber.</w:t>
            </w:r>
            <w:r>
              <w:t xml:space="preserve"> </w:t>
            </w:r>
            <w:r>
              <w:rPr>
                <w:b/>
                <w:i/>
              </w:rPr>
              <w:t>Andere teilnehmende Stellen können ebenfalls am EU-Talentpool beteiligt werden (private Arbeitsagenturen, Leiharbeitsunternehmen und Arbeit</w:t>
            </w:r>
            <w:r>
              <w:rPr>
                <w:b/>
                <w:i/>
              </w:rPr>
              <w:t xml:space="preserve">smarktvermittler) und unterliegen </w:t>
            </w:r>
            <w:r>
              <w:rPr>
                <w:b/>
                <w:i/>
              </w:rPr>
              <w:lastRenderedPageBreak/>
              <w:t>derselben Regelung wie teilnehmende Arbeitgeber.</w:t>
            </w:r>
          </w:p>
        </w:tc>
      </w:tr>
    </w:tbl>
    <w:p w:rsidR="00BC254A" w:rsidRDefault="007914A5">
      <w:pPr>
        <w:pStyle w:val="AmOrLang"/>
      </w:pPr>
      <w:r>
        <w:lastRenderedPageBreak/>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170</w:t>
      </w:r>
      <w:r>
        <w:rPr>
          <w:rStyle w:val="HideTWBExt"/>
        </w:rPr>
        <w:t>&lt;/NumAmB&gt;</w:t>
      </w:r>
    </w:p>
    <w:p w:rsidR="00BC254A" w:rsidRDefault="007914A5">
      <w:pPr>
        <w:pStyle w:val="NormalBold"/>
      </w:pPr>
      <w:r>
        <w:rPr>
          <w:rStyle w:val="HideTWBExt"/>
          <w:b w:val="0"/>
        </w:rPr>
        <w:t>&lt;RepeatBlock-By&gt;&lt;Members&gt;</w:t>
      </w:r>
      <w:r>
        <w:t>Pernando Barrena Arza</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(6)</w:t>
            </w:r>
            <w:r>
              <w:tab/>
              <w:t xml:space="preserve">Ziel des EU-Talentpools ist die Erbringung von Dienstleistungen für Arbeitgeber, die </w:t>
            </w:r>
            <w:r>
              <w:rPr>
                <w:b/>
                <w:i/>
              </w:rPr>
              <w:t xml:space="preserve">in den teilnehmenden Mitgliedstaaten </w:t>
            </w:r>
            <w:r>
              <w:rPr>
                <w:b/>
                <w:i/>
              </w:rPr>
              <w:t>niedergelassen sind, darunter private Arbeitsvermittler, Leiharbeitsunternehmen und Arbeitsmarktvermittler im Sinne des Übereinkommens 181 der Internationalen Arbeitsorganisation aus dem Jahr 1997</w:t>
            </w:r>
            <w:r>
              <w:t>.</w:t>
            </w:r>
          </w:p>
        </w:tc>
        <w:tc>
          <w:tcPr>
            <w:tcW w:w="4876" w:type="dxa"/>
            <w:tcBorders>
              <w:top w:val="nil"/>
              <w:left w:val="nil"/>
              <w:bottom w:val="nil"/>
              <w:right w:val="nil"/>
            </w:tcBorders>
          </w:tcPr>
          <w:p w:rsidR="00BC254A" w:rsidRDefault="007914A5">
            <w:pPr>
              <w:pStyle w:val="Normal6a"/>
            </w:pPr>
            <w:r>
              <w:t>(6)</w:t>
            </w:r>
            <w:r>
              <w:tab/>
              <w:t>Ziel des EU-Talentpools ist die Erbringung von Dienstl</w:t>
            </w:r>
            <w:r>
              <w:t xml:space="preserve">eistungen für Arbeitgeber, die </w:t>
            </w:r>
            <w:r>
              <w:rPr>
                <w:b/>
                <w:i/>
              </w:rPr>
              <w:t>tatsächlich wesentliche Tätigkeiten im Hoheitsgebiet der teilnehmenden Mitgliedstaaten ausüben</w:t>
            </w:r>
            <w:r>
              <w: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171</w:t>
      </w:r>
      <w:r>
        <w:rPr>
          <w:rStyle w:val="HideTWBExt"/>
        </w:rPr>
        <w:t>&lt;/NumAmB&gt;</w:t>
      </w:r>
    </w:p>
    <w:p w:rsidR="00BC254A" w:rsidRDefault="007914A5">
      <w:pPr>
        <w:pStyle w:val="NormalBold"/>
      </w:pPr>
      <w:r>
        <w:rPr>
          <w:rStyle w:val="HideTWBExt"/>
          <w:b w:val="0"/>
        </w:rPr>
        <w:t>&lt;RepeatBlock-By&gt;&lt;Members&gt;</w:t>
      </w:r>
      <w:r>
        <w:t>Javier Moreno S</w:t>
      </w:r>
      <w:r>
        <w:t>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(6)</w:t>
            </w:r>
            <w:r>
              <w:tab/>
              <w:t xml:space="preserve">Ziel des EU-Talentpools ist die Erbringung von Dienstleistungen für Arbeitgeber, die in den </w:t>
            </w:r>
            <w:r>
              <w:t>teilnehmenden Mitgliedstaaten niedergelassen sind, darunter private Arbeitsvermittler, Leiharbeitsunternehmen und Arbeitsmarktvermittler im Sinne des Übereinkommens 181 der Internationalen Arbeitsorganisation aus dem Jahr 1997.</w:t>
            </w:r>
          </w:p>
        </w:tc>
        <w:tc>
          <w:tcPr>
            <w:tcW w:w="4876" w:type="dxa"/>
            <w:tcBorders>
              <w:top w:val="nil"/>
              <w:left w:val="nil"/>
              <w:bottom w:val="nil"/>
              <w:right w:val="nil"/>
            </w:tcBorders>
          </w:tcPr>
          <w:p w:rsidR="00BC254A" w:rsidRDefault="007914A5">
            <w:pPr>
              <w:pStyle w:val="Normal6a"/>
            </w:pPr>
            <w:r>
              <w:t>(6)</w:t>
            </w:r>
            <w:r>
              <w:tab/>
            </w:r>
            <w:r>
              <w:t xml:space="preserve">Ziel des EU-Talentpools ist die Erbringung von Dienstleistungen für </w:t>
            </w:r>
            <w:r>
              <w:rPr>
                <w:b/>
                <w:i/>
              </w:rPr>
              <w:t>Drittstaatsangehörige, die in EU-weiten Mangelberufen tätig werden wollen, und für</w:t>
            </w:r>
            <w:r>
              <w:t xml:space="preserve"> Arbeitgeber, die in den teilnehmenden Mitgliedstaaten niedergelassen sind, darunter private Arbeitsvermit</w:t>
            </w:r>
            <w:r>
              <w:t>tler, Leiharbeitsunternehmen und Arbeitsmarktvermittler im Sinne des Übereinkommens 181 der Internationalen Arbeitsorganisation aus dem Jahr 1997.</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172</w:t>
      </w:r>
      <w:r>
        <w:rPr>
          <w:rStyle w:val="HideTWBExt"/>
        </w:rPr>
        <w:t>&lt;/NumAmB&gt;</w:t>
      </w:r>
    </w:p>
    <w:p w:rsidR="00BC254A" w:rsidRDefault="007914A5">
      <w:pPr>
        <w:pStyle w:val="NormalBold"/>
      </w:pPr>
      <w:r>
        <w:rPr>
          <w:rStyle w:val="HideTWBExt"/>
          <w:b w:val="0"/>
        </w:rPr>
        <w:t>&lt;RepeatBlock-By&gt;</w:t>
      </w:r>
      <w:r>
        <w:rPr>
          <w:rStyle w:val="HideTWBExt"/>
          <w:b w:val="0"/>
        </w:rPr>
        <w:t>&lt;Members&gt;</w:t>
      </w:r>
      <w:r>
        <w:t>Francisco Assis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(6)</w:t>
            </w:r>
            <w:r>
              <w:tab/>
              <w:t xml:space="preserve">Ziel des EU-Talentpools ist die Erbringung von Dienstleistungen für </w:t>
            </w:r>
            <w:r>
              <w:t>Arbeitgeber, die in den teilnehmenden Mitgliedstaaten niedergelassen sind, darunter private Arbeitsvermittler, Leiharbeitsunternehmen und Arbeitsmarktvermittler im Sinne des Übereinkommens 181 der Internationalen Arbeitsorganisation aus dem Jahr 1997.</w:t>
            </w:r>
          </w:p>
        </w:tc>
        <w:tc>
          <w:tcPr>
            <w:tcW w:w="4876" w:type="dxa"/>
            <w:tcBorders>
              <w:top w:val="nil"/>
              <w:left w:val="nil"/>
              <w:bottom w:val="nil"/>
              <w:right w:val="nil"/>
            </w:tcBorders>
          </w:tcPr>
          <w:p w:rsidR="00BC254A" w:rsidRDefault="007914A5">
            <w:pPr>
              <w:pStyle w:val="Normal6a"/>
            </w:pPr>
            <w:r>
              <w:t>(6)</w:t>
            </w:r>
            <w:r>
              <w:tab/>
            </w:r>
            <w:r>
              <w:t xml:space="preserve">Ziel des EU-Talentpools ist die Erbringung von Dienstleistungen für </w:t>
            </w:r>
            <w:r>
              <w:rPr>
                <w:b/>
                <w:i/>
              </w:rPr>
              <w:t>Drittstaatsangehörige, die in EU-weiten Mangelberufen tätig werden wollen, und für</w:t>
            </w:r>
            <w:r>
              <w:t xml:space="preserve"> Arbeitgeber, die in den teilnehmenden Mitgliedstaaten niedergelassen sind, darunter private Arbeitsvermit</w:t>
            </w:r>
            <w:r>
              <w:t>tler, Leiharbeitsunternehmen und Arbeitsmarktvermittler im Sinne des Übereinkommens 181 der Internationalen Arbeitsorganisation aus dem Jahr 1997.</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173</w:t>
      </w:r>
      <w:r>
        <w:rPr>
          <w:rStyle w:val="HideTWBExt"/>
        </w:rPr>
        <w:t>&lt;/NumAmB&gt;</w:t>
      </w:r>
    </w:p>
    <w:p w:rsidR="00BC254A" w:rsidRDefault="007914A5">
      <w:pPr>
        <w:pStyle w:val="NormalBold"/>
      </w:pPr>
      <w:r>
        <w:rPr>
          <w:rStyle w:val="HideTWBExt"/>
          <w:b w:val="0"/>
        </w:rPr>
        <w:t>&lt;RepeatBlock-By&gt;</w:t>
      </w:r>
      <w:r>
        <w:rPr>
          <w:rStyle w:val="HideTWBExt"/>
          <w:b w:val="0"/>
        </w:rPr>
        <w:t>&lt;Members&gt;</w:t>
      </w:r>
      <w:r>
        <w:t>Pernando Barrena Arza</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(6)</w:t>
            </w:r>
            <w:r>
              <w:tab/>
              <w:t xml:space="preserve">Ziel des EU-Talentpools ist die Erbringung von Dienstleistungen für </w:t>
            </w:r>
            <w:r>
              <w:t>Arbeitgeber, die in den teilnehmenden Mitgliedstaaten niedergelassen sind</w:t>
            </w:r>
            <w:r>
              <w:rPr>
                <w:b/>
                <w:i/>
              </w:rPr>
              <w:t>, darunter private Arbeitsvermittler, Leiharbeitsunternehmen und Arbeitsmarktvermittler im Sinne des Übereinkommens 181 der Internationalen Arbeitsorganisation aus dem Jahr 1997</w:t>
            </w:r>
            <w:r>
              <w:t>.</w:t>
            </w:r>
          </w:p>
        </w:tc>
        <w:tc>
          <w:tcPr>
            <w:tcW w:w="4876" w:type="dxa"/>
            <w:tcBorders>
              <w:top w:val="nil"/>
              <w:left w:val="nil"/>
              <w:bottom w:val="nil"/>
              <w:right w:val="nil"/>
            </w:tcBorders>
          </w:tcPr>
          <w:p w:rsidR="00BC254A" w:rsidRDefault="007914A5">
            <w:pPr>
              <w:pStyle w:val="Normal6a"/>
            </w:pPr>
            <w:r>
              <w:t>(6)</w:t>
            </w:r>
            <w:r>
              <w:tab/>
            </w:r>
            <w:r>
              <w:t xml:space="preserve">Ziel des EU-Talentpools ist die Erbringung von Dienstleistungen für Arbeitgeber, die in den teilnehmenden Mitgliedstaaten niedergelassen sind </w:t>
            </w:r>
            <w:r>
              <w:rPr>
                <w:b/>
                <w:i/>
              </w:rPr>
              <w:t>und dort tatsächlich wesentliche wirtschaftliche Tätigkeiten ausüben</w:t>
            </w:r>
            <w:r>
              <w: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lastRenderedPageBreak/>
        <w:t>&lt;</w:t>
      </w:r>
      <w:r>
        <w:rPr>
          <w:rStyle w:val="HideTWBExt"/>
        </w:rPr>
        <w:t>AmendB&gt;</w:t>
      </w:r>
      <w:r>
        <w:t>Änderungsantrag</w:t>
      </w:r>
      <w:r>
        <w:tab/>
      </w:r>
      <w:r>
        <w:tab/>
      </w:r>
      <w:r>
        <w:rPr>
          <w:rStyle w:val="HideTWBExt"/>
        </w:rPr>
        <w:t>&lt;NumAmB&gt;</w:t>
      </w:r>
      <w:r>
        <w:t>174</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(6)</w:t>
            </w:r>
            <w:r>
              <w:tab/>
            </w:r>
            <w:r>
              <w:t xml:space="preserve">Ziel des EU-Talentpools ist </w:t>
            </w:r>
            <w:r>
              <w:rPr>
                <w:b/>
                <w:i/>
              </w:rPr>
              <w:t>die Erbringung von</w:t>
            </w:r>
            <w:r>
              <w:t xml:space="preserve"> Dienstleistungen für </w:t>
            </w:r>
            <w:r>
              <w:rPr>
                <w:b/>
                <w:i/>
              </w:rPr>
              <w:t>Arbeitgeber, die</w:t>
            </w:r>
            <w:r>
              <w:t xml:space="preserve"> in den teilnehmenden Mitgliedstaaten </w:t>
            </w:r>
            <w:r>
              <w:rPr>
                <w:b/>
                <w:i/>
              </w:rPr>
              <w:t>niedergelassen sind, darunter private Arbeitsvermittler, Leiharbeitsunternehmen und Arbeitsmarktvermittler</w:t>
            </w:r>
            <w:r>
              <w:t xml:space="preserve"> im Sinne des Übereinkommens</w:t>
            </w:r>
            <w:r>
              <w:t xml:space="preserve"> 181 der Internationalen Arbeitsorganisation aus dem Jahr 1997.</w:t>
            </w:r>
          </w:p>
        </w:tc>
        <w:tc>
          <w:tcPr>
            <w:tcW w:w="4876" w:type="dxa"/>
            <w:tcBorders>
              <w:top w:val="nil"/>
              <w:left w:val="nil"/>
              <w:bottom w:val="nil"/>
              <w:right w:val="nil"/>
            </w:tcBorders>
          </w:tcPr>
          <w:p w:rsidR="00BC254A" w:rsidRDefault="007914A5">
            <w:pPr>
              <w:pStyle w:val="Normal6a"/>
            </w:pPr>
            <w:r>
              <w:t>(6)</w:t>
            </w:r>
            <w:r>
              <w:tab/>
              <w:t xml:space="preserve">Ziel des EU-Talentpools ist </w:t>
            </w:r>
            <w:r>
              <w:rPr>
                <w:b/>
                <w:i/>
              </w:rPr>
              <w:t>es,</w:t>
            </w:r>
            <w:r>
              <w:t xml:space="preserve"> Dienstleistungen für in den teilnehmenden Mitgliedstaaten </w:t>
            </w:r>
            <w:r>
              <w:rPr>
                <w:b/>
                <w:i/>
              </w:rPr>
              <w:t>niedergelassene Arbeitgeber und Vermittler</w:t>
            </w:r>
            <w:r>
              <w:t xml:space="preserve"> im Sinne des Übereinkommens 181 der Internationalen Arbeitsorganisation aus dem Jahr 1997</w:t>
            </w:r>
            <w:r>
              <w:rPr>
                <w:b/>
                <w:i/>
              </w:rPr>
              <w:t> zu erbringen</w:t>
            </w:r>
            <w:r>
              <w: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175</w:t>
      </w:r>
      <w:r>
        <w:rPr>
          <w:rStyle w:val="HideTWBExt"/>
        </w:rPr>
        <w:t>&lt;/NumAmB&gt;</w:t>
      </w:r>
    </w:p>
    <w:p w:rsidR="00BC254A" w:rsidRDefault="007914A5">
      <w:pPr>
        <w:pStyle w:val="NormalBold"/>
      </w:pPr>
      <w:r>
        <w:rPr>
          <w:rStyle w:val="HideTWBExt"/>
          <w:b w:val="0"/>
        </w:rPr>
        <w:t>&lt;RepeatBlock-By&gt;&lt;Members&gt;</w:t>
      </w:r>
      <w:r>
        <w:t>Jan-Christoph Oetjen, Abir Al-Sahlani</w:t>
      </w:r>
      <w:r>
        <w:t>,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(6)</w:t>
            </w:r>
            <w:r>
              <w:tab/>
            </w:r>
            <w:r>
              <w:t xml:space="preserve">Ziel des EU-Talentpools ist die Erbringung von Dienstleistungen für Arbeitgeber, die in den </w:t>
            </w:r>
            <w:r>
              <w:rPr>
                <w:b/>
                <w:i/>
              </w:rPr>
              <w:t>teilnehmenden</w:t>
            </w:r>
            <w:r>
              <w:t xml:space="preserve"> Mitgliedstaaten niedergelassen sind, darunter private Arbeitsvermittler, Leiharbeitsunternehmen und Arbeitsmarktvermittler im Sinne des Übereinkommens</w:t>
            </w:r>
            <w:r>
              <w:t xml:space="preserve"> 181 der Internationalen Arbeitsorganisation aus dem Jahr 1997.</w:t>
            </w:r>
          </w:p>
        </w:tc>
        <w:tc>
          <w:tcPr>
            <w:tcW w:w="4876" w:type="dxa"/>
            <w:tcBorders>
              <w:top w:val="nil"/>
              <w:left w:val="nil"/>
              <w:bottom w:val="nil"/>
              <w:right w:val="nil"/>
            </w:tcBorders>
          </w:tcPr>
          <w:p w:rsidR="00BC254A" w:rsidRDefault="007914A5">
            <w:pPr>
              <w:pStyle w:val="Normal6a"/>
            </w:pPr>
            <w:r>
              <w:t>(6)</w:t>
            </w:r>
            <w:r>
              <w:tab/>
              <w:t xml:space="preserve">Ziel des EU-Talentpools ist die </w:t>
            </w:r>
            <w:r>
              <w:rPr>
                <w:b/>
                <w:i/>
              </w:rPr>
              <w:t>unentgeltliche</w:t>
            </w:r>
            <w:r>
              <w:t xml:space="preserve"> Erbringung von Dienstleistungen für Arbeitgeber, die in den Mitgliedstaaten niedergelassen sind, darunter private Arbeitsvermittler, Leiharbe</w:t>
            </w:r>
            <w:r>
              <w:t>itsunternehmen und Arbeitsmarktvermittler im Sinne des Übereinkommens 181 der Internationalen Arbeitsorganisation aus dem Jahr 1997.</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176</w:t>
      </w:r>
      <w:r>
        <w:rPr>
          <w:rStyle w:val="HideTWBExt"/>
        </w:rPr>
        <w:t>&lt;/NumAmB&gt;</w:t>
      </w:r>
    </w:p>
    <w:p w:rsidR="00BC254A" w:rsidRDefault="007914A5">
      <w:pPr>
        <w:pStyle w:val="NormalBold"/>
      </w:pPr>
      <w:r>
        <w:rPr>
          <w:rStyle w:val="HideTWBExt"/>
          <w:b w:val="0"/>
        </w:rPr>
        <w:t>&lt;RepeatBlock-By&gt;&lt;Members&gt;</w:t>
      </w:r>
      <w:r>
        <w:t xml:space="preserve">Pernando </w:t>
      </w:r>
      <w:r>
        <w:t>Barrena Arza</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(6a)</w:t>
            </w:r>
            <w:r>
              <w:tab/>
            </w:r>
            <w:r>
              <w:rPr>
                <w:b/>
                <w:i/>
              </w:rPr>
              <w:t xml:space="preserve">Um festzustellen, ob ein Arbeitgeber tatsächlich wesentliche Tätigkeiten in </w:t>
            </w:r>
            <w:r>
              <w:rPr>
                <w:b/>
                <w:i/>
              </w:rPr>
              <w:t>dem teilnehmenden Mitgliedstaat ausübt, in dem er niedergelassen ist und in dem er den Drittstaatsangehörigen zu beschäftigen beabsichtigt, nehmen die zuständigen Behörden eine Gesamtbewertung aller relevanten Fakten vor, die seine Tätigkeiten kennzeichnen</w:t>
            </w:r>
            <w:r>
              <w:rPr>
                <w:b/>
                <w:i/>
              </w:rPr>
              <w:t>, um zu überprüfen, ob die gewöhnliche Geschäftstätigkeit des Arbeitgebers in erheblichem Umfang in dem betreffenden Beschäftigungsbereich ausgeübt wird, d. h. über die reinen Tätigkeiten der Auswahl, der Anwerbung und der Zuteilung von Arbeit hinausgeht.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177</w:t>
      </w:r>
      <w:r>
        <w:rPr>
          <w:rStyle w:val="HideTWBExt"/>
        </w:rPr>
        <w:t>&lt;/NumAmB&gt;</w:t>
      </w:r>
    </w:p>
    <w:p w:rsidR="00BC254A" w:rsidRDefault="007914A5">
      <w:pPr>
        <w:pStyle w:val="NormalBold"/>
      </w:pPr>
      <w:r>
        <w:rPr>
          <w:rStyle w:val="HideTWBExt"/>
          <w:b w:val="0"/>
        </w:rPr>
        <w:t>&lt;RepeatBlock-By&gt;&lt;Members&gt;</w:t>
      </w:r>
      <w:r>
        <w:t>Charlie Weimers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 xml:space="preserve">Vorschlag der </w:t>
            </w:r>
            <w:r>
              <w:t>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rPr>
                <w:b/>
                <w:i/>
              </w:rPr>
              <w:t>(7)</w:t>
            </w:r>
            <w:r>
              <w:tab/>
            </w:r>
            <w:r>
              <w:rPr>
                <w:b/>
                <w:i/>
              </w:rPr>
              <w:t>Darüber hinaus sollte der EU-Talentpool die Umsetzung von Fachkräftepartnerschaften unterstützen, die einen der zentralen Aspekte der externen Dimension des Migrations- und Asylpakets</w:t>
            </w:r>
            <w:r>
              <w:rPr>
                <w:b/>
                <w:i/>
                <w:vertAlign w:val="superscript"/>
              </w:rPr>
              <w:t>6</w:t>
            </w:r>
            <w:r>
              <w:rPr>
                <w:b/>
                <w:i/>
              </w:rPr>
              <w:t>darstellen und im Einklang mit der Mitte</w:t>
            </w:r>
            <w:r>
              <w:rPr>
                <w:b/>
                <w:i/>
              </w:rPr>
              <w:t>ilung der Kommission zur Anwerbung qualifizierter Arbeitskräfte aus Drittländern</w:t>
            </w:r>
            <w:r>
              <w:rPr>
                <w:b/>
                <w:i/>
                <w:vertAlign w:val="superscript"/>
              </w:rPr>
              <w:t>7</w:t>
            </w:r>
            <w:r>
              <w:rPr>
                <w:b/>
                <w:i/>
              </w:rPr>
              <w:t>umgesetzt werden.</w:t>
            </w:r>
            <w:r>
              <w:t xml:space="preserve"> </w:t>
            </w:r>
            <w:r>
              <w:rPr>
                <w:b/>
                <w:i/>
              </w:rPr>
              <w:t>Die Teilnahme eines Mitgliedstaats an der Fachkräftepartnerschaft sollte seine Entscheidung über die Teilnahme am EU-Talentpool unberührt lassen.</w:t>
            </w:r>
          </w:p>
        </w:tc>
        <w:tc>
          <w:tcPr>
            <w:tcW w:w="4876" w:type="dxa"/>
            <w:tcBorders>
              <w:top w:val="nil"/>
              <w:left w:val="nil"/>
              <w:bottom w:val="nil"/>
              <w:right w:val="nil"/>
            </w:tcBorders>
          </w:tcPr>
          <w:p w:rsidR="00BC254A" w:rsidRDefault="007914A5">
            <w:pPr>
              <w:pStyle w:val="Normal6a"/>
            </w:pPr>
            <w:r>
              <w:rPr>
                <w:b/>
                <w:i/>
              </w:rPr>
              <w:t>entfällt</w:t>
            </w:r>
          </w:p>
        </w:tc>
      </w:tr>
      <w:tr w:rsidR="00BC254A">
        <w:trPr>
          <w:jc w:val="center"/>
        </w:trPr>
        <w:tc>
          <w:tcPr>
            <w:tcW w:w="4876" w:type="dxa"/>
            <w:tcBorders>
              <w:top w:val="nil"/>
              <w:left w:val="nil"/>
              <w:bottom w:val="nil"/>
              <w:right w:val="nil"/>
            </w:tcBorders>
          </w:tcPr>
          <w:p w:rsidR="00BC254A" w:rsidRDefault="007914A5">
            <w:pPr>
              <w:pStyle w:val="Normal6a"/>
            </w:pPr>
            <w:r>
              <w:rPr>
                <w:b/>
                <w:i/>
              </w:rPr>
              <w:t>_________________</w:t>
            </w:r>
          </w:p>
        </w:tc>
        <w:tc>
          <w:tcPr>
            <w:tcW w:w="4876" w:type="dxa"/>
            <w:tcBorders>
              <w:top w:val="nil"/>
              <w:left w:val="nil"/>
              <w:bottom w:val="nil"/>
              <w:right w:val="nil"/>
            </w:tcBorders>
          </w:tcPr>
          <w:p w:rsidR="00BC254A" w:rsidRDefault="00BC254A"/>
        </w:tc>
      </w:tr>
      <w:tr w:rsidR="00BC254A">
        <w:trPr>
          <w:jc w:val="center"/>
        </w:trPr>
        <w:tc>
          <w:tcPr>
            <w:tcW w:w="4876" w:type="dxa"/>
            <w:tcBorders>
              <w:top w:val="nil"/>
              <w:left w:val="nil"/>
              <w:bottom w:val="nil"/>
              <w:right w:val="nil"/>
            </w:tcBorders>
          </w:tcPr>
          <w:p w:rsidR="00BC254A" w:rsidRDefault="007914A5">
            <w:pPr>
              <w:pStyle w:val="Normal6a"/>
            </w:pPr>
            <w:r>
              <w:rPr>
                <w:b/>
                <w:i/>
                <w:vertAlign w:val="superscript"/>
              </w:rPr>
              <w:lastRenderedPageBreak/>
              <w:t>6</w:t>
            </w:r>
            <w:r>
              <w:t xml:space="preserve"> </w:t>
            </w:r>
            <w:r>
              <w:rPr>
                <w:b/>
                <w:i/>
              </w:rPr>
              <w:t>COM(2020) 609 final</w:t>
            </w:r>
          </w:p>
        </w:tc>
        <w:tc>
          <w:tcPr>
            <w:tcW w:w="4876" w:type="dxa"/>
            <w:tcBorders>
              <w:top w:val="nil"/>
              <w:left w:val="nil"/>
              <w:bottom w:val="nil"/>
              <w:right w:val="nil"/>
            </w:tcBorders>
          </w:tcPr>
          <w:p w:rsidR="00BC254A" w:rsidRDefault="00BC254A"/>
        </w:tc>
      </w:tr>
      <w:tr w:rsidR="00BC254A">
        <w:trPr>
          <w:jc w:val="center"/>
        </w:trPr>
        <w:tc>
          <w:tcPr>
            <w:tcW w:w="4876" w:type="dxa"/>
            <w:tcBorders>
              <w:top w:val="nil"/>
              <w:left w:val="nil"/>
              <w:bottom w:val="nil"/>
              <w:right w:val="nil"/>
            </w:tcBorders>
          </w:tcPr>
          <w:p w:rsidR="00BC254A" w:rsidRDefault="007914A5">
            <w:pPr>
              <w:pStyle w:val="Normal6a"/>
            </w:pPr>
            <w:r>
              <w:rPr>
                <w:b/>
                <w:i/>
                <w:vertAlign w:val="superscript"/>
              </w:rPr>
              <w:t>7</w:t>
            </w:r>
            <w:r>
              <w:t xml:space="preserve"> </w:t>
            </w:r>
            <w:r>
              <w:rPr>
                <w:b/>
                <w:i/>
              </w:rPr>
              <w:t>COM(2022) 657 final.</w:t>
            </w:r>
          </w:p>
        </w:tc>
        <w:tc>
          <w:tcPr>
            <w:tcW w:w="4876" w:type="dxa"/>
            <w:tcBorders>
              <w:top w:val="nil"/>
              <w:left w:val="nil"/>
              <w:bottom w:val="nil"/>
              <w:right w:val="nil"/>
            </w:tcBorders>
          </w:tcPr>
          <w:p w:rsidR="00BC254A" w:rsidRDefault="00BC254A"/>
        </w:tc>
      </w:tr>
    </w:tbl>
    <w:p w:rsidR="00BC254A" w:rsidRDefault="007914A5">
      <w:pPr>
        <w:pStyle w:val="AmOrLang"/>
      </w:pPr>
      <w:r>
        <w:t xml:space="preserve">Or. </w:t>
      </w:r>
      <w:r>
        <w:rPr>
          <w:rStyle w:val="HideTWBExt"/>
        </w:rPr>
        <w:t>&lt;Original&gt;</w:t>
      </w:r>
      <w:r>
        <w:rPr>
          <w:rStyle w:val="HideTWBInt"/>
        </w:rPr>
        <w:t>{SV}</w:t>
      </w:r>
      <w:r>
        <w:t>sv</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178</w:t>
      </w:r>
      <w:r>
        <w:rPr>
          <w:rStyle w:val="HideTWBExt"/>
        </w:rPr>
        <w:t>&lt;/NumAmB&gt;</w:t>
      </w:r>
    </w:p>
    <w:p w:rsidR="00BC254A" w:rsidRDefault="007914A5">
      <w:pPr>
        <w:pStyle w:val="NormalBold"/>
      </w:pPr>
      <w:r>
        <w:rPr>
          <w:rStyle w:val="HideTWBExt"/>
          <w:b w:val="0"/>
        </w:rPr>
        <w:t>&lt;RepeatBlock-By&gt;&lt;Members&gt;</w:t>
      </w:r>
      <w:r>
        <w:t>Jan-Christoph Oetjen, Abir Al-Sahlani, Hilde Vautmans, Irena Joveva, Lucia</w:t>
      </w:r>
      <w:r>
        <w:t xml:space="preserve">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(7)</w:t>
            </w:r>
            <w:r>
              <w:tab/>
            </w:r>
            <w:r>
              <w:rPr>
                <w:b/>
                <w:i/>
              </w:rPr>
              <w:t>Darüber hinaus sollte</w:t>
            </w:r>
            <w:r>
              <w:t xml:space="preserve"> der EU-Talentpool die Umsetzung von Fachkräftepartnerschaften unterstützen, die einen der zentralen Aspekte der externen Dimension des Migrations- und Asylpakets</w:t>
            </w:r>
            <w:r>
              <w:rPr>
                <w:vertAlign w:val="superscript"/>
              </w:rPr>
              <w:t>6</w:t>
            </w:r>
            <w:r>
              <w:t>darstellen und im Einklang mit der Mitteilung der Kommission zur Anwerbung qualifizierter Arb</w:t>
            </w:r>
            <w:r>
              <w:t>eitskräfte aus Drittländern</w:t>
            </w:r>
            <w:r>
              <w:rPr>
                <w:vertAlign w:val="superscript"/>
              </w:rPr>
              <w:t>7</w:t>
            </w:r>
            <w:r>
              <w:t xml:space="preserve">umgesetzt werden. </w:t>
            </w:r>
            <w:r>
              <w:rPr>
                <w:b/>
                <w:i/>
              </w:rPr>
              <w:t>Die Teilnahme eines Mitgliedstaats an der Fachkräftepartnerschaft sollte seine Entscheidung über die Teilnahme am EU-Talentpool unberührt lassen.</w:t>
            </w:r>
          </w:p>
        </w:tc>
        <w:tc>
          <w:tcPr>
            <w:tcW w:w="4876" w:type="dxa"/>
            <w:tcBorders>
              <w:top w:val="nil"/>
              <w:left w:val="nil"/>
              <w:bottom w:val="nil"/>
              <w:right w:val="nil"/>
            </w:tcBorders>
          </w:tcPr>
          <w:p w:rsidR="00BC254A" w:rsidRDefault="007914A5">
            <w:pPr>
              <w:pStyle w:val="Normal6a"/>
            </w:pPr>
            <w:r>
              <w:t>(7)</w:t>
            </w:r>
            <w:r>
              <w:tab/>
            </w:r>
            <w:r>
              <w:rPr>
                <w:b/>
                <w:i/>
              </w:rPr>
              <w:t xml:space="preserve">Starke Partnerschaften mit Drittländern können entsprechend </w:t>
            </w:r>
            <w:r>
              <w:rPr>
                <w:b/>
                <w:i/>
              </w:rPr>
              <w:t>dem Grundsatz der Politikkohärenz im Interesse der Entwicklung zu einer wirksamen Entwicklungszusammenarbeit beitragen und den Aufbau von gegenseitigem Vertrauen sowie beiderseitige Vorteile für Drittländer einerseits und für die Union und ihre Mitgliedsta</w:t>
            </w:r>
            <w:r>
              <w:rPr>
                <w:b/>
                <w:i/>
              </w:rPr>
              <w:t>aten andererseits fördern.</w:t>
            </w:r>
            <w:r>
              <w:t xml:space="preserve"> </w:t>
            </w:r>
            <w:r>
              <w:rPr>
                <w:b/>
                <w:i/>
              </w:rPr>
              <w:t>Partnerschaften sollten einfache, stimmige und verständliche legale Wege in die Union bieten, sodass Wiedereinreisemöglichkeiten – möglicherweise mithilfe des EU-Talentpools – geschaffen werden und eine zirkuläre Migration zuguns</w:t>
            </w:r>
            <w:r>
              <w:rPr>
                <w:b/>
                <w:i/>
              </w:rPr>
              <w:t>ten der Entwicklung der Herkunftsländer gefördert wird, und zwar unter anderem durch den Transfer von Fertigkeiten und Wissen und durch Finanztransfers.</w:t>
            </w:r>
            <w:r>
              <w:t xml:space="preserve"> </w:t>
            </w:r>
            <w:r>
              <w:rPr>
                <w:b/>
                <w:i/>
              </w:rPr>
              <w:t>Drittländer müssen in der Lage sein, Partnerschaften auf Augenhöhe mitzugestalten.</w:t>
            </w:r>
            <w:r>
              <w:t xml:space="preserve"> </w:t>
            </w:r>
            <w:r>
              <w:rPr>
                <w:b/>
                <w:i/>
              </w:rPr>
              <w:t>Die Migrationspoliti</w:t>
            </w:r>
            <w:r>
              <w:rPr>
                <w:b/>
                <w:i/>
              </w:rPr>
              <w:t>k der Europäischen Union muss stets von der Achtung der Rechtsstaatlichkeit und der Menschenrechte geleitet werden.</w:t>
            </w:r>
            <w:r>
              <w:t xml:space="preserve"> Der EU-Talentpool </w:t>
            </w:r>
            <w:r>
              <w:rPr>
                <w:b/>
                <w:i/>
              </w:rPr>
              <w:t>sollte</w:t>
            </w:r>
            <w:r>
              <w:t xml:space="preserve"> die Umsetzung von Fachkräftepartnerschaften unterstützen, die einen der zentralen Aspekte der externen Dimension de</w:t>
            </w:r>
            <w:r>
              <w:t>s Migrations- und Asylpakets</w:t>
            </w:r>
            <w:r>
              <w:rPr>
                <w:vertAlign w:val="superscript"/>
              </w:rPr>
              <w:t>6</w:t>
            </w:r>
            <w:r>
              <w:t xml:space="preserve"> darstellen und im Einklang mit </w:t>
            </w:r>
            <w:r>
              <w:lastRenderedPageBreak/>
              <w:t>der Mitteilung der Kommission zur Anwerbung qualifizierter Arbeitskräfte aus Drittländern</w:t>
            </w:r>
            <w:r>
              <w:rPr>
                <w:vertAlign w:val="superscript"/>
              </w:rPr>
              <w:t>7</w:t>
            </w:r>
            <w:r>
              <w:t xml:space="preserve"> umgesetzt werden.</w:t>
            </w:r>
          </w:p>
        </w:tc>
      </w:tr>
      <w:tr w:rsidR="00BC254A">
        <w:trPr>
          <w:jc w:val="center"/>
        </w:trPr>
        <w:tc>
          <w:tcPr>
            <w:tcW w:w="4876" w:type="dxa"/>
            <w:tcBorders>
              <w:top w:val="nil"/>
              <w:left w:val="nil"/>
              <w:bottom w:val="nil"/>
              <w:right w:val="nil"/>
            </w:tcBorders>
          </w:tcPr>
          <w:p w:rsidR="00BC254A" w:rsidRDefault="007914A5">
            <w:pPr>
              <w:pStyle w:val="Normal6a"/>
            </w:pPr>
            <w:r>
              <w:rPr>
                <w:b/>
                <w:i/>
              </w:rPr>
              <w:lastRenderedPageBreak/>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6</w:t>
            </w:r>
            <w:r>
              <w:t xml:space="preserve"> COM(2020) 609 final</w:t>
            </w:r>
          </w:p>
        </w:tc>
        <w:tc>
          <w:tcPr>
            <w:tcW w:w="4876" w:type="dxa"/>
            <w:tcBorders>
              <w:top w:val="nil"/>
              <w:left w:val="nil"/>
              <w:bottom w:val="nil"/>
              <w:right w:val="nil"/>
            </w:tcBorders>
          </w:tcPr>
          <w:p w:rsidR="00BC254A" w:rsidRDefault="007914A5">
            <w:pPr>
              <w:pStyle w:val="Normal6a"/>
            </w:pPr>
            <w:r>
              <w:rPr>
                <w:vertAlign w:val="superscript"/>
              </w:rPr>
              <w:t>6</w:t>
            </w:r>
            <w:r>
              <w:t xml:space="preserve"> COM(2020) 609 final</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7</w:t>
            </w:r>
            <w:r>
              <w:t xml:space="preserve"> </w:t>
            </w:r>
            <w:r>
              <w:t>COM(2022) 657 final.</w:t>
            </w:r>
          </w:p>
        </w:tc>
        <w:tc>
          <w:tcPr>
            <w:tcW w:w="4876" w:type="dxa"/>
            <w:tcBorders>
              <w:top w:val="nil"/>
              <w:left w:val="nil"/>
              <w:bottom w:val="nil"/>
              <w:right w:val="nil"/>
            </w:tcBorders>
          </w:tcPr>
          <w:p w:rsidR="00BC254A" w:rsidRDefault="007914A5">
            <w:pPr>
              <w:pStyle w:val="Normal6a"/>
            </w:pPr>
            <w:r>
              <w:rPr>
                <w:vertAlign w:val="superscript"/>
              </w:rPr>
              <w:t>7</w:t>
            </w:r>
            <w:r>
              <w:t xml:space="preserve"> COM(2022) 657 final.</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179</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w:t>
      </w:r>
      <w:r>
        <w:rPr>
          <w:rStyle w:val="HideTWBExt"/>
        </w:rPr>
        <w:t>rticle&gt;</w:t>
      </w:r>
      <w:r>
        <w:t>Erwägung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(7)</w:t>
            </w:r>
            <w:r>
              <w:tab/>
              <w:t xml:space="preserve">Darüber hinaus sollte der EU-Talentpool die Umsetzung von Fachkräftepartnerschaften unterstützen, die einen der zentralen Aspekte der externen Dimension des Migrations- und </w:t>
            </w:r>
            <w:r>
              <w:t>Asylpakets</w:t>
            </w:r>
            <w:r>
              <w:rPr>
                <w:vertAlign w:val="superscript"/>
              </w:rPr>
              <w:t>6</w:t>
            </w:r>
            <w:r>
              <w:t>darstellen und im Einklang mit der Mitteilung der Kommission zur Anwerbung qualifizierter Arbeitskräfte aus Drittländern</w:t>
            </w:r>
            <w:r>
              <w:rPr>
                <w:vertAlign w:val="superscript"/>
              </w:rPr>
              <w:t>7</w:t>
            </w:r>
            <w:r>
              <w:t xml:space="preserve">umgesetzt werden. </w:t>
            </w:r>
            <w:r>
              <w:rPr>
                <w:b/>
                <w:i/>
              </w:rPr>
              <w:t>Die Teilnahme eines Mitgliedstaats an der Fachkräftepartnerschaft sollte seine Entscheidung über die Teiln</w:t>
            </w:r>
            <w:r>
              <w:rPr>
                <w:b/>
                <w:i/>
              </w:rPr>
              <w:t>ahme am EU-Talentpool unberührt lassen.</w:t>
            </w:r>
          </w:p>
        </w:tc>
        <w:tc>
          <w:tcPr>
            <w:tcW w:w="4876" w:type="dxa"/>
            <w:tcBorders>
              <w:top w:val="nil"/>
              <w:left w:val="nil"/>
              <w:bottom w:val="nil"/>
              <w:right w:val="nil"/>
            </w:tcBorders>
          </w:tcPr>
          <w:p w:rsidR="00BC254A" w:rsidRDefault="007914A5">
            <w:pPr>
              <w:pStyle w:val="Normal6a"/>
            </w:pPr>
            <w:r>
              <w:t>(7)</w:t>
            </w:r>
            <w:r>
              <w:tab/>
              <w:t>Darüber hinaus sollte der EU-Talentpool die Umsetzung von Fachkräftepartnerschaften unterstützen, die einen der zentralen Aspekte der externen Dimension des Migrations- und Asylpakets</w:t>
            </w:r>
            <w:r>
              <w:rPr>
                <w:vertAlign w:val="superscript"/>
              </w:rPr>
              <w:t>6</w:t>
            </w:r>
            <w:r>
              <w:t xml:space="preserve"> darstellen und im Einklang </w:t>
            </w:r>
            <w:r>
              <w:t>mit der Mitteilung der Kommission zur Anwerbung qualifizierter Arbeitskräfte aus Drittländern</w:t>
            </w:r>
            <w:r>
              <w:rPr>
                <w:vertAlign w:val="superscript"/>
              </w:rPr>
              <w:t>7</w:t>
            </w:r>
            <w:r>
              <w:t xml:space="preserve"> umgesetzt werden.</w:t>
            </w:r>
          </w:p>
        </w:tc>
      </w:tr>
      <w:tr w:rsidR="00BC254A">
        <w:trPr>
          <w:jc w:val="center"/>
        </w:trPr>
        <w:tc>
          <w:tcPr>
            <w:tcW w:w="4876" w:type="dxa"/>
            <w:tcBorders>
              <w:top w:val="nil"/>
              <w:left w:val="nil"/>
              <w:bottom w:val="nil"/>
              <w:right w:val="nil"/>
            </w:tcBorders>
          </w:tcPr>
          <w:p w:rsidR="00BC254A" w:rsidRDefault="007914A5">
            <w:pPr>
              <w:pStyle w:val="Normal6a"/>
            </w:pPr>
            <w:r>
              <w:rPr>
                <w:b/>
                <w:i/>
              </w:rPr>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6</w:t>
            </w:r>
            <w:r>
              <w:t xml:space="preserve"> COM(2020) 609 final</w:t>
            </w:r>
          </w:p>
        </w:tc>
        <w:tc>
          <w:tcPr>
            <w:tcW w:w="4876" w:type="dxa"/>
            <w:tcBorders>
              <w:top w:val="nil"/>
              <w:left w:val="nil"/>
              <w:bottom w:val="nil"/>
              <w:right w:val="nil"/>
            </w:tcBorders>
          </w:tcPr>
          <w:p w:rsidR="00BC254A" w:rsidRDefault="007914A5">
            <w:pPr>
              <w:pStyle w:val="Normal6a"/>
            </w:pPr>
            <w:r>
              <w:rPr>
                <w:vertAlign w:val="superscript"/>
              </w:rPr>
              <w:t>6</w:t>
            </w:r>
            <w:r>
              <w:t xml:space="preserve"> COM(2020) 609 final</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7</w:t>
            </w:r>
            <w:r>
              <w:t xml:space="preserve"> COM(2022) 657 final.</w:t>
            </w:r>
          </w:p>
        </w:tc>
        <w:tc>
          <w:tcPr>
            <w:tcW w:w="4876" w:type="dxa"/>
            <w:tcBorders>
              <w:top w:val="nil"/>
              <w:left w:val="nil"/>
              <w:bottom w:val="nil"/>
              <w:right w:val="nil"/>
            </w:tcBorders>
          </w:tcPr>
          <w:p w:rsidR="00BC254A" w:rsidRDefault="007914A5">
            <w:pPr>
              <w:pStyle w:val="Normal6a"/>
            </w:pPr>
            <w:r>
              <w:rPr>
                <w:vertAlign w:val="superscript"/>
              </w:rPr>
              <w:t>7</w:t>
            </w:r>
            <w:r>
              <w:t xml:space="preserve"> COM(2022) 657 final.</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180</w:t>
      </w:r>
      <w:r>
        <w:rPr>
          <w:rStyle w:val="HideTWBExt"/>
        </w:rPr>
        <w:t>&lt;/NumAmB&gt;</w:t>
      </w:r>
    </w:p>
    <w:p w:rsidR="00BC254A" w:rsidRDefault="007914A5">
      <w:pPr>
        <w:pStyle w:val="NormalBold"/>
      </w:pPr>
      <w:r>
        <w:rPr>
          <w:rStyle w:val="HideTWBExt"/>
          <w:b w:val="0"/>
        </w:rPr>
        <w:t>&lt;RepeatBlock-By&gt;&lt;Members&gt;</w:t>
      </w:r>
      <w:r>
        <w:t>Javier 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lastRenderedPageBreak/>
              <w:t xml:space="preserve">Vorschlag der </w:t>
            </w:r>
            <w:r>
              <w:t>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(7)</w:t>
            </w:r>
            <w:r>
              <w:tab/>
              <w:t>Darüber hinaus sollte der EU-Talentpool die Umsetzung von Fachkräftepartnerschaften unterstützen, die einen der zentralen Aspekte der externen Dimension des Migrations- und Asylpakets</w:t>
            </w:r>
            <w:r>
              <w:rPr>
                <w:vertAlign w:val="superscript"/>
              </w:rPr>
              <w:t>6</w:t>
            </w:r>
            <w:r>
              <w:t>darstellen und im Einklang mit der Mitte</w:t>
            </w:r>
            <w:r>
              <w:t>ilung der Kommission zur Anwerbung qualifizierter Arbeitskräfte aus Drittländern</w:t>
            </w:r>
            <w:r>
              <w:rPr>
                <w:vertAlign w:val="superscript"/>
              </w:rPr>
              <w:t>7</w:t>
            </w:r>
            <w:r>
              <w:t>umgesetzt werden. Die Teilnahme eines Mitgliedstaats an der Fachkräftepartnerschaft sollte seine Entscheidung über die Teilnahme am EU-Talentpool unberührt lassen.</w:t>
            </w:r>
          </w:p>
        </w:tc>
        <w:tc>
          <w:tcPr>
            <w:tcW w:w="4876" w:type="dxa"/>
            <w:tcBorders>
              <w:top w:val="nil"/>
              <w:left w:val="nil"/>
              <w:bottom w:val="nil"/>
              <w:right w:val="nil"/>
            </w:tcBorders>
          </w:tcPr>
          <w:p w:rsidR="00BC254A" w:rsidRDefault="007914A5">
            <w:pPr>
              <w:pStyle w:val="Normal6a"/>
            </w:pPr>
            <w:r>
              <w:t>(7)</w:t>
            </w:r>
            <w:r>
              <w:tab/>
              <w:t>Darüber</w:t>
            </w:r>
            <w:r>
              <w:t xml:space="preserve"> hinaus sollte der EU-Talentpool die Umsetzung von Fachkräftepartnerschaften </w:t>
            </w:r>
            <w:r>
              <w:rPr>
                <w:b/>
                <w:i/>
              </w:rPr>
              <w:t>und nationalen Rahmen für die Ausbildung von Kompetenzen und deren Anerkennung in einem Drittland</w:t>
            </w:r>
            <w:r>
              <w:t xml:space="preserve"> unterstützen, die einen der zentralen Aspekte der externen Dimension des Migratio</w:t>
            </w:r>
            <w:r>
              <w:t>ns- und Asylpakets</w:t>
            </w:r>
            <w:r>
              <w:rPr>
                <w:vertAlign w:val="superscript"/>
              </w:rPr>
              <w:t>6</w:t>
            </w:r>
            <w:r>
              <w:t xml:space="preserve"> darstellen und im Einklang mit der Mitteilung der Kommission zur Anwerbung qualifizierter Arbeitskräfte aus Drittländern</w:t>
            </w:r>
            <w:r>
              <w:rPr>
                <w:vertAlign w:val="superscript"/>
              </w:rPr>
              <w:t>7</w:t>
            </w:r>
            <w:r>
              <w:t xml:space="preserve"> umgesetzt werden. Die Teilnahme eines Mitgliedstaats an der Fachkräftepartnerschaft sollte seine Entscheidung über</w:t>
            </w:r>
            <w:r>
              <w:t xml:space="preserve"> die Teilnahme am EU-Talentpool unberührt lassen.</w:t>
            </w:r>
          </w:p>
        </w:tc>
      </w:tr>
      <w:tr w:rsidR="00BC254A">
        <w:trPr>
          <w:jc w:val="center"/>
        </w:trPr>
        <w:tc>
          <w:tcPr>
            <w:tcW w:w="4876" w:type="dxa"/>
            <w:tcBorders>
              <w:top w:val="nil"/>
              <w:left w:val="nil"/>
              <w:bottom w:val="nil"/>
              <w:right w:val="nil"/>
            </w:tcBorders>
          </w:tcPr>
          <w:p w:rsidR="00BC254A" w:rsidRDefault="007914A5">
            <w:pPr>
              <w:pStyle w:val="Normal6a"/>
            </w:pPr>
            <w:r>
              <w:rPr>
                <w:b/>
                <w:i/>
              </w:rPr>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6</w:t>
            </w:r>
            <w:r>
              <w:t xml:space="preserve"> COM(2020) 609 final</w:t>
            </w:r>
          </w:p>
        </w:tc>
        <w:tc>
          <w:tcPr>
            <w:tcW w:w="4876" w:type="dxa"/>
            <w:tcBorders>
              <w:top w:val="nil"/>
              <w:left w:val="nil"/>
              <w:bottom w:val="nil"/>
              <w:right w:val="nil"/>
            </w:tcBorders>
          </w:tcPr>
          <w:p w:rsidR="00BC254A" w:rsidRDefault="007914A5">
            <w:pPr>
              <w:pStyle w:val="Normal6a"/>
            </w:pPr>
            <w:r>
              <w:rPr>
                <w:vertAlign w:val="superscript"/>
              </w:rPr>
              <w:t>6</w:t>
            </w:r>
            <w:r>
              <w:t xml:space="preserve"> COM(2020) 609 final</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7</w:t>
            </w:r>
            <w:r>
              <w:t xml:space="preserve"> COM(2022) 657 final.</w:t>
            </w:r>
          </w:p>
        </w:tc>
        <w:tc>
          <w:tcPr>
            <w:tcW w:w="4876" w:type="dxa"/>
            <w:tcBorders>
              <w:top w:val="nil"/>
              <w:left w:val="nil"/>
              <w:bottom w:val="nil"/>
              <w:right w:val="nil"/>
            </w:tcBorders>
          </w:tcPr>
          <w:p w:rsidR="00BC254A" w:rsidRDefault="007914A5">
            <w:pPr>
              <w:pStyle w:val="Normal6a"/>
            </w:pPr>
            <w:r>
              <w:rPr>
                <w:vertAlign w:val="superscript"/>
              </w:rPr>
              <w:t>7</w:t>
            </w:r>
            <w:r>
              <w:t xml:space="preserve"> COM(2022) 657 final.</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181</w:t>
      </w:r>
      <w:r>
        <w:rPr>
          <w:rStyle w:val="HideTWBExt"/>
        </w:rPr>
        <w:t>&lt;/NumAmB&gt;</w:t>
      </w:r>
    </w:p>
    <w:p w:rsidR="00BC254A" w:rsidRDefault="007914A5">
      <w:pPr>
        <w:pStyle w:val="NormalBold"/>
      </w:pPr>
      <w:r>
        <w:rPr>
          <w:rStyle w:val="HideTWBExt"/>
          <w:b w:val="0"/>
        </w:rPr>
        <w:t>&lt;RepeatBlock-By&gt;&lt;Members&gt;</w:t>
      </w:r>
      <w:r>
        <w:t>Nadine Morano</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(7)</w:t>
            </w:r>
            <w:r>
              <w:tab/>
            </w:r>
            <w:r>
              <w:t xml:space="preserve">Darüber hinaus sollte der EU-Talentpool die Umsetzung von Fachkräftepartnerschaften unterstützen, die einen der </w:t>
            </w:r>
            <w:r>
              <w:rPr>
                <w:b/>
                <w:i/>
              </w:rPr>
              <w:t>zentralen</w:t>
            </w:r>
            <w:r>
              <w:t xml:space="preserve"> Aspekte der externen Dimension des Migrations- und Asylpakets</w:t>
            </w:r>
            <w:r>
              <w:rPr>
                <w:vertAlign w:val="superscript"/>
              </w:rPr>
              <w:t>6</w:t>
            </w:r>
            <w:r>
              <w:t>darstellen und im Einklang mit der Mitteilung der Kommission zur Anwerbu</w:t>
            </w:r>
            <w:r>
              <w:t>ng qualifizierter Arbeitskräfte aus Drittländern</w:t>
            </w:r>
            <w:r>
              <w:rPr>
                <w:vertAlign w:val="superscript"/>
              </w:rPr>
              <w:t>7</w:t>
            </w:r>
            <w:r>
              <w:t>umgesetzt werden. Die Teilnahme eines Mitgliedstaats an der Fachkräftepartnerschaft sollte seine Entscheidung über die Teilnahme am EU-Talentpool unberührt lassen.</w:t>
            </w:r>
          </w:p>
        </w:tc>
        <w:tc>
          <w:tcPr>
            <w:tcW w:w="4876" w:type="dxa"/>
            <w:tcBorders>
              <w:top w:val="nil"/>
              <w:left w:val="nil"/>
              <w:bottom w:val="nil"/>
              <w:right w:val="nil"/>
            </w:tcBorders>
          </w:tcPr>
          <w:p w:rsidR="00BC254A" w:rsidRDefault="007914A5">
            <w:pPr>
              <w:pStyle w:val="Normal6a"/>
            </w:pPr>
            <w:r>
              <w:t>(7)</w:t>
            </w:r>
            <w:r>
              <w:tab/>
              <w:t>Darüber hinaus sollte der EU-Talentpool</w:t>
            </w:r>
            <w:r>
              <w:t xml:space="preserve"> die Umsetzung von Fachkräftepartnerschaften unterstützen, die einen der Aspekte der externen Dimension des Migrations- und Asylpakets</w:t>
            </w:r>
            <w:r>
              <w:rPr>
                <w:vertAlign w:val="superscript"/>
              </w:rPr>
              <w:t>6</w:t>
            </w:r>
            <w:r>
              <w:t xml:space="preserve"> darstellen und im Einklang mit der Mitteilung der Kommission zur Anwerbung qualifizierter Arbeitskräfte aus Drittländern</w:t>
            </w:r>
            <w:r>
              <w:rPr>
                <w:vertAlign w:val="superscript"/>
              </w:rPr>
              <w:t>7</w:t>
            </w:r>
            <w:r>
              <w:rPr>
                <w:b/>
                <w:i/>
              </w:rPr>
              <w:t> </w:t>
            </w:r>
            <w:r>
              <w:t>umgesetzt werden. Die Teilnahme eines Mitgliedstaats an der Fachkräftepartnerschaft sollte seine Entscheidung über die Teilnahme am EU-Talentpool unberührt lassen.</w:t>
            </w:r>
          </w:p>
        </w:tc>
      </w:tr>
      <w:tr w:rsidR="00BC254A">
        <w:trPr>
          <w:jc w:val="center"/>
        </w:trPr>
        <w:tc>
          <w:tcPr>
            <w:tcW w:w="4876" w:type="dxa"/>
            <w:tcBorders>
              <w:top w:val="nil"/>
              <w:left w:val="nil"/>
              <w:bottom w:val="nil"/>
              <w:right w:val="nil"/>
            </w:tcBorders>
          </w:tcPr>
          <w:p w:rsidR="00BC254A" w:rsidRDefault="007914A5">
            <w:pPr>
              <w:pStyle w:val="Normal6a"/>
            </w:pPr>
            <w:r>
              <w:rPr>
                <w:b/>
                <w:i/>
              </w:rPr>
              <w:lastRenderedPageBreak/>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6</w:t>
            </w:r>
            <w:r>
              <w:t xml:space="preserve"> COM(2020) 609 final</w:t>
            </w:r>
          </w:p>
        </w:tc>
        <w:tc>
          <w:tcPr>
            <w:tcW w:w="4876" w:type="dxa"/>
            <w:tcBorders>
              <w:top w:val="nil"/>
              <w:left w:val="nil"/>
              <w:bottom w:val="nil"/>
              <w:right w:val="nil"/>
            </w:tcBorders>
          </w:tcPr>
          <w:p w:rsidR="00BC254A" w:rsidRDefault="007914A5">
            <w:pPr>
              <w:pStyle w:val="Normal6a"/>
            </w:pPr>
            <w:r>
              <w:rPr>
                <w:vertAlign w:val="superscript"/>
              </w:rPr>
              <w:t>6</w:t>
            </w:r>
            <w:r>
              <w:t xml:space="preserve"> COM(2020) 609 final</w:t>
            </w:r>
            <w:r>
              <w:rPr>
                <w:b/>
                <w:i/>
              </w:rPr>
              <w:t>.</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7</w:t>
            </w:r>
            <w:r>
              <w:t xml:space="preserve"> </w:t>
            </w:r>
            <w:r>
              <w:t>COM(2022) 657 final.</w:t>
            </w:r>
          </w:p>
        </w:tc>
        <w:tc>
          <w:tcPr>
            <w:tcW w:w="4876" w:type="dxa"/>
            <w:tcBorders>
              <w:top w:val="nil"/>
              <w:left w:val="nil"/>
              <w:bottom w:val="nil"/>
              <w:right w:val="nil"/>
            </w:tcBorders>
          </w:tcPr>
          <w:p w:rsidR="00BC254A" w:rsidRDefault="007914A5">
            <w:pPr>
              <w:pStyle w:val="Normal6a"/>
            </w:pPr>
            <w:r>
              <w:rPr>
                <w:vertAlign w:val="superscript"/>
              </w:rPr>
              <w:t>7</w:t>
            </w:r>
            <w:r>
              <w:t xml:space="preserve"> COM(2022) 657 final.</w:t>
            </w:r>
          </w:p>
        </w:tc>
      </w:tr>
    </w:tbl>
    <w:p w:rsidR="00BC254A" w:rsidRDefault="007914A5">
      <w:pPr>
        <w:pStyle w:val="AmOrLang"/>
      </w:pPr>
      <w:r>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182</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w:t>
      </w:r>
      <w:r>
        <w:rPr>
          <w:rStyle w:val="HideTWBExt"/>
        </w:rPr>
        <w:t>rticle&gt;</w:t>
      </w:r>
      <w:r>
        <w:t>Erwägung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(8)</w:t>
            </w:r>
            <w:r>
              <w:tab/>
              <w:t xml:space="preserve">Um sicherzustellen, dass die Behörden der Mitgliedstaaten in der Lenkungsgruppe des EU-Talentpools angemessen vertreten sind, sollten die </w:t>
            </w:r>
            <w:r>
              <w:rPr>
                <w:b/>
                <w:i/>
              </w:rPr>
              <w:t>teilnehmenden</w:t>
            </w:r>
            <w:r>
              <w:t xml:space="preserve"> Mitgliedstaaten jeweils zwei Vertreter benennen, einen Vertreter der Beschäftigungsbehörden und einen Vertreter der Einwanderungsbehörden.</w:t>
            </w:r>
          </w:p>
        </w:tc>
        <w:tc>
          <w:tcPr>
            <w:tcW w:w="4876" w:type="dxa"/>
            <w:tcBorders>
              <w:top w:val="nil"/>
              <w:left w:val="nil"/>
              <w:bottom w:val="nil"/>
              <w:right w:val="nil"/>
            </w:tcBorders>
          </w:tcPr>
          <w:p w:rsidR="00BC254A" w:rsidRDefault="007914A5">
            <w:pPr>
              <w:pStyle w:val="Normal6a"/>
            </w:pPr>
            <w:r>
              <w:t>(8)</w:t>
            </w:r>
            <w:r>
              <w:tab/>
              <w:t>Um sicherzustellen, dass die Behörden der Mitgliedstaaten in der Lenkungsgruppe des EU-Talentpools angemessen ve</w:t>
            </w:r>
            <w:r>
              <w:t xml:space="preserve">rtreten sind, sollten die Mitgliedstaaten jeweils zwei Vertreter benennen, einen Vertreter der Beschäftigungsbehörden und einen Vertreter der Einwanderungsbehörden. </w:t>
            </w:r>
            <w:r>
              <w:rPr>
                <w:b/>
                <w:i/>
              </w:rPr>
              <w:t xml:space="preserve">Um die Vertretung der am Talentpool teilnehmenden Migrantengemeinschaften sicherzustellen, </w:t>
            </w:r>
            <w:r>
              <w:rPr>
                <w:b/>
                <w:i/>
              </w:rPr>
              <w:t>sollten auch Vertreter von von Migranten geführten und anderen Organisationen der Zivilgesellschaft an der Lenkungsgruppe teilnehmen, wobei einschlägige internationale Organisationen eingeladen werden können.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183</w:t>
      </w:r>
      <w:r>
        <w:rPr>
          <w:rStyle w:val="HideTWBExt"/>
        </w:rPr>
        <w:t>&lt;/NumAmB&gt;</w:t>
      </w:r>
    </w:p>
    <w:p w:rsidR="00BC254A" w:rsidRDefault="007914A5">
      <w:pPr>
        <w:pStyle w:val="NormalBold"/>
      </w:pPr>
      <w:r>
        <w:rPr>
          <w:rStyle w:val="HideTWBExt"/>
          <w:b w:val="0"/>
        </w:rPr>
        <w:t>&lt;RepeatBlock-By&gt;&lt;Members&gt;</w:t>
      </w:r>
      <w:r>
        <w:t>Javier 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(8)</w:t>
            </w:r>
            <w:r>
              <w:tab/>
              <w:t xml:space="preserve">Um </w:t>
            </w:r>
            <w:r>
              <w:t xml:space="preserve">sicherzustellen, dass die Behörden der Mitgliedstaaten in der </w:t>
            </w:r>
            <w:r>
              <w:lastRenderedPageBreak/>
              <w:t>Lenkungsgruppe des EU-Talentpools angemessen vertreten sind, sollten die teilnehmenden Mitgliedstaaten jeweils zwei Vertreter benennen, einen Vertreter der Beschäftigungsbehörden und einen Vertr</w:t>
            </w:r>
            <w:r>
              <w:t>eter der Einwanderungsbehörden.</w:t>
            </w:r>
          </w:p>
        </w:tc>
        <w:tc>
          <w:tcPr>
            <w:tcW w:w="4876" w:type="dxa"/>
            <w:tcBorders>
              <w:top w:val="nil"/>
              <w:left w:val="nil"/>
              <w:bottom w:val="nil"/>
              <w:right w:val="nil"/>
            </w:tcBorders>
          </w:tcPr>
          <w:p w:rsidR="00BC254A" w:rsidRDefault="007914A5">
            <w:pPr>
              <w:pStyle w:val="Normal6a"/>
            </w:pPr>
            <w:r>
              <w:lastRenderedPageBreak/>
              <w:t>(8)</w:t>
            </w:r>
            <w:r>
              <w:tab/>
              <w:t xml:space="preserve">Um sicherzustellen, dass die Behörden der Mitgliedstaaten in der </w:t>
            </w:r>
            <w:r>
              <w:lastRenderedPageBreak/>
              <w:t>Lenkungsgruppe des EU-Talentpools angemessen vertreten sind, sollten die teilnehmenden Mitgliedstaaten jeweils zwei Vertreter benennen, einen Vertreter der</w:t>
            </w:r>
            <w:r>
              <w:t xml:space="preserve"> Beschäftigungsbehörden und einen Vertreter der Einwanderungsbehörden. </w:t>
            </w:r>
            <w:r>
              <w:rPr>
                <w:b/>
                <w:i/>
              </w:rPr>
              <w:t>Außerdem sollte eine angemessene Vertretung der Gewerkschaften und der Arbeitgeberverbände auf EU-Ebene sichergestellt werden.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w:t>
      </w:r>
      <w:r>
        <w:t>gsantrag</w:t>
      </w:r>
      <w:r>
        <w:tab/>
      </w:r>
      <w:r>
        <w:tab/>
      </w:r>
      <w:r>
        <w:rPr>
          <w:rStyle w:val="HideTWBExt"/>
        </w:rPr>
        <w:t>&lt;NumAmB&gt;</w:t>
      </w:r>
      <w:r>
        <w:t>184</w:t>
      </w:r>
      <w:r>
        <w:rPr>
          <w:rStyle w:val="HideTWBExt"/>
        </w:rPr>
        <w:t>&lt;/NumAmB&gt;</w:t>
      </w:r>
    </w:p>
    <w:p w:rsidR="00BC254A" w:rsidRDefault="007914A5">
      <w:pPr>
        <w:pStyle w:val="NormalBold"/>
      </w:pPr>
      <w:r>
        <w:rPr>
          <w:rStyle w:val="HideTWBExt"/>
          <w:b w:val="0"/>
        </w:rPr>
        <w:t>&lt;RepeatBlock-By&gt;&lt;Members&gt;</w:t>
      </w:r>
      <w:r>
        <w:t>Jan-Christoph Oetjen, Abir Al-Sahlani,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(8)</w:t>
            </w:r>
            <w:r>
              <w:tab/>
              <w:t xml:space="preserve">Um sicherzustellen, dass </w:t>
            </w:r>
            <w:r>
              <w:rPr>
                <w:b/>
                <w:i/>
              </w:rPr>
              <w:t>die Behörden der</w:t>
            </w:r>
            <w:r>
              <w:t xml:space="preserve"> Mitgliedstaaten in der Lenkungsgruppe des EU-Talentpools angemessen vertreten sind, sollten die </w:t>
            </w:r>
            <w:r>
              <w:rPr>
                <w:b/>
                <w:i/>
              </w:rPr>
              <w:t>teilnehmenden</w:t>
            </w:r>
            <w:r>
              <w:t xml:space="preserve"> Mitgliedstaaten jeweils zwei Vertreter benennen</w:t>
            </w:r>
            <w:r>
              <w:rPr>
                <w:b/>
                <w:i/>
              </w:rPr>
              <w:t>, einen Vertreter der Beschäftigungsbehörden und ei</w:t>
            </w:r>
            <w:r>
              <w:rPr>
                <w:b/>
                <w:i/>
              </w:rPr>
              <w:t>nen Vertreter der Einwanderungsbehörden</w:t>
            </w:r>
            <w:r>
              <w:t>.</w:t>
            </w:r>
          </w:p>
        </w:tc>
        <w:tc>
          <w:tcPr>
            <w:tcW w:w="4876" w:type="dxa"/>
            <w:tcBorders>
              <w:top w:val="nil"/>
              <w:left w:val="nil"/>
              <w:bottom w:val="nil"/>
              <w:right w:val="nil"/>
            </w:tcBorders>
          </w:tcPr>
          <w:p w:rsidR="00BC254A" w:rsidRDefault="007914A5">
            <w:pPr>
              <w:pStyle w:val="Normal6a"/>
            </w:pPr>
            <w:r>
              <w:t>(8)</w:t>
            </w:r>
            <w:r>
              <w:tab/>
              <w:t xml:space="preserve">Um sicherzustellen, dass </w:t>
            </w:r>
            <w:r>
              <w:rPr>
                <w:b/>
                <w:i/>
              </w:rPr>
              <w:t>alle</w:t>
            </w:r>
            <w:r>
              <w:t xml:space="preserve"> Mitgliedstaaten in der Lenkungsgruppe des EU-Talentpools angemessen vertreten sind, sollten die Mitgliedstaaten jeweils zwei Vertreter benennen</w:t>
            </w:r>
            <w:r>
              <w:rPr>
                <w:b/>
                <w:i/>
              </w:rPr>
              <w:t>.</w:t>
            </w:r>
            <w:r>
              <w:t xml:space="preserve"> </w:t>
            </w:r>
            <w:r>
              <w:rPr>
                <w:b/>
                <w:i/>
              </w:rPr>
              <w:t xml:space="preserve">Die Synergieeffekte zwischen den </w:t>
            </w:r>
            <w:r>
              <w:rPr>
                <w:b/>
                <w:i/>
              </w:rPr>
              <w:t>Beschäftigungs- und den Einwanderungsbehörden müssen anerkannt und gefördert werden, damit die Funktionsweise des EU-Talentpools verbessert wird</w:t>
            </w:r>
            <w:r>
              <w: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185</w:t>
      </w:r>
      <w:r>
        <w:rPr>
          <w:rStyle w:val="HideTWBExt"/>
        </w:rPr>
        <w:t>&lt;/NumAmB&gt;</w:t>
      </w:r>
    </w:p>
    <w:p w:rsidR="00BC254A" w:rsidRDefault="007914A5">
      <w:pPr>
        <w:pStyle w:val="NormalBold"/>
      </w:pPr>
      <w:r>
        <w:rPr>
          <w:rStyle w:val="HideTWBExt"/>
          <w:b w:val="0"/>
        </w:rPr>
        <w:t>&lt;RepeatBlock-By&gt;&lt;Memb</w:t>
      </w:r>
      <w:r>
        <w:rPr>
          <w:rStyle w:val="HideTWBExt"/>
          <w:b w:val="0"/>
        </w:rPr>
        <w:t>ers&gt;</w:t>
      </w:r>
      <w:r>
        <w:t>Pernando Barrena Arza</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(8a)</w:t>
            </w:r>
            <w:r>
              <w:tab/>
            </w:r>
            <w:r>
              <w:rPr>
                <w:b/>
                <w:i/>
              </w:rPr>
              <w:t xml:space="preserve">Gewerkschaften spielen eine entscheidende Rolle, wenn es darum </w:t>
            </w:r>
            <w:r>
              <w:rPr>
                <w:b/>
                <w:i/>
              </w:rPr>
              <w:t xml:space="preserve">geht, die Arbeitnehmerrechte zu schützen und </w:t>
            </w:r>
            <w:r>
              <w:rPr>
                <w:b/>
                <w:i/>
              </w:rPr>
              <w:lastRenderedPageBreak/>
              <w:t>faire Arbeitsbedingungen in der Union zu gewährleisten, die Interessen sowohl von Wanderarbeitnehmern als auch der etablierten Beschäftigten zu wahren und eine potenzielle Ausbeutung oder eine Untergrabung von A</w:t>
            </w:r>
            <w:r>
              <w:rPr>
                <w:b/>
                <w:i/>
              </w:rPr>
              <w:t>rbeitsnormen zu verhindern.</w:t>
            </w:r>
            <w:r>
              <w:t xml:space="preserve"> </w:t>
            </w:r>
            <w:r>
              <w:rPr>
                <w:b/>
                <w:i/>
              </w:rPr>
              <w:t>Vier Vertreter der branchenübergreifenden und der branchenspezifischen Organisationen der Sozialpartner auf Unionsebene, die von diesen Organisationen ernannt wurden – wobei Gewerkschafts- und Arbeitgeberorganisationen paritätis</w:t>
            </w:r>
            <w:r>
              <w:rPr>
                <w:b/>
                <w:i/>
              </w:rPr>
              <w:t>ch vertreten sind –, sollten der Lenkungsgruppe des EU-Talentpools als aktive Mitglieder angehören, damit sichergestellt ist, dass diese Organisationen in die Leitung des EU-Talentpools eingebunden sind.</w:t>
            </w:r>
            <w:r>
              <w:t xml:space="preserve"> </w:t>
            </w:r>
            <w:r>
              <w:rPr>
                <w:b/>
                <w:i/>
              </w:rPr>
              <w:t xml:space="preserve">Die vom EU-Talentpool betroffenen Drittländer sowie </w:t>
            </w:r>
            <w:r>
              <w:rPr>
                <w:b/>
                <w:i/>
              </w:rPr>
              <w:t>die Gewerkschaften in diesen Ländern sollten ebenfalls vertreten sein und einen Beobachterstatus erhalten.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186</w:t>
      </w:r>
      <w:r>
        <w:rPr>
          <w:rStyle w:val="HideTWBExt"/>
        </w:rPr>
        <w:t>&lt;/NumAmB&gt;</w:t>
      </w:r>
    </w:p>
    <w:p w:rsidR="00BC254A" w:rsidRDefault="007914A5">
      <w:pPr>
        <w:pStyle w:val="NormalBold"/>
      </w:pPr>
      <w:r>
        <w:rPr>
          <w:rStyle w:val="HideTWBExt"/>
          <w:b w:val="0"/>
        </w:rPr>
        <w:t>&lt;RepeatBlock-By&gt;&lt;Members&gt;</w:t>
      </w:r>
      <w:r>
        <w:t>Javier 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(8a)</w:t>
            </w:r>
            <w:r>
              <w:tab/>
            </w:r>
            <w:r>
              <w:rPr>
                <w:b/>
                <w:i/>
              </w:rPr>
              <w:t>Auch das Europäische Parlament sollte in der Lenkungsgruppe des EU-Talentpools vertreten sein, ohne</w:t>
            </w:r>
            <w:r>
              <w:rPr>
                <w:b/>
                <w:i/>
              </w:rPr>
              <w:t xml:space="preserve"> über Entscheidungsbefugnisse zu verfügen.</w:t>
            </w:r>
            <w:r>
              <w:t xml:space="preserve"> </w:t>
            </w:r>
            <w:r>
              <w:rPr>
                <w:b/>
                <w:i/>
              </w:rPr>
              <w:t>Dementsprechend sollte das Parlament berechtigt sein, zwei Sachverständige als Beobachter für die Sitzungen der Lenkungsgruppe des EU-Talentpools zu ernennen.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lastRenderedPageBreak/>
        <w:t>&lt;/AmendB&gt;</w:t>
      </w:r>
    </w:p>
    <w:p w:rsidR="00BC254A" w:rsidRDefault="007914A5">
      <w:pPr>
        <w:pStyle w:val="AmNumberTabs"/>
      </w:pPr>
      <w:r>
        <w:rPr>
          <w:rStyle w:val="HideTWBExt"/>
        </w:rPr>
        <w:t>&lt;AmendB&gt;</w:t>
      </w:r>
      <w:r>
        <w:t>Änd</w:t>
      </w:r>
      <w:r>
        <w:t>erungsantrag</w:t>
      </w:r>
      <w:r>
        <w:tab/>
      </w:r>
      <w:r>
        <w:tab/>
      </w:r>
      <w:r>
        <w:rPr>
          <w:rStyle w:val="HideTWBExt"/>
        </w:rPr>
        <w:t>&lt;NumAmB&gt;</w:t>
      </w:r>
      <w:r>
        <w:t>187</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(9)</w:t>
            </w:r>
            <w:r>
              <w:tab/>
            </w:r>
            <w:r>
              <w:t xml:space="preserve">Es sollte eine IT-Plattform für den EU-Talentpool entwickelt werden; dabei sollte so weit wie möglich die bestehende IT-Infrastruktur im Besitz der Kommission genutzt werden. Die im Rahmen von EURES entwickelte IT-Infrastruktur, einschließlich </w:t>
            </w:r>
            <w:r>
              <w:rPr>
                <w:b/>
                <w:i/>
              </w:rPr>
              <w:t>des einzigen</w:t>
            </w:r>
            <w:r>
              <w:rPr>
                <w:b/>
                <w:i/>
              </w:rPr>
              <w:t xml:space="preserve"> koordinierten Kanals</w:t>
            </w:r>
            <w:r>
              <w:t xml:space="preserve"> und des automatisierten Abgleich-Tools, könnte mit entsprechenden Anpassungen teilweise auch für die IT-Plattform des EU-Talentpools verwendet werden, unter anderem damit der „EU-Fachkräftepartnerschaftspass“ gebührend berücksichtigt </w:t>
            </w:r>
            <w:r>
              <w:t>wird.</w:t>
            </w:r>
          </w:p>
        </w:tc>
        <w:tc>
          <w:tcPr>
            <w:tcW w:w="4876" w:type="dxa"/>
            <w:tcBorders>
              <w:top w:val="nil"/>
              <w:left w:val="nil"/>
              <w:bottom w:val="nil"/>
              <w:right w:val="nil"/>
            </w:tcBorders>
          </w:tcPr>
          <w:p w:rsidR="00BC254A" w:rsidRDefault="007914A5">
            <w:pPr>
              <w:pStyle w:val="Normal6a"/>
            </w:pPr>
            <w:r>
              <w:t>(9)</w:t>
            </w:r>
            <w:r>
              <w:tab/>
              <w:t xml:space="preserve">Es sollte eine IT-Plattform für den EU-Talentpool entwickelt werden; dabei sollte so weit wie möglich die bestehende IT-Infrastruktur im Besitz der Kommission genutzt werden. Die im Rahmen von EURES entwickelte IT-Infrastruktur, einschließlich </w:t>
            </w:r>
            <w:r>
              <w:rPr>
                <w:b/>
                <w:i/>
              </w:rPr>
              <w:t>der gemeinsamen IT-Plattform</w:t>
            </w:r>
            <w:r>
              <w:t xml:space="preserve"> und des automatisierten Abgleich-Tools, könnte mit entsprechenden Anpassungen teilweise auch für die IT-Plattform des EU-Talentpools verwendet werden, unter anderem damit der „EU-Fachkräftepartnerschaftspass“ gebührend berücksi</w:t>
            </w:r>
            <w:r>
              <w:t xml:space="preserve">chtigt wird. </w:t>
            </w:r>
            <w:r>
              <w:rPr>
                <w:b/>
                <w:i/>
              </w:rPr>
              <w:t>Die IT-Plattform des EU-Talentpools und die zugehörige Infrastruktur sollten so konzipiert sein, dass sie benutzerfreundlich, barrierefrei und inklusiv sind und Effizienz und Gebrauchstauglichkeit für alle Interessenträger gewährleisten.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188</w:t>
      </w:r>
      <w:r>
        <w:rPr>
          <w:rStyle w:val="HideTWBExt"/>
        </w:rPr>
        <w:t>&lt;/NumAmB&gt;</w:t>
      </w:r>
    </w:p>
    <w:p w:rsidR="00BC254A" w:rsidRDefault="007914A5">
      <w:pPr>
        <w:pStyle w:val="NormalBold"/>
      </w:pPr>
      <w:r>
        <w:rPr>
          <w:rStyle w:val="HideTWBExt"/>
          <w:b w:val="0"/>
        </w:rPr>
        <w:t>&lt;RepeatBlock-By&gt;&lt;Members&gt;</w:t>
      </w:r>
      <w:r>
        <w:t>Alice Teodorescu Måwe</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 xml:space="preserve">Vorschlag der </w:t>
            </w:r>
            <w:r>
              <w:t>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(9)</w:t>
            </w:r>
            <w:r>
              <w:tab/>
              <w:t xml:space="preserve">Es sollte eine IT-Plattform für den EU-Talentpool entwickelt werden; dabei sollte so weit wie möglich die bestehende IT-Infrastruktur im Besitz der Kommission genutzt werden. Die im Rahmen von </w:t>
            </w:r>
            <w:r>
              <w:lastRenderedPageBreak/>
              <w:t>EURES entwickelte IT-Infrastruk</w:t>
            </w:r>
            <w:r>
              <w:t xml:space="preserve">tur, einschließlich des einzigen koordinierten Kanals und des automatisierten Abgleich-Tools, </w:t>
            </w:r>
            <w:r>
              <w:rPr>
                <w:b/>
                <w:i/>
              </w:rPr>
              <w:t>könnte</w:t>
            </w:r>
            <w:r>
              <w:t xml:space="preserve"> mit entsprechenden Anpassungen teilweise auch für die IT-Plattform des EU-Talentpools verwendet werden, unter anderem damit der „EU-Fachkräftepartnerschaft</w:t>
            </w:r>
            <w:r>
              <w:t>spass“ gebührend berücksichtigt wird.</w:t>
            </w:r>
          </w:p>
        </w:tc>
        <w:tc>
          <w:tcPr>
            <w:tcW w:w="4876" w:type="dxa"/>
            <w:tcBorders>
              <w:top w:val="nil"/>
              <w:left w:val="nil"/>
              <w:bottom w:val="nil"/>
              <w:right w:val="nil"/>
            </w:tcBorders>
          </w:tcPr>
          <w:p w:rsidR="00BC254A" w:rsidRDefault="007914A5">
            <w:pPr>
              <w:pStyle w:val="Normal6a"/>
            </w:pPr>
            <w:r>
              <w:lastRenderedPageBreak/>
              <w:t>(9)</w:t>
            </w:r>
            <w:r>
              <w:tab/>
              <w:t xml:space="preserve">Es sollte eine IT-Plattform für den EU-Talentpool entwickelt werden; dabei sollte so weit wie möglich die bestehende IT-Infrastruktur im Besitz der Kommission genutzt werden. Die im Rahmen von </w:t>
            </w:r>
            <w:r>
              <w:lastRenderedPageBreak/>
              <w:t>EURES entwickelte IT-</w:t>
            </w:r>
            <w:r>
              <w:t xml:space="preserve">Infrastruktur, einschließlich des einzigen koordinierten Kanals und des automatisierten Abgleich-Tools, </w:t>
            </w:r>
            <w:r>
              <w:rPr>
                <w:b/>
                <w:i/>
              </w:rPr>
              <w:t>sollte</w:t>
            </w:r>
            <w:r>
              <w:t xml:space="preserve"> mit entsprechenden Anpassungen teilweise auch für die IT-Plattform des EU-Talentpools verwendet werden, unter anderem damit der „EU-Fachkräftepar</w:t>
            </w:r>
            <w:r>
              <w:t>tnerschaftspass“ gebührend berücksichtigt wird.</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189</w:t>
      </w:r>
      <w:r>
        <w:rPr>
          <w:rStyle w:val="HideTWBExt"/>
        </w:rPr>
        <w:t>&lt;/NumAmB&gt;</w:t>
      </w:r>
    </w:p>
    <w:p w:rsidR="00BC254A" w:rsidRDefault="007914A5">
      <w:pPr>
        <w:pStyle w:val="NormalBold"/>
      </w:pPr>
      <w:r>
        <w:rPr>
          <w:rStyle w:val="HideTWBExt"/>
          <w:b w:val="0"/>
        </w:rPr>
        <w:t>&lt;RepeatBlock-By&gt;&lt;Members&gt;</w:t>
      </w:r>
      <w:r>
        <w:t>Lena Düpont, Tomas Tobé</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(9)</w:t>
            </w:r>
            <w:r>
              <w:tab/>
            </w:r>
            <w:r>
              <w:t>Es sollte eine IT-Plattform für den EU-Talentpool entwickelt werden; dabei sollte so weit wie möglich die bestehende IT-Infrastruktur im Besitz der Kommission genutzt werden. Die im Rahmen von EURES entwickelte IT-Infrastruktur, einschließlich des einzigen</w:t>
            </w:r>
            <w:r>
              <w:t xml:space="preserve"> koordinierten Kanals und des automatisierten Abgleich-Tools, </w:t>
            </w:r>
            <w:r>
              <w:rPr>
                <w:b/>
                <w:i/>
              </w:rPr>
              <w:t>könnte</w:t>
            </w:r>
            <w:r>
              <w:t xml:space="preserve"> mit entsprechenden Anpassungen teilweise auch für die IT-Plattform des EU-Talentpools verwendet werden, unter anderem damit der „EU-Fachkräftepartnerschaftspass“ gebührend berücksichtigt </w:t>
            </w:r>
            <w:r>
              <w:t>wird.</w:t>
            </w:r>
          </w:p>
        </w:tc>
        <w:tc>
          <w:tcPr>
            <w:tcW w:w="4876" w:type="dxa"/>
            <w:tcBorders>
              <w:top w:val="nil"/>
              <w:left w:val="nil"/>
              <w:bottom w:val="nil"/>
              <w:right w:val="nil"/>
            </w:tcBorders>
          </w:tcPr>
          <w:p w:rsidR="00BC254A" w:rsidRDefault="007914A5">
            <w:pPr>
              <w:pStyle w:val="Normal6a"/>
            </w:pPr>
            <w:r>
              <w:t>(9)</w:t>
            </w:r>
            <w:r>
              <w:tab/>
              <w:t>Es sollte eine IT-Plattform für den EU-Talentpool entwickelt werden; dabei sollte so weit wie möglich die bestehende IT-Infrastruktur im Besitz der Kommission genutzt werden. Die im Rahmen von EURES entwickelte IT-Infrastruktur, einschließlich de</w:t>
            </w:r>
            <w:r>
              <w:t xml:space="preserve">s einzigen koordinierten Kanals und des automatisierten Abgleich-Tools, </w:t>
            </w:r>
            <w:r>
              <w:rPr>
                <w:b/>
                <w:i/>
              </w:rPr>
              <w:t>sollte</w:t>
            </w:r>
            <w:r>
              <w:t xml:space="preserve"> mit entsprechenden Anpassungen teilweise auch für die IT-Plattform des EU-Talentpools verwendet werden, unter anderem damit der „EU-Fachkräftepartnerschaftspass“ gebührend berüc</w:t>
            </w:r>
            <w:r>
              <w:t>ksichtigt wird.</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190</w:t>
      </w:r>
      <w:r>
        <w:rPr>
          <w:rStyle w:val="HideTWBExt"/>
        </w:rPr>
        <w:t>&lt;/NumAmB&gt;</w:t>
      </w:r>
    </w:p>
    <w:p w:rsidR="00BC254A" w:rsidRDefault="007914A5">
      <w:pPr>
        <w:pStyle w:val="NormalBold"/>
      </w:pPr>
      <w:r>
        <w:rPr>
          <w:rStyle w:val="HideTWBExt"/>
          <w:b w:val="0"/>
        </w:rPr>
        <w:t>&lt;RepeatBlock-By&gt;&lt;Members&gt;</w:t>
      </w:r>
      <w:r>
        <w:t>Javier 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lastRenderedPageBreak/>
              <w:t>(9)</w:t>
            </w:r>
            <w:r>
              <w:tab/>
              <w:t>Es sollte eine IT-Plattform für den EU-Talentpool entwickelt werden; dabei sollte so weit wie möglich die bestehende IT-Infrastruktur im Besitz der Kommission genutzt werden. Die im Rahmen von EURE</w:t>
            </w:r>
            <w:r>
              <w:t xml:space="preserve">S entwickelte IT-Infrastruktur, einschließlich des einzigen koordinierten Kanals und des automatisierten Abgleich-Tools, könnte mit entsprechenden Anpassungen teilweise auch für die IT-Plattform des EU-Talentpools verwendet werden, unter anderem damit der </w:t>
            </w:r>
            <w:r>
              <w:t>„</w:t>
            </w:r>
            <w:r>
              <w:rPr>
                <w:b/>
                <w:i/>
              </w:rPr>
              <w:t>EU-Fachkräftepartnerschaftspass</w:t>
            </w:r>
            <w:r>
              <w:t>“ gebührend berücksichtigt wird.</w:t>
            </w:r>
          </w:p>
        </w:tc>
        <w:tc>
          <w:tcPr>
            <w:tcW w:w="4876" w:type="dxa"/>
            <w:tcBorders>
              <w:top w:val="nil"/>
              <w:left w:val="nil"/>
              <w:bottom w:val="nil"/>
              <w:right w:val="nil"/>
            </w:tcBorders>
          </w:tcPr>
          <w:p w:rsidR="00BC254A" w:rsidRDefault="007914A5">
            <w:pPr>
              <w:pStyle w:val="Normal6a"/>
            </w:pPr>
            <w:r>
              <w:t>(9)</w:t>
            </w:r>
            <w:r>
              <w:tab/>
              <w:t xml:space="preserve">Es sollte eine IT-Plattform für den EU-Talentpool entwickelt werden; dabei sollte so weit wie möglich die bestehende IT-Infrastruktur im Besitz der Kommission genutzt werden. Die im </w:t>
            </w:r>
            <w:r>
              <w:t>Rahmen von EURES entwickelte IT-Infrastruktur, einschließlich des einzigen koordinierten Kanals und des automatisierten Abgleich-Tools, könnte mit entsprechenden Anpassungen teilweise auch für die IT-Plattform des EU-Talentpools verwendet werden, unter and</w:t>
            </w:r>
            <w:r>
              <w:t>erem damit der „</w:t>
            </w:r>
            <w:r>
              <w:rPr>
                <w:b/>
                <w:i/>
              </w:rPr>
              <w:t>Fachkräftepartnerschaftspass</w:t>
            </w:r>
            <w:r>
              <w:t>“ gebührend berücksichtigt wird.</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191</w:t>
      </w:r>
      <w:r>
        <w:rPr>
          <w:rStyle w:val="HideTWBExt"/>
        </w:rPr>
        <w:t>&lt;/NumAmB&gt;</w:t>
      </w:r>
    </w:p>
    <w:p w:rsidR="00BC254A" w:rsidRDefault="007914A5">
      <w:pPr>
        <w:pStyle w:val="NormalBold"/>
      </w:pPr>
      <w:r>
        <w:rPr>
          <w:rStyle w:val="HideTWBExt"/>
          <w:b w:val="0"/>
        </w:rPr>
        <w:t>&lt;RepeatBlock-By&gt;&lt;Members&gt;</w:t>
      </w:r>
      <w:r>
        <w:t>Francisco Assis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w:t>
      </w:r>
      <w:r>
        <w:t>ür eine Verordnung</w:t>
      </w:r>
      <w:r>
        <w:rPr>
          <w:rStyle w:val="HideTWBExt"/>
        </w:rPr>
        <w:t>&lt;/DocAmend&gt;</w:t>
      </w:r>
    </w:p>
    <w:p w:rsidR="00BC254A" w:rsidRDefault="007914A5">
      <w:pPr>
        <w:pStyle w:val="NormalBold"/>
      </w:pPr>
      <w:r>
        <w:rPr>
          <w:rStyle w:val="HideTWBExt"/>
        </w:rPr>
        <w:t>&lt;Article&gt;</w:t>
      </w:r>
      <w:r>
        <w:t>Erwägung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(9)</w:t>
            </w:r>
            <w:r>
              <w:tab/>
              <w:t xml:space="preserve">Es sollte eine IT-Plattform für den EU-Talentpool entwickelt werden; dabei sollte so weit wie möglich die bestehende IT-Infrastruktur im Besitz der </w:t>
            </w:r>
            <w:r>
              <w:t>Kommission genutzt werden. Die im Rahmen von EURES entwickelte IT-Infrastruktur, einschließlich des einzigen koordinierten Kanals und des automatisierten Abgleich-Tools, könnte mit entsprechenden Anpassungen teilweise auch für die IT-Plattform des EU-Talen</w:t>
            </w:r>
            <w:r>
              <w:t>tpools verwendet werden, unter anderem damit der „</w:t>
            </w:r>
            <w:r>
              <w:rPr>
                <w:b/>
                <w:i/>
              </w:rPr>
              <w:t>EU-Fachkräftepartnerschaftspass</w:t>
            </w:r>
            <w:r>
              <w:t>“ gebührend berücksichtigt wird.</w:t>
            </w:r>
          </w:p>
        </w:tc>
        <w:tc>
          <w:tcPr>
            <w:tcW w:w="4876" w:type="dxa"/>
            <w:tcBorders>
              <w:top w:val="nil"/>
              <w:left w:val="nil"/>
              <w:bottom w:val="nil"/>
              <w:right w:val="nil"/>
            </w:tcBorders>
          </w:tcPr>
          <w:p w:rsidR="00BC254A" w:rsidRDefault="007914A5">
            <w:pPr>
              <w:pStyle w:val="Normal6a"/>
            </w:pPr>
            <w:r>
              <w:t>(9)</w:t>
            </w:r>
            <w:r>
              <w:tab/>
              <w:t>Es sollte eine IT-Plattform für den EU-Talentpool entwickelt werden; dabei sollte so weit wie möglich die bestehende IT-Infrastruktur im B</w:t>
            </w:r>
            <w:r>
              <w:t>esitz der Kommission genutzt werden. Die im Rahmen von EURES entwickelte IT-Infrastruktur, einschließlich des einzigen koordinierten Kanals und des automatisierten Abgleich-Tools, könnte mit entsprechenden Anpassungen teilweise auch für die IT-Plattform de</w:t>
            </w:r>
            <w:r>
              <w:t>s EU-Talentpools verwendet werden, unter anderem damit der „</w:t>
            </w:r>
            <w:r>
              <w:rPr>
                <w:b/>
                <w:i/>
              </w:rPr>
              <w:t>Fachkräftepartnerschaftspass</w:t>
            </w:r>
            <w:r>
              <w:t>“ gebührend berücksichtigt wird.</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192</w:t>
      </w:r>
      <w:r>
        <w:rPr>
          <w:rStyle w:val="HideTWBExt"/>
        </w:rPr>
        <w:t>&lt;/NumAmB&gt;</w:t>
      </w:r>
    </w:p>
    <w:p w:rsidR="00BC254A" w:rsidRDefault="007914A5">
      <w:pPr>
        <w:pStyle w:val="NormalBold"/>
      </w:pPr>
      <w:r>
        <w:rPr>
          <w:rStyle w:val="HideTWBExt"/>
          <w:b w:val="0"/>
        </w:rPr>
        <w:t>&lt;RepeatBlock-By&gt;&lt;Members&gt;</w:t>
      </w:r>
      <w:r>
        <w:t>Ioan-Rareş Bogdan</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lastRenderedPageBreak/>
        <w:t>&lt;DocAmend&gt;</w:t>
      </w:r>
      <w:r>
        <w:t>Vorschlag für eine Verordnung</w:t>
      </w:r>
      <w:r>
        <w:rPr>
          <w:rStyle w:val="HideTWBExt"/>
        </w:rPr>
        <w:t>&lt;/DocAmend&gt;</w:t>
      </w:r>
    </w:p>
    <w:p w:rsidR="00BC254A" w:rsidRDefault="007914A5">
      <w:pPr>
        <w:pStyle w:val="NormalBold"/>
      </w:pPr>
      <w:r>
        <w:rPr>
          <w:rStyle w:val="HideTWBExt"/>
        </w:rPr>
        <w:t>&lt;Article&gt;</w:t>
      </w:r>
      <w:r>
        <w:t>Erwägung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(10)</w:t>
            </w:r>
            <w:r>
              <w:tab/>
            </w:r>
            <w:r>
              <w:t>Gegebenenfalls sollten Synergien zwischen der IT-Plattform des EU-Talentpools und anderen einschlägigen Instrumenten und Diensten auf Unionsebene sichergestellt werden, auch im Hinblick auf den Zugang zu Schulungsmaterialien wie der EU-Akademie und der Aka</w:t>
            </w:r>
            <w:r>
              <w:t xml:space="preserve">demie für ein interoperables Europa. Die IT-Plattform des EU-Talentpools sollte </w:t>
            </w:r>
            <w:r>
              <w:rPr>
                <w:b/>
                <w:i/>
              </w:rPr>
              <w:t>rasch</w:t>
            </w:r>
            <w:r>
              <w:t xml:space="preserve"> und regelmäßig an neue technische Verfahren angepasst werden und mittels der Einführung innovativer Funktionen und Instrumente modernste IT-Dienste bereitstellen.</w:t>
            </w:r>
          </w:p>
        </w:tc>
        <w:tc>
          <w:tcPr>
            <w:tcW w:w="4876" w:type="dxa"/>
            <w:tcBorders>
              <w:top w:val="nil"/>
              <w:left w:val="nil"/>
              <w:bottom w:val="nil"/>
              <w:right w:val="nil"/>
            </w:tcBorders>
          </w:tcPr>
          <w:p w:rsidR="00BC254A" w:rsidRDefault="007914A5">
            <w:pPr>
              <w:pStyle w:val="Normal6a"/>
            </w:pPr>
            <w:r>
              <w:t>(10)</w:t>
            </w:r>
            <w:r>
              <w:tab/>
              <w:t>Ge</w:t>
            </w:r>
            <w:r>
              <w:t xml:space="preserve">gebenenfalls sollten Synergien zwischen der IT-Plattform des EU-Talentpools und anderen einschlägigen Instrumenten und Diensten auf Unionsebene sichergestellt werden, auch im Hinblick auf den </w:t>
            </w:r>
            <w:r>
              <w:rPr>
                <w:b/>
                <w:i/>
              </w:rPr>
              <w:t>leichteren</w:t>
            </w:r>
            <w:r>
              <w:t xml:space="preserve"> Zugang zu </w:t>
            </w:r>
            <w:r>
              <w:rPr>
                <w:b/>
                <w:i/>
              </w:rPr>
              <w:t>wertvollen</w:t>
            </w:r>
            <w:r>
              <w:t xml:space="preserve"> Schulungsmaterialien wie </w:t>
            </w:r>
            <w:r>
              <w:rPr>
                <w:b/>
                <w:i/>
              </w:rPr>
              <w:t>den Mat</w:t>
            </w:r>
            <w:r>
              <w:rPr>
                <w:b/>
                <w:i/>
              </w:rPr>
              <w:t>erialien, die von</w:t>
            </w:r>
            <w:r>
              <w:t xml:space="preserve"> der EU-Akademie und der Akademie für ein interoperables Europa </w:t>
            </w:r>
            <w:r>
              <w:rPr>
                <w:b/>
                <w:i/>
              </w:rPr>
              <w:t>angeboten werden</w:t>
            </w:r>
            <w:r>
              <w:t xml:space="preserve">. Die IT-Plattform des EU-Talentpools sollte </w:t>
            </w:r>
            <w:r>
              <w:rPr>
                <w:b/>
                <w:i/>
              </w:rPr>
              <w:t>zügig</w:t>
            </w:r>
            <w:r>
              <w:t xml:space="preserve"> und regelmäßig an neue technische Verfahren angepasst werden und mittels der Einführung innovativer Funktion</w:t>
            </w:r>
            <w:r>
              <w:t xml:space="preserve">en und Instrumente modernste IT-Dienste bereitstellen. </w:t>
            </w:r>
            <w:r>
              <w:rPr>
                <w:b/>
                <w:i/>
              </w:rPr>
              <w:t>Auf diese Weise werden die Funktionalität der Plattform, die Benutzerfreundlichkeit und die Möglichkeiten, sich verändernden Bedürfnissen effizient und wirksam gerecht zu werden, verbessert.</w:t>
            </w:r>
          </w:p>
        </w:tc>
      </w:tr>
    </w:tbl>
    <w:p w:rsidR="00BC254A" w:rsidRDefault="007914A5">
      <w:pPr>
        <w:pStyle w:val="AmOrLang"/>
      </w:pPr>
      <w:r>
        <w:t xml:space="preserve">Or. </w:t>
      </w:r>
      <w:r>
        <w:rPr>
          <w:rStyle w:val="HideTWBExt"/>
        </w:rPr>
        <w:t>&lt;Orig</w:t>
      </w:r>
      <w:r>
        <w:rPr>
          <w:rStyle w:val="HideTWBExt"/>
        </w:rPr>
        <w:t>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193</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 xml:space="preserve">Vorschlag der </w:t>
            </w:r>
            <w:r>
              <w:t>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(10)</w:t>
            </w:r>
            <w:r>
              <w:tab/>
              <w:t>Gegebenenfalls sollten Synergien zwischen der IT-Plattform des EU-Talentpools und anderen einschlägigen Instrumenten und Diensten auf Unionsebene sichergestellt werden, auch im Hinblick auf den Zugang zu Schulungsmaterialie</w:t>
            </w:r>
            <w:r>
              <w:t xml:space="preserve">n wie der EU-Akademie und der Akademie für ein interoperables Europa. Die IT-Plattform des EU-Talentpools sollte rasch und </w:t>
            </w:r>
            <w:r>
              <w:lastRenderedPageBreak/>
              <w:t xml:space="preserve">regelmäßig an neue technische Verfahren angepasst werden und mittels der Einführung innovativer Funktionen und Instrumente modernste </w:t>
            </w:r>
            <w:r>
              <w:t>IT-Dienste bereitstellen.</w:t>
            </w:r>
          </w:p>
        </w:tc>
        <w:tc>
          <w:tcPr>
            <w:tcW w:w="4876" w:type="dxa"/>
            <w:tcBorders>
              <w:top w:val="nil"/>
              <w:left w:val="nil"/>
              <w:bottom w:val="nil"/>
              <w:right w:val="nil"/>
            </w:tcBorders>
          </w:tcPr>
          <w:p w:rsidR="00BC254A" w:rsidRDefault="007914A5">
            <w:pPr>
              <w:pStyle w:val="Normal6a"/>
            </w:pPr>
            <w:r>
              <w:lastRenderedPageBreak/>
              <w:t>(10)</w:t>
            </w:r>
            <w:r>
              <w:tab/>
            </w:r>
            <w:r>
              <w:t>Gegebenenfalls sollten Synergien zwischen der IT-Plattform des EU-Talentpools und anderen einschlägigen Instrumenten und Diensten auf Unionsebene sichergestellt werden, auch im Hinblick auf den Zugang zu Schulungsmaterialien wie der EU-Akademie und der Aka</w:t>
            </w:r>
            <w:r>
              <w:t xml:space="preserve">demie für ein interoperables Europa </w:t>
            </w:r>
            <w:r>
              <w:rPr>
                <w:b/>
                <w:i/>
              </w:rPr>
              <w:t xml:space="preserve">und zu Instrumenten zur Erstellung von </w:t>
            </w:r>
            <w:r>
              <w:rPr>
                <w:b/>
                <w:i/>
              </w:rPr>
              <w:lastRenderedPageBreak/>
              <w:t>Kompetenzprofilen wie dem EU-Instrument zur Erstellung von Kompetenzprofilen für Drittstaatsangehörige</w:t>
            </w:r>
            <w:r>
              <w:t>. Die IT-Plattform des EU-Talentpools sollte rasch und regelmäßig an neue techn</w:t>
            </w:r>
            <w:r>
              <w:t>ische Verfahren angepasst werden und mittels der Einführung innovativer Funktionen und Instrumente modernste IT-Dienste bereitstellen.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194</w:t>
      </w:r>
      <w:r>
        <w:rPr>
          <w:rStyle w:val="HideTWBExt"/>
        </w:rPr>
        <w:t>&lt;/NumAmB&gt;</w:t>
      </w:r>
    </w:p>
    <w:p w:rsidR="00BC254A" w:rsidRDefault="007914A5">
      <w:pPr>
        <w:pStyle w:val="NormalBold"/>
      </w:pPr>
      <w:r>
        <w:rPr>
          <w:rStyle w:val="HideTWBExt"/>
          <w:b w:val="0"/>
        </w:rPr>
        <w:t>&lt;RepeatBlock-By&gt;&lt;Members&gt;</w:t>
      </w:r>
      <w:r>
        <w:t>Nikolao</w:t>
      </w:r>
      <w:r>
        <w:t>s Anadiotis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(11)</w:t>
            </w:r>
            <w:r>
              <w:tab/>
              <w:t xml:space="preserve">Das Format der Profile von Arbeitsuchenden und der Stellenangebote sollte auf der </w:t>
            </w:r>
            <w:r>
              <w:t>Grundlage der bestehenden europäischen Klassifikation für Fähigkeiten, Kompetenzen, Qualifikationen und Berufe (ESCO) gemäß der Verordnung (EU) 2016/589</w:t>
            </w:r>
            <w:r>
              <w:rPr>
                <w:vertAlign w:val="superscript"/>
              </w:rPr>
              <w:t>8</w:t>
            </w:r>
            <w:r>
              <w:rPr>
                <w:b/>
                <w:i/>
              </w:rPr>
              <w:t>festgelegt werden</w:t>
            </w:r>
            <w:r>
              <w:t>, die eine standardisierte Terminologie für Berufe, Fähigkeiten und Kompetenzen vorsie</w:t>
            </w:r>
            <w:r>
              <w:t>ht und die Transparenz von Fähigkeiten und Qualifikationen erleichtert. Die ESCO-Klassifikation sollte Arbeitsuchenden aus Drittstaaten, Arbeitgebern und den nationalen Kontaktstellen des EU-Talentpools dabei helfen, vergleichbare Informationen über Arbeit</w:t>
            </w:r>
            <w:r>
              <w:t>serfahrungen, über für eine freie Stelle infrage kommende Berufe sowie über die von den Arbeitsuchenden angebotenen und von den Arbeitgebern geforderten Fähigkeiten bereitzustellen und auf diese Weise einen qualitativ hochwertigen Abgleich ermöglichen. Geg</w:t>
            </w:r>
            <w:r>
              <w:t xml:space="preserve">ebenenfalls sollten die nationalen Kontaktstellen des EU-Talentpools für die </w:t>
            </w:r>
            <w:r>
              <w:lastRenderedPageBreak/>
              <w:t>Übertragung von Stellenangeboten an die IT-Plattform des EU-Talentpools das ESCO-Format verwenden. Die Mitgliedstaaten, die die ESCO-Klassifikation für nationale Stellenangebote n</w:t>
            </w:r>
            <w:r>
              <w:t>icht übernehmen, sollten Abgleichtabellen erstellen, in denen die in den nationalen Systemen verwendete Klassifikation mit der ESCO-Klassifikation verglichen wird, um Interoperabilität zu ermöglichen. Die Abgleichtabellen sollten der Kommission zur Verfügu</w:t>
            </w:r>
            <w:r>
              <w:t>ng gestellt und für die automatisierte Transkodierung von Informationen über Stellenangebote oder Bewerberprofile für den Zweck des automatisierten Abgleichs über die gemeinsame IT-Plattform verwendet werden.</w:t>
            </w:r>
          </w:p>
        </w:tc>
        <w:tc>
          <w:tcPr>
            <w:tcW w:w="4876" w:type="dxa"/>
            <w:tcBorders>
              <w:top w:val="nil"/>
              <w:left w:val="nil"/>
              <w:bottom w:val="nil"/>
              <w:right w:val="nil"/>
            </w:tcBorders>
          </w:tcPr>
          <w:p w:rsidR="00BC254A" w:rsidRDefault="007914A5">
            <w:pPr>
              <w:pStyle w:val="Normal6a"/>
            </w:pPr>
            <w:r>
              <w:lastRenderedPageBreak/>
              <w:t>(11)</w:t>
            </w:r>
            <w:r>
              <w:tab/>
              <w:t>Das Format der Profile von Arbeitsuchenden</w:t>
            </w:r>
            <w:r>
              <w:t xml:space="preserve"> und der Stellenangebote sollte </w:t>
            </w:r>
            <w:r>
              <w:rPr>
                <w:b/>
                <w:i/>
              </w:rPr>
              <w:t>entweder</w:t>
            </w:r>
            <w:r>
              <w:t xml:space="preserve"> auf der Grundlage der bestehenden europäischen Klassifikation für Fähigkeiten, Kompetenzen, Qualifikationen und Berufe (ESCO) gemäß der Verordnung (EU) 2016/589</w:t>
            </w:r>
            <w:r>
              <w:rPr>
                <w:vertAlign w:val="superscript"/>
              </w:rPr>
              <w:t>8</w:t>
            </w:r>
            <w:r>
              <w:t>, die eine standardisierte Terminologie für Berufe, Fä</w:t>
            </w:r>
            <w:r>
              <w:t>higkeiten und Kompetenzen vorsieht und die Transparenz von Fähigkeiten und Qualifikationen erleichtert</w:t>
            </w:r>
            <w:r>
              <w:rPr>
                <w:b/>
                <w:i/>
              </w:rPr>
              <w:t>, oder mithilfe eines flexiblen und anpassungsfähigen Systems festgelegt werden, das den beschäftigungspolitischen, sozialen und wirtschaftlichen Bedürfni</w:t>
            </w:r>
            <w:r>
              <w:rPr>
                <w:b/>
                <w:i/>
              </w:rPr>
              <w:t>ssen und Besonderheiten der einzelnen Mitgliedstaaten Rechnung trägt</w:t>
            </w:r>
            <w:r>
              <w:t>. Die ESCO-Klassifikation sollte Arbeitsuchenden aus Drittstaaten, Arbeitgebern und den nationalen Kontaktstellen des EU-Talentpools dabei helfen, vergleichbare Informationen über Arbeitse</w:t>
            </w:r>
            <w:r>
              <w:t xml:space="preserve">rfahrungen, über für eine freie Stelle infrage kommende Berufe sowie über die von den Arbeitsuchenden </w:t>
            </w:r>
            <w:r>
              <w:lastRenderedPageBreak/>
              <w:t>angebotenen und von den Arbeitgebern geforderten Fähigkeiten bereitzustellen und auf diese Weise einen qualitativ hochwertigen Abgleich ermöglichen. Gegeb</w:t>
            </w:r>
            <w:r>
              <w:t>enenfalls sollten die nationalen Kontaktstellen des EU-Talentpools für die Übertragung von Stellenangeboten an die IT-Plattform des EU-Talentpools das ESCO-Format verwenden. Die Mitgliedstaaten, die die ESCO-Klassifikation für nationale Stellenangebote nic</w:t>
            </w:r>
            <w:r>
              <w:t>ht übernehmen, sollten Abgleichtabellen erstellen, in denen die in den nationalen Systemen verwendete Klassifikation mit der ESCO-Klassifikation verglichen wird, um Interoperabilität zu ermöglichen. Die Abgleichtabellen sollten der Kommission zur Verfügung</w:t>
            </w:r>
            <w:r>
              <w:t xml:space="preserve"> gestellt und für die automatisierte Transkodierung von Informationen über Stellenangebote oder Bewerberprofile für den Zweck des automatisierten Abgleichs über die gemeinsame IT-Plattform verwendet werden.</w:t>
            </w:r>
          </w:p>
        </w:tc>
      </w:tr>
      <w:tr w:rsidR="00BC254A">
        <w:trPr>
          <w:jc w:val="center"/>
        </w:trPr>
        <w:tc>
          <w:tcPr>
            <w:tcW w:w="4876" w:type="dxa"/>
            <w:tcBorders>
              <w:top w:val="nil"/>
              <w:left w:val="nil"/>
              <w:bottom w:val="nil"/>
              <w:right w:val="nil"/>
            </w:tcBorders>
          </w:tcPr>
          <w:p w:rsidR="00BC254A" w:rsidRDefault="007914A5">
            <w:pPr>
              <w:pStyle w:val="Normal6a"/>
            </w:pPr>
            <w:r>
              <w:rPr>
                <w:b/>
                <w:i/>
              </w:rPr>
              <w:lastRenderedPageBreak/>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8</w:t>
            </w:r>
            <w:r>
              <w:t xml:space="preserve"> </w:t>
            </w:r>
            <w:r>
              <w:t>Verordnung (EU) 2016/589 des Europäischen Parlaments und des Rates vom 13. April 2016 über ein Europäisches Netz der Arbeitsvermittlungen (EURES), den Zugang von Arbeitnehmern zu mobilitätsfördernden Diensten und die weitere Integration der Arbeitsmärkte u</w:t>
            </w:r>
            <w:r>
              <w:t>nd zur Änderung der Verordnungen (EU) Nr. 492/2011 und (EU) Nr. 1296/2013 (ABl. L 107 vom 22.4.2016, S. 1, ELI: http://data.europa.eu/eli/reg/2016/589/oj).</w:t>
            </w:r>
          </w:p>
        </w:tc>
        <w:tc>
          <w:tcPr>
            <w:tcW w:w="4876" w:type="dxa"/>
            <w:tcBorders>
              <w:top w:val="nil"/>
              <w:left w:val="nil"/>
              <w:bottom w:val="nil"/>
              <w:right w:val="nil"/>
            </w:tcBorders>
          </w:tcPr>
          <w:p w:rsidR="00BC254A" w:rsidRDefault="007914A5">
            <w:pPr>
              <w:pStyle w:val="Normal6a"/>
            </w:pPr>
            <w:r>
              <w:rPr>
                <w:vertAlign w:val="superscript"/>
              </w:rPr>
              <w:t>8</w:t>
            </w:r>
            <w:r>
              <w:t xml:space="preserve"> Verordnung (EU) 2016/589 des Europäischen Parlaments und des Rates vom 13. April 2016 über ein Eur</w:t>
            </w:r>
            <w:r>
              <w:t>opäisches Netz der Arbeitsvermittlungen (EURES), den Zugang von Arbeitnehmern zu mobilitätsfördernden Diensten und die weitere Integration der Arbeitsmärkte und zur Änderung der Verordnungen (EU) Nr. 492/2011 und (EU) Nr. 1296/2013 (ABl. L 107 vom 22.4.201</w:t>
            </w:r>
            <w:r>
              <w:t>6, S. 1, ELI: http://data.europa.eu/eli/reg/2016/589/oj).</w:t>
            </w:r>
          </w:p>
        </w:tc>
      </w:tr>
    </w:tbl>
    <w:p w:rsidR="00BC254A" w:rsidRDefault="007914A5">
      <w:pPr>
        <w:pStyle w:val="AmOrLang"/>
      </w:pPr>
      <w:r>
        <w:t xml:space="preserve">Or. </w:t>
      </w:r>
      <w:r>
        <w:rPr>
          <w:rStyle w:val="HideTWBExt"/>
        </w:rPr>
        <w:t>&lt;Original&gt;</w:t>
      </w:r>
      <w:r>
        <w:rPr>
          <w:rStyle w:val="HideTWBInt"/>
        </w:rPr>
        <w:t>{EL}</w:t>
      </w:r>
      <w:r>
        <w:t>el</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195</w:t>
      </w:r>
      <w:r>
        <w:rPr>
          <w:rStyle w:val="HideTWBExt"/>
        </w:rPr>
        <w:t>&lt;/NumAmB&gt;</w:t>
      </w:r>
    </w:p>
    <w:p w:rsidR="00BC254A" w:rsidRDefault="007914A5">
      <w:pPr>
        <w:pStyle w:val="NormalBold"/>
      </w:pPr>
      <w:r>
        <w:rPr>
          <w:rStyle w:val="HideTWBExt"/>
          <w:b w:val="0"/>
        </w:rPr>
        <w:t>&lt;RepeatBlock-By&gt;&lt;Members&gt;</w:t>
      </w:r>
      <w:r>
        <w:t>Nadine Morano</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w:t>
      </w:r>
      <w:r>
        <w:rPr>
          <w:rStyle w:val="HideTWBExt"/>
        </w:rPr>
        <w:t>ocAmend&gt;</w:t>
      </w:r>
    </w:p>
    <w:p w:rsidR="00BC254A" w:rsidRDefault="007914A5">
      <w:pPr>
        <w:pStyle w:val="NormalBold"/>
      </w:pPr>
      <w:r>
        <w:rPr>
          <w:rStyle w:val="HideTWBExt"/>
        </w:rPr>
        <w:t>&lt;Article&gt;</w:t>
      </w:r>
      <w:r>
        <w:t>Erwägung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lastRenderedPageBreak/>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(11)</w:t>
            </w:r>
            <w:r>
              <w:tab/>
              <w:t xml:space="preserve">Das Format der Profile von Arbeitsuchenden und der Stellenangebote sollte auf der Grundlage der bestehenden europäischen Klassifikation für Fähigkeiten, Kompetenzen, </w:t>
            </w:r>
            <w:r>
              <w:t>Qualifikationen und Berufe (ESCO) gemäß der Verordnung (EU) 2016/589</w:t>
            </w:r>
            <w:r>
              <w:rPr>
                <w:vertAlign w:val="superscript"/>
              </w:rPr>
              <w:t>8</w:t>
            </w:r>
            <w:r>
              <w:t>festgelegt werden, die eine standardisierte Terminologie für Berufe, Fähigkeiten und Kompetenzen vorsieht und die Transparenz von Fähigkeiten und Qualifikationen erleichtert. Die ESCO-Kla</w:t>
            </w:r>
            <w:r>
              <w:t xml:space="preserve">ssifikation sollte Arbeitsuchenden aus Drittstaaten, Arbeitgebern und den nationalen Kontaktstellen des EU-Talentpools dabei helfen, vergleichbare Informationen über Arbeitserfahrungen, über für eine freie Stelle infrage kommende Berufe sowie über die von </w:t>
            </w:r>
            <w:r>
              <w:t>den Arbeitsuchenden angebotenen und von den Arbeitgebern geforderten Fähigkeiten bereitzustellen und auf diese Weise einen qualitativ hochwertigen Abgleich ermöglichen. Gegebenenfalls sollten die nationalen Kontaktstellen des EU-Talentpools für die Übertra</w:t>
            </w:r>
            <w:r>
              <w:t xml:space="preserve">gung von Stellenangeboten an die IT-Plattform des EU-Talentpools das ESCO-Format verwenden. Die Mitgliedstaaten, die die ESCO-Klassifikation für nationale Stellenangebote nicht übernehmen, sollten Abgleichtabellen erstellen, in denen die in den nationalen </w:t>
            </w:r>
            <w:r>
              <w:t>Systemen verwendete Klassifikation mit der ESCO-Klassifikation verglichen wird, um Interoperabilität zu ermöglichen. Die Abgleichtabellen sollten der Kommission zur Verfügung gestellt und für die automatisierte Transkodierung von Informationen über Stellen</w:t>
            </w:r>
            <w:r>
              <w:t>angebote oder Bewerberprofile für den Zweck des automatisierten Abgleichs über die gemeinsame IT-Plattform verwendet werden.</w:t>
            </w:r>
          </w:p>
        </w:tc>
        <w:tc>
          <w:tcPr>
            <w:tcW w:w="4876" w:type="dxa"/>
            <w:tcBorders>
              <w:top w:val="nil"/>
              <w:left w:val="nil"/>
              <w:bottom w:val="nil"/>
              <w:right w:val="nil"/>
            </w:tcBorders>
          </w:tcPr>
          <w:p w:rsidR="00BC254A" w:rsidRDefault="007914A5">
            <w:pPr>
              <w:pStyle w:val="Normal6a"/>
            </w:pPr>
            <w:r>
              <w:t>(11)</w:t>
            </w:r>
            <w:r>
              <w:tab/>
              <w:t>Das Format der Profile von Arbeitsuchenden und der Stellenangebote sollte auf der Grundlage der bestehenden europäischen Klass</w:t>
            </w:r>
            <w:r>
              <w:t>ifikation für Fähigkeiten, Kompetenzen, Qualifikationen und Berufe (ESCO) gemäß der Verordnung (EU) 2016/589</w:t>
            </w:r>
            <w:r>
              <w:rPr>
                <w:vertAlign w:val="superscript"/>
              </w:rPr>
              <w:t>8</w:t>
            </w:r>
            <w:r>
              <w:t xml:space="preserve"> festgelegt werden, die eine standardisierte Terminologie für Berufe, Fähigkeiten und Kompetenzen vorsieht und die Transparenz von Fähigkeiten und </w:t>
            </w:r>
            <w:r>
              <w:t xml:space="preserve">Qualifikationen erleichtert. Die ESCO-Klassifikation sollte Arbeitsuchenden aus Drittstaaten, </w:t>
            </w:r>
            <w:r>
              <w:rPr>
                <w:b/>
                <w:i/>
              </w:rPr>
              <w:t>teilnehmenden</w:t>
            </w:r>
            <w:r>
              <w:t xml:space="preserve"> Arbeitgebern und den nationalen Kontaktstellen des EU-Talentpools dabei helfen, vergleichbare Informationen über Arbeitserfahrungen, über für eine f</w:t>
            </w:r>
            <w:r>
              <w:t xml:space="preserve">reie Stelle infrage kommende Berufe sowie über die von den Arbeitsuchenden angebotenen und von den </w:t>
            </w:r>
            <w:r>
              <w:rPr>
                <w:b/>
                <w:i/>
              </w:rPr>
              <w:t>teilnehmenden</w:t>
            </w:r>
            <w:r>
              <w:t xml:space="preserve"> Arbeitgebern geforderten Fähigkeiten bereitzustellen und auf diese Weise einen qualitativ hochwertigen Abgleich ermöglichen. Gegebenenfalls sol</w:t>
            </w:r>
            <w:r>
              <w:t>lten die nationalen Kontaktstellen des EU-Talentpools für die Übertragung von Stellenangeboten an die IT-Plattform des EU-Talentpools das ESCO-Format verwenden. Die Mitgliedstaaten, die die ESCO-Klassifikation für nationale Stellenangebote nicht übernehmen</w:t>
            </w:r>
            <w:r>
              <w:t>, sollten Abgleichtabellen erstellen, in denen die in den nationalen Systemen verwendete Klassifikation mit der ESCO-Klassifikation verglichen wird, um Interoperabilität zu ermöglichen. Die Abgleichtabellen sollten der Kommission zur Verfügung gestellt und</w:t>
            </w:r>
            <w:r>
              <w:t xml:space="preserve"> für die automatisierte Transkodierung von Informationen über Stellenangebote oder Bewerberprofile für den Zweck des automatisierten Abgleichs über die gemeinsame IT-Plattform verwendet werden.</w:t>
            </w:r>
          </w:p>
        </w:tc>
      </w:tr>
      <w:tr w:rsidR="00BC254A">
        <w:trPr>
          <w:jc w:val="center"/>
        </w:trPr>
        <w:tc>
          <w:tcPr>
            <w:tcW w:w="4876" w:type="dxa"/>
            <w:tcBorders>
              <w:top w:val="nil"/>
              <w:left w:val="nil"/>
              <w:bottom w:val="nil"/>
              <w:right w:val="nil"/>
            </w:tcBorders>
          </w:tcPr>
          <w:p w:rsidR="00BC254A" w:rsidRDefault="007914A5">
            <w:pPr>
              <w:pStyle w:val="Normal6a"/>
            </w:pPr>
            <w:r>
              <w:rPr>
                <w:b/>
                <w:i/>
              </w:rPr>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8</w:t>
            </w:r>
            <w:r>
              <w:t xml:space="preserve"> Verordnung (EU) </w:t>
            </w:r>
            <w:r>
              <w:t xml:space="preserve">2016/589 des </w:t>
            </w:r>
            <w:r>
              <w:lastRenderedPageBreak/>
              <w:t xml:space="preserve">Europäischen Parlaments und des Rates vom 13. April 2016 über ein Europäisches Netz der Arbeitsvermittlungen (EURES), den Zugang von Arbeitnehmern zu mobilitätsfördernden Diensten und die weitere Integration der Arbeitsmärkte und zur Änderung </w:t>
            </w:r>
            <w:r>
              <w:t>der Verordnungen (EU) Nr. 492/2011 und (EU) Nr. 1296/2013 (ABl. L 107 vom 22.4.2016, S. 1, ELI: http://data.europa.eu/eli/reg/2016/589/oj).</w:t>
            </w:r>
          </w:p>
        </w:tc>
        <w:tc>
          <w:tcPr>
            <w:tcW w:w="4876" w:type="dxa"/>
            <w:tcBorders>
              <w:top w:val="nil"/>
              <w:left w:val="nil"/>
              <w:bottom w:val="nil"/>
              <w:right w:val="nil"/>
            </w:tcBorders>
          </w:tcPr>
          <w:p w:rsidR="00BC254A" w:rsidRDefault="007914A5">
            <w:pPr>
              <w:pStyle w:val="Normal6a"/>
            </w:pPr>
            <w:r>
              <w:rPr>
                <w:vertAlign w:val="superscript"/>
              </w:rPr>
              <w:lastRenderedPageBreak/>
              <w:t>8</w:t>
            </w:r>
            <w:r>
              <w:t xml:space="preserve"> Verordnung (EU) 2016/589 des </w:t>
            </w:r>
            <w:r>
              <w:lastRenderedPageBreak/>
              <w:t>Europäischen Parlaments und des Rates vom 13. April 2016 über ein Europäisches Netz d</w:t>
            </w:r>
            <w:r>
              <w:t>er Arbeitsvermittlungen (EURES), den Zugang von Arbeitnehmern zu mobilitätsfördernden Diensten und die weitere Integration der Arbeitsmärkte und zur Änderung der Verordnungen (EU) Nr. 492/2011 und (EU) Nr. 1296/2013 (ABl. L 107 vom 22.4.2016, S. 1, ELI: ht</w:t>
            </w:r>
            <w:r>
              <w:t>tp://data.europa.eu/eli/reg/2016/589/oj).</w:t>
            </w:r>
          </w:p>
        </w:tc>
      </w:tr>
    </w:tbl>
    <w:p w:rsidR="00BC254A" w:rsidRDefault="007914A5">
      <w:pPr>
        <w:pStyle w:val="AmOrLang"/>
      </w:pPr>
      <w:r>
        <w:lastRenderedPageBreak/>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196</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(11)</w:t>
            </w:r>
            <w:r>
              <w:tab/>
              <w:t xml:space="preserve">Das Format der Profile von Arbeitsuchenden und der Stellenangebote sollte auf der Grundlage der bestehenden europäischen Klassifikation für Fähigkeiten, Kompetenzen, </w:t>
            </w:r>
            <w:r>
              <w:t>Qualifikationen und Berufe (ESCO) gemäß der Verordnung (EU) 2016/589</w:t>
            </w:r>
            <w:r>
              <w:rPr>
                <w:vertAlign w:val="superscript"/>
              </w:rPr>
              <w:t>8</w:t>
            </w:r>
            <w:r>
              <w:t>festgelegt werden, die eine standardisierte Terminologie für Berufe, Fähigkeiten und Kompetenzen vorsieht und die Transparenz von Fähigkeiten und Qualifikationen erleichtert. Die ESCO-Kla</w:t>
            </w:r>
            <w:r>
              <w:t xml:space="preserve">ssifikation sollte Arbeitsuchenden aus Drittstaaten, Arbeitgebern und den nationalen Kontaktstellen des EU-Talentpools dabei helfen, vergleichbare Informationen über Arbeitserfahrungen, über für eine freie Stelle infrage kommende Berufe sowie über die von </w:t>
            </w:r>
            <w:r>
              <w:t xml:space="preserve">den Arbeitsuchenden angebotenen und von den Arbeitgebern geforderten Fähigkeiten bereitzustellen und auf diese Weise einen qualitativ hochwertigen Abgleich ermöglichen. Gegebenenfalls sollten die nationalen Kontaktstellen des EU-Talentpools für die </w:t>
            </w:r>
            <w:r>
              <w:lastRenderedPageBreak/>
              <w:t>Übertra</w:t>
            </w:r>
            <w:r>
              <w:t xml:space="preserve">gung von Stellenangeboten an die IT-Plattform des EU-Talentpools das ESCO-Format verwenden. Die Mitgliedstaaten, die die ESCO-Klassifikation für nationale Stellenangebote nicht übernehmen, sollten Abgleichtabellen erstellen, in denen die in den nationalen </w:t>
            </w:r>
            <w:r>
              <w:t>Systemen verwendete Klassifikation mit der ESCO-Klassifikation verglichen wird, um Interoperabilität zu ermöglichen. Die Abgleichtabellen sollten der Kommission zur Verfügung gestellt und für die automatisierte Transkodierung von Informationen über Stellen</w:t>
            </w:r>
            <w:r>
              <w:t>angebote oder Bewerberprofile für den Zweck des automatisierten Abgleichs über die gemeinsame IT-Plattform verwendet werden.</w:t>
            </w:r>
          </w:p>
        </w:tc>
        <w:tc>
          <w:tcPr>
            <w:tcW w:w="4876" w:type="dxa"/>
            <w:tcBorders>
              <w:top w:val="nil"/>
              <w:left w:val="nil"/>
              <w:bottom w:val="nil"/>
              <w:right w:val="nil"/>
            </w:tcBorders>
          </w:tcPr>
          <w:p w:rsidR="00BC254A" w:rsidRDefault="007914A5">
            <w:pPr>
              <w:pStyle w:val="Normal6a"/>
            </w:pPr>
            <w:r>
              <w:lastRenderedPageBreak/>
              <w:t>(11)</w:t>
            </w:r>
            <w:r>
              <w:tab/>
              <w:t>Das Format der Profile von Arbeitsuchenden und der Stellenangebote sollte auf der Grundlage der bestehenden europäischen Klass</w:t>
            </w:r>
            <w:r>
              <w:t>ifikation für Fähigkeiten, Kompetenzen, Qualifikationen und Berufe (ESCO) gemäß der Verordnung (EU) 2016/589</w:t>
            </w:r>
            <w:r>
              <w:rPr>
                <w:vertAlign w:val="superscript"/>
              </w:rPr>
              <w:t>8</w:t>
            </w:r>
            <w:r>
              <w:t xml:space="preserve"> festgelegt werden, die eine standardisierte Terminologie für Berufe, Fähigkeiten und Kompetenzen vorsieht und die Transparenz von Fähigkeiten und </w:t>
            </w:r>
            <w:r>
              <w:t>Qualifikationen erleichtert. Die ESCO-Klassifikation sollte Arbeitsuchenden aus Drittstaaten, Arbeitgebern und den nationalen Kontaktstellen des EU-Talentpools dabei helfen, vergleichbare Informationen über Arbeitserfahrungen, über für eine freie Stelle in</w:t>
            </w:r>
            <w:r>
              <w:t>frage kommende Berufe sowie über die von den Arbeitsuchenden angebotenen und von den Arbeitgebern geforderten Fähigkeiten bereitzustellen und auf diese Weise einen qualitativ hochwertigen Abgleich ermöglichen. Gegebenenfalls sollten die nationalen Kontakts</w:t>
            </w:r>
            <w:r>
              <w:t xml:space="preserve">tellen des EU-Talentpools </w:t>
            </w:r>
            <w:r>
              <w:rPr>
                <w:b/>
                <w:i/>
              </w:rPr>
              <w:t xml:space="preserve">und die </w:t>
            </w:r>
            <w:r>
              <w:rPr>
                <w:b/>
                <w:i/>
              </w:rPr>
              <w:lastRenderedPageBreak/>
              <w:t>überprüften Arbeitgeber</w:t>
            </w:r>
            <w:r>
              <w:t xml:space="preserve"> für die Übertragung von Stellenangeboten an die IT-Plattform des EU-Talentpools das ESCO-Format verwenden. Die Mitgliedstaaten, die die ESCO-Klassifikation für nationale Stellenangebote nicht überne</w:t>
            </w:r>
            <w:r>
              <w:t>hmen, sollten Abgleichtabellen erstellen, in denen die in den nationalen Systemen verwendete Klassifikation mit der ESCO-Klassifikation verglichen wird, um Interoperabilität zu ermöglichen. Die Abgleichtabellen sollten der Kommission zur Verfügung gestellt</w:t>
            </w:r>
            <w:r>
              <w:t xml:space="preserve"> und für die automatisierte Transkodierung von Informationen über Stellenangebote oder Bewerberprofile für den Zweck des automatisierten Abgleichs über die gemeinsame IT-Plattform verwendet werden.</w:t>
            </w:r>
          </w:p>
        </w:tc>
      </w:tr>
      <w:tr w:rsidR="00BC254A">
        <w:trPr>
          <w:jc w:val="center"/>
        </w:trPr>
        <w:tc>
          <w:tcPr>
            <w:tcW w:w="4876" w:type="dxa"/>
            <w:tcBorders>
              <w:top w:val="nil"/>
              <w:left w:val="nil"/>
              <w:bottom w:val="nil"/>
              <w:right w:val="nil"/>
            </w:tcBorders>
          </w:tcPr>
          <w:p w:rsidR="00BC254A" w:rsidRDefault="007914A5">
            <w:pPr>
              <w:pStyle w:val="Normal6a"/>
            </w:pPr>
            <w:r>
              <w:rPr>
                <w:b/>
                <w:i/>
              </w:rPr>
              <w:lastRenderedPageBreak/>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8</w:t>
            </w:r>
            <w:r>
              <w:t xml:space="preserve"> Verordnung (EU) </w:t>
            </w:r>
            <w:r>
              <w:t xml:space="preserve">2016/589 des Europäischen Parlaments und des Rates vom 13. April 2016 über ein Europäisches Netz der Arbeitsvermittlungen (EURES), den Zugang von Arbeitnehmern zu mobilitätsfördernden Diensten und die weitere Integration der Arbeitsmärkte und zur Änderung </w:t>
            </w:r>
            <w:r>
              <w:t>der Verordnungen (EU) Nr. 492/2011 und (EU) Nr. 1296/2013 (ABl. L 107 vom 22.4.2016, S. 1, ELI: http://data.europa.eu/eli/reg/2016/589/oj).</w:t>
            </w:r>
          </w:p>
        </w:tc>
        <w:tc>
          <w:tcPr>
            <w:tcW w:w="4876" w:type="dxa"/>
            <w:tcBorders>
              <w:top w:val="nil"/>
              <w:left w:val="nil"/>
              <w:bottom w:val="nil"/>
              <w:right w:val="nil"/>
            </w:tcBorders>
          </w:tcPr>
          <w:p w:rsidR="00BC254A" w:rsidRDefault="007914A5">
            <w:pPr>
              <w:pStyle w:val="Normal6a"/>
            </w:pPr>
            <w:r>
              <w:rPr>
                <w:vertAlign w:val="superscript"/>
              </w:rPr>
              <w:t>8</w:t>
            </w:r>
            <w:r>
              <w:t xml:space="preserve"> Verordnung (EU) 2016/589 des Europäischen Parlaments und des Rates vom 13. April 2016 über ein Europäisches Netz d</w:t>
            </w:r>
            <w:r>
              <w:t>er Arbeitsvermittlungen (EURES), den Zugang von Arbeitnehmern zu mobilitätsfördernden Diensten und die weitere Integration der Arbeitsmärkte und zur Änderung der Verordnungen (EU) Nr. 492/2011 und (EU) Nr. 1296/2013 (ABl. L 107 vom 22.4.2016, S. 1, ELI: ht</w:t>
            </w:r>
            <w:r>
              <w:t>tp://data.europa.eu/eli/reg/2016/589/oj).</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197</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w:t>
      </w:r>
      <w:r>
        <w:rPr>
          <w:rStyle w:val="HideTWBExt"/>
        </w:rPr>
        <w:t>icle&gt;</w:t>
      </w:r>
      <w:r>
        <w:t>Erwägung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(11a)</w:t>
            </w:r>
            <w:r>
              <w:tab/>
            </w:r>
            <w:r>
              <w:rPr>
                <w:b/>
                <w:i/>
              </w:rPr>
              <w:t xml:space="preserve">Im Interesse der Qualität des Abgleichs sollten registrierte Arbeitsuchende eine erste Vorabprüfung </w:t>
            </w:r>
            <w:r>
              <w:rPr>
                <w:b/>
                <w:i/>
              </w:rPr>
              <w:lastRenderedPageBreak/>
              <w:t>von Qualifikationen und Kompetenzen beantragen können.</w:t>
            </w:r>
            <w:r>
              <w:t xml:space="preserve"> </w:t>
            </w:r>
            <w:r>
              <w:rPr>
                <w:b/>
                <w:i/>
              </w:rPr>
              <w:t>Das Sekretariat</w:t>
            </w:r>
            <w:r>
              <w:rPr>
                <w:b/>
                <w:i/>
              </w:rPr>
              <w:t xml:space="preserve"> des EU-Talentpools und die nationalen Kontaktstellen sollten damit beauftragt werden, ein unverbindliches Verfahren für die Vorabprüfung einzurichten.</w:t>
            </w:r>
            <w:r>
              <w:t xml:space="preserve"> </w:t>
            </w:r>
            <w:r>
              <w:rPr>
                <w:b/>
                <w:i/>
              </w:rPr>
              <w:t>Auf Antrag der Arbeitsuchenden können auch überprüfte Dritte eine unverbindliche Vorabprüfung von Qualif</w:t>
            </w:r>
            <w:r>
              <w:rPr>
                <w:b/>
                <w:i/>
              </w:rPr>
              <w:t>ikationen und Kompetenzen anbieten.</w:t>
            </w:r>
            <w:r>
              <w:t xml:space="preserve"> </w:t>
            </w:r>
            <w:r>
              <w:rPr>
                <w:b/>
                <w:i/>
              </w:rPr>
              <w:t>Um Arbeitsuchende beim Aufbau umfassender Profile weiter zu unterstützen und die Chance auf eine Übereinstimmung zu erhöhen, sollte die IT-Plattform des EU-Talentpools das EU-Instrument zur Erstellung von Kompetenzprofil</w:t>
            </w:r>
            <w:r>
              <w:rPr>
                <w:b/>
                <w:i/>
              </w:rPr>
              <w:t>en umfassen, das eine Schlüsselrolle bei der Erfassung von Kompetenzen spielen kann, indem es Leitlinien für die Kompetenzentwicklung bereitstellt, und dafür sorgen kann, dass internationale Arbeitsuchende besser für die Bedürfnisse des EU-Arbeitsmarkts ge</w:t>
            </w:r>
            <w:r>
              <w:rPr>
                <w:b/>
                <w:i/>
              </w:rPr>
              <w:t>rüstet sind.</w:t>
            </w:r>
            <w:r>
              <w:t xml:space="preserve"> </w:t>
            </w:r>
            <w:r>
              <w:rPr>
                <w:b/>
                <w:i/>
              </w:rPr>
              <w:t>Darüber hinaus können Arbeitsuchende über die IT des EU-Talentpools den Rückgriff auf die Bewertungsdienste des ENIC-NARIC-Netzes beantragen, um ihre Abschlüsse im Hinblick auf die Vergleichbarkeit mit ausgewählten EU-Ländern bewerten zu lasse</w:t>
            </w:r>
            <w:r>
              <w:rPr>
                <w:b/>
                <w:i/>
              </w:rPr>
              <w:t>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198</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(11b)</w:t>
            </w:r>
            <w:r>
              <w:tab/>
            </w:r>
            <w:r>
              <w:rPr>
                <w:b/>
                <w:i/>
              </w:rPr>
              <w:t xml:space="preserve">Der EU-Talentpool sollte eine engere Zusammenarbeit zwischen den Mitgliedstaaten im Bereich der Arbeitskräftemigration und bei der </w:t>
            </w:r>
            <w:r>
              <w:rPr>
                <w:b/>
                <w:i/>
              </w:rPr>
              <w:lastRenderedPageBreak/>
              <w:t>Validierung ausländischer Kompetenzen und Qualifikationen fördern.</w:t>
            </w:r>
            <w:r>
              <w:t xml:space="preserve"> </w:t>
            </w:r>
            <w:r>
              <w:rPr>
                <w:b/>
                <w:i/>
              </w:rPr>
              <w:t>Zu diesem</w:t>
            </w:r>
            <w:r>
              <w:rPr>
                <w:b/>
                <w:i/>
              </w:rPr>
              <w:t xml:space="preserve"> Zweck sollte der EU-Talentpool einen standardisierten Referenzrahmen umfassen, sodass eine kohärente und effiziente Vorauswahl von Kompetenzen und Qualifikationen in der gesamten Union erleichtert wird.</w:t>
            </w:r>
            <w:r>
              <w:t xml:space="preserve"> </w:t>
            </w:r>
            <w:r>
              <w:rPr>
                <w:b/>
                <w:i/>
              </w:rPr>
              <w:t>Das Sekretariat des EU-Talentpools sollte für die En</w:t>
            </w:r>
            <w:r>
              <w:rPr>
                <w:b/>
                <w:i/>
              </w:rPr>
              <w:t>twicklung und Billigung des standardisierten Referenzrahmens zuständig sein.</w:t>
            </w:r>
            <w:r>
              <w:t xml:space="preserve"> </w:t>
            </w:r>
            <w:r>
              <w:rPr>
                <w:b/>
                <w:i/>
              </w:rPr>
              <w:t>Innerhalb von drei Jahren nach der Einrichtung des EU-Talentpools sollte das Sekretariat des EU-Talentpools für alle Berufe, die in den EU-weiten und nationalen Listen der Mangelb</w:t>
            </w:r>
            <w:r>
              <w:rPr>
                <w:b/>
                <w:i/>
              </w:rPr>
              <w:t>erufe aufgeführt sind, unverbindliche Bildungsnachweise und eine Bewertung der Kompetenzen ausstellen.</w:t>
            </w:r>
            <w:r>
              <w:t xml:space="preserve"> </w:t>
            </w:r>
            <w:r>
              <w:rPr>
                <w:b/>
                <w:i/>
              </w:rPr>
              <w:t>Diese dienen als Grundlage für den standardisierten Referenzrahmen und ermöglichen gestraffte und schnellere Überprüfungsverfahren.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199</w:t>
      </w:r>
      <w:r>
        <w:rPr>
          <w:rStyle w:val="HideTWBExt"/>
        </w:rPr>
        <w:t>&lt;/NumAmB&gt;</w:t>
      </w:r>
    </w:p>
    <w:p w:rsidR="00BC254A" w:rsidRDefault="007914A5">
      <w:pPr>
        <w:pStyle w:val="NormalBold"/>
      </w:pPr>
      <w:r>
        <w:rPr>
          <w:rStyle w:val="HideTWBExt"/>
          <w:b w:val="0"/>
        </w:rPr>
        <w:t>&lt;RepeatBlock-By&gt;&lt;Members&gt;</w:t>
      </w:r>
      <w:r>
        <w:t>Javier 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 xml:space="preserve">Vorschlag der </w:t>
            </w:r>
            <w:r>
              <w:t>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(13a)</w:t>
            </w:r>
            <w:r>
              <w:tab/>
            </w:r>
            <w:r>
              <w:rPr>
                <w:b/>
                <w:i/>
              </w:rPr>
              <w:t>Arbeitgeber, die am EU-Talentpool teilnehmen möchten, sollten sich registrieren lassen, bevor sie ihre freien Stellen auf der IT-Plattform des EU-Talentpools bekannt geben.</w:t>
            </w:r>
            <w:r>
              <w:t xml:space="preserve"> </w:t>
            </w:r>
            <w:r>
              <w:rPr>
                <w:b/>
                <w:i/>
              </w:rPr>
              <w:t xml:space="preserve">Bevor sie Arbeitgeber registrieren, sollten die </w:t>
            </w:r>
            <w:r>
              <w:rPr>
                <w:b/>
                <w:i/>
              </w:rPr>
              <w:t xml:space="preserve">Mitgliedstaaten die erforderlichen Überprüfungen dieser Arbeitgeber durchführen, um sicherzustellen, dass diese die einschlägigen Rechtsvorschriften und Gepflogenheiten der Union und des Mitgliedstaats, </w:t>
            </w:r>
            <w:r>
              <w:rPr>
                <w:b/>
                <w:i/>
              </w:rPr>
              <w:lastRenderedPageBreak/>
              <w:t>einschließlich geltender Tarifverträge, einhalten, da</w:t>
            </w:r>
            <w:r>
              <w:rPr>
                <w:b/>
                <w:i/>
              </w:rPr>
              <w:t>mit der Schutz von Drittstaatsangehörigen vor unfairen Einstellungsverfahren und unangemessenen Arbeitsbedingungen gewährleistet und für Nichtdiskriminierung gesorgt ist.</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200</w:t>
      </w:r>
      <w:r>
        <w:rPr>
          <w:rStyle w:val="HideTWBExt"/>
        </w:rPr>
        <w:t>&lt;/NumA</w:t>
      </w:r>
      <w:r>
        <w:rPr>
          <w:rStyle w:val="HideTWBExt"/>
        </w:rPr>
        <w:t>mB&gt;</w:t>
      </w:r>
    </w:p>
    <w:p w:rsidR="00BC254A" w:rsidRDefault="007914A5">
      <w:pPr>
        <w:pStyle w:val="NormalBold"/>
      </w:pPr>
      <w:r>
        <w:rPr>
          <w:rStyle w:val="HideTWBExt"/>
          <w:b w:val="0"/>
        </w:rPr>
        <w:t>&lt;RepeatBlock-By&gt;&lt;Members&gt;</w:t>
      </w:r>
      <w:r>
        <w:t>Jan-Christoph Oetjen, Abir Al-Sahlani,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(14)</w:t>
            </w:r>
            <w:r>
              <w:tab/>
              <w:t xml:space="preserve">Registrierte </w:t>
            </w:r>
            <w:r>
              <w:t>Arbeitsuchende aus Drittstaaten sollten das Recht haben, aus einer Reihe technischer Optionen zu wählen, um den Zugang zu ihren personenbezogenen Daten zu beschränken, beispielsweise durch Einschränkung des Zugangs zu ihren Kontaktdaten. Die Profile von re</w:t>
            </w:r>
            <w:r>
              <w:t>gistrierten Arbeitsuchenden aus Drittstaaten und an der IT-Plattform des EU-Talentpools teilnehmenden Arbeitgebern, die seit zwei Jahren nicht genutzt wurden, sollten automatisch entfernt werden. Wenn Profile entfernt werden, könnte ein begrenzter Satz ano</w:t>
            </w:r>
            <w:r>
              <w:t>nymisierter Daten weiterhin zu Forschungs- und Statistikzwecken gespeichert werden, unter anderem für die Zwecke der Erstellung und Qualität europäischer Statistiken.</w:t>
            </w:r>
          </w:p>
        </w:tc>
        <w:tc>
          <w:tcPr>
            <w:tcW w:w="4876" w:type="dxa"/>
            <w:tcBorders>
              <w:top w:val="nil"/>
              <w:left w:val="nil"/>
              <w:bottom w:val="nil"/>
              <w:right w:val="nil"/>
            </w:tcBorders>
          </w:tcPr>
          <w:p w:rsidR="00BC254A" w:rsidRDefault="007914A5">
            <w:pPr>
              <w:pStyle w:val="Normal6a"/>
            </w:pPr>
            <w:r>
              <w:t>(14)</w:t>
            </w:r>
            <w:r>
              <w:tab/>
            </w:r>
            <w:r>
              <w:rPr>
                <w:b/>
                <w:i/>
              </w:rPr>
              <w:t>Die Registrierung eines Profils sowie die Suche nach und die Veröffentlichung von St</w:t>
            </w:r>
            <w:r>
              <w:rPr>
                <w:b/>
                <w:i/>
              </w:rPr>
              <w:t>ellenangeboten sollten sowohl für Arbeitsuchende aus Drittstaaten als auch für Arbeitgeber unentgeltlich sein.</w:t>
            </w:r>
            <w:r>
              <w:t xml:space="preserve"> Registrierte Arbeitsuchende aus Drittstaaten sollten das Recht haben, aus einer Reihe technischer Optionen zu wählen, um den Zugang zu ihren pers</w:t>
            </w:r>
            <w:r>
              <w:t xml:space="preserve">onenbezogenen Daten zu beschränken, beispielsweise durch Einschränkung des Zugangs zu ihren Kontaktdaten. Die Profile von registrierten Arbeitsuchenden aus Drittstaaten und </w:t>
            </w:r>
            <w:r>
              <w:rPr>
                <w:b/>
                <w:i/>
              </w:rPr>
              <w:t>von </w:t>
            </w:r>
            <w:r>
              <w:t>an der IT-Plattform des EU-Talentpools teilnehmenden Arbeitgebern, die seit zwe</w:t>
            </w:r>
            <w:r>
              <w:t xml:space="preserve">i Jahren nicht genutzt wurden, </w:t>
            </w:r>
            <w:r>
              <w:rPr>
                <w:b/>
                <w:i/>
              </w:rPr>
              <w:t>sowie Profile von Arbeitgebern, die seit drei Jahren nicht genutzt wurden,</w:t>
            </w:r>
            <w:r>
              <w:t xml:space="preserve"> sollten automatisch entfernt werden. </w:t>
            </w:r>
            <w:r>
              <w:rPr>
                <w:b/>
                <w:i/>
              </w:rPr>
              <w:t>Der Eigentümer des Profils sollte spätestens einen Monat im Voraus über die Entfernung unterrichtet werden.</w:t>
            </w:r>
            <w:r>
              <w:t xml:space="preserve"> Wenn </w:t>
            </w:r>
            <w:r>
              <w:t xml:space="preserve">Profile entfernt werden, könnte ein begrenzter Satz anonymisierter Daten weiterhin zu Forschungs- und Statistikzwecken gespeichert werden, unter anderem für die Zwecke der Erstellung und </w:t>
            </w:r>
            <w:r>
              <w:lastRenderedPageBreak/>
              <w:t xml:space="preserve">Qualität europäischer Statistiken </w:t>
            </w:r>
            <w:r>
              <w:rPr>
                <w:b/>
                <w:i/>
              </w:rPr>
              <w:t>gemäß Artikel 20 Absatz 1 der vorli</w:t>
            </w:r>
            <w:r>
              <w:rPr>
                <w:b/>
                <w:i/>
              </w:rPr>
              <w:t>egenden Verordnung.</w:t>
            </w:r>
            <w:r>
              <w:t xml:space="preserve"> </w:t>
            </w:r>
            <w:r>
              <w:rPr>
                <w:b/>
                <w:i/>
              </w:rPr>
              <w:t>Bei Profilen registrierter Arbeitsuchender könnten Daten zur Staatsangehörigkeit, zur gewünschten oder aktuellen Beschäftigung, zum Besitz eines Fachkräftepartnerschaftspasses, zum Zeitraum, in dem das Profil auf der IT-Plattform des EU</w:t>
            </w:r>
            <w:r>
              <w:rPr>
                <w:b/>
                <w:i/>
              </w:rPr>
              <w:t>-Talentpools registriert war, zur Zahl der Besuche auf der Plattform, zur Zahl der Übereinstimmungen mit Arbeitgebern und zur Zahl der vermittelten Stellen gespeichert werden.</w:t>
            </w:r>
            <w:r>
              <w:t xml:space="preserve"> </w:t>
            </w:r>
            <w:r>
              <w:rPr>
                <w:b/>
                <w:i/>
              </w:rPr>
              <w:t>Bei Arbeitgeberprofilen könnten Daten über den Mitgliedstaat, in dem Arbeitgeber</w:t>
            </w:r>
            <w:r>
              <w:rPr>
                <w:b/>
                <w:i/>
              </w:rPr>
              <w:t xml:space="preserve"> ansässig sind, die Branche, die Zahl der Besuche auf der IT-Plattform des EU-Talentpools, die Zahl der Übereinstimmungen mit Arbeitsuchenden und die Zahl der vermittelten Stellen gespeichert werden</w:t>
            </w:r>
            <w:r>
              <w:t>.</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201</w:t>
      </w:r>
      <w:r>
        <w:rPr>
          <w:rStyle w:val="HideTWBExt"/>
        </w:rPr>
        <w:t>&lt;/NumAmB&gt;</w:t>
      </w:r>
    </w:p>
    <w:p w:rsidR="00BC254A" w:rsidRDefault="007914A5">
      <w:pPr>
        <w:pStyle w:val="NormalBold"/>
      </w:pPr>
      <w:r>
        <w:rPr>
          <w:rStyle w:val="HideTWBExt"/>
          <w:b w:val="0"/>
        </w:rPr>
        <w:t>&lt;RepeatBlock-By&gt;&lt;Members&gt;</w:t>
      </w:r>
      <w:r>
        <w:t>Javier 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(14)</w:t>
            </w:r>
            <w:r>
              <w:tab/>
              <w:t>Registrierte</w:t>
            </w:r>
            <w:r>
              <w:t xml:space="preserve"> Arbeitsuchende aus Drittstaaten sollten das Recht haben, aus einer Reihe technischer Optionen zu wählen, um den Zugang zu ihren personenbezogenen Daten zu beschränken, beispielsweise durch Einschränkung des Zugangs zu ihren Kontaktdaten. Die Profile von r</w:t>
            </w:r>
            <w:r>
              <w:t xml:space="preserve">egistrierten Arbeitsuchenden aus Drittstaaten und an der IT-Plattform des EU-Talentpools teilnehmenden Arbeitgebern, die seit zwei Jahren nicht genutzt wurden, sollten automatisch entfernt werden. Wenn Profile entfernt </w:t>
            </w:r>
            <w:r>
              <w:lastRenderedPageBreak/>
              <w:t>werden, könnte ein begrenzter Satz an</w:t>
            </w:r>
            <w:r>
              <w:t>onymisierter Daten weiterhin zu Forschungs- und Statistikzwecken gespeichert werden, unter anderem für die Zwecke der Erstellung und Qualität europäischer Statistiken.</w:t>
            </w:r>
          </w:p>
        </w:tc>
        <w:tc>
          <w:tcPr>
            <w:tcW w:w="4876" w:type="dxa"/>
            <w:tcBorders>
              <w:top w:val="nil"/>
              <w:left w:val="nil"/>
              <w:bottom w:val="nil"/>
              <w:right w:val="nil"/>
            </w:tcBorders>
          </w:tcPr>
          <w:p w:rsidR="00BC254A" w:rsidRDefault="007914A5">
            <w:pPr>
              <w:pStyle w:val="Normal6a"/>
            </w:pPr>
            <w:r>
              <w:lastRenderedPageBreak/>
              <w:t>(14)</w:t>
            </w:r>
            <w:r>
              <w:tab/>
              <w:t>Registrierte Arbeitsuchende aus Drittstaaten sollten das Recht haben, aus einer Rei</w:t>
            </w:r>
            <w:r>
              <w:t>he technischer Optionen zu wählen, um den Zugang zu ihren personenbezogenen Daten zu beschränken, beispielsweise durch Einschränkung des Zugangs zu ihren Kontaktdaten. Die Profile von registrierten Arbeitsuchenden aus Drittstaaten und an der IT-Plattform d</w:t>
            </w:r>
            <w:r>
              <w:t xml:space="preserve">es EU-Talentpools teilnehmenden Arbeitgebern, die seit zwei Jahren nicht genutzt wurden, sollten automatisch entfernt werden. </w:t>
            </w:r>
            <w:r>
              <w:rPr>
                <w:b/>
                <w:i/>
              </w:rPr>
              <w:t xml:space="preserve">Die betroffenen </w:t>
            </w:r>
            <w:r>
              <w:rPr>
                <w:b/>
                <w:i/>
              </w:rPr>
              <w:lastRenderedPageBreak/>
              <w:t>Arbeitsuchenden sollten zwei Monate im Voraus darüber informiert werden, dass ihre Profile entfernt werden, wenn s</w:t>
            </w:r>
            <w:r>
              <w:rPr>
                <w:b/>
                <w:i/>
              </w:rPr>
              <w:t>ie nicht innerhalb dieses Zeitraums auf das Profil zugreifen.</w:t>
            </w:r>
            <w:r>
              <w:t xml:space="preserve"> </w:t>
            </w:r>
            <w:r>
              <w:rPr>
                <w:b/>
                <w:i/>
              </w:rPr>
              <w:t>Profile oder Stellenangebote registrierter Arbeitgeber, auf die seit der Registrierung des Profils zwei Jahre lang nicht zugegriffen wurde, sollten entfernt oder anonymisiert werden, und es soll</w:t>
            </w:r>
            <w:r>
              <w:rPr>
                <w:b/>
                <w:i/>
              </w:rPr>
              <w:t>ten keine personenbezogenen Daten gespeichert werden.</w:t>
            </w:r>
            <w:r>
              <w:t xml:space="preserve"> </w:t>
            </w:r>
            <w:r>
              <w:rPr>
                <w:b/>
                <w:i/>
              </w:rPr>
              <w:t>Die betroffenen Arbeitgeber sollten zwei Monate im Voraus darüber informiert werden, dass ihr Profil entfernt wird, wenn sie nicht innerhalb dieses Zeitraums auf das Profil zugreifen.</w:t>
            </w:r>
            <w:r>
              <w:t xml:space="preserve"> Wenn Profile entfe</w:t>
            </w:r>
            <w:r>
              <w:t>rnt werden, könnte ein begrenzter Satz anonymisierter Daten weiterhin zu Forschungs- und Statistikzwecken gespeichert werden, unter anderem für die Zwecke der Erstellung und Qualität europäischer Statistiken.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w:t>
      </w:r>
      <w:r>
        <w:rPr>
          <w:rStyle w:val="HideTWBExt"/>
        </w:rPr>
        <w:t>ndB&gt;</w:t>
      </w:r>
      <w:r>
        <w:t>Änderungsantrag</w:t>
      </w:r>
      <w:r>
        <w:tab/>
      </w:r>
      <w:r>
        <w:tab/>
      </w:r>
      <w:r>
        <w:rPr>
          <w:rStyle w:val="HideTWBExt"/>
        </w:rPr>
        <w:t>&lt;NumAmB&gt;</w:t>
      </w:r>
      <w:r>
        <w:t>202</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(14)</w:t>
            </w:r>
            <w:r>
              <w:tab/>
            </w:r>
            <w:r>
              <w:t>Registrierte Arbeitsuchende aus Drittstaaten sollten das Recht haben, aus einer Reihe technischer Optionen zu wählen, um den Zugang zu ihren personenbezogenen Daten zu beschränken, beispielsweise durch Einschränkung des Zugangs zu ihren Kontaktdaten. Die P</w:t>
            </w:r>
            <w:r>
              <w:t xml:space="preserve">rofile von registrierten Arbeitsuchenden aus Drittstaaten und an der IT-Plattform des EU-Talentpools teilnehmenden Arbeitgebern, die seit zwei Jahren nicht genutzt wurden, sollten </w:t>
            </w:r>
            <w:r>
              <w:rPr>
                <w:b/>
                <w:i/>
              </w:rPr>
              <w:t>automatisch entfernt</w:t>
            </w:r>
            <w:r>
              <w:t xml:space="preserve"> werden. Wenn Profile entfernt </w:t>
            </w:r>
            <w:r>
              <w:lastRenderedPageBreak/>
              <w:t xml:space="preserve">werden, </w:t>
            </w:r>
            <w:r>
              <w:rPr>
                <w:b/>
                <w:i/>
              </w:rPr>
              <w:t>könnte</w:t>
            </w:r>
            <w:r>
              <w:t xml:space="preserve"> ein begren</w:t>
            </w:r>
            <w:r>
              <w:t>zter Satz anonymisierter Daten weiterhin zu Forschungs- und Statistikzwecken gespeichert werden, unter anderem für die Zwecke der Erstellung und Qualität europäischer Statistiken.</w:t>
            </w:r>
          </w:p>
        </w:tc>
        <w:tc>
          <w:tcPr>
            <w:tcW w:w="4876" w:type="dxa"/>
            <w:tcBorders>
              <w:top w:val="nil"/>
              <w:left w:val="nil"/>
              <w:bottom w:val="nil"/>
              <w:right w:val="nil"/>
            </w:tcBorders>
          </w:tcPr>
          <w:p w:rsidR="00BC254A" w:rsidRDefault="007914A5">
            <w:pPr>
              <w:pStyle w:val="Normal6a"/>
            </w:pPr>
            <w:r>
              <w:lastRenderedPageBreak/>
              <w:t>(14)</w:t>
            </w:r>
            <w:r>
              <w:tab/>
            </w:r>
            <w:r>
              <w:t>Registrierte Arbeitsuchende aus Drittstaaten sollten das Recht haben, aus einer Reihe technischer Optionen zu wählen, um den Zugang zu ihren personenbezogenen Daten zu beschränken, beispielsweise durch Einschränkung des Zugangs zu ihren Kontaktdaten. Die P</w:t>
            </w:r>
            <w:r>
              <w:t xml:space="preserve">rofile von registrierten Arbeitsuchenden aus Drittstaaten und </w:t>
            </w:r>
            <w:r>
              <w:rPr>
                <w:b/>
                <w:i/>
              </w:rPr>
              <w:t>von</w:t>
            </w:r>
            <w:r>
              <w:t xml:space="preserve"> an der IT-Plattform des EU-Talentpools teilnehmenden Arbeitgebern </w:t>
            </w:r>
            <w:r>
              <w:rPr>
                <w:b/>
                <w:i/>
              </w:rPr>
              <w:t>und Vermittlern</w:t>
            </w:r>
            <w:r>
              <w:t xml:space="preserve">, die seit zwei Jahren nicht genutzt wurden, sollten </w:t>
            </w:r>
            <w:r>
              <w:rPr>
                <w:b/>
                <w:i/>
              </w:rPr>
              <w:t xml:space="preserve">nach </w:t>
            </w:r>
            <w:r>
              <w:rPr>
                <w:b/>
                <w:i/>
              </w:rPr>
              <w:lastRenderedPageBreak/>
              <w:t>ordnungsgemäßer Unterrichtung des Nutzers gelöscht</w:t>
            </w:r>
            <w:r>
              <w:t xml:space="preserve"> </w:t>
            </w:r>
            <w:r>
              <w:t>werden</w:t>
            </w:r>
            <w:r>
              <w:rPr>
                <w:b/>
                <w:i/>
              </w:rPr>
              <w:t>, es sei denn, der Nutzer ficht die Entscheidung an und aktualisiert sein Profil</w:t>
            </w:r>
            <w:r>
              <w:t xml:space="preserve">. Wenn Profile entfernt werden, </w:t>
            </w:r>
            <w:r>
              <w:rPr>
                <w:b/>
                <w:i/>
              </w:rPr>
              <w:t>sollten alle personenbezogenen Daten entfernt werden, während</w:t>
            </w:r>
            <w:r>
              <w:t xml:space="preserve"> ein begrenzter Satz anonymisierter Daten weiterhin zu Forschungs- und Statis</w:t>
            </w:r>
            <w:r>
              <w:t xml:space="preserve">tikzwecken gespeichert werden </w:t>
            </w:r>
            <w:r>
              <w:rPr>
                <w:b/>
                <w:i/>
              </w:rPr>
              <w:t>könnte</w:t>
            </w:r>
            <w:r>
              <w:t xml:space="preserve">, unter anderem </w:t>
            </w:r>
            <w:r>
              <w:rPr>
                <w:b/>
                <w:i/>
              </w:rPr>
              <w:t>zur Verbesserung der Funktionsweise des EU-Talentpools und</w:t>
            </w:r>
            <w:r>
              <w:t xml:space="preserve"> für die Zwecke der Erstellung und Qualität europäischer Statistiken. </w:t>
            </w:r>
            <w:r>
              <w:rPr>
                <w:b/>
                <w:i/>
              </w:rPr>
              <w:t>Die Nutzer sollten das Recht haben, jederzeit die Löschung ihres Profils und</w:t>
            </w:r>
            <w:r>
              <w:rPr>
                <w:b/>
                <w:i/>
              </w:rPr>
              <w:t xml:space="preserve"> ihrer personenbezogenen Daten zu beantragen.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203</w:t>
      </w:r>
      <w:r>
        <w:rPr>
          <w:rStyle w:val="HideTWBExt"/>
        </w:rPr>
        <w:t>&lt;/NumAmB&gt;</w:t>
      </w:r>
    </w:p>
    <w:p w:rsidR="00BC254A" w:rsidRDefault="007914A5">
      <w:pPr>
        <w:pStyle w:val="NormalBold"/>
      </w:pPr>
      <w:r>
        <w:rPr>
          <w:rStyle w:val="HideTWBExt"/>
          <w:b w:val="0"/>
        </w:rPr>
        <w:t>&lt;RepeatBlock-By&gt;&lt;Members&gt;</w:t>
      </w:r>
      <w:r>
        <w:t>Charlie Weimers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w:t>
      </w:r>
      <w:r>
        <w:rPr>
          <w:rStyle w:val="HideTWBExt"/>
        </w:rPr>
        <w:t>Article&gt;</w:t>
      </w:r>
      <w:r>
        <w:t>Erwägung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(14)</w:t>
            </w:r>
            <w:r>
              <w:tab/>
            </w:r>
            <w:r>
              <w:t>Registrierte Arbeitsuchende aus Drittstaaten sollten das Recht haben, aus einer Reihe technischer Optionen zu wählen, um den Zugang zu ihren personenbezogenen Daten zu beschränken, beispielsweise durch Einschränkung des Zugangs zu ihren Kontaktdaten. Die P</w:t>
            </w:r>
            <w:r>
              <w:t xml:space="preserve">rofile von registrierten Arbeitsuchenden aus Drittstaaten und an der IT-Plattform des EU-Talentpools teilnehmenden Arbeitgebern, die seit </w:t>
            </w:r>
            <w:r>
              <w:rPr>
                <w:b/>
                <w:i/>
              </w:rPr>
              <w:t>zwei Jahren</w:t>
            </w:r>
            <w:r>
              <w:t xml:space="preserve"> nicht genutzt wurden, sollten automatisch entfernt werden. Wenn Profile entfernt werden, könnte ein begren</w:t>
            </w:r>
            <w:r>
              <w:t xml:space="preserve">zter Satz anonymisierter Daten weiterhin zu Forschungs- und Statistikzwecken gespeichert werden, unter anderem für die Zwecke der Erstellung und Qualität </w:t>
            </w:r>
            <w:r>
              <w:lastRenderedPageBreak/>
              <w:t>europäischer Statistiken.</w:t>
            </w:r>
          </w:p>
        </w:tc>
        <w:tc>
          <w:tcPr>
            <w:tcW w:w="4876" w:type="dxa"/>
            <w:tcBorders>
              <w:top w:val="nil"/>
              <w:left w:val="nil"/>
              <w:bottom w:val="nil"/>
              <w:right w:val="nil"/>
            </w:tcBorders>
          </w:tcPr>
          <w:p w:rsidR="00BC254A" w:rsidRDefault="007914A5">
            <w:pPr>
              <w:pStyle w:val="Normal6a"/>
            </w:pPr>
            <w:r>
              <w:lastRenderedPageBreak/>
              <w:t>(14)</w:t>
            </w:r>
            <w:r>
              <w:tab/>
              <w:t>Registrierte Arbeitsuchende aus Drittstaaten sollten das Recht haben, a</w:t>
            </w:r>
            <w:r>
              <w:t>us einer Reihe technischer Optionen zu wählen, um den Zugang zu ihren personenbezogenen Daten zu beschränken, beispielsweise durch Einschränkung des Zugangs zu ihren Kontaktdaten. Die Profile von registrierten Arbeitsuchenden aus Drittstaaten und an der IT</w:t>
            </w:r>
            <w:r>
              <w:t xml:space="preserve">-Plattform des EU-Talentpools teilnehmenden Arbeitgebern, die seit </w:t>
            </w:r>
            <w:r>
              <w:rPr>
                <w:b/>
                <w:i/>
              </w:rPr>
              <w:t>sechs Monaten</w:t>
            </w:r>
            <w:r>
              <w:t xml:space="preserve"> nicht genutzt wurden, sollten automatisch entfernt werden. Wenn Profile entfernt werden, könnte ein begrenzter Satz anonymisierter Daten weiterhin zu Forschungs- und Statistik</w:t>
            </w:r>
            <w:r>
              <w:t xml:space="preserve">zwecken gespeichert werden, unter anderem für die Zwecke der Erstellung und Qualität </w:t>
            </w:r>
            <w:r>
              <w:lastRenderedPageBreak/>
              <w:t>europäischer Statistiken.</w:t>
            </w:r>
          </w:p>
        </w:tc>
      </w:tr>
    </w:tbl>
    <w:p w:rsidR="00BC254A" w:rsidRDefault="007914A5">
      <w:pPr>
        <w:pStyle w:val="AmOrLang"/>
      </w:pPr>
      <w:r>
        <w:lastRenderedPageBreak/>
        <w:t xml:space="preserve">Or. </w:t>
      </w:r>
      <w:r>
        <w:rPr>
          <w:rStyle w:val="HideTWBExt"/>
        </w:rPr>
        <w:t>&lt;Original&gt;</w:t>
      </w:r>
      <w:r>
        <w:rPr>
          <w:rStyle w:val="HideTWBInt"/>
        </w:rPr>
        <w:t>{SV}</w:t>
      </w:r>
      <w:r>
        <w:t>sv</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204</w:t>
      </w:r>
      <w:r>
        <w:rPr>
          <w:rStyle w:val="HideTWBExt"/>
        </w:rPr>
        <w:t>&lt;/NumAmB&gt;</w:t>
      </w:r>
    </w:p>
    <w:p w:rsidR="00BC254A" w:rsidRDefault="007914A5">
      <w:pPr>
        <w:pStyle w:val="NormalBold"/>
      </w:pPr>
      <w:r>
        <w:rPr>
          <w:rStyle w:val="HideTWBExt"/>
          <w:b w:val="0"/>
        </w:rPr>
        <w:t>&lt;RepeatBlock-By&gt;&lt;Members&gt;</w:t>
      </w:r>
      <w:r>
        <w:t>Charlie Weimers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rPr>
                <w:b/>
                <w:i/>
              </w:rPr>
              <w:t>(15)</w:t>
            </w:r>
            <w:r>
              <w:tab/>
            </w:r>
            <w:r>
              <w:rPr>
                <w:b/>
                <w:i/>
              </w:rPr>
              <w:t xml:space="preserve">Unbeschadet ihrer Verpflichtung, betroffene Personen gemäß den Artikeln 12 und 13 der Verordnung (EU) </w:t>
            </w:r>
            <w:r>
              <w:rPr>
                <w:b/>
                <w:i/>
              </w:rPr>
              <w:t>2016/679 und den Artikeln 14 und 15 der Verordnung (EU) 2018/1725 über die Verarbeitung ihrer personenbezogenen Daten und ihre Rechte als betroffene Personen zu informieren, sollten das Sekretariat des EU-Talentpools und die nationalen Kontaktstellen des E</w:t>
            </w:r>
            <w:r>
              <w:rPr>
                <w:b/>
                <w:i/>
              </w:rPr>
              <w:t>U-Talentpools auch registrierte Arbeitsuchende und Arbeitgeber, die am EU-Talentpool teilnehmen, über ihr Recht informieren, den Zugang zu ihren personenbezogenen Daten technisch zu beschränken und jederzeit die Löschung oder Änderung der in ihren Profilen</w:t>
            </w:r>
            <w:r>
              <w:rPr>
                <w:b/>
                <w:i/>
              </w:rPr>
              <w:t xml:space="preserve"> enthaltenen personenbezogenen Daten zu verlangen.</w:t>
            </w:r>
          </w:p>
        </w:tc>
        <w:tc>
          <w:tcPr>
            <w:tcW w:w="4876" w:type="dxa"/>
            <w:tcBorders>
              <w:top w:val="nil"/>
              <w:left w:val="nil"/>
              <w:bottom w:val="nil"/>
              <w:right w:val="nil"/>
            </w:tcBorders>
          </w:tcPr>
          <w:p w:rsidR="00BC254A" w:rsidRDefault="007914A5">
            <w:pPr>
              <w:pStyle w:val="Normal6a"/>
            </w:pPr>
            <w:r>
              <w:rPr>
                <w:b/>
                <w:i/>
              </w:rPr>
              <w:t>entfällt</w:t>
            </w:r>
          </w:p>
        </w:tc>
      </w:tr>
    </w:tbl>
    <w:p w:rsidR="00BC254A" w:rsidRDefault="007914A5">
      <w:pPr>
        <w:pStyle w:val="AmOrLang"/>
      </w:pPr>
      <w:r>
        <w:t xml:space="preserve">Or. </w:t>
      </w:r>
      <w:r>
        <w:rPr>
          <w:rStyle w:val="HideTWBExt"/>
        </w:rPr>
        <w:t>&lt;Original&gt;</w:t>
      </w:r>
      <w:r>
        <w:rPr>
          <w:rStyle w:val="HideTWBInt"/>
        </w:rPr>
        <w:t>{SV}</w:t>
      </w:r>
      <w:r>
        <w:t>sv</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205</w:t>
      </w:r>
      <w:r>
        <w:rPr>
          <w:rStyle w:val="HideTWBExt"/>
        </w:rPr>
        <w:t>&lt;/NumAmB&gt;</w:t>
      </w:r>
    </w:p>
    <w:p w:rsidR="00BC254A" w:rsidRDefault="007914A5">
      <w:pPr>
        <w:pStyle w:val="NormalBold"/>
      </w:pPr>
      <w:r>
        <w:rPr>
          <w:rStyle w:val="HideTWBExt"/>
          <w:b w:val="0"/>
        </w:rPr>
        <w:t>&lt;RepeatBlock-By&gt;&lt;Members&gt;</w:t>
      </w:r>
      <w:r>
        <w:t>Nadine Morano</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(16)</w:t>
            </w:r>
            <w:r>
              <w:tab/>
              <w:t xml:space="preserve">Der EU-Talentpool sollte zu dem Ziel beitragen, Anreize für irreguläre </w:t>
            </w:r>
            <w:r>
              <w:rPr>
                <w:b/>
                <w:i/>
              </w:rPr>
              <w:t>Migration</w:t>
            </w:r>
            <w:r>
              <w:t xml:space="preserve"> zu beseitigen, indem unter </w:t>
            </w:r>
            <w:r>
              <w:lastRenderedPageBreak/>
              <w:t>anderem der Zugang zu bestehenden legalen Zugangswegen e</w:t>
            </w:r>
            <w:r>
              <w:t>rleichtert wird. Arbeitsuchende aus Drittstaaten, gegen die eine richterliche oder behördliche Entscheidung, mit der die Einreise in einen Mitgliedstaat oder der Aufenthalt in einem Mitgliedstaat verweigert wird, oder ein Einreiseverbot in Sinne der Richtl</w:t>
            </w:r>
            <w:r>
              <w:t>inie 2008/115/EG des Europäischen Parlaments und des Rates</w:t>
            </w:r>
            <w:r>
              <w:rPr>
                <w:vertAlign w:val="superscript"/>
              </w:rPr>
              <w:t>11</w:t>
            </w:r>
            <w:r>
              <w:t xml:space="preserve">ergangen ist, sollten ihre Profile nicht auf der IT-Plattform des EU-Talentpools registrieren dürfen, da ihnen die Einreise in die Union und der Aufenthalt in der Union nicht gestattet werden. Zu </w:t>
            </w:r>
            <w:r>
              <w:t>diesem Zweck sollten Arbeitsuchende aus Drittstaaten vor der Registrierung ihrer Profile im EU-Talentpool erklären müssen, dass gegen sie derzeit weder eine Einreise- oder Aufenthaltsverweigerung in einem Mitgliedstaat noch ein Einreiseverbot in das Gebiet</w:t>
            </w:r>
            <w:r>
              <w:t xml:space="preserve"> der Union vorliegt. Zudem sollten sie darüber informiert werden, welche Folgen sich aus falschen diesbezüglichen Angaben ergeben.</w:t>
            </w:r>
          </w:p>
        </w:tc>
        <w:tc>
          <w:tcPr>
            <w:tcW w:w="4876" w:type="dxa"/>
            <w:tcBorders>
              <w:top w:val="nil"/>
              <w:left w:val="nil"/>
              <w:bottom w:val="nil"/>
              <w:right w:val="nil"/>
            </w:tcBorders>
          </w:tcPr>
          <w:p w:rsidR="00BC254A" w:rsidRDefault="007914A5">
            <w:pPr>
              <w:pStyle w:val="Normal6a"/>
            </w:pPr>
            <w:r>
              <w:lastRenderedPageBreak/>
              <w:t>(16)</w:t>
            </w:r>
            <w:r>
              <w:tab/>
              <w:t xml:space="preserve">Der EU-Talentpool sollte zu dem Ziel beitragen, Anreize für irreguläre </w:t>
            </w:r>
            <w:r>
              <w:rPr>
                <w:b/>
                <w:i/>
              </w:rPr>
              <w:t>und gering qualifizierte Migranten</w:t>
            </w:r>
            <w:r>
              <w:t xml:space="preserve"> zu </w:t>
            </w:r>
            <w:r>
              <w:lastRenderedPageBreak/>
              <w:t xml:space="preserve">beseitigen, indem unter anderem der Zugang </w:t>
            </w:r>
            <w:r>
              <w:rPr>
                <w:b/>
                <w:i/>
              </w:rPr>
              <w:t>für qualifizierte Migranten</w:t>
            </w:r>
            <w:r>
              <w:t xml:space="preserve"> zu bestehenden legalen Zugangswegen erleichtert wird. Arbeitsuchende aus Drittstaaten, gegen die eine richterliche oder behördliche Entscheidung, mit der die Einreise in einen Mitgl</w:t>
            </w:r>
            <w:r>
              <w:t>iedstaat oder der Aufenthalt in einem Mitgliedstaat verweigert wird, oder ein Einreiseverbot in Sinne der Richtlinie 2008/115/EG des Europäischen Parlaments und des Rates</w:t>
            </w:r>
            <w:r>
              <w:rPr>
                <w:vertAlign w:val="superscript"/>
              </w:rPr>
              <w:t>11</w:t>
            </w:r>
            <w:r>
              <w:t xml:space="preserve"> ergangen ist, sollten ihre Profile nicht auf der IT-Plattform des EU-Talentpools re</w:t>
            </w:r>
            <w:r>
              <w:t>gistrieren dürfen, da ihnen die Einreise in die Union und der Aufenthalt in der Union nicht gestattet werden. Zu diesem Zweck sollten Arbeitsuchende aus Drittstaaten vor der Registrierung ihrer Profile im EU-Talentpool erklären müssen, dass gegen sie derze</w:t>
            </w:r>
            <w:r>
              <w:t xml:space="preserve">it weder eine Einreise- oder Aufenthaltsverweigerung in einem Mitgliedstaat noch ein Einreiseverbot in das Gebiet der Union vorliegt. Zudem sollten sie darüber informiert werden, welche Folgen sich aus falschen diesbezüglichen Angaben ergeben. </w:t>
            </w:r>
            <w:r>
              <w:rPr>
                <w:b/>
                <w:i/>
              </w:rPr>
              <w:t>Zusätzlich k</w:t>
            </w:r>
            <w:r>
              <w:rPr>
                <w:b/>
                <w:i/>
              </w:rPr>
              <w:t>önnen während der von den Mitgliedstaaten durchgeführten Einwanderungsverfahren die erforderlichen Überprüfungen, insbesondere im Sicherheitsbereich, auf der Grundlage relevanter Datenbanken der Mitgliedstaaten und der Union vorgenommen werden, beispielswe</w:t>
            </w:r>
            <w:r>
              <w:rPr>
                <w:b/>
                <w:i/>
              </w:rPr>
              <w:t>ise anhand des Schengener Informationssystems, das Ausschreibungen von Drittstaatsangehörigen enthält, denen die Einreise in den Schengen-Raum oder der Aufenthalt im Schengen-Raum nicht gestattet ist.</w:t>
            </w:r>
            <w:r>
              <w:t xml:space="preserve"> </w:t>
            </w:r>
            <w:r>
              <w:rPr>
                <w:b/>
                <w:i/>
              </w:rPr>
              <w:t>Auf der IT-Plattform des EU-Talentpools sollte darauf h</w:t>
            </w:r>
            <w:r>
              <w:rPr>
                <w:b/>
                <w:i/>
              </w:rPr>
              <w:t>ingewiesen werden, dass die Registrierung im EU-Talentpool durch einen Arbeitsuchenden aus einem Drittstaat nicht gewährleistet, dass die Sicherheitsüberprüfungen durchgeführt worden sind.</w:t>
            </w:r>
          </w:p>
        </w:tc>
      </w:tr>
      <w:tr w:rsidR="00BC254A">
        <w:trPr>
          <w:jc w:val="center"/>
        </w:trPr>
        <w:tc>
          <w:tcPr>
            <w:tcW w:w="4876" w:type="dxa"/>
            <w:tcBorders>
              <w:top w:val="nil"/>
              <w:left w:val="nil"/>
              <w:bottom w:val="nil"/>
              <w:right w:val="nil"/>
            </w:tcBorders>
          </w:tcPr>
          <w:p w:rsidR="00BC254A" w:rsidRDefault="007914A5">
            <w:pPr>
              <w:pStyle w:val="Normal6a"/>
            </w:pPr>
            <w:r>
              <w:rPr>
                <w:b/>
                <w:i/>
              </w:rPr>
              <w:lastRenderedPageBreak/>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11</w:t>
            </w:r>
            <w:r>
              <w:t xml:space="preserve"> Richtlinie 2008/115/EG des</w:t>
            </w:r>
            <w:r>
              <w:t xml:space="preserve"> Europäischen Parlaments und des Rates vom 16. Dezember 2008 über gemeinsame Normen und Verfahren in den Mitgliedstaaten zur Rückführung illegal aufhältiger Drittstaatsangehöriger (ABl. L 348 vom 24.12.2008, S. 98, ELI: http://data.europa.eu/eli/dir/2008/1</w:t>
            </w:r>
            <w:r>
              <w:t>15/oj).</w:t>
            </w:r>
          </w:p>
        </w:tc>
        <w:tc>
          <w:tcPr>
            <w:tcW w:w="4876" w:type="dxa"/>
            <w:tcBorders>
              <w:top w:val="nil"/>
              <w:left w:val="nil"/>
              <w:bottom w:val="nil"/>
              <w:right w:val="nil"/>
            </w:tcBorders>
          </w:tcPr>
          <w:p w:rsidR="00BC254A" w:rsidRDefault="007914A5">
            <w:pPr>
              <w:pStyle w:val="Normal6a"/>
            </w:pPr>
            <w:r>
              <w:rPr>
                <w:vertAlign w:val="superscript"/>
              </w:rPr>
              <w:t>11</w:t>
            </w:r>
            <w:r>
              <w:t xml:space="preserve"> Richtlinie 2008/115/EG des Europäischen Parlaments und des Rates vom 16. Dezember 2008 über gemeinsame Normen und Verfahren in den Mitgliedstaaten zur Rückführung illegal aufhältiger Drittstaatsangehöriger (ABl. L 348 vom 24.12.2008, S. 98, ELI:</w:t>
            </w:r>
            <w:r>
              <w:t xml:space="preserve"> http://data.europa.eu/eli/dir/2008/115/oj).</w:t>
            </w:r>
          </w:p>
        </w:tc>
      </w:tr>
    </w:tbl>
    <w:p w:rsidR="00BC254A" w:rsidRDefault="007914A5">
      <w:pPr>
        <w:pStyle w:val="AmOrLang"/>
      </w:pPr>
      <w:r>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206</w:t>
      </w:r>
      <w:r>
        <w:rPr>
          <w:rStyle w:val="HideTWBExt"/>
        </w:rPr>
        <w:t>&lt;/NumAmB&gt;</w:t>
      </w:r>
    </w:p>
    <w:p w:rsidR="00BC254A" w:rsidRDefault="007914A5">
      <w:pPr>
        <w:pStyle w:val="NormalBold"/>
      </w:pPr>
      <w:r>
        <w:rPr>
          <w:rStyle w:val="HideTWBExt"/>
          <w:b w:val="0"/>
        </w:rPr>
        <w:t>&lt;RepeatBlock-By&gt;&lt;Members&gt;</w:t>
      </w:r>
      <w:r>
        <w:t>Jan-Christoph Oetjen, Abir Al-Sahlani,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 xml:space="preserve">Vorschlag </w:t>
      </w:r>
      <w:r>
        <w:t>für eine Verordnung</w:t>
      </w:r>
      <w:r>
        <w:rPr>
          <w:rStyle w:val="HideTWBExt"/>
        </w:rPr>
        <w:t>&lt;/DocAmend&gt;</w:t>
      </w:r>
    </w:p>
    <w:p w:rsidR="00BC254A" w:rsidRDefault="007914A5">
      <w:pPr>
        <w:pStyle w:val="NormalBold"/>
      </w:pPr>
      <w:r>
        <w:rPr>
          <w:rStyle w:val="HideTWBExt"/>
        </w:rPr>
        <w:t>&lt;Article&gt;</w:t>
      </w:r>
      <w:r>
        <w:t>Erwägung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(16)</w:t>
            </w:r>
            <w:r>
              <w:tab/>
            </w:r>
            <w:r>
              <w:t>Der EU-Talentpool sollte zu dem Ziel beitragen, Anreize für irreguläre Migration zu beseitigen, indem unter anderem der Zugang zu bestehenden legalen Zugangswegen erleichtert wird. Arbeitsuchende aus Drittstaaten, gegen die eine richterliche oder behördlic</w:t>
            </w:r>
            <w:r>
              <w:t xml:space="preserve">he Entscheidung, mit der die Einreise in einen Mitgliedstaat oder der Aufenthalt in einem Mitgliedstaat verweigert wird, oder ein Einreiseverbot </w:t>
            </w:r>
            <w:r>
              <w:rPr>
                <w:b/>
                <w:i/>
              </w:rPr>
              <w:t>in</w:t>
            </w:r>
            <w:r>
              <w:t xml:space="preserve"> Sinne der Richtlinie 2008/115/EG des Europäischen Parlaments und des Rates</w:t>
            </w:r>
            <w:r>
              <w:rPr>
                <w:vertAlign w:val="superscript"/>
              </w:rPr>
              <w:t>11</w:t>
            </w:r>
            <w:r>
              <w:t>ergangen ist, sollten ihre Profi</w:t>
            </w:r>
            <w:r>
              <w:t xml:space="preserve">le nicht auf der IT-Plattform des EU-Talentpools registrieren dürfen, da ihnen die Einreise in die Union und der Aufenthalt in der Union nicht gestattet werden. Zu diesem Zweck sollten Arbeitsuchende aus Drittstaaten vor der Registrierung ihrer Profile im </w:t>
            </w:r>
            <w:r>
              <w:t xml:space="preserve">EU-Talentpool erklären müssen, dass gegen sie derzeit weder eine Einreise- oder Aufenthaltsverweigerung in einem Mitgliedstaat noch ein Einreiseverbot in das Gebiet der Union vorliegt. Zudem sollten sie darüber informiert werden, </w:t>
            </w:r>
            <w:r>
              <w:lastRenderedPageBreak/>
              <w:t>welche Folgen sich aus fal</w:t>
            </w:r>
            <w:r>
              <w:t>schen diesbezüglichen Angaben ergeben.</w:t>
            </w:r>
          </w:p>
        </w:tc>
        <w:tc>
          <w:tcPr>
            <w:tcW w:w="4876" w:type="dxa"/>
            <w:tcBorders>
              <w:top w:val="nil"/>
              <w:left w:val="nil"/>
              <w:bottom w:val="nil"/>
              <w:right w:val="nil"/>
            </w:tcBorders>
          </w:tcPr>
          <w:p w:rsidR="00BC254A" w:rsidRDefault="007914A5">
            <w:pPr>
              <w:pStyle w:val="Normal6a"/>
            </w:pPr>
            <w:r>
              <w:lastRenderedPageBreak/>
              <w:t>(16)</w:t>
            </w:r>
            <w:r>
              <w:tab/>
              <w:t>Der EU-Talentpool sollte zu dem Ziel beitragen, Anreize für irreguläre Migration zu beseitigen, indem unter anderem der Zugang zu bestehenden legalen Zugangswegen erleichtert wird. Arbeitsuchende aus Drittstaaten</w:t>
            </w:r>
            <w:r>
              <w:t xml:space="preserve">, gegen die eine richterliche oder behördliche Entscheidung, mit der die Einreise in einen Mitgliedstaat oder der Aufenthalt in einem Mitgliedstaat verweigert wird, oder ein Einreiseverbot </w:t>
            </w:r>
            <w:r>
              <w:rPr>
                <w:b/>
                <w:i/>
              </w:rPr>
              <w:t>im</w:t>
            </w:r>
            <w:r>
              <w:t xml:space="preserve"> Sinne der Richtlinie 2008/115/EG des Europäischen Parlaments und</w:t>
            </w:r>
            <w:r>
              <w:t xml:space="preserve"> des Rates</w:t>
            </w:r>
            <w:r>
              <w:rPr>
                <w:vertAlign w:val="superscript"/>
              </w:rPr>
              <w:t>11</w:t>
            </w:r>
            <w:r>
              <w:t xml:space="preserve"> ergangen ist, sollten ihre Profile nicht auf der IT-Plattform des EU-Talentpools registrieren dürfen, da ihnen die Einreise in die Union und der Aufenthalt in der Union nicht gestattet werden. Zu diesem Zweck sollten Arbeitsuchende aus Drittst</w:t>
            </w:r>
            <w:r>
              <w:t xml:space="preserve">aaten vor der Registrierung ihrer Profile im EU-Talentpool erklären müssen, dass gegen sie derzeit weder eine Einreise- oder Aufenthaltsverweigerung in einem Mitgliedstaat noch ein Einreiseverbot in das Gebiet der Union vorliegt. Zudem sollten sie darüber </w:t>
            </w:r>
            <w:r>
              <w:t xml:space="preserve">informiert werden, </w:t>
            </w:r>
            <w:r>
              <w:lastRenderedPageBreak/>
              <w:t xml:space="preserve">welche Folgen sich aus falschen diesbezüglichen Angaben ergeben. </w:t>
            </w:r>
            <w:r>
              <w:rPr>
                <w:b/>
                <w:i/>
              </w:rPr>
              <w:t>Die erforderlichen Überprüfungen in einschlägigen nationalen und EU-Datenbanken wie dem Schengener Informationssystem könnten während der von den Mitgliedstaaten durchgefüh</w:t>
            </w:r>
            <w:r>
              <w:rPr>
                <w:b/>
                <w:i/>
              </w:rPr>
              <w:t>rten Einwanderungsverfahren stattfinden.</w:t>
            </w:r>
            <w:r>
              <w:t xml:space="preserve"> </w:t>
            </w:r>
            <w:r>
              <w:rPr>
                <w:b/>
                <w:i/>
              </w:rPr>
              <w:t xml:space="preserve">Auf der IT-Plattform des EU-Talentpools sollte darauf hingewiesen werden, dass die Registrierung im EU-Talentpool durch einen Arbeitsuchenden aus einem Drittstaat nicht gewährleistet, dass die Sicherheitskontrollen </w:t>
            </w:r>
            <w:r>
              <w:rPr>
                <w:b/>
                <w:i/>
              </w:rPr>
              <w:t>durchgeführt worden sind.</w:t>
            </w:r>
          </w:p>
        </w:tc>
      </w:tr>
      <w:tr w:rsidR="00BC254A">
        <w:trPr>
          <w:jc w:val="center"/>
        </w:trPr>
        <w:tc>
          <w:tcPr>
            <w:tcW w:w="4876" w:type="dxa"/>
            <w:tcBorders>
              <w:top w:val="nil"/>
              <w:left w:val="nil"/>
              <w:bottom w:val="nil"/>
              <w:right w:val="nil"/>
            </w:tcBorders>
          </w:tcPr>
          <w:p w:rsidR="00BC254A" w:rsidRDefault="007914A5">
            <w:pPr>
              <w:pStyle w:val="Normal6a"/>
            </w:pPr>
            <w:r>
              <w:rPr>
                <w:b/>
                <w:i/>
              </w:rPr>
              <w:lastRenderedPageBreak/>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11</w:t>
            </w:r>
            <w:r>
              <w:t xml:space="preserve"> Richtlinie 2008/115/EG des Europäischen Parlaments und des Rates vom 16. Dezember 2008 über gemeinsame Normen und Verfahren in den Mitgliedstaaten zur Rückführung illegal aufhältiger </w:t>
            </w:r>
            <w:r>
              <w:t>Drittstaatsangehöriger (ABl. L 348 vom 24.12.2008, S. 98, ELI: http://data.europa.eu/eli/dir/2008/115/oj).</w:t>
            </w:r>
          </w:p>
        </w:tc>
        <w:tc>
          <w:tcPr>
            <w:tcW w:w="4876" w:type="dxa"/>
            <w:tcBorders>
              <w:top w:val="nil"/>
              <w:left w:val="nil"/>
              <w:bottom w:val="nil"/>
              <w:right w:val="nil"/>
            </w:tcBorders>
          </w:tcPr>
          <w:p w:rsidR="00BC254A" w:rsidRDefault="007914A5">
            <w:pPr>
              <w:pStyle w:val="Normal6a"/>
            </w:pPr>
            <w:r>
              <w:rPr>
                <w:vertAlign w:val="superscript"/>
              </w:rPr>
              <w:t>11</w:t>
            </w:r>
            <w:r>
              <w:t xml:space="preserve"> Richtlinie 2008/115/EG des Europäischen Parlaments und des Rates vom 16. Dezember 2008 über gemeinsame Normen und Verfahren in den Mitgliedstaaten</w:t>
            </w:r>
            <w:r>
              <w:t xml:space="preserve"> zur Rückführung illegal aufhältiger Drittstaatsangehöriger (ABl. L 348 vom 24.12.2008, S. 98, ELI: http://data.europa.eu/eli/dir/2008/115/oj).</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207</w:t>
      </w:r>
      <w:r>
        <w:rPr>
          <w:rStyle w:val="HideTWBExt"/>
        </w:rPr>
        <w:t>&lt;/NumAmB&gt;</w:t>
      </w:r>
    </w:p>
    <w:p w:rsidR="00BC254A" w:rsidRDefault="007914A5">
      <w:pPr>
        <w:pStyle w:val="NormalBold"/>
      </w:pPr>
      <w:r>
        <w:rPr>
          <w:rStyle w:val="HideTWBExt"/>
          <w:b w:val="0"/>
        </w:rPr>
        <w:t>&lt;RepeatBlock-By&gt;&lt;Member</w:t>
      </w:r>
      <w:r>
        <w:rPr>
          <w:rStyle w:val="HideTWBExt"/>
          <w:b w:val="0"/>
        </w:rPr>
        <w:t>s&gt;</w:t>
      </w:r>
      <w:r>
        <w:t>Javier 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(16)</w:t>
            </w:r>
            <w:r>
              <w:tab/>
            </w:r>
            <w:r>
              <w:t>Der EU-Talentpool sollte zu dem Ziel beitragen, Anreize für irreguläre Migration zu beseitigen, indem unter anderem der Zugang zu bestehenden legalen Zugangswegen erleichtert wird. Arbeitsuchende aus Drittstaaten, gegen die eine richterliche oder behördlic</w:t>
            </w:r>
            <w:r>
              <w:t xml:space="preserve">he Entscheidung, mit der die Einreise in einen Mitgliedstaat oder der Aufenthalt in einem Mitgliedstaat verweigert wird, oder ein </w:t>
            </w:r>
            <w:r>
              <w:lastRenderedPageBreak/>
              <w:t xml:space="preserve">Einreiseverbot </w:t>
            </w:r>
            <w:r>
              <w:rPr>
                <w:b/>
                <w:i/>
              </w:rPr>
              <w:t>in</w:t>
            </w:r>
            <w:r>
              <w:t xml:space="preserve"> Sinne der Richtlinie 2008/115/EG des Europäischen Parlaments und des Rates</w:t>
            </w:r>
            <w:r>
              <w:rPr>
                <w:vertAlign w:val="superscript"/>
              </w:rPr>
              <w:t>11</w:t>
            </w:r>
            <w:r>
              <w:t>ergangen ist, sollten ihre Profi</w:t>
            </w:r>
            <w:r>
              <w:t xml:space="preserve">le nicht auf der IT-Plattform des EU-Talentpools registrieren dürfen, da ihnen die Einreise in die Union und der Aufenthalt in der Union nicht gestattet werden. Zu diesem Zweck sollten Arbeitsuchende aus Drittstaaten vor der Registrierung ihrer Profile im </w:t>
            </w:r>
            <w:r>
              <w:t>EU-Talentpool erklären müssen, dass gegen sie derzeit weder eine Einreise- oder Aufenthaltsverweigerung in einem Mitgliedstaat noch ein Einreiseverbot in das Gebiet der Union vorliegt. Zudem sollten sie darüber informiert werden, welche Folgen sich aus fal</w:t>
            </w:r>
            <w:r>
              <w:t>schen diesbezüglichen Angaben ergeben.</w:t>
            </w:r>
          </w:p>
        </w:tc>
        <w:tc>
          <w:tcPr>
            <w:tcW w:w="4876" w:type="dxa"/>
            <w:tcBorders>
              <w:top w:val="nil"/>
              <w:left w:val="nil"/>
              <w:bottom w:val="nil"/>
              <w:right w:val="nil"/>
            </w:tcBorders>
          </w:tcPr>
          <w:p w:rsidR="00BC254A" w:rsidRDefault="007914A5">
            <w:pPr>
              <w:pStyle w:val="Normal6a"/>
            </w:pPr>
            <w:r>
              <w:lastRenderedPageBreak/>
              <w:t>(16)</w:t>
            </w:r>
            <w:r>
              <w:tab/>
              <w:t>Der EU-Talentpool sollte zu dem Ziel beitragen, Anreize für irreguläre Migration zu beseitigen, indem unter anderem der Zugang zu bestehenden legalen Zugangswegen erleichtert wird. Arbeitsuchende aus Drittstaaten</w:t>
            </w:r>
            <w:r>
              <w:t xml:space="preserve">, gegen die eine richterliche oder behördliche Entscheidung, mit der die Einreise in einen Mitgliedstaat oder der Aufenthalt in einem Mitgliedstaat verweigert wird, oder ein </w:t>
            </w:r>
            <w:r>
              <w:lastRenderedPageBreak/>
              <w:t xml:space="preserve">Einreiseverbot </w:t>
            </w:r>
            <w:r>
              <w:rPr>
                <w:b/>
                <w:i/>
              </w:rPr>
              <w:t>im</w:t>
            </w:r>
            <w:r>
              <w:t xml:space="preserve"> Sinne der Richtlinie 2008/115/EG des Europäischen Parlaments und</w:t>
            </w:r>
            <w:r>
              <w:t xml:space="preserve"> des Rates</w:t>
            </w:r>
            <w:r>
              <w:rPr>
                <w:vertAlign w:val="superscript"/>
              </w:rPr>
              <w:t>11</w:t>
            </w:r>
            <w:r>
              <w:t xml:space="preserve"> ergangen ist, sollten ihre Profile nicht auf der IT-Plattform des EU-Talentpools registrieren dürfen, da ihnen die Einreise in die Union und der Aufenthalt in der Union nicht gestattet werden. Zu diesem Zweck sollten Arbeitsuchende aus Drittst</w:t>
            </w:r>
            <w:r>
              <w:t xml:space="preserve">aaten vor der Registrierung ihrer Profile im EU-Talentpool erklären müssen, dass gegen sie </w:t>
            </w:r>
            <w:r>
              <w:rPr>
                <w:b/>
                <w:i/>
              </w:rPr>
              <w:t>nach bestem Wissen</w:t>
            </w:r>
            <w:r>
              <w:t xml:space="preserve"> derzeit weder eine Einreise- oder Aufenthaltsverweigerung in einem Mitgliedstaat noch ein Einreiseverbot in das Gebiet der Union vorliegt. Zudem s</w:t>
            </w:r>
            <w:r>
              <w:t xml:space="preserve">ollten sie darüber informiert werden, welche Folgen sich aus falschen diesbezüglichen Angaben ergeben. </w:t>
            </w:r>
            <w:r>
              <w:rPr>
                <w:b/>
                <w:i/>
              </w:rPr>
              <w:t>Auf der IT-Plattform des EU-Talentpools sollte darauf hingewiesen werden, dass die Registrierung im EU-Talentpool durch einen Arbeitsuchenden aus einem D</w:t>
            </w:r>
            <w:r>
              <w:rPr>
                <w:b/>
                <w:i/>
              </w:rPr>
              <w:t>rittstaat nicht gewährleistet, dass die Sicherheitskontrollen bereits durchgeführt worden sind.</w:t>
            </w:r>
          </w:p>
        </w:tc>
      </w:tr>
      <w:tr w:rsidR="00BC254A">
        <w:trPr>
          <w:jc w:val="center"/>
        </w:trPr>
        <w:tc>
          <w:tcPr>
            <w:tcW w:w="4876" w:type="dxa"/>
            <w:tcBorders>
              <w:top w:val="nil"/>
              <w:left w:val="nil"/>
              <w:bottom w:val="nil"/>
              <w:right w:val="nil"/>
            </w:tcBorders>
          </w:tcPr>
          <w:p w:rsidR="00BC254A" w:rsidRDefault="007914A5">
            <w:pPr>
              <w:pStyle w:val="Normal6a"/>
            </w:pPr>
            <w:r>
              <w:rPr>
                <w:b/>
                <w:i/>
              </w:rPr>
              <w:lastRenderedPageBreak/>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11</w:t>
            </w:r>
            <w:r>
              <w:t xml:space="preserve"> Richtlinie 2008/115/EG des Europäischen Parlaments und des Rates vom 16. Dezember 2008 über gemeinsame Normen und </w:t>
            </w:r>
            <w:r>
              <w:t>Verfahren in den Mitgliedstaaten zur Rückführung illegal aufhältiger Drittstaatsangehöriger (ABl. L 348 vom 24.12.2008, S. 98, ELI: http://data.europa.eu/eli/dir/2008/115/oj).</w:t>
            </w:r>
          </w:p>
        </w:tc>
        <w:tc>
          <w:tcPr>
            <w:tcW w:w="4876" w:type="dxa"/>
            <w:tcBorders>
              <w:top w:val="nil"/>
              <w:left w:val="nil"/>
              <w:bottom w:val="nil"/>
              <w:right w:val="nil"/>
            </w:tcBorders>
          </w:tcPr>
          <w:p w:rsidR="00BC254A" w:rsidRDefault="007914A5">
            <w:pPr>
              <w:pStyle w:val="Normal6a"/>
            </w:pPr>
            <w:r>
              <w:rPr>
                <w:vertAlign w:val="superscript"/>
              </w:rPr>
              <w:t>11</w:t>
            </w:r>
            <w:r>
              <w:t xml:space="preserve"> Richtlinie 2008/115/EG des Europäischen Parlaments und des Rates vom </w:t>
            </w:r>
            <w:r>
              <w:t>16. Dezember 2008 über gemeinsame Normen und Verfahren in den Mitgliedstaaten zur Rückführung illegal aufhältiger Drittstaatsangehöriger (ABl. L 348 vom 24.12.2008, S. 98, ELI: http://data.europa.eu/eli/dir/2008/115/oj).</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w:t>
      </w:r>
      <w:r>
        <w:rPr>
          <w:rStyle w:val="HideTWBExt"/>
        </w:rPr>
        <w:t>AmendB&gt;</w:t>
      </w:r>
    </w:p>
    <w:p w:rsidR="00BC254A" w:rsidRDefault="007914A5">
      <w:pPr>
        <w:pStyle w:val="AmNumberTabs"/>
      </w:pPr>
      <w:r>
        <w:rPr>
          <w:rStyle w:val="HideTWBExt"/>
        </w:rPr>
        <w:t>&lt;AmendB&gt;</w:t>
      </w:r>
      <w:r>
        <w:t>Änderungsantrag</w:t>
      </w:r>
      <w:r>
        <w:tab/>
      </w:r>
      <w:r>
        <w:tab/>
      </w:r>
      <w:r>
        <w:rPr>
          <w:rStyle w:val="HideTWBExt"/>
        </w:rPr>
        <w:t>&lt;NumAmB&gt;</w:t>
      </w:r>
      <w:r>
        <w:t>208</w:t>
      </w:r>
      <w:r>
        <w:rPr>
          <w:rStyle w:val="HideTWBExt"/>
        </w:rPr>
        <w:t>&lt;/NumAmB&gt;</w:t>
      </w:r>
    </w:p>
    <w:p w:rsidR="00BC254A" w:rsidRDefault="007914A5">
      <w:pPr>
        <w:pStyle w:val="NormalBold"/>
      </w:pPr>
      <w:r>
        <w:rPr>
          <w:rStyle w:val="HideTWBExt"/>
          <w:b w:val="0"/>
        </w:rPr>
        <w:t>&lt;RepeatBlock-By&gt;&lt;Members&gt;</w:t>
      </w:r>
      <w:r>
        <w:t>Lena Düpont, Tomas Tobé</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lastRenderedPageBreak/>
              <w:t>(16)</w:t>
            </w:r>
            <w:r>
              <w:tab/>
              <w:t>Der EU-Talentpool sollte zu dem Ziel beitragen, Anreize für irreguläre Migration zu beseitigen, indem unter anderem der Zugang zu bestehenden legalen Zugangswegen erleichtert wird. Arbeitsuchende aus Drittstaaten, gegen die eine richterliche oder beh</w:t>
            </w:r>
            <w:r>
              <w:t xml:space="preserve">ördliche Entscheidung, mit der die Einreise in einen Mitgliedstaat oder der Aufenthalt in einem Mitgliedstaat verweigert wird, oder ein Einreiseverbot </w:t>
            </w:r>
            <w:r>
              <w:rPr>
                <w:b/>
                <w:i/>
              </w:rPr>
              <w:t>in</w:t>
            </w:r>
            <w:r>
              <w:t xml:space="preserve"> Sinne der Richtlinie 2008/115/EG des Europäischen Parlaments und des Rates</w:t>
            </w:r>
            <w:r>
              <w:rPr>
                <w:vertAlign w:val="superscript"/>
              </w:rPr>
              <w:t>11</w:t>
            </w:r>
            <w:r>
              <w:t>ergangen ist, sollten ihre</w:t>
            </w:r>
            <w:r>
              <w:t xml:space="preserve"> Profile nicht auf der IT-Plattform des EU-Talentpools registrieren dürfen, da ihnen die Einreise in die Union und der Aufenthalt in der Union nicht gestattet werden. Zu diesem Zweck sollten Arbeitsuchende aus Drittstaaten vor der Registrierung ihrer Profi</w:t>
            </w:r>
            <w:r>
              <w:t>le im EU-Talentpool erklären müssen, dass gegen sie derzeit weder eine Einreise- oder Aufenthaltsverweigerung in einem Mitgliedstaat noch ein Einreiseverbot in das Gebiet der Union vorliegt. Zudem sollten sie darüber informiert werden, welche Folgen sich a</w:t>
            </w:r>
            <w:r>
              <w:t>us falschen diesbezüglichen Angaben ergeben.</w:t>
            </w:r>
          </w:p>
        </w:tc>
        <w:tc>
          <w:tcPr>
            <w:tcW w:w="4876" w:type="dxa"/>
            <w:tcBorders>
              <w:top w:val="nil"/>
              <w:left w:val="nil"/>
              <w:bottom w:val="nil"/>
              <w:right w:val="nil"/>
            </w:tcBorders>
          </w:tcPr>
          <w:p w:rsidR="00BC254A" w:rsidRDefault="007914A5">
            <w:pPr>
              <w:pStyle w:val="Normal6a"/>
            </w:pPr>
            <w:r>
              <w:t>(16)</w:t>
            </w:r>
            <w:r>
              <w:tab/>
              <w:t>Der EU-Talentpool sollte zu dem Ziel beitragen, Anreize für irreguläre Migration zu beseitigen, indem unter anderem der Zugang zu bestehenden legalen Zugangswegen erleichtert wird. Arbeitsuchende aus Dritts</w:t>
            </w:r>
            <w:r>
              <w:t xml:space="preserve">taaten, gegen die eine richterliche oder behördliche Entscheidung, mit der die Einreise in einen Mitgliedstaat oder der Aufenthalt in einem Mitgliedstaat verweigert wird, oder ein Einreiseverbot </w:t>
            </w:r>
            <w:r>
              <w:rPr>
                <w:b/>
                <w:i/>
              </w:rPr>
              <w:t>im</w:t>
            </w:r>
            <w:r>
              <w:t xml:space="preserve"> Sinne der Richtlinie 2008/115/EG des Europäischen Parlamen</w:t>
            </w:r>
            <w:r>
              <w:t>ts und des Rates</w:t>
            </w:r>
            <w:r>
              <w:rPr>
                <w:vertAlign w:val="superscript"/>
              </w:rPr>
              <w:t>11</w:t>
            </w:r>
            <w:r>
              <w:t xml:space="preserve"> ergangen ist, sollten ihre Profile nicht auf der IT-Plattform des EU-Talentpools registrieren dürfen, da ihnen die Einreise in die Union und der Aufenthalt in der Union nicht gestattet werden. Zu diesem Zweck sollten Arbeitsuchende aus D</w:t>
            </w:r>
            <w:r>
              <w:t>rittstaaten vor der Registrierung ihrer Profile im EU-Talentpool erklären müssen, dass gegen sie derzeit weder eine Einreise- oder Aufenthaltsverweigerung in einem Mitgliedstaat noch ein Einreiseverbot in das Gebiet der Union vorliegt</w:t>
            </w:r>
            <w:r>
              <w:rPr>
                <w:b/>
                <w:i/>
              </w:rPr>
              <w:t>.</w:t>
            </w:r>
            <w:r>
              <w:t xml:space="preserve"> </w:t>
            </w:r>
            <w:r>
              <w:rPr>
                <w:b/>
                <w:i/>
              </w:rPr>
              <w:t xml:space="preserve">Gleiches sollte für </w:t>
            </w:r>
            <w:r>
              <w:rPr>
                <w:b/>
                <w:i/>
              </w:rPr>
              <w:t>die Richtlinie (EU) 2017/541 gelten, und Arbeitsuchende sollten außerdem verpflichtet werden, zu erklären, dass sie keine bekannte Verbindung zu Personen, Vereinigungen und Körperschaften haben, die dem Gemeinsamen Standpunkt 2001/931/GASP (im Folgenden „L</w:t>
            </w:r>
            <w:r>
              <w:rPr>
                <w:b/>
                <w:i/>
              </w:rPr>
              <w:t>iste“) unterliegen</w:t>
            </w:r>
            <w:r>
              <w:t>. Zudem sollten sie darüber informiert werden, welche Folgen sich aus falschen diesbezüglichen Angaben ergeben.</w:t>
            </w:r>
          </w:p>
        </w:tc>
      </w:tr>
      <w:tr w:rsidR="00BC254A">
        <w:trPr>
          <w:jc w:val="center"/>
        </w:trPr>
        <w:tc>
          <w:tcPr>
            <w:tcW w:w="4876" w:type="dxa"/>
            <w:tcBorders>
              <w:top w:val="nil"/>
              <w:left w:val="nil"/>
              <w:bottom w:val="nil"/>
              <w:right w:val="nil"/>
            </w:tcBorders>
          </w:tcPr>
          <w:p w:rsidR="00BC254A" w:rsidRDefault="007914A5">
            <w:pPr>
              <w:pStyle w:val="Normal6a"/>
            </w:pPr>
            <w:r>
              <w:rPr>
                <w:b/>
                <w:i/>
              </w:rPr>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11</w:t>
            </w:r>
            <w:r>
              <w:t xml:space="preserve"> Richtlinie 2008/115/EG des Europäischen Parlaments und des Rates vom 16. Dezember </w:t>
            </w:r>
            <w:r>
              <w:t>2008 über gemeinsame Normen und Verfahren in den Mitgliedstaaten zur Rückführung illegal aufhältiger Drittstaatsangehöriger (ABl. L 348 vom 24.12.2008, S. 98, ELI: http://data.europa.eu/eli/dir/2008/115/oj).</w:t>
            </w:r>
          </w:p>
        </w:tc>
        <w:tc>
          <w:tcPr>
            <w:tcW w:w="4876" w:type="dxa"/>
            <w:tcBorders>
              <w:top w:val="nil"/>
              <w:left w:val="nil"/>
              <w:bottom w:val="nil"/>
              <w:right w:val="nil"/>
            </w:tcBorders>
          </w:tcPr>
          <w:p w:rsidR="00BC254A" w:rsidRDefault="007914A5">
            <w:pPr>
              <w:pStyle w:val="Normal6a"/>
            </w:pPr>
            <w:r>
              <w:rPr>
                <w:vertAlign w:val="superscript"/>
              </w:rPr>
              <w:t>11</w:t>
            </w:r>
            <w:r>
              <w:t xml:space="preserve"> Richtlinie 2008/115/EG des Europäischen Parla</w:t>
            </w:r>
            <w:r>
              <w:t>ments und des Rates vom 16. Dezember 2008 über gemeinsame Normen und Verfahren in den Mitgliedstaaten zur Rückführung illegal aufhältiger Drittstaatsangehöriger (ABl. L 348 vom 24.12.2008, S. 98, ELI: http://data.europa.eu/eli/dir/2008/115/oj).</w:t>
            </w:r>
          </w:p>
        </w:tc>
      </w:tr>
    </w:tbl>
    <w:p w:rsidR="00BC254A" w:rsidRDefault="007914A5">
      <w:pPr>
        <w:pStyle w:val="AmOrLang"/>
      </w:pPr>
      <w:r>
        <w:lastRenderedPageBreak/>
        <w:t xml:space="preserve">Or. </w:t>
      </w:r>
      <w:r>
        <w:rPr>
          <w:rStyle w:val="HideTWBExt"/>
        </w:rPr>
        <w:t>&lt;Origi</w:t>
      </w:r>
      <w:r>
        <w:rPr>
          <w:rStyle w:val="HideTWBExt"/>
        </w:rPr>
        <w:t>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209</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(16)</w:t>
            </w:r>
            <w:r>
              <w:tab/>
              <w:t xml:space="preserve">Der EU-Talentpool sollte zu dem Ziel beitragen, Anreize für </w:t>
            </w:r>
            <w:r>
              <w:rPr>
                <w:b/>
                <w:i/>
              </w:rPr>
              <w:t>irreguläre</w:t>
            </w:r>
            <w:r>
              <w:t xml:space="preserve"> Migration zu </w:t>
            </w:r>
            <w:r>
              <w:rPr>
                <w:b/>
                <w:i/>
              </w:rPr>
              <w:t>beseitigen</w:t>
            </w:r>
            <w:r>
              <w:t xml:space="preserve">, indem unter anderem der Zugang zu bestehenden legalen Zugangswegen erleichtert wird. Arbeitsuchende aus Drittstaaten, gegen die eine </w:t>
            </w:r>
            <w:r>
              <w:rPr>
                <w:b/>
                <w:i/>
              </w:rPr>
              <w:t>richterliche oder behördliche</w:t>
            </w:r>
            <w:r>
              <w:t xml:space="preserve"> Entscheidung, mit der die Einreise in einen Mitgliedstaat oder der Aufenthalt in einem Mitgliedstaat verweigert wird, oder ein Einreiseverbot </w:t>
            </w:r>
            <w:r>
              <w:rPr>
                <w:b/>
                <w:i/>
              </w:rPr>
              <w:t>in</w:t>
            </w:r>
            <w:r>
              <w:t xml:space="preserve"> Sinne der Richtlinie 2008/115/EG des Europäischen Parlaments und des Rates</w:t>
            </w:r>
            <w:r>
              <w:rPr>
                <w:b/>
                <w:i/>
                <w:vertAlign w:val="superscript"/>
              </w:rPr>
              <w:t>11</w:t>
            </w:r>
            <w:r>
              <w:t>ergan</w:t>
            </w:r>
            <w:r>
              <w:t>gen ist, sollten ihre Profile nicht auf der IT-Plattform des EU-Talentpools registrieren dürfen, da ihnen die Einreise in die Union und der Aufenthalt in der Union nicht gestattet werden. Zu diesem Zweck sollten Arbeitsuchende aus Drittstaaten vor der Regi</w:t>
            </w:r>
            <w:r>
              <w:t>strierung ihrer Profile im EU-Talentpool erklären müssen, dass gegen sie derzeit weder eine Einreise- oder Aufenthaltsverweigerung in einem Mitgliedstaat noch ein Einreiseverbot in das Gebiet der Union vorliegt. Zudem sollten sie darüber informiert werden,</w:t>
            </w:r>
            <w:r>
              <w:t xml:space="preserve"> welche Folgen sich aus falschen diesbezüglichen Angaben ergeben.</w:t>
            </w:r>
          </w:p>
        </w:tc>
        <w:tc>
          <w:tcPr>
            <w:tcW w:w="4876" w:type="dxa"/>
            <w:tcBorders>
              <w:top w:val="nil"/>
              <w:left w:val="nil"/>
              <w:bottom w:val="nil"/>
              <w:right w:val="nil"/>
            </w:tcBorders>
          </w:tcPr>
          <w:p w:rsidR="00BC254A" w:rsidRDefault="007914A5">
            <w:pPr>
              <w:pStyle w:val="Normal6a"/>
            </w:pPr>
            <w:r>
              <w:t>(16)</w:t>
            </w:r>
            <w:r>
              <w:tab/>
              <w:t xml:space="preserve">Der EU-Talentpool sollte zu dem Ziel beitragen, Anreize für </w:t>
            </w:r>
            <w:r>
              <w:rPr>
                <w:b/>
                <w:i/>
              </w:rPr>
              <w:t>reguläre</w:t>
            </w:r>
            <w:r>
              <w:t xml:space="preserve"> Migration zu </w:t>
            </w:r>
            <w:r>
              <w:rPr>
                <w:b/>
                <w:i/>
              </w:rPr>
              <w:t>schaffen</w:t>
            </w:r>
            <w:r>
              <w:t>, indem unter anderem der Zugang zu bestehenden legalen Zugangswegen erleichtert wird. Arbeitsu</w:t>
            </w:r>
            <w:r>
              <w:t xml:space="preserve">chende aus Drittstaaten, gegen die eine </w:t>
            </w:r>
            <w:r>
              <w:rPr>
                <w:b/>
                <w:i/>
              </w:rPr>
              <w:t>aktuelle richterliche</w:t>
            </w:r>
            <w:r>
              <w:t xml:space="preserve"> Entscheidung, mit der die Einreise in einen Mitgliedstaat oder der Aufenthalt in einem Mitgliedstaat verweigert wird, oder ein </w:t>
            </w:r>
            <w:r>
              <w:rPr>
                <w:b/>
                <w:i/>
              </w:rPr>
              <w:t>aktiviertes</w:t>
            </w:r>
            <w:r>
              <w:t xml:space="preserve"> Einreiseverbot </w:t>
            </w:r>
            <w:r>
              <w:rPr>
                <w:b/>
                <w:i/>
              </w:rPr>
              <w:t>im</w:t>
            </w:r>
            <w:r>
              <w:t xml:space="preserve"> Sinne der Richtlinie 2008/115/EG des </w:t>
            </w:r>
            <w:r>
              <w:t>Europäischen Parlaments und des Rates</w:t>
            </w:r>
            <w:r>
              <w:rPr>
                <w:b/>
                <w:i/>
                <w:vertAlign w:val="superscript"/>
              </w:rPr>
              <w:t>35</w:t>
            </w:r>
            <w:r>
              <w:t xml:space="preserve"> ergangen ist, sollten ihre Profile nicht auf der IT-Plattform des EU-Talentpools registrieren dürfen, da ihnen die Einreise in die Union und der Aufenthalt in der Union nicht gestattet werden. Zu diesem Zweck sollten</w:t>
            </w:r>
            <w:r>
              <w:t xml:space="preserve"> Arbeitsuchende aus Drittstaaten vor der Registrierung ihrer Profile im EU-Talentpool erklären müssen, dass gegen sie derzeit weder eine </w:t>
            </w:r>
            <w:r>
              <w:rPr>
                <w:b/>
                <w:i/>
              </w:rPr>
              <w:t>richterliche</w:t>
            </w:r>
            <w:r>
              <w:t xml:space="preserve"> Einreise- oder Aufenthaltsverweigerung in einem Mitgliedstaat noch ein Einreiseverbot in das Gebiet der Un</w:t>
            </w:r>
            <w:r>
              <w:t xml:space="preserve">ion vorliegt. Zudem sollten sie darüber informiert werden, welche Folgen sich aus falschen diesbezüglichen Angaben ergeben. </w:t>
            </w:r>
            <w:r>
              <w:rPr>
                <w:b/>
                <w:i/>
              </w:rPr>
              <w:t xml:space="preserve">Nach Ablauf der Gültigkeit der richterlichen Entscheidung oder des Einreiseverbots sollte der Arbeitsuchende einen neuen Antrag auf </w:t>
            </w:r>
            <w:r>
              <w:rPr>
                <w:b/>
                <w:i/>
              </w:rPr>
              <w:t>Registrierung eines Profils auf der IT-Plattform des EU-Talentpools stellen können.</w:t>
            </w:r>
          </w:p>
        </w:tc>
      </w:tr>
      <w:tr w:rsidR="00BC254A">
        <w:trPr>
          <w:jc w:val="center"/>
        </w:trPr>
        <w:tc>
          <w:tcPr>
            <w:tcW w:w="4876" w:type="dxa"/>
            <w:tcBorders>
              <w:top w:val="nil"/>
              <w:left w:val="nil"/>
              <w:bottom w:val="nil"/>
              <w:right w:val="nil"/>
            </w:tcBorders>
          </w:tcPr>
          <w:p w:rsidR="00BC254A" w:rsidRDefault="007914A5">
            <w:pPr>
              <w:pStyle w:val="Normal6a"/>
            </w:pPr>
            <w:r>
              <w:rPr>
                <w:b/>
                <w:i/>
              </w:rPr>
              <w:t>_________________</w:t>
            </w:r>
          </w:p>
        </w:tc>
        <w:tc>
          <w:tcPr>
            <w:tcW w:w="4876" w:type="dxa"/>
            <w:tcBorders>
              <w:top w:val="nil"/>
              <w:left w:val="nil"/>
              <w:bottom w:val="nil"/>
              <w:right w:val="nil"/>
            </w:tcBorders>
          </w:tcPr>
          <w:p w:rsidR="00BC254A" w:rsidRDefault="00BC254A"/>
        </w:tc>
      </w:tr>
      <w:tr w:rsidR="00BC254A">
        <w:trPr>
          <w:jc w:val="center"/>
        </w:trPr>
        <w:tc>
          <w:tcPr>
            <w:tcW w:w="4876" w:type="dxa"/>
            <w:tcBorders>
              <w:top w:val="nil"/>
              <w:left w:val="nil"/>
              <w:bottom w:val="nil"/>
              <w:right w:val="nil"/>
            </w:tcBorders>
          </w:tcPr>
          <w:p w:rsidR="00BC254A" w:rsidRDefault="007914A5">
            <w:pPr>
              <w:pStyle w:val="Normal6a"/>
            </w:pPr>
            <w:r>
              <w:rPr>
                <w:b/>
                <w:i/>
                <w:vertAlign w:val="superscript"/>
              </w:rPr>
              <w:t>11</w:t>
            </w:r>
            <w:r>
              <w:t xml:space="preserve"> </w:t>
            </w:r>
            <w:r>
              <w:rPr>
                <w:b/>
                <w:i/>
              </w:rPr>
              <w:t xml:space="preserve">Richtlinie 2008/115/EG des </w:t>
            </w:r>
            <w:r>
              <w:rPr>
                <w:b/>
                <w:i/>
              </w:rPr>
              <w:lastRenderedPageBreak/>
              <w:t xml:space="preserve">Europäischen Parlaments und des Rates vom 16. Dezember 2008 über gemeinsame Normen und Verfahren in den Mitgliedstaaten </w:t>
            </w:r>
            <w:r>
              <w:rPr>
                <w:b/>
                <w:i/>
              </w:rPr>
              <w:t>zur Rückführung illegal aufhältiger Drittstaatsangehöriger (ABl.</w:t>
            </w:r>
            <w:r>
              <w:t xml:space="preserve"> </w:t>
            </w:r>
            <w:r>
              <w:rPr>
                <w:b/>
                <w:i/>
              </w:rPr>
              <w:t>L 348 vom 24.12.2008, S.</w:t>
            </w:r>
            <w:r>
              <w:t xml:space="preserve"> </w:t>
            </w:r>
            <w:r>
              <w:rPr>
                <w:b/>
                <w:i/>
              </w:rPr>
              <w:t>98, ELI: http://data.europa.eu/eli/dir/2008/115/oj).</w:t>
            </w:r>
          </w:p>
        </w:tc>
        <w:tc>
          <w:tcPr>
            <w:tcW w:w="4876" w:type="dxa"/>
            <w:tcBorders>
              <w:top w:val="nil"/>
              <w:left w:val="nil"/>
              <w:bottom w:val="nil"/>
              <w:right w:val="nil"/>
            </w:tcBorders>
          </w:tcPr>
          <w:p w:rsidR="00BC254A" w:rsidRDefault="00BC254A"/>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210</w:t>
      </w:r>
      <w:r>
        <w:rPr>
          <w:rStyle w:val="HideTWBExt"/>
        </w:rPr>
        <w:t>&lt;/NumAmB&gt;</w:t>
      </w:r>
    </w:p>
    <w:p w:rsidR="00BC254A" w:rsidRDefault="007914A5">
      <w:pPr>
        <w:pStyle w:val="NormalBold"/>
      </w:pPr>
      <w:r>
        <w:rPr>
          <w:rStyle w:val="HideTWBExt"/>
          <w:b w:val="0"/>
        </w:rPr>
        <w:t>&lt;RepeatBlock-By&gt;&lt;Member</w:t>
      </w:r>
      <w:r>
        <w:rPr>
          <w:rStyle w:val="HideTWBExt"/>
          <w:b w:val="0"/>
        </w:rPr>
        <w:t>s&gt;</w:t>
      </w:r>
      <w:r>
        <w:t>Jan-Christoph Oetjen, Abir Al-Sahlani, Hilde Vautmans, Irena Joveva,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(16)</w:t>
            </w:r>
            <w:r>
              <w:tab/>
            </w:r>
            <w:r>
              <w:t xml:space="preserve">Der EU-Talentpool sollte zu dem Ziel beitragen, </w:t>
            </w:r>
            <w:r>
              <w:rPr>
                <w:b/>
                <w:i/>
              </w:rPr>
              <w:t>Anreize für irreguläre</w:t>
            </w:r>
            <w:r>
              <w:t xml:space="preserve"> Migration zu </w:t>
            </w:r>
            <w:r>
              <w:rPr>
                <w:b/>
                <w:i/>
              </w:rPr>
              <w:t>beseitigen</w:t>
            </w:r>
            <w:r>
              <w:t xml:space="preserve">, indem </w:t>
            </w:r>
            <w:r>
              <w:rPr>
                <w:b/>
                <w:i/>
              </w:rPr>
              <w:t>unter anderem der</w:t>
            </w:r>
            <w:r>
              <w:t xml:space="preserve"> Zugang zu bestehenden legalen </w:t>
            </w:r>
            <w:r>
              <w:rPr>
                <w:b/>
                <w:i/>
              </w:rPr>
              <w:t>Zugangswegen erleichtert wird</w:t>
            </w:r>
            <w:r>
              <w:t>. Arbeitsuchende aus Drittstaaten, gegen die eine richterliche oder behördlic</w:t>
            </w:r>
            <w:r>
              <w:t xml:space="preserve">he Entscheidung, mit der die Einreise in einen Mitgliedstaat oder der Aufenthalt in einem Mitgliedstaat verweigert wird, oder ein Einreiseverbot </w:t>
            </w:r>
            <w:r>
              <w:rPr>
                <w:b/>
                <w:i/>
              </w:rPr>
              <w:t>in</w:t>
            </w:r>
            <w:r>
              <w:t xml:space="preserve"> Sinne der Richtlinie 2008/115/EG des Europäischen Parlaments und des Rates</w:t>
            </w:r>
            <w:r>
              <w:rPr>
                <w:vertAlign w:val="superscript"/>
              </w:rPr>
              <w:t>11</w:t>
            </w:r>
            <w:r>
              <w:t>ergangen ist, sollten ihre Profi</w:t>
            </w:r>
            <w:r>
              <w:t xml:space="preserve">le nicht auf der IT-Plattform des EU-Talentpools registrieren dürfen, da ihnen die Einreise in die Union und der Aufenthalt in der Union nicht gestattet werden. Zu diesem Zweck sollten Arbeitsuchende aus Drittstaaten vor der Registrierung ihrer Profile im </w:t>
            </w:r>
            <w:r>
              <w:t>EU-Talentpool erklären müssen, dass gegen sie derzeit weder eine Einreise- oder Aufenthaltsverweigerung in einem Mitgliedstaat noch ein Einreiseverbot in das Gebiet der Union vorliegt. Zudem sollten sie darüber informiert werden, welche Folgen sich aus fal</w:t>
            </w:r>
            <w:r>
              <w:t xml:space="preserve">schen </w:t>
            </w:r>
            <w:r>
              <w:lastRenderedPageBreak/>
              <w:t>diesbezüglichen Angaben ergeben.</w:t>
            </w:r>
          </w:p>
        </w:tc>
        <w:tc>
          <w:tcPr>
            <w:tcW w:w="4876" w:type="dxa"/>
            <w:tcBorders>
              <w:top w:val="nil"/>
              <w:left w:val="nil"/>
              <w:bottom w:val="nil"/>
              <w:right w:val="nil"/>
            </w:tcBorders>
          </w:tcPr>
          <w:p w:rsidR="00BC254A" w:rsidRDefault="007914A5">
            <w:pPr>
              <w:pStyle w:val="Normal6a"/>
            </w:pPr>
            <w:r>
              <w:lastRenderedPageBreak/>
              <w:t>(16)</w:t>
            </w:r>
            <w:r>
              <w:tab/>
              <w:t xml:space="preserve">Der EU-Talentpool sollte </w:t>
            </w:r>
            <w:r>
              <w:rPr>
                <w:b/>
                <w:i/>
              </w:rPr>
              <w:t>einerseits</w:t>
            </w:r>
            <w:r>
              <w:t xml:space="preserve"> zu dem Ziel beitragen, </w:t>
            </w:r>
            <w:r>
              <w:rPr>
                <w:b/>
                <w:i/>
              </w:rPr>
              <w:t>die legale</w:t>
            </w:r>
            <w:r>
              <w:t xml:space="preserve"> Migration zu </w:t>
            </w:r>
            <w:r>
              <w:rPr>
                <w:b/>
                <w:i/>
              </w:rPr>
              <w:t>fördern</w:t>
            </w:r>
            <w:r>
              <w:t xml:space="preserve">, indem </w:t>
            </w:r>
            <w:r>
              <w:rPr>
                <w:b/>
                <w:i/>
              </w:rPr>
              <w:t>er die internationale Anwerbung von Drittstaatsangehörigen und ihren</w:t>
            </w:r>
            <w:r>
              <w:t xml:space="preserve"> Zugang zu bestehenden legalen </w:t>
            </w:r>
            <w:r>
              <w:rPr>
                <w:b/>
                <w:i/>
              </w:rPr>
              <w:t xml:space="preserve">Wegen fördert, </w:t>
            </w:r>
            <w:r>
              <w:rPr>
                <w:b/>
                <w:i/>
              </w:rPr>
              <w:t>und andererseits von irregulärer Migration abhalten, indem er dazu beiträgt, deren Ursachen zu bekämpfen</w:t>
            </w:r>
            <w:r>
              <w:t>. Arbeitsuchende aus Drittstaaten, gegen die eine richterliche oder behördliche Entscheidung, mit der die Einreise in einen Mitgliedstaat oder der Aufen</w:t>
            </w:r>
            <w:r>
              <w:t xml:space="preserve">thalt in einem Mitgliedstaat verweigert wird, oder ein Einreiseverbot </w:t>
            </w:r>
            <w:r>
              <w:rPr>
                <w:b/>
                <w:i/>
              </w:rPr>
              <w:t>im</w:t>
            </w:r>
            <w:r>
              <w:t xml:space="preserve"> Sinne der Richtlinie 2008/115/EG des Europäischen Parlaments und des Rates</w:t>
            </w:r>
            <w:r>
              <w:rPr>
                <w:vertAlign w:val="superscript"/>
              </w:rPr>
              <w:t>11</w:t>
            </w:r>
            <w:r>
              <w:t xml:space="preserve"> ergangen ist, sollten ihre Profile nicht auf der IT-Plattform des EU-Talentpools registrieren dürfen, da i</w:t>
            </w:r>
            <w:r>
              <w:t>hnen die Einreise in die Union und der Aufenthalt in der Union nicht gestattet werden. Zu diesem Zweck sollten Arbeitsuchende aus Drittstaaten vor der Registrierung ihrer Profile im EU-Talentpool erklären müssen, dass gegen sie derzeit weder eine Einreise-</w:t>
            </w:r>
            <w:r>
              <w:t xml:space="preserve"> oder Aufenthaltsverweigerung in einem Mitgliedstaat noch ein Einreiseverbot in </w:t>
            </w:r>
            <w:r>
              <w:lastRenderedPageBreak/>
              <w:t>das Gebiet der Union vorliegt. Zudem sollten sie darüber informiert werden, welche Folgen sich aus falschen diesbezüglichen Angaben ergeben.</w:t>
            </w:r>
          </w:p>
        </w:tc>
      </w:tr>
      <w:tr w:rsidR="00BC254A">
        <w:trPr>
          <w:jc w:val="center"/>
        </w:trPr>
        <w:tc>
          <w:tcPr>
            <w:tcW w:w="4876" w:type="dxa"/>
            <w:tcBorders>
              <w:top w:val="nil"/>
              <w:left w:val="nil"/>
              <w:bottom w:val="nil"/>
              <w:right w:val="nil"/>
            </w:tcBorders>
          </w:tcPr>
          <w:p w:rsidR="00BC254A" w:rsidRDefault="007914A5">
            <w:pPr>
              <w:pStyle w:val="Normal6a"/>
            </w:pPr>
            <w:r>
              <w:rPr>
                <w:b/>
                <w:i/>
              </w:rPr>
              <w:lastRenderedPageBreak/>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11</w:t>
            </w:r>
            <w:r>
              <w:t xml:space="preserve"> Richtlinie 2008/115/EG des Europäischen Parlaments und des Rates vom 16. Dezember 2008 über gemeinsame Normen und Verfahren in den Mitgliedstaaten zur Rückführung illegal aufhältiger Drittstaatsangehöriger (ABl. L 348 vom 24.12.2008, </w:t>
            </w:r>
            <w:r>
              <w:t>S. 98, ELI: http://data.europa.eu/eli/dir/2008/115/oj).</w:t>
            </w:r>
          </w:p>
        </w:tc>
        <w:tc>
          <w:tcPr>
            <w:tcW w:w="4876" w:type="dxa"/>
            <w:tcBorders>
              <w:top w:val="nil"/>
              <w:left w:val="nil"/>
              <w:bottom w:val="nil"/>
              <w:right w:val="nil"/>
            </w:tcBorders>
          </w:tcPr>
          <w:p w:rsidR="00BC254A" w:rsidRDefault="007914A5">
            <w:pPr>
              <w:pStyle w:val="Normal6a"/>
            </w:pPr>
            <w:r>
              <w:rPr>
                <w:vertAlign w:val="superscript"/>
              </w:rPr>
              <w:t>11</w:t>
            </w:r>
            <w:r>
              <w:t xml:space="preserve"> Richtlinie 2008/115/EG des Europäischen Parlaments und des Rates vom 16. Dezember 2008 über gemeinsame Normen und Verfahren in den Mitgliedstaaten zur Rückführung illegal aufhältiger Drittstaatsang</w:t>
            </w:r>
            <w:r>
              <w:t>ehöriger (ABl. L 348 vom 24.12.2008, S. 98, ELI: http://data.europa.eu/eli/dir/2008/115/oj).</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211</w:t>
      </w:r>
      <w:r>
        <w:rPr>
          <w:rStyle w:val="HideTWBExt"/>
        </w:rPr>
        <w:t>&lt;/NumAmB&gt;</w:t>
      </w:r>
    </w:p>
    <w:p w:rsidR="00BC254A" w:rsidRDefault="007914A5">
      <w:pPr>
        <w:pStyle w:val="NormalBold"/>
      </w:pPr>
      <w:r>
        <w:rPr>
          <w:rStyle w:val="HideTWBExt"/>
          <w:b w:val="0"/>
        </w:rPr>
        <w:t>&lt;RepeatBlock-By&gt;&lt;Members&gt;</w:t>
      </w:r>
      <w:r>
        <w:t>François-Xavier Bellamy</w:t>
      </w:r>
      <w:r>
        <w:rPr>
          <w:rStyle w:val="HideTWBExt"/>
          <w:b w:val="0"/>
        </w:rPr>
        <w:t>&lt;/Members&gt;</w:t>
      </w:r>
    </w:p>
    <w:p w:rsidR="00BC254A" w:rsidRDefault="007914A5">
      <w:pPr>
        <w:pStyle w:val="NormalBold"/>
      </w:pPr>
      <w:r>
        <w:rPr>
          <w:rStyle w:val="HideTWBExt"/>
          <w:b w:val="0"/>
        </w:rPr>
        <w:t>&lt;/RepeatBlock-B</w:t>
      </w:r>
      <w:r>
        <w:rPr>
          <w:rStyle w:val="HideTWBExt"/>
          <w:b w:val="0"/>
        </w:rPr>
        <w:t>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(16)</w:t>
            </w:r>
            <w:r>
              <w:tab/>
              <w:t>Der EU-Talentpool sollte zu dem Ziel beitragen, Anreize für irreguläre Migration zu beseitigen</w:t>
            </w:r>
            <w:r>
              <w:rPr>
                <w:b/>
                <w:i/>
              </w:rPr>
              <w:t xml:space="preserve">, indem unter anderem der </w:t>
            </w:r>
            <w:r>
              <w:rPr>
                <w:b/>
                <w:i/>
              </w:rPr>
              <w:t>Zugang zu bestehenden legalen Zugangswegen erleichtert wird</w:t>
            </w:r>
            <w:r>
              <w:t>. Arbeitsuchende aus Drittstaaten, gegen die eine richterliche oder behördliche Entscheidung, mit der die Einreise in einen Mitgliedstaat oder der Aufenthalt in einem Mitgliedstaat verweigert wird,</w:t>
            </w:r>
            <w:r>
              <w:t xml:space="preserve"> oder ein Einreiseverbot in Sinne der Richtlinie 2008/115/EG des Europäischen Parlaments und des Rates</w:t>
            </w:r>
            <w:r>
              <w:rPr>
                <w:vertAlign w:val="superscript"/>
              </w:rPr>
              <w:t>11</w:t>
            </w:r>
            <w:r>
              <w:t>ergangen ist, sollten ihre Profile nicht auf der IT-Plattform des EU-Talentpools registrieren dürfen, da ihnen die Einreise in die Union und der Aufenth</w:t>
            </w:r>
            <w:r>
              <w:t xml:space="preserve">alt in der Union nicht gestattet werden. Zu diesem Zweck sollten Arbeitsuchende aus Drittstaaten vor der Registrierung ihrer Profile im EU-Talentpool erklären müssen, dass gegen sie </w:t>
            </w:r>
            <w:r>
              <w:lastRenderedPageBreak/>
              <w:t>derzeit weder eine Einreise- oder Aufenthaltsverweigerung in einem Mitglie</w:t>
            </w:r>
            <w:r>
              <w:t>dstaat noch ein Einreiseverbot in das Gebiet der Union vorliegt. Zudem sollten sie darüber informiert werden, welche Folgen sich aus falschen diesbezüglichen Angaben ergeben.</w:t>
            </w:r>
          </w:p>
        </w:tc>
        <w:tc>
          <w:tcPr>
            <w:tcW w:w="4876" w:type="dxa"/>
            <w:tcBorders>
              <w:top w:val="nil"/>
              <w:left w:val="nil"/>
              <w:bottom w:val="nil"/>
              <w:right w:val="nil"/>
            </w:tcBorders>
          </w:tcPr>
          <w:p w:rsidR="00BC254A" w:rsidRDefault="007914A5">
            <w:pPr>
              <w:pStyle w:val="Normal6a"/>
            </w:pPr>
            <w:r>
              <w:lastRenderedPageBreak/>
              <w:t>(16)</w:t>
            </w:r>
            <w:r>
              <w:tab/>
              <w:t>Der EU-Talentpool sollte zu dem Ziel beitragen, Anreize für irreguläre Migra</w:t>
            </w:r>
            <w:r>
              <w:t>tion zu beseitigen. Arbeitsuchende aus Drittstaaten, gegen die eine richterliche oder behördliche Entscheidung, mit der die Einreise in einen Mitgliedstaat oder der Aufenthalt in einem Mitgliedstaat verweigert wird, oder ein Einreiseverbot in Sinne der Ric</w:t>
            </w:r>
            <w:r>
              <w:t>htlinie 2008/115/EG des Europäischen Parlaments und des Rates</w:t>
            </w:r>
            <w:r>
              <w:rPr>
                <w:vertAlign w:val="superscript"/>
              </w:rPr>
              <w:t>11</w:t>
            </w:r>
            <w:r>
              <w:t xml:space="preserve"> ergangen ist, sollten ihre Profile nicht auf der IT-Plattform des EU-Talentpools registrieren dürfen, da ihnen die Einreise in die Union und der Aufenthalt in der Union nicht gestattet werden.</w:t>
            </w:r>
            <w:r>
              <w:t xml:space="preserve"> Zu diesem Zweck sollten Arbeitsuchende aus Drittstaaten vor der Registrierung ihrer Profile im EU-Talentpool erklären müssen, dass gegen sie derzeit weder eine Einreise- oder Aufenthaltsverweigerung in einem Mitgliedstaat noch ein Einreiseverbot in </w:t>
            </w:r>
            <w:r>
              <w:lastRenderedPageBreak/>
              <w:t>das Ge</w:t>
            </w:r>
            <w:r>
              <w:t>biet der Union vorliegt. Zudem sollten sie darüber informiert werden, welche Folgen sich aus falschen diesbezüglichen Angaben ergeben.</w:t>
            </w:r>
          </w:p>
        </w:tc>
      </w:tr>
      <w:tr w:rsidR="00BC254A">
        <w:trPr>
          <w:jc w:val="center"/>
        </w:trPr>
        <w:tc>
          <w:tcPr>
            <w:tcW w:w="4876" w:type="dxa"/>
            <w:tcBorders>
              <w:top w:val="nil"/>
              <w:left w:val="nil"/>
              <w:bottom w:val="nil"/>
              <w:right w:val="nil"/>
            </w:tcBorders>
          </w:tcPr>
          <w:p w:rsidR="00BC254A" w:rsidRDefault="007914A5">
            <w:pPr>
              <w:pStyle w:val="Normal6a"/>
            </w:pPr>
            <w:r>
              <w:rPr>
                <w:b/>
                <w:i/>
              </w:rPr>
              <w:lastRenderedPageBreak/>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11</w:t>
            </w:r>
            <w:r>
              <w:t xml:space="preserve"> Richtlinie 2008/115/EG des Europäischen Parlaments und des Rates vom 16. </w:t>
            </w:r>
            <w:r>
              <w:t>Dezember 2008 über gemeinsame Normen und Verfahren in den Mitgliedstaaten zur Rückführung illegal aufhältiger Drittstaatsangehöriger (ABl. L 348 vom 24.12.2008, S. 98, ELI: http://data.europa.eu/eli/dir/2008/115/oj).</w:t>
            </w:r>
          </w:p>
        </w:tc>
        <w:tc>
          <w:tcPr>
            <w:tcW w:w="4876" w:type="dxa"/>
            <w:tcBorders>
              <w:top w:val="nil"/>
              <w:left w:val="nil"/>
              <w:bottom w:val="nil"/>
              <w:right w:val="nil"/>
            </w:tcBorders>
          </w:tcPr>
          <w:p w:rsidR="00BC254A" w:rsidRDefault="007914A5">
            <w:pPr>
              <w:pStyle w:val="Normal6a"/>
            </w:pPr>
            <w:r>
              <w:rPr>
                <w:vertAlign w:val="superscript"/>
              </w:rPr>
              <w:t>11</w:t>
            </w:r>
            <w:r>
              <w:t xml:space="preserve"> Richtlinie 2008/115/EG des Europäisc</w:t>
            </w:r>
            <w:r>
              <w:t>hen Parlaments und des Rates vom 16. Dezember 2008 über gemeinsame Normen und Verfahren in den Mitgliedstaaten zur Rückführung illegal aufhältiger Drittstaatsangehöriger (ABl. L 348 vom 24.12.2008, S. 98, ELI: http://data.europa.eu/eli/dir/2008/115/oj).</w:t>
            </w:r>
          </w:p>
        </w:tc>
      </w:tr>
    </w:tbl>
    <w:p w:rsidR="00BC254A" w:rsidRDefault="007914A5">
      <w:pPr>
        <w:pStyle w:val="AmOrLang"/>
      </w:pPr>
      <w:r>
        <w:t>O</w:t>
      </w:r>
      <w:r>
        <w:t xml:space="preserve">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212</w:t>
      </w:r>
      <w:r>
        <w:rPr>
          <w:rStyle w:val="HideTWBExt"/>
        </w:rPr>
        <w:t>&lt;/NumAmB&gt;</w:t>
      </w:r>
    </w:p>
    <w:p w:rsidR="00BC254A" w:rsidRDefault="007914A5">
      <w:pPr>
        <w:pStyle w:val="NormalBold"/>
      </w:pPr>
      <w:r>
        <w:rPr>
          <w:rStyle w:val="HideTWBExt"/>
          <w:b w:val="0"/>
        </w:rPr>
        <w:t>&lt;RepeatBlock-By&gt;&lt;Members&gt;</w:t>
      </w:r>
      <w:r>
        <w:t>Charlie Weimers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 xml:space="preserve">Vorschlag der </w:t>
            </w:r>
            <w:r>
              <w:t>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(16)</w:t>
            </w:r>
            <w:r>
              <w:tab/>
            </w:r>
            <w:r>
              <w:rPr>
                <w:b/>
                <w:i/>
              </w:rPr>
              <w:t>Der EU-Talentpool sollte zu dem Ziel beitragen, Anreize für irreguläre Migration zu beseitigen, indem unter anderem der Zugang zu bestehenden legalen Zugangswegen erleichtert wird.</w:t>
            </w:r>
            <w:r>
              <w:t xml:space="preserve"> Arbeitsuchende aus Drittstaaten, gegen die</w:t>
            </w:r>
            <w:r>
              <w:t xml:space="preserve"> eine richterliche oder behördliche Entscheidung, mit der die Einreise in einen Mitgliedstaat oder der Aufenthalt in einem Mitgliedstaat verweigert wird, oder ein Einreiseverbot in Sinne der Richtlinie 2008/115/EG des Europäischen Parlaments und des Rates</w:t>
            </w:r>
            <w:r>
              <w:rPr>
                <w:vertAlign w:val="superscript"/>
              </w:rPr>
              <w:t>1</w:t>
            </w:r>
            <w:r>
              <w:rPr>
                <w:vertAlign w:val="superscript"/>
              </w:rPr>
              <w:t>1</w:t>
            </w:r>
            <w:r>
              <w:t xml:space="preserve">ergangen ist, sollten ihre Profile nicht auf der IT-Plattform des EU-Talentpools registrieren dürfen, da ihnen die Einreise in die Union und der Aufenthalt in der Union nicht gestattet werden. Zu diesem Zweck sollten </w:t>
            </w:r>
            <w:r>
              <w:lastRenderedPageBreak/>
              <w:t>Arbeitsuchende aus Drittstaaten vor de</w:t>
            </w:r>
            <w:r>
              <w:t>r Registrierung ihrer Profile im EU-Talentpool erklären müssen, dass gegen sie derzeit weder eine Einreise- oder Aufenthaltsverweigerung in einem Mitgliedstaat noch ein Einreiseverbot in das Gebiet der Union vorliegt. Zudem sollten sie darüber informiert w</w:t>
            </w:r>
            <w:r>
              <w:t>erden, welche Folgen sich aus falschen diesbezüglichen Angaben ergeben.</w:t>
            </w:r>
          </w:p>
        </w:tc>
        <w:tc>
          <w:tcPr>
            <w:tcW w:w="4876" w:type="dxa"/>
            <w:tcBorders>
              <w:top w:val="nil"/>
              <w:left w:val="nil"/>
              <w:bottom w:val="nil"/>
              <w:right w:val="nil"/>
            </w:tcBorders>
          </w:tcPr>
          <w:p w:rsidR="00BC254A" w:rsidRDefault="007914A5">
            <w:pPr>
              <w:pStyle w:val="Normal6a"/>
            </w:pPr>
            <w:r>
              <w:lastRenderedPageBreak/>
              <w:t>(16)</w:t>
            </w:r>
            <w:r>
              <w:tab/>
              <w:t xml:space="preserve">Arbeitsuchende aus Drittstaaten, gegen die eine richterliche oder behördliche Entscheidung, mit der die Einreise in einen Mitgliedstaat oder der Aufenthalt in einem Mitgliedstaat </w:t>
            </w:r>
            <w:r>
              <w:t>verweigert wird, oder ein Einreiseverbot in Sinne der Richtlinie 2008/115/EG des Europäischen Parlaments und des Rates</w:t>
            </w:r>
            <w:r>
              <w:rPr>
                <w:vertAlign w:val="superscript"/>
              </w:rPr>
              <w:t>11</w:t>
            </w:r>
            <w:r>
              <w:t xml:space="preserve"> ergangen ist, sollten ihre Profile nicht auf der IT-Plattform des EU-Talentpools registrieren dürfen, da ihnen die Einreise in die Unio</w:t>
            </w:r>
            <w:r>
              <w:t>n und der Aufenthalt in der Union nicht gestattet werden. Zu diesem Zweck sollten Arbeitsuchende aus Drittstaaten vor der Registrierung ihrer Profile im EU-Talentpool erklären müssen, dass gegen sie derzeit weder eine Einreise- oder Aufenthaltsverweigerung</w:t>
            </w:r>
            <w:r>
              <w:t xml:space="preserve"> in einem </w:t>
            </w:r>
            <w:r>
              <w:lastRenderedPageBreak/>
              <w:t>Mitgliedstaat noch ein Einreiseverbot in das Gebiet der Union vorliegt. Zudem sollten sie darüber informiert werden, welche Folgen sich aus falschen diesbezüglichen Angaben ergeben</w:t>
            </w:r>
            <w:r>
              <w:rPr>
                <w:b/>
                <w:i/>
              </w:rPr>
              <w:t>, und es sollte eine schriftliche Genehmigung erteilt werden, dass</w:t>
            </w:r>
            <w:r>
              <w:rPr>
                <w:b/>
                <w:i/>
              </w:rPr>
              <w:t xml:space="preserve"> sie in Haft genommen werden und freiwillig zurückzukehren, wenn festgestellt wird, dass sie eine falsche Erklärung abgegeben oder gegen ein Gesetz verstoßen haben</w:t>
            </w:r>
            <w:r>
              <w:t>.</w:t>
            </w:r>
          </w:p>
        </w:tc>
      </w:tr>
      <w:tr w:rsidR="00BC254A">
        <w:trPr>
          <w:jc w:val="center"/>
        </w:trPr>
        <w:tc>
          <w:tcPr>
            <w:tcW w:w="4876" w:type="dxa"/>
            <w:tcBorders>
              <w:top w:val="nil"/>
              <w:left w:val="nil"/>
              <w:bottom w:val="nil"/>
              <w:right w:val="nil"/>
            </w:tcBorders>
          </w:tcPr>
          <w:p w:rsidR="00BC254A" w:rsidRDefault="007914A5">
            <w:pPr>
              <w:pStyle w:val="Normal6a"/>
            </w:pPr>
            <w:r>
              <w:rPr>
                <w:b/>
                <w:i/>
              </w:rPr>
              <w:lastRenderedPageBreak/>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11</w:t>
            </w:r>
            <w:r>
              <w:t xml:space="preserve"> Richtlinie 2008/115/EG des Europäischen Parlaments</w:t>
            </w:r>
            <w:r>
              <w:t xml:space="preserve"> und des Rates vom 16. Dezember 2008 über gemeinsame Normen und Verfahren in den Mitgliedstaaten zur Rückführung illegal aufhältiger Drittstaatsangehöriger (ABl. L 348 vom 24.12.2008, S. 98, ELI: http://data.europa.eu/eli/dir/2008/115/oj).</w:t>
            </w:r>
          </w:p>
        </w:tc>
        <w:tc>
          <w:tcPr>
            <w:tcW w:w="4876" w:type="dxa"/>
            <w:tcBorders>
              <w:top w:val="nil"/>
              <w:left w:val="nil"/>
              <w:bottom w:val="nil"/>
              <w:right w:val="nil"/>
            </w:tcBorders>
          </w:tcPr>
          <w:p w:rsidR="00BC254A" w:rsidRDefault="007914A5">
            <w:pPr>
              <w:pStyle w:val="Normal6a"/>
            </w:pPr>
            <w:r>
              <w:rPr>
                <w:vertAlign w:val="superscript"/>
              </w:rPr>
              <w:t>11</w:t>
            </w:r>
            <w:r>
              <w:t xml:space="preserve"> Richtlinie 20</w:t>
            </w:r>
            <w:r>
              <w:t>08/115/EG des Europäischen Parlaments und des Rates vom 16. Dezember 2008 über gemeinsame Normen und Verfahren in den Mitgliedstaaten zur Rückführung illegal aufhältiger Drittstaatsangehöriger (ABl. L 348 vom 24.12.2008, S. 98, ELI: http://data.europa.eu/e</w:t>
            </w:r>
            <w:r>
              <w:t>li/dir/2008/115/oj).</w:t>
            </w:r>
          </w:p>
        </w:tc>
      </w:tr>
    </w:tbl>
    <w:p w:rsidR="00BC254A" w:rsidRDefault="007914A5">
      <w:pPr>
        <w:pStyle w:val="AmOrLang"/>
      </w:pPr>
      <w:r>
        <w:t xml:space="preserve">Or. </w:t>
      </w:r>
      <w:r>
        <w:rPr>
          <w:rStyle w:val="HideTWBExt"/>
        </w:rPr>
        <w:t>&lt;Original&gt;</w:t>
      </w:r>
      <w:r>
        <w:rPr>
          <w:rStyle w:val="HideTWBInt"/>
        </w:rPr>
        <w:t>{SV}</w:t>
      </w:r>
      <w:r>
        <w:t>sv</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213</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16 a (n</w:t>
      </w:r>
      <w:r>
        <w:t>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(16a)</w:t>
            </w:r>
            <w:r>
              <w:tab/>
            </w:r>
            <w:r>
              <w:rPr>
                <w:b/>
                <w:i/>
              </w:rPr>
              <w:t xml:space="preserve">Um faire Einstellungsverfahren zu fördern und ausbeuterische Praktiken zu verhindern, sollten auch Arbeitgeber und Vermittler, die am EU-Talentpool teilnehmen möchten, bestimmten </w:t>
            </w:r>
            <w:r>
              <w:rPr>
                <w:b/>
                <w:i/>
              </w:rPr>
              <w:t>Voraussetzungen unterliegen.</w:t>
            </w:r>
            <w:r>
              <w:t xml:space="preserve"> </w:t>
            </w:r>
            <w:r>
              <w:rPr>
                <w:b/>
                <w:i/>
              </w:rPr>
              <w:t>Bei der Registrierung eines Profils auf der IT-Plattform sollten Arbeitgeber und Vermittler verpflichtet werden, ihre Kontaktdaten, die Nummer ihrer amtlichen Registrierung, ihren Tätigkeitsbereich und eine kurze Beschreibung i</w:t>
            </w:r>
            <w:r>
              <w:rPr>
                <w:b/>
                <w:i/>
              </w:rPr>
              <w:t>hrer Tätigkeiten anzugeben.</w:t>
            </w:r>
            <w:r>
              <w:t xml:space="preserve"> </w:t>
            </w:r>
            <w:r>
              <w:rPr>
                <w:b/>
                <w:i/>
              </w:rPr>
              <w:t xml:space="preserve">Die nationale Kontaktstelle in </w:t>
            </w:r>
            <w:r>
              <w:rPr>
                <w:b/>
                <w:i/>
              </w:rPr>
              <w:lastRenderedPageBreak/>
              <w:t>dem Mitgliedstaat, in dem der Arbeitgeber oder der Vermittler niedergelassen ist, hat mit Unterstützung der zuständigen nationalen Behörden die Aufgabe, den Antrag zu prüfen und das Profil im EU-Ta</w:t>
            </w:r>
            <w:r>
              <w:rPr>
                <w:b/>
                <w:i/>
              </w:rPr>
              <w:t>lentpool freizugeben.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214</w:t>
      </w:r>
      <w:r>
        <w:rPr>
          <w:rStyle w:val="HideTWBExt"/>
        </w:rPr>
        <w:t>&lt;/NumAmB&gt;</w:t>
      </w:r>
    </w:p>
    <w:p w:rsidR="00BC254A" w:rsidRDefault="007914A5">
      <w:pPr>
        <w:pStyle w:val="NormalBold"/>
      </w:pPr>
      <w:r>
        <w:rPr>
          <w:rStyle w:val="HideTWBExt"/>
          <w:b w:val="0"/>
        </w:rPr>
        <w:t>&lt;RepeatBlock-By&gt;&lt;Members&gt;</w:t>
      </w:r>
      <w:r>
        <w:t>François-Xavier Bellamy</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w:t>
      </w:r>
      <w:r>
        <w:t xml:space="preserve">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(16a)</w:t>
            </w:r>
            <w:r>
              <w:tab/>
            </w:r>
            <w:r>
              <w:rPr>
                <w:b/>
                <w:i/>
              </w:rPr>
              <w:t xml:space="preserve">Wenn bestimmte Mitgliedstaaten an einer potenziellen EU-Einstellungsplattform teilnehmen wollen, müssen solide Sicherheitsmaßnahmen eingeführt werden, um den Zugang zur Plattform von </w:t>
            </w:r>
            <w:r>
              <w:rPr>
                <w:b/>
                <w:i/>
              </w:rPr>
              <w:t>Arbeitnehmern aus Drittstaaten zu verhindern, die die Sicherheit aller Mitgliedstaaten gefährden könnten.</w:t>
            </w:r>
            <w:r>
              <w:t xml:space="preserve"> </w:t>
            </w:r>
            <w:r>
              <w:rPr>
                <w:b/>
                <w:i/>
              </w:rPr>
              <w:t>Diese Maßnahmen müssen eine eingehende Überprüfung des Hintergrunds von Bewerbern, einschließlich Sicherheitsüberprüfungen und der Beurteilung potenzi</w:t>
            </w:r>
            <w:r>
              <w:rPr>
                <w:b/>
                <w:i/>
              </w:rPr>
              <w:t>eller Risiken, umfassen.</w:t>
            </w:r>
            <w:r>
              <w:t xml:space="preserve"> </w:t>
            </w:r>
            <w:r>
              <w:rPr>
                <w:b/>
                <w:i/>
              </w:rPr>
              <w:t>Die zuständigen Behörden der Mitgliedstaaten müssen in die Festlegung dieser Maßnahmen zum Schutz der nationalen und europäischen Sicherheit eingebunden werden.</w:t>
            </w:r>
          </w:p>
        </w:tc>
      </w:tr>
    </w:tbl>
    <w:p w:rsidR="00BC254A" w:rsidRDefault="007914A5">
      <w:pPr>
        <w:pStyle w:val="AmOrLang"/>
      </w:pPr>
      <w:r>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w:t>
      </w:r>
      <w:r>
        <w:rPr>
          <w:rStyle w:val="HideTWBExt"/>
        </w:rPr>
        <w:t>umAmB&gt;</w:t>
      </w:r>
      <w:r>
        <w:t>215</w:t>
      </w:r>
      <w:r>
        <w:rPr>
          <w:rStyle w:val="HideTWBExt"/>
        </w:rPr>
        <w:t>&lt;/NumAmB&gt;</w:t>
      </w:r>
    </w:p>
    <w:p w:rsidR="00BC254A" w:rsidRDefault="007914A5">
      <w:pPr>
        <w:pStyle w:val="NormalBold"/>
      </w:pPr>
      <w:r>
        <w:rPr>
          <w:rStyle w:val="HideTWBExt"/>
          <w:b w:val="0"/>
        </w:rPr>
        <w:t>&lt;RepeatBlock-By&gt;&lt;Members&gt;</w:t>
      </w:r>
      <w:r>
        <w:t>Jan-Christoph Oetjen, Abir Al-Sahlani,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lastRenderedPageBreak/>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(16a)</w:t>
            </w:r>
            <w:r>
              <w:tab/>
            </w:r>
            <w:r>
              <w:rPr>
                <w:b/>
                <w:i/>
              </w:rPr>
              <w:t>Bei der Registrierung auf der IT-Plattform des EU-Talentpools sollten Arbeitgeber verpflichtet werden, ihre Kontaktdaten, einschließlich ihrer Eintragungsnummer, sowie eine für den Talentpool zuständige Kontaktstelle innerhalb ihrer Organisation anzu</w:t>
            </w:r>
            <w:r>
              <w:rPr>
                <w:b/>
                <w:i/>
              </w:rPr>
              <w:t>geben.</w:t>
            </w:r>
            <w:r>
              <w:t xml:space="preserve"> </w:t>
            </w:r>
            <w:r>
              <w:rPr>
                <w:b/>
                <w:i/>
              </w:rPr>
              <w:t>Im Rahmen des Registrierungsverfahrens sollten Arbeitgeber außerdem verpflichtet werden, faire Einstellungsverfahren und die Einhaltung der internationalen Arbeitsnormen zuzusagen.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216</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(16b)</w:t>
            </w:r>
            <w:r>
              <w:tab/>
            </w:r>
            <w:r>
              <w:rPr>
                <w:b/>
                <w:i/>
              </w:rPr>
              <w:t>Der EU-Talentpool sollte</w:t>
            </w:r>
            <w:r>
              <w:rPr>
                <w:b/>
                <w:i/>
              </w:rPr>
              <w:t xml:space="preserve"> einen Beschwerdemechanismus umfassen, der es Arbeitsuchenden und Arbeitnehmern aus Drittstaaten, die über die Plattform eingestellt wurden, ermöglicht, eine Beschwerde gegen Arbeitgeber wegen rechtswidriger Einstellungsverfahren und missbräuchlicher Besch</w:t>
            </w:r>
            <w:r>
              <w:rPr>
                <w:b/>
                <w:i/>
              </w:rPr>
              <w:t>äftigungspraktiken einzureichen.</w:t>
            </w:r>
            <w:r>
              <w:t xml:space="preserve"> </w:t>
            </w:r>
            <w:r>
              <w:rPr>
                <w:b/>
                <w:i/>
              </w:rPr>
              <w:t>Wenn nationale Behörden eine Untersuchung einleiten, sollten der von der Untersuchung betroffene Arbeitgeber und alle mit ihm verbundenen Stellenangebote aus dem Talentpool ausgeschlossen bzw. entfernt werden.</w:t>
            </w:r>
            <w:r>
              <w:t xml:space="preserve"> </w:t>
            </w:r>
            <w:r>
              <w:rPr>
                <w:b/>
                <w:i/>
              </w:rPr>
              <w:t xml:space="preserve">Wenn die </w:t>
            </w:r>
            <w:r>
              <w:rPr>
                <w:b/>
                <w:i/>
              </w:rPr>
              <w:t>zuständigen nationalen Behörden rechtswidriges Gebaren feststellen, sollte der Arbeitgeber aus dem EU-Talentpool ausgeschlossen werden.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lastRenderedPageBreak/>
        <w:t>&lt;/AmendB&gt;</w:t>
      </w:r>
    </w:p>
    <w:p w:rsidR="00BC254A" w:rsidRDefault="007914A5">
      <w:pPr>
        <w:pStyle w:val="AmNumberTabs"/>
      </w:pPr>
      <w:r>
        <w:rPr>
          <w:rStyle w:val="HideTWBExt"/>
        </w:rPr>
        <w:t>&lt;AmendB&gt;</w:t>
      </w:r>
      <w:r>
        <w:t>Änderungsantrag</w:t>
      </w:r>
      <w:r>
        <w:tab/>
      </w:r>
      <w:r>
        <w:tab/>
      </w:r>
      <w:r>
        <w:rPr>
          <w:rStyle w:val="HideTWBExt"/>
        </w:rPr>
        <w:t>&lt;NumAmB&gt;</w:t>
      </w:r>
      <w:r>
        <w:t>217</w:t>
      </w:r>
      <w:r>
        <w:rPr>
          <w:rStyle w:val="HideTWBExt"/>
        </w:rPr>
        <w:t>&lt;/NumAmB&gt;</w:t>
      </w:r>
    </w:p>
    <w:p w:rsidR="00BC254A" w:rsidRDefault="007914A5">
      <w:pPr>
        <w:pStyle w:val="NormalBold"/>
      </w:pPr>
      <w:r>
        <w:rPr>
          <w:rStyle w:val="HideTWBExt"/>
          <w:b w:val="0"/>
        </w:rPr>
        <w:t>&lt;RepeatBlock-By&gt;&lt;Members&gt;</w:t>
      </w:r>
      <w:r>
        <w:t>Jan-Christoph Oetjen, Abir Al-Sahlani,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(17)</w:t>
            </w:r>
            <w:r>
              <w:tab/>
              <w:t xml:space="preserve">Arbeitsuchende aus Drittstaaten, die sich im </w:t>
            </w:r>
            <w:r>
              <w:t>EU-Talentpool registrieren möchten, sollten ein Profil erstellen</w:t>
            </w:r>
            <w:r>
              <w:rPr>
                <w:b/>
                <w:i/>
              </w:rPr>
              <w:t>;</w:t>
            </w:r>
            <w:r>
              <w:t xml:space="preserve"> </w:t>
            </w:r>
            <w:r>
              <w:rPr>
                <w:b/>
                <w:i/>
              </w:rPr>
              <w:t>hierzu sollten sie</w:t>
            </w:r>
            <w:r>
              <w:t xml:space="preserve"> die Profilerstellungsfunktion von Europass</w:t>
            </w:r>
            <w:r>
              <w:rPr>
                <w:vertAlign w:val="superscript"/>
              </w:rPr>
              <w:t>12</w:t>
            </w:r>
            <w:r>
              <w:rPr>
                <w:b/>
                <w:i/>
              </w:rPr>
              <w:t>verwenden</w:t>
            </w:r>
            <w:r>
              <w:t>, die die Erstellung eines kostenlosen Profils und eine Erfassung der einschlägigen Kompetenzen, Qualifikationen und s</w:t>
            </w:r>
            <w:r>
              <w:t>onstigen Erfahrungen an einem zentralen sicheren Ort ermöglicht.</w:t>
            </w:r>
          </w:p>
        </w:tc>
        <w:tc>
          <w:tcPr>
            <w:tcW w:w="4876" w:type="dxa"/>
            <w:tcBorders>
              <w:top w:val="nil"/>
              <w:left w:val="nil"/>
              <w:bottom w:val="nil"/>
              <w:right w:val="nil"/>
            </w:tcBorders>
          </w:tcPr>
          <w:p w:rsidR="00BC254A" w:rsidRDefault="007914A5">
            <w:pPr>
              <w:pStyle w:val="Normal6a"/>
            </w:pPr>
            <w:r>
              <w:t>(17)</w:t>
            </w:r>
            <w:r>
              <w:tab/>
              <w:t xml:space="preserve">Arbeitsuchende aus Drittstaaten, die sich im EU-Talentpool registrieren möchten, sollten ein Profil erstellen </w:t>
            </w:r>
            <w:r>
              <w:rPr>
                <w:b/>
                <w:i/>
              </w:rPr>
              <w:t>können, indem sie auf</w:t>
            </w:r>
            <w:r>
              <w:t xml:space="preserve"> die Profilerstellungsfunktion von Europass</w:t>
            </w:r>
            <w:r>
              <w:rPr>
                <w:vertAlign w:val="superscript"/>
              </w:rPr>
              <w:t>12</w:t>
            </w:r>
            <w:r>
              <w:rPr>
                <w:b/>
                <w:i/>
              </w:rPr>
              <w:t> zurückgre</w:t>
            </w:r>
            <w:r>
              <w:rPr>
                <w:b/>
                <w:i/>
              </w:rPr>
              <w:t>ifen</w:t>
            </w:r>
            <w:r>
              <w:t xml:space="preserve">, die die Erstellung eines kostenlosen Profils </w:t>
            </w:r>
            <w:r>
              <w:rPr>
                <w:b/>
                <w:i/>
              </w:rPr>
              <w:t>ohne die Verpflichtung, ein Lichtbild beizufügen,</w:t>
            </w:r>
            <w:r>
              <w:t xml:space="preserve"> und eine Erfassung der einschlägigen Kompetenzen, Qualifikationen und sonstigen Erfahrungen an einem zentralen sicheren Ort ermöglicht. </w:t>
            </w:r>
            <w:r>
              <w:rPr>
                <w:b/>
                <w:i/>
              </w:rPr>
              <w:t xml:space="preserve">Arbeitsuchende aus </w:t>
            </w:r>
            <w:r>
              <w:rPr>
                <w:b/>
                <w:i/>
              </w:rPr>
              <w:t>Drittstaaten, die sich im EU-Talentpool registrieren möchten, sollten einfachen Zugang zu Informationen über die Vorgehensweise für die Erstellung eines Profils haben.</w:t>
            </w:r>
            <w:r>
              <w:t xml:space="preserve"> </w:t>
            </w:r>
            <w:r>
              <w:rPr>
                <w:b/>
                <w:i/>
              </w:rPr>
              <w:t>Arbeitsuchende, die am EU-Talentpool teilnehmen, sollten gegebenenfalls über Möglichkeit</w:t>
            </w:r>
            <w:r>
              <w:rPr>
                <w:b/>
                <w:i/>
              </w:rPr>
              <w:t>en zur Entwicklung von Fertigkeiten und Kompetenzen sowie über Bildungs- und Berufsbildungsangebote im Rahmen von Programmen der Entwicklungszusammenarbeit informiert werden.</w:t>
            </w:r>
          </w:p>
        </w:tc>
      </w:tr>
      <w:tr w:rsidR="00BC254A">
        <w:trPr>
          <w:jc w:val="center"/>
        </w:trPr>
        <w:tc>
          <w:tcPr>
            <w:tcW w:w="4876" w:type="dxa"/>
            <w:tcBorders>
              <w:top w:val="nil"/>
              <w:left w:val="nil"/>
              <w:bottom w:val="nil"/>
              <w:right w:val="nil"/>
            </w:tcBorders>
          </w:tcPr>
          <w:p w:rsidR="00BC254A" w:rsidRDefault="007914A5">
            <w:pPr>
              <w:pStyle w:val="Normal6a"/>
            </w:pPr>
            <w:r>
              <w:rPr>
                <w:b/>
                <w:i/>
              </w:rPr>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12</w:t>
            </w:r>
            <w:r>
              <w:t xml:space="preserve"> Beschluss (EU) 2018/646 des Europäischen</w:t>
            </w:r>
            <w:r>
              <w:t xml:space="preserve"> Parlaments und des Rates vom 18. April 2018 über einen gemeinsamen Rahmen für die Bereitstellung besserer Dienste für Fertigkeiten und Qualifikationen (ABl. L 112 vom 2.5.2018, S. 42, ELI: http://data.europa.eu/eli/dec/2018/646/oj).</w:t>
            </w:r>
          </w:p>
        </w:tc>
        <w:tc>
          <w:tcPr>
            <w:tcW w:w="4876" w:type="dxa"/>
            <w:tcBorders>
              <w:top w:val="nil"/>
              <w:left w:val="nil"/>
              <w:bottom w:val="nil"/>
              <w:right w:val="nil"/>
            </w:tcBorders>
          </w:tcPr>
          <w:p w:rsidR="00BC254A" w:rsidRDefault="007914A5">
            <w:pPr>
              <w:pStyle w:val="Normal6a"/>
            </w:pPr>
            <w:r>
              <w:rPr>
                <w:vertAlign w:val="superscript"/>
              </w:rPr>
              <w:t>12</w:t>
            </w:r>
            <w:r>
              <w:t xml:space="preserve"> Beschluss (EU) </w:t>
            </w:r>
            <w:r>
              <w:t>2018/646 des Europäischen Parlaments und des Rates vom 18. April 2018 über einen gemeinsamen Rahmen für die Bereitstellung besserer Dienste für Fertigkeiten und Qualifikationen (ABl. L 112 vom 2.5.2018, S. 42, ELI: http://data.europa.eu/eli/dec/2018/646/oj</w:t>
            </w:r>
            <w:r>
              <w: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lastRenderedPageBreak/>
        <w:t>&lt;/AmendB&gt;</w:t>
      </w:r>
    </w:p>
    <w:p w:rsidR="00BC254A" w:rsidRDefault="007914A5">
      <w:pPr>
        <w:pStyle w:val="AmNumberTabs"/>
      </w:pPr>
      <w:r>
        <w:rPr>
          <w:rStyle w:val="HideTWBExt"/>
        </w:rPr>
        <w:t>&lt;AmendB&gt;</w:t>
      </w:r>
      <w:r>
        <w:t>Änderungsantrag</w:t>
      </w:r>
      <w:r>
        <w:tab/>
      </w:r>
      <w:r>
        <w:tab/>
      </w:r>
      <w:r>
        <w:rPr>
          <w:rStyle w:val="HideTWBExt"/>
        </w:rPr>
        <w:t>&lt;NumAmB&gt;</w:t>
      </w:r>
      <w:r>
        <w:t>218</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 xml:space="preserve">Vorschlag </w:t>
            </w:r>
            <w:r>
              <w:t>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(17)</w:t>
            </w:r>
            <w:r>
              <w:tab/>
              <w:t>Arbeitsuchende aus Drittstaaten, die sich im EU-Talentpool registrieren möchten, sollten ein Profil erstellen; hierzu sollten sie die Profilerstellungsfunktion von Europass</w:t>
            </w:r>
            <w:r>
              <w:rPr>
                <w:b/>
                <w:i/>
                <w:vertAlign w:val="superscript"/>
              </w:rPr>
              <w:t>12</w:t>
            </w:r>
            <w:r>
              <w:t>verwenden, die die Erstellung eines kostenlos</w:t>
            </w:r>
            <w:r>
              <w:t>en Profils und eine Erfassung der einschlägigen Kompetenzen, Qualifikationen und sonstigen Erfahrungen an einem zentralen sicheren Ort ermöglicht.</w:t>
            </w:r>
          </w:p>
        </w:tc>
        <w:tc>
          <w:tcPr>
            <w:tcW w:w="4876" w:type="dxa"/>
            <w:tcBorders>
              <w:top w:val="nil"/>
              <w:left w:val="nil"/>
              <w:bottom w:val="nil"/>
              <w:right w:val="nil"/>
            </w:tcBorders>
          </w:tcPr>
          <w:p w:rsidR="00BC254A" w:rsidRDefault="007914A5">
            <w:pPr>
              <w:pStyle w:val="Normal6a"/>
            </w:pPr>
            <w:r>
              <w:t>(17)</w:t>
            </w:r>
            <w:r>
              <w:tab/>
              <w:t xml:space="preserve">Arbeitsuchende aus Drittstaaten, die sich im EU-Talentpool registrieren möchten, sollten </w:t>
            </w:r>
            <w:r>
              <w:rPr>
                <w:b/>
                <w:i/>
              </w:rPr>
              <w:t>die Möglichkeit</w:t>
            </w:r>
            <w:r>
              <w:rPr>
                <w:b/>
                <w:i/>
              </w:rPr>
              <w:t xml:space="preserve"> haben, manuell</w:t>
            </w:r>
            <w:r>
              <w:t xml:space="preserve"> ein Profil </w:t>
            </w:r>
            <w:r>
              <w:rPr>
                <w:b/>
                <w:i/>
              </w:rPr>
              <w:t>zu</w:t>
            </w:r>
            <w:r>
              <w:t xml:space="preserve"> erstellen; hierzu sollten sie </w:t>
            </w:r>
            <w:r>
              <w:rPr>
                <w:b/>
                <w:i/>
              </w:rPr>
              <w:t>das EU-Instrument zur Erstellung von Kompetenzprofilen oder</w:t>
            </w:r>
            <w:r>
              <w:t xml:space="preserve"> die Profilerstellungsfunktion von Europass</w:t>
            </w:r>
            <w:r>
              <w:rPr>
                <w:b/>
                <w:i/>
                <w:vertAlign w:val="superscript"/>
              </w:rPr>
              <w:t>36</w:t>
            </w:r>
            <w:r>
              <w:t xml:space="preserve"> verwenden, die die Erstellung eines kostenlosen Profils und eine Erfassung der einschlägige</w:t>
            </w:r>
            <w:r>
              <w:t xml:space="preserve">n Kompetenzen, Qualifikationen und sonstigen Erfahrungen an einem zentralen sicheren Ort ermöglicht. </w:t>
            </w:r>
            <w:r>
              <w:rPr>
                <w:b/>
                <w:i/>
              </w:rPr>
              <w:t xml:space="preserve">In Fällen, in denen Arbeitsuchende ihren Antrag nicht unabhängig einreichen können, sollten überprüfte Dritte in Drittländern beim Registrierungsverfahren </w:t>
            </w:r>
            <w:r>
              <w:rPr>
                <w:b/>
                <w:i/>
              </w:rPr>
              <w:t>unterstützen können, um die Zugänglichkeit und Inklusivität für alle potenziellen Teilnehmer zu gewährleisten.</w:t>
            </w:r>
          </w:p>
        </w:tc>
      </w:tr>
      <w:tr w:rsidR="00BC254A">
        <w:trPr>
          <w:jc w:val="center"/>
        </w:trPr>
        <w:tc>
          <w:tcPr>
            <w:tcW w:w="4876" w:type="dxa"/>
            <w:tcBorders>
              <w:top w:val="nil"/>
              <w:left w:val="nil"/>
              <w:bottom w:val="nil"/>
              <w:right w:val="nil"/>
            </w:tcBorders>
          </w:tcPr>
          <w:p w:rsidR="00BC254A" w:rsidRDefault="007914A5">
            <w:pPr>
              <w:pStyle w:val="Normal6a"/>
            </w:pPr>
            <w:r>
              <w:rPr>
                <w:b/>
                <w:i/>
              </w:rPr>
              <w:t>_________________</w:t>
            </w:r>
          </w:p>
        </w:tc>
        <w:tc>
          <w:tcPr>
            <w:tcW w:w="4876" w:type="dxa"/>
            <w:tcBorders>
              <w:top w:val="nil"/>
              <w:left w:val="nil"/>
              <w:bottom w:val="nil"/>
              <w:right w:val="nil"/>
            </w:tcBorders>
          </w:tcPr>
          <w:p w:rsidR="00BC254A" w:rsidRDefault="00BC254A"/>
        </w:tc>
      </w:tr>
      <w:tr w:rsidR="00BC254A">
        <w:trPr>
          <w:jc w:val="center"/>
        </w:trPr>
        <w:tc>
          <w:tcPr>
            <w:tcW w:w="4876" w:type="dxa"/>
            <w:tcBorders>
              <w:top w:val="nil"/>
              <w:left w:val="nil"/>
              <w:bottom w:val="nil"/>
              <w:right w:val="nil"/>
            </w:tcBorders>
          </w:tcPr>
          <w:p w:rsidR="00BC254A" w:rsidRDefault="007914A5">
            <w:pPr>
              <w:pStyle w:val="Normal6a"/>
            </w:pPr>
            <w:r>
              <w:rPr>
                <w:b/>
                <w:i/>
                <w:vertAlign w:val="superscript"/>
              </w:rPr>
              <w:t>12</w:t>
            </w:r>
            <w:r>
              <w:t xml:space="preserve"> </w:t>
            </w:r>
            <w:r>
              <w:rPr>
                <w:b/>
                <w:i/>
              </w:rPr>
              <w:t xml:space="preserve">Beschluss (EU) 2018/646 des Europäischen Parlaments und des Rates vom 18. April 2018 über einen gemeinsamen Rahmen für </w:t>
            </w:r>
            <w:r>
              <w:rPr>
                <w:b/>
                <w:i/>
              </w:rPr>
              <w:t>die Bereitstellung besserer Dienste für Fertigkeiten und Qualifikationen (ABl.</w:t>
            </w:r>
            <w:r>
              <w:t xml:space="preserve"> </w:t>
            </w:r>
            <w:r>
              <w:rPr>
                <w:b/>
                <w:i/>
              </w:rPr>
              <w:t>L 112 vom 2.5.2018, S.</w:t>
            </w:r>
            <w:r>
              <w:t xml:space="preserve"> </w:t>
            </w:r>
            <w:r>
              <w:rPr>
                <w:b/>
                <w:i/>
              </w:rPr>
              <w:t>42, ELI: http://data.europa.eu/eli/dec/2018/646/oj).</w:t>
            </w:r>
          </w:p>
        </w:tc>
        <w:tc>
          <w:tcPr>
            <w:tcW w:w="4876" w:type="dxa"/>
            <w:tcBorders>
              <w:top w:val="nil"/>
              <w:left w:val="nil"/>
              <w:bottom w:val="nil"/>
              <w:right w:val="nil"/>
            </w:tcBorders>
          </w:tcPr>
          <w:p w:rsidR="00BC254A" w:rsidRDefault="00BC254A"/>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219</w:t>
      </w:r>
      <w:r>
        <w:rPr>
          <w:rStyle w:val="HideTWBExt"/>
        </w:rPr>
        <w:t>&lt;/NumAmB&gt;</w:t>
      </w:r>
    </w:p>
    <w:p w:rsidR="00BC254A" w:rsidRDefault="007914A5">
      <w:pPr>
        <w:pStyle w:val="NormalBold"/>
      </w:pPr>
      <w:r>
        <w:rPr>
          <w:rStyle w:val="HideTWBExt"/>
          <w:b w:val="0"/>
        </w:rPr>
        <w:t>&lt;RepeatBloc</w:t>
      </w:r>
      <w:r>
        <w:rPr>
          <w:rStyle w:val="HideTWBExt"/>
          <w:b w:val="0"/>
        </w:rPr>
        <w:t>k-By&gt;&lt;Members&gt;</w:t>
      </w:r>
      <w:r>
        <w:t>Charlie Weimers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lastRenderedPageBreak/>
        <w:t>&lt;Article&gt;</w:t>
      </w:r>
      <w:r>
        <w:t>Erwägung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(17)</w:t>
            </w:r>
            <w:r>
              <w:tab/>
              <w:t xml:space="preserve">Arbeitsuchende aus Drittstaaten, die sich im EU-Talentpool </w:t>
            </w:r>
            <w:r>
              <w:t>registrieren möchten, sollten ein Profil erstellen; hierzu sollten sie die Profilerstellungsfunktion von Europass</w:t>
            </w:r>
            <w:r>
              <w:rPr>
                <w:vertAlign w:val="superscript"/>
              </w:rPr>
              <w:t>12</w:t>
            </w:r>
            <w:r>
              <w:t>verwenden</w:t>
            </w:r>
            <w:r>
              <w:rPr>
                <w:b/>
                <w:i/>
              </w:rPr>
              <w:t>, die</w:t>
            </w:r>
            <w:r>
              <w:t xml:space="preserve"> die Erstellung eines </w:t>
            </w:r>
            <w:r>
              <w:rPr>
                <w:b/>
                <w:i/>
              </w:rPr>
              <w:t>kostenlosen</w:t>
            </w:r>
            <w:r>
              <w:t xml:space="preserve"> Profils </w:t>
            </w:r>
            <w:r>
              <w:rPr>
                <w:b/>
                <w:i/>
              </w:rPr>
              <w:t>und eine Erfassung der einschlägigen Kompetenzen, Qualifikationen und sonstigen Erfah</w:t>
            </w:r>
            <w:r>
              <w:rPr>
                <w:b/>
                <w:i/>
              </w:rPr>
              <w:t>rungen an einem zentralen sicheren Ort ermöglicht</w:t>
            </w:r>
            <w:r>
              <w:t>.</w:t>
            </w:r>
          </w:p>
        </w:tc>
        <w:tc>
          <w:tcPr>
            <w:tcW w:w="4876" w:type="dxa"/>
            <w:tcBorders>
              <w:top w:val="nil"/>
              <w:left w:val="nil"/>
              <w:bottom w:val="nil"/>
              <w:right w:val="nil"/>
            </w:tcBorders>
          </w:tcPr>
          <w:p w:rsidR="00BC254A" w:rsidRDefault="007914A5">
            <w:pPr>
              <w:pStyle w:val="Normal6a"/>
            </w:pPr>
            <w:r>
              <w:t>(17)</w:t>
            </w:r>
            <w:r>
              <w:tab/>
              <w:t>Arbeitsuchende aus Drittstaaten, die sich im EU-Talentpool registrieren möchten, sollten ein Profil erstellen; hierzu sollten sie die Profilerstellungsfunktion von Europass</w:t>
            </w:r>
            <w:r>
              <w:rPr>
                <w:vertAlign w:val="superscript"/>
              </w:rPr>
              <w:t>12</w:t>
            </w:r>
            <w:r>
              <w:t xml:space="preserve"> verwenden</w:t>
            </w:r>
            <w:r>
              <w:rPr>
                <w:b/>
                <w:i/>
              </w:rPr>
              <w:t>;</w:t>
            </w:r>
            <w:r>
              <w:t xml:space="preserve"> die Erstellung</w:t>
            </w:r>
            <w:r>
              <w:t xml:space="preserve"> eines Profils </w:t>
            </w:r>
            <w:r>
              <w:rPr>
                <w:b/>
                <w:i/>
              </w:rPr>
              <w:t>kostet mindestens 10 EUR</w:t>
            </w:r>
            <w:r>
              <w:t>.</w:t>
            </w:r>
          </w:p>
        </w:tc>
      </w:tr>
      <w:tr w:rsidR="00BC254A">
        <w:trPr>
          <w:jc w:val="center"/>
        </w:trPr>
        <w:tc>
          <w:tcPr>
            <w:tcW w:w="4876" w:type="dxa"/>
            <w:tcBorders>
              <w:top w:val="nil"/>
              <w:left w:val="nil"/>
              <w:bottom w:val="nil"/>
              <w:right w:val="nil"/>
            </w:tcBorders>
          </w:tcPr>
          <w:p w:rsidR="00BC254A" w:rsidRDefault="007914A5">
            <w:pPr>
              <w:pStyle w:val="Normal6a"/>
            </w:pPr>
            <w:r>
              <w:rPr>
                <w:b/>
                <w:i/>
              </w:rPr>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12</w:t>
            </w:r>
            <w:r>
              <w:t xml:space="preserve"> Beschluss (EU) 2018/646 des Europäischen Parlaments und des Rates vom 18. April 2018 über einen gemeinsamen Rahmen für die Bereitstellung besserer Dienste für Fertigkeiten </w:t>
            </w:r>
            <w:r>
              <w:t>und Qualifikationen (ABl. L 112 vom 2.5.2018, S. 42, ELI: http://data.europa.eu/eli/dec/2018/646/oj).</w:t>
            </w:r>
          </w:p>
        </w:tc>
        <w:tc>
          <w:tcPr>
            <w:tcW w:w="4876" w:type="dxa"/>
            <w:tcBorders>
              <w:top w:val="nil"/>
              <w:left w:val="nil"/>
              <w:bottom w:val="nil"/>
              <w:right w:val="nil"/>
            </w:tcBorders>
          </w:tcPr>
          <w:p w:rsidR="00BC254A" w:rsidRDefault="007914A5">
            <w:pPr>
              <w:pStyle w:val="Normal6a"/>
            </w:pPr>
            <w:r>
              <w:rPr>
                <w:vertAlign w:val="superscript"/>
              </w:rPr>
              <w:t>12</w:t>
            </w:r>
            <w:r>
              <w:t xml:space="preserve"> Beschluss (EU) 2018/646 des Europäischen Parlaments und des Rates vom 18. April 2018 über einen gemeinsamen Rahmen für die Bereitstellung besserer Dien</w:t>
            </w:r>
            <w:r>
              <w:t>ste für Fertigkeiten und Qualifikationen (ABl. L 112 vom 2.5.2018, S. 42, ELI: http://data.europa.eu/eli/dec/2018/646/oj).</w:t>
            </w:r>
          </w:p>
        </w:tc>
      </w:tr>
    </w:tbl>
    <w:p w:rsidR="00BC254A" w:rsidRDefault="007914A5">
      <w:pPr>
        <w:pStyle w:val="AmOrLang"/>
      </w:pPr>
      <w:r>
        <w:t xml:space="preserve">Or. </w:t>
      </w:r>
      <w:r>
        <w:rPr>
          <w:rStyle w:val="HideTWBExt"/>
        </w:rPr>
        <w:t>&lt;Original&gt;</w:t>
      </w:r>
      <w:r>
        <w:rPr>
          <w:rStyle w:val="HideTWBInt"/>
        </w:rPr>
        <w:t>{SV}</w:t>
      </w:r>
      <w:r>
        <w:t>sv</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220</w:t>
      </w:r>
      <w:r>
        <w:rPr>
          <w:rStyle w:val="HideTWBExt"/>
        </w:rPr>
        <w:t>&lt;/NumAmB&gt;</w:t>
      </w:r>
    </w:p>
    <w:p w:rsidR="00BC254A" w:rsidRDefault="007914A5">
      <w:pPr>
        <w:pStyle w:val="NormalBold"/>
      </w:pPr>
      <w:r>
        <w:rPr>
          <w:rStyle w:val="HideTWBExt"/>
          <w:b w:val="0"/>
        </w:rPr>
        <w:t>&lt;RepeatBlock-By&gt;&lt;Members&gt;</w:t>
      </w:r>
      <w:r>
        <w:t xml:space="preserve">Javier Moreno </w:t>
      </w:r>
      <w:r>
        <w:t>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(17)</w:t>
            </w:r>
            <w:r>
              <w:tab/>
              <w:t xml:space="preserve">Arbeitsuchende aus Drittstaaten, die sich im EU-Talentpool registrieren möchten, sollten </w:t>
            </w:r>
            <w:r>
              <w:t>ein Profil erstellen; hierzu sollten sie die Profilerstellungsfunktion von Europass</w:t>
            </w:r>
            <w:r>
              <w:rPr>
                <w:vertAlign w:val="superscript"/>
              </w:rPr>
              <w:t>12</w:t>
            </w:r>
            <w:r>
              <w:t xml:space="preserve">verwenden, die </w:t>
            </w:r>
            <w:r>
              <w:rPr>
                <w:b/>
                <w:i/>
              </w:rPr>
              <w:t>die Erstellung eines kostenlosen Profils und eine Erfassung der</w:t>
            </w:r>
            <w:r>
              <w:t xml:space="preserve"> einschlägigen Kompetenzen, Qualifikationen und sonstigen Erfahrungen an einem zentralen sich</w:t>
            </w:r>
            <w:r>
              <w:t xml:space="preserve">eren Ort </w:t>
            </w:r>
            <w:r>
              <w:rPr>
                <w:b/>
                <w:i/>
              </w:rPr>
              <w:t>ermöglicht</w:t>
            </w:r>
            <w:r>
              <w:t>.</w:t>
            </w:r>
          </w:p>
        </w:tc>
        <w:tc>
          <w:tcPr>
            <w:tcW w:w="4876" w:type="dxa"/>
            <w:tcBorders>
              <w:top w:val="nil"/>
              <w:left w:val="nil"/>
              <w:bottom w:val="nil"/>
              <w:right w:val="nil"/>
            </w:tcBorders>
          </w:tcPr>
          <w:p w:rsidR="00BC254A" w:rsidRDefault="007914A5">
            <w:pPr>
              <w:pStyle w:val="Normal6a"/>
            </w:pPr>
            <w:r>
              <w:t>(17)</w:t>
            </w:r>
            <w:r>
              <w:tab/>
              <w:t>Arbeitsuchende aus Drittstaaten, die sich im EU-Talentpool registrieren möchten, sollten ein Profil erstellen; hierzu sollten sie die Profilerstellungsfunktion von Europass</w:t>
            </w:r>
            <w:r>
              <w:rPr>
                <w:vertAlign w:val="superscript"/>
              </w:rPr>
              <w:t>12</w:t>
            </w:r>
            <w:r>
              <w:t xml:space="preserve"> verwenden, die </w:t>
            </w:r>
            <w:r>
              <w:rPr>
                <w:b/>
                <w:i/>
              </w:rPr>
              <w:t>es ihnen ermöglicht, ein kostenloses Pro</w:t>
            </w:r>
            <w:r>
              <w:rPr>
                <w:b/>
                <w:i/>
              </w:rPr>
              <w:t>fil zu erstellen und ihre</w:t>
            </w:r>
            <w:r>
              <w:t xml:space="preserve"> einschlägigen Kompetenzen, Qualifikationen und sonstigen Erfahrungen an einem zentralen sicheren Ort </w:t>
            </w:r>
            <w:r>
              <w:rPr>
                <w:b/>
                <w:i/>
              </w:rPr>
              <w:t>anzugeben</w:t>
            </w:r>
            <w:r>
              <w:t>.</w:t>
            </w:r>
          </w:p>
        </w:tc>
      </w:tr>
      <w:tr w:rsidR="00BC254A">
        <w:trPr>
          <w:jc w:val="center"/>
        </w:trPr>
        <w:tc>
          <w:tcPr>
            <w:tcW w:w="4876" w:type="dxa"/>
            <w:tcBorders>
              <w:top w:val="nil"/>
              <w:left w:val="nil"/>
              <w:bottom w:val="nil"/>
              <w:right w:val="nil"/>
            </w:tcBorders>
          </w:tcPr>
          <w:p w:rsidR="00BC254A" w:rsidRDefault="007914A5">
            <w:pPr>
              <w:pStyle w:val="Normal6a"/>
            </w:pPr>
            <w:r>
              <w:rPr>
                <w:b/>
                <w:i/>
              </w:rPr>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lastRenderedPageBreak/>
              <w:t>12</w:t>
            </w:r>
            <w:r>
              <w:t xml:space="preserve"> Beschluss (EU) 2018/646 des Europäischen Parlaments und des Rates vom 18. </w:t>
            </w:r>
            <w:r>
              <w:t>April 2018 über einen gemeinsamen Rahmen für die Bereitstellung besserer Dienste für Fertigkeiten und Qualifikationen (ABl. L 112 vom 2.5.2018, S. 42, ELI: http://data.europa.eu/eli/dec/2018/646/oj).</w:t>
            </w:r>
          </w:p>
        </w:tc>
        <w:tc>
          <w:tcPr>
            <w:tcW w:w="4876" w:type="dxa"/>
            <w:tcBorders>
              <w:top w:val="nil"/>
              <w:left w:val="nil"/>
              <w:bottom w:val="nil"/>
              <w:right w:val="nil"/>
            </w:tcBorders>
          </w:tcPr>
          <w:p w:rsidR="00BC254A" w:rsidRDefault="007914A5">
            <w:pPr>
              <w:pStyle w:val="Normal6a"/>
            </w:pPr>
            <w:r>
              <w:rPr>
                <w:vertAlign w:val="superscript"/>
              </w:rPr>
              <w:t>12</w:t>
            </w:r>
            <w:r>
              <w:t xml:space="preserve"> Beschluss (EU) 2018/646 des Europäischen Parlaments u</w:t>
            </w:r>
            <w:r>
              <w:t>nd des Rates vom 18. April 2018 über einen gemeinsamen Rahmen für die Bereitstellung besserer Dienste für Fertigkeiten und Qualifikationen (ABl. L 112 vom 2.5.2018, S. 42, ELI: http://data.europa.eu/eli/dec/2018/646/oj).</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w:t>
      </w:r>
      <w:r>
        <w:rPr>
          <w:rStyle w:val="HideTWBExt"/>
        </w:rPr>
        <w:t>AmendB&gt;</w:t>
      </w:r>
    </w:p>
    <w:p w:rsidR="00BC254A" w:rsidRDefault="007914A5">
      <w:pPr>
        <w:pStyle w:val="AmNumberTabs"/>
      </w:pPr>
      <w:r>
        <w:rPr>
          <w:rStyle w:val="HideTWBExt"/>
        </w:rPr>
        <w:t>&lt;AmendB&gt;</w:t>
      </w:r>
      <w:r>
        <w:t>Änderungsantrag</w:t>
      </w:r>
      <w:r>
        <w:tab/>
      </w:r>
      <w:r>
        <w:tab/>
      </w:r>
      <w:r>
        <w:rPr>
          <w:rStyle w:val="HideTWBExt"/>
        </w:rPr>
        <w:t>&lt;NumAmB&gt;</w:t>
      </w:r>
      <w:r>
        <w:t>221</w:t>
      </w:r>
      <w:r>
        <w:rPr>
          <w:rStyle w:val="HideTWBExt"/>
        </w:rPr>
        <w:t>&lt;/NumAmB&gt;</w:t>
      </w:r>
    </w:p>
    <w:p w:rsidR="00BC254A" w:rsidRDefault="007914A5">
      <w:pPr>
        <w:pStyle w:val="NormalBold"/>
      </w:pPr>
      <w:r>
        <w:rPr>
          <w:rStyle w:val="HideTWBExt"/>
          <w:b w:val="0"/>
        </w:rPr>
        <w:t>&lt;RepeatBlock-By&gt;&lt;Members&gt;</w:t>
      </w:r>
      <w:r>
        <w:t>Charlie Weimers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(18)</w:t>
            </w:r>
            <w:r>
              <w:tab/>
            </w:r>
            <w:r>
              <w:rPr>
                <w:b/>
                <w:i/>
              </w:rPr>
              <w:t>Erforderlichenfalls sollten</w:t>
            </w:r>
            <w:r>
              <w:t xml:space="preserve"> die Anerkennung von Qualifikationen und die Validierung der Kompetenzen registrierter Arbeitsuchender aus Drittstaaten in den </w:t>
            </w:r>
            <w:r>
              <w:rPr>
                <w:b/>
                <w:i/>
              </w:rPr>
              <w:t>teilnehmenden</w:t>
            </w:r>
            <w:r>
              <w:t xml:space="preserve"> Mitgliedstaaten </w:t>
            </w:r>
            <w:r>
              <w:rPr>
                <w:b/>
                <w:i/>
              </w:rPr>
              <w:t>auf Antrag des Arbeitsuchenden oder des Arbeitgebers</w:t>
            </w:r>
            <w:r>
              <w:t xml:space="preserve"> im Einklang mit den nationalen Rechtsvorschriften und Gepflogenheiten </w:t>
            </w:r>
            <w:r>
              <w:rPr>
                <w:b/>
                <w:i/>
              </w:rPr>
              <w:t>sowie mit allen einschlägigen internationalen Übereinkünften, einschließlich Vereinbarungen über die gegenseitige Anerkennung von Berufsqualifikationen, erfolgen.</w:t>
            </w:r>
            <w:r>
              <w:t xml:space="preserve"> </w:t>
            </w:r>
            <w:r>
              <w:rPr>
                <w:b/>
                <w:i/>
              </w:rPr>
              <w:t>Personalisierte Unters</w:t>
            </w:r>
            <w:r>
              <w:rPr>
                <w:b/>
                <w:i/>
              </w:rPr>
              <w:t>tützung und Online-Informationen über bestehende Anerkennungs- und Validierungsverfahren auf nationaler Ebene sollten auf der IT-Plattform des EU-Talentpools verfügbar sein und von den nationalen Kontaktstellen des EU-Talentpools bereitgestellt werden</w:t>
            </w:r>
            <w:r>
              <w:t>.</w:t>
            </w:r>
          </w:p>
        </w:tc>
        <w:tc>
          <w:tcPr>
            <w:tcW w:w="4876" w:type="dxa"/>
            <w:tcBorders>
              <w:top w:val="nil"/>
              <w:left w:val="nil"/>
              <w:bottom w:val="nil"/>
              <w:right w:val="nil"/>
            </w:tcBorders>
          </w:tcPr>
          <w:p w:rsidR="00BC254A" w:rsidRDefault="007914A5">
            <w:pPr>
              <w:pStyle w:val="Normal6a"/>
            </w:pPr>
            <w:r>
              <w:t>(18</w:t>
            </w:r>
            <w:r>
              <w:t>)</w:t>
            </w:r>
            <w:r>
              <w:tab/>
              <w:t xml:space="preserve">Die Anerkennung von Qualifikationen und die Validierung der Kompetenzen registrierter Arbeitsuchender aus Drittstaaten </w:t>
            </w:r>
            <w:r>
              <w:rPr>
                <w:b/>
                <w:i/>
              </w:rPr>
              <w:t>werden</w:t>
            </w:r>
            <w:r>
              <w:t xml:space="preserve"> in den Mitgliedstaaten im Einklang mit den nationalen Rechtsvorschriften und Gepflogenheiten </w:t>
            </w:r>
            <w:r>
              <w:rPr>
                <w:b/>
                <w:i/>
              </w:rPr>
              <w:t>durchgeführt, und die EU und ihre E</w:t>
            </w:r>
            <w:r>
              <w:rPr>
                <w:b/>
                <w:i/>
              </w:rPr>
              <w:t>inrichtungen haben kein Recht, in diesen Prozess einzugreifen</w:t>
            </w:r>
            <w:r>
              <w:t>.</w:t>
            </w:r>
          </w:p>
        </w:tc>
      </w:tr>
    </w:tbl>
    <w:p w:rsidR="00BC254A" w:rsidRDefault="007914A5">
      <w:pPr>
        <w:pStyle w:val="AmOrLang"/>
      </w:pPr>
      <w:r>
        <w:t xml:space="preserve">Or. </w:t>
      </w:r>
      <w:r>
        <w:rPr>
          <w:rStyle w:val="HideTWBExt"/>
        </w:rPr>
        <w:t>&lt;Original&gt;</w:t>
      </w:r>
      <w:r>
        <w:rPr>
          <w:rStyle w:val="HideTWBInt"/>
        </w:rPr>
        <w:t>{SV}</w:t>
      </w:r>
      <w:r>
        <w:t>sv</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222</w:t>
      </w:r>
      <w:r>
        <w:rPr>
          <w:rStyle w:val="HideTWBExt"/>
        </w:rPr>
        <w:t>&lt;/NumAmB&gt;</w:t>
      </w:r>
    </w:p>
    <w:p w:rsidR="00BC254A" w:rsidRDefault="007914A5">
      <w:pPr>
        <w:pStyle w:val="NormalBold"/>
      </w:pPr>
      <w:r>
        <w:rPr>
          <w:rStyle w:val="HideTWBExt"/>
          <w:b w:val="0"/>
        </w:rPr>
        <w:lastRenderedPageBreak/>
        <w:t>&lt;RepeatBlock-By&gt;&lt;Members&gt;</w:t>
      </w:r>
      <w:r>
        <w:t>Pernando Barrena Arza</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 xml:space="preserve">Vorschlag für eine </w:t>
      </w:r>
      <w:r>
        <w:t>Verordnung</w:t>
      </w:r>
      <w:r>
        <w:rPr>
          <w:rStyle w:val="HideTWBExt"/>
        </w:rPr>
        <w:t>&lt;/DocAmend&gt;</w:t>
      </w:r>
    </w:p>
    <w:p w:rsidR="00BC254A" w:rsidRDefault="007914A5">
      <w:pPr>
        <w:pStyle w:val="NormalBold"/>
      </w:pPr>
      <w:r>
        <w:rPr>
          <w:rStyle w:val="HideTWBExt"/>
        </w:rPr>
        <w:t>&lt;Article&gt;</w:t>
      </w:r>
      <w:r>
        <w:t>Erwägung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(18)</w:t>
            </w:r>
            <w:r>
              <w:tab/>
            </w:r>
            <w:r>
              <w:rPr>
                <w:b/>
                <w:i/>
              </w:rPr>
              <w:t>Erforderlichenfalls sollten</w:t>
            </w:r>
            <w:r>
              <w:t xml:space="preserve"> die Anerkennung von Qualifikationen und die Validierung der Kompetenzen registrierter Arbeitsuchender aus Drittstaaten in den teilnehmenden Mitgliedstaaten auf Antrag des Arbeitsuchenden oder des Arbeitgebers im Einklang mit den nationalen Rechtsvorschrif</w:t>
            </w:r>
            <w:r>
              <w:t>ten und Gepflogenheiten sowie mit allen einschlägigen internationalen Übereinkünften, einschließlich Vereinbarungen über die gegenseitige Anerkennung von Berufsqualifikationen, erfolgen. Personalisierte Unterstützung und Online-Informationen über bestehend</w:t>
            </w:r>
            <w:r>
              <w:t>e Anerkennungs- und Validierungsverfahren auf nationaler Ebene sollten auf der IT-Plattform des EU-Talentpools verfügbar sein und von den nationalen Kontaktstellen des EU-Talentpools bereitgestellt werden.</w:t>
            </w:r>
          </w:p>
        </w:tc>
        <w:tc>
          <w:tcPr>
            <w:tcW w:w="4876" w:type="dxa"/>
            <w:tcBorders>
              <w:top w:val="nil"/>
              <w:left w:val="nil"/>
              <w:bottom w:val="nil"/>
              <w:right w:val="nil"/>
            </w:tcBorders>
          </w:tcPr>
          <w:p w:rsidR="00BC254A" w:rsidRDefault="007914A5">
            <w:pPr>
              <w:pStyle w:val="Normal6a"/>
            </w:pPr>
            <w:r>
              <w:t>(18)</w:t>
            </w:r>
            <w:r>
              <w:tab/>
            </w:r>
            <w:r>
              <w:rPr>
                <w:b/>
                <w:i/>
              </w:rPr>
              <w:t xml:space="preserve">Der EU-Talentpool sollte die Anerkennung von </w:t>
            </w:r>
            <w:r>
              <w:rPr>
                <w:b/>
                <w:i/>
              </w:rPr>
              <w:t>außerhalb der EU erworbenen Qualifikationen und Kompetenzen fördern und sicherstellen, dass Wanderarbeitnehmer entsprechend ihren Qualifikationen und Erfahrungen beschäftigt und vergütet werden.</w:t>
            </w:r>
            <w:r>
              <w:t xml:space="preserve"> Die Anerkennung von Qualifikationen und die Validierung der K</w:t>
            </w:r>
            <w:r>
              <w:t xml:space="preserve">ompetenzen registrierter Arbeitsuchender aus Drittstaaten </w:t>
            </w:r>
            <w:r>
              <w:rPr>
                <w:b/>
                <w:i/>
              </w:rPr>
              <w:t>sollten</w:t>
            </w:r>
            <w:r>
              <w:t xml:space="preserve"> in den teilnehmenden Mitgliedstaaten auf Antrag des Arbeitsuchenden oder des Arbeitgebers im Einklang mit den nationalen Rechtsvorschriften und Gepflogenheiten sowie mit allen einschlägigen </w:t>
            </w:r>
            <w:r>
              <w:t>internationalen Übereinkünften, einschließlich Vereinbarungen über die gegenseitige Anerkennung von Berufsqualifikationen, erfolgen. Personalisierte Unterstützung und Online-Informationen über bestehende Anerkennungs- und Validierungsverfahren auf national</w:t>
            </w:r>
            <w:r>
              <w:t>er Ebene sollten auf der IT-Plattform des EU-Talentpools verfügbar sein und von den nationalen Kontaktstellen des EU-Talentpools bereitgestellt werden.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223</w:t>
      </w:r>
      <w:r>
        <w:rPr>
          <w:rStyle w:val="HideTWBExt"/>
        </w:rPr>
        <w:t>&lt;/NumAmB&gt;</w:t>
      </w:r>
    </w:p>
    <w:p w:rsidR="00BC254A" w:rsidRDefault="007914A5">
      <w:pPr>
        <w:pStyle w:val="NormalBold"/>
      </w:pPr>
      <w:r>
        <w:rPr>
          <w:rStyle w:val="HideTWBExt"/>
          <w:b w:val="0"/>
        </w:rPr>
        <w:t>&lt;RepeatBlock-By</w:t>
      </w:r>
      <w:r>
        <w:rPr>
          <w:rStyle w:val="HideTWBExt"/>
          <w:b w:val="0"/>
        </w:rPr>
        <w:t>&gt;&lt;Members&gt;</w:t>
      </w:r>
      <w:r>
        <w:t>Nadine Morano</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(18)</w:t>
            </w:r>
            <w:r>
              <w:tab/>
              <w:t xml:space="preserve">Erforderlichenfalls sollten die Anerkennung von Qualifikationen und die </w:t>
            </w:r>
            <w:r>
              <w:t xml:space="preserve">Validierung der Kompetenzen registrierter </w:t>
            </w:r>
            <w:r>
              <w:lastRenderedPageBreak/>
              <w:t>Arbeitsuchender aus Drittstaaten in den teilnehmenden Mitgliedstaaten auf Antrag des Arbeitsuchenden oder des Arbeitgebers im Einklang mit den nationalen Rechtsvorschriften und Gepflogenheiten sowie mit allen einsc</w:t>
            </w:r>
            <w:r>
              <w:t>hlägigen internationalen Übereinkünften, einschließlich Vereinbarungen über die gegenseitige Anerkennung von Berufsqualifikationen, erfolgen. Personalisierte Unterstützung und Online-Informationen über bestehende Anerkennungs- und Validierungsverfahren auf</w:t>
            </w:r>
            <w:r>
              <w:t xml:space="preserve"> nationaler Ebene sollten auf der IT-Plattform des EU-Talentpools verfügbar sein und von den nationalen Kontaktstellen des EU-Talentpools bereitgestellt werden.</w:t>
            </w:r>
          </w:p>
        </w:tc>
        <w:tc>
          <w:tcPr>
            <w:tcW w:w="4876" w:type="dxa"/>
            <w:tcBorders>
              <w:top w:val="nil"/>
              <w:left w:val="nil"/>
              <w:bottom w:val="nil"/>
              <w:right w:val="nil"/>
            </w:tcBorders>
          </w:tcPr>
          <w:p w:rsidR="00BC254A" w:rsidRDefault="007914A5">
            <w:pPr>
              <w:pStyle w:val="Normal6a"/>
            </w:pPr>
            <w:r>
              <w:lastRenderedPageBreak/>
              <w:t>(18)</w:t>
            </w:r>
            <w:r>
              <w:tab/>
            </w:r>
            <w:r>
              <w:t xml:space="preserve">Erforderlichenfalls sollten die Anerkennung von Qualifikationen und die Validierung der Kompetenzen registrierter </w:t>
            </w:r>
            <w:r>
              <w:lastRenderedPageBreak/>
              <w:t xml:space="preserve">Arbeitsuchender aus Drittstaaten in den teilnehmenden Mitgliedstaaten auf Antrag des Arbeitsuchenden oder des </w:t>
            </w:r>
            <w:r>
              <w:rPr>
                <w:b/>
                <w:i/>
              </w:rPr>
              <w:t>teilnehmenden</w:t>
            </w:r>
            <w:r>
              <w:t xml:space="preserve"> Arbeitgebers im Einklang mit den nationalen Rechtsvorschriften und Gepflogenheiten sowie mit allen einschlägigen internationalen Übereinkünften, einschließlich Vereinbarungen über die gegenseitige Anerkennung von Berufsqualifikationen, erfolgen. Personali</w:t>
            </w:r>
            <w:r>
              <w:t>sierte Unterstützung und Online-Informationen über bestehende Anerkennungs- und Validierungsverfahren auf nationaler Ebene sollten auf der IT-Plattform des EU-Talentpools verfügbar sein und von den nationalen Kontaktstellen des EU-Talentpools bereitgestell</w:t>
            </w:r>
            <w:r>
              <w:t>t werden.</w:t>
            </w:r>
          </w:p>
        </w:tc>
      </w:tr>
    </w:tbl>
    <w:p w:rsidR="00BC254A" w:rsidRDefault="007914A5">
      <w:pPr>
        <w:pStyle w:val="AmOrLang"/>
      </w:pPr>
      <w:r>
        <w:lastRenderedPageBreak/>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224</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(18)</w:t>
            </w:r>
            <w:r>
              <w:tab/>
              <w:t xml:space="preserve">Erforderlichenfalls sollten die Anerkennung von Qualifikationen und die Validierung der Kompetenzen registrierter Arbeitsuchender aus Drittstaaten in den </w:t>
            </w:r>
            <w:r>
              <w:rPr>
                <w:b/>
                <w:i/>
              </w:rPr>
              <w:t>teilnehmenden</w:t>
            </w:r>
            <w:r>
              <w:t xml:space="preserve"> Mitgliedstaaten auf Antrag des Arbeitsuch</w:t>
            </w:r>
            <w:r>
              <w:t>enden oder des Arbeitgebers im Einklang mit den nationalen Rechtsvorschriften und Gepflogenheiten sowie mit allen einschlägigen internationalen Übereinkünften, einschließlich Vereinbarungen über die gegenseitige Anerkennung von Berufsqualifikationen, erfol</w:t>
            </w:r>
            <w:r>
              <w:t xml:space="preserve">gen. Personalisierte Unterstützung und Online-Informationen über bestehende Anerkennungs- und Validierungsverfahren auf nationaler Ebene sollten auf der IT-Plattform des EU-Talentpools verfügbar </w:t>
            </w:r>
            <w:r>
              <w:lastRenderedPageBreak/>
              <w:t>sein und von den nationalen Kontaktstellen des EU-Talentpools</w:t>
            </w:r>
            <w:r>
              <w:t xml:space="preserve"> bereitgestellt werden.</w:t>
            </w:r>
          </w:p>
        </w:tc>
        <w:tc>
          <w:tcPr>
            <w:tcW w:w="4876" w:type="dxa"/>
            <w:tcBorders>
              <w:top w:val="nil"/>
              <w:left w:val="nil"/>
              <w:bottom w:val="nil"/>
              <w:right w:val="nil"/>
            </w:tcBorders>
          </w:tcPr>
          <w:p w:rsidR="00BC254A" w:rsidRDefault="007914A5">
            <w:pPr>
              <w:pStyle w:val="Normal6a"/>
            </w:pPr>
            <w:r>
              <w:lastRenderedPageBreak/>
              <w:t>(18)</w:t>
            </w:r>
            <w:r>
              <w:tab/>
              <w:t xml:space="preserve">Erforderlichenfalls sollten die Anerkennung von Qualifikationen und die Validierung der Kompetenzen registrierter Arbeitsuchender aus Drittstaaten in den </w:t>
            </w:r>
            <w:r>
              <w:rPr>
                <w:b/>
                <w:i/>
              </w:rPr>
              <w:t>jeweiligen</w:t>
            </w:r>
            <w:r>
              <w:t xml:space="preserve"> Mitgliedstaaten auf Antrag des Arbeitsuchenden oder des Arbeit</w:t>
            </w:r>
            <w:r>
              <w:t xml:space="preserve">gebers im Einklang mit den nationalen Rechtsvorschriften und Gepflogenheiten sowie mit allen einschlägigen internationalen Übereinkünften, einschließlich Vereinbarungen über die gegenseitige Anerkennung von Berufsqualifikationen, erfolgen. Personalisierte </w:t>
            </w:r>
            <w:r>
              <w:t xml:space="preserve">Unterstützung und Online-Informationen über bestehende Anerkennungs- und Validierungsverfahren auf nationaler Ebene sollten auf der IT-Plattform des EU-Talentpools verfügbar </w:t>
            </w:r>
            <w:r>
              <w:lastRenderedPageBreak/>
              <w:t>sein und von den nationalen Kontaktstellen des EU-Talentpools bereitgestellt werde</w:t>
            </w:r>
            <w:r>
              <w:t>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225</w:t>
      </w:r>
      <w:r>
        <w:rPr>
          <w:rStyle w:val="HideTWBExt"/>
        </w:rPr>
        <w:t>&lt;/NumAmB&gt;</w:t>
      </w:r>
    </w:p>
    <w:p w:rsidR="00BC254A" w:rsidRDefault="007914A5">
      <w:pPr>
        <w:pStyle w:val="NormalBold"/>
      </w:pPr>
      <w:r>
        <w:rPr>
          <w:rStyle w:val="HideTWBExt"/>
          <w:b w:val="0"/>
        </w:rPr>
        <w:t>&lt;RepeatBlock-By&gt;&lt;Members&gt;</w:t>
      </w:r>
      <w:r>
        <w:t>Jan-Christoph Oetjen, Abir Al-Sahlani,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(18)</w:t>
            </w:r>
            <w:r>
              <w:tab/>
              <w:t xml:space="preserve">Erforderlichenfalls sollten die Anerkennung von Qualifikationen und die Validierung der Kompetenzen registrierter Arbeitsuchender aus Drittstaaten in den </w:t>
            </w:r>
            <w:r>
              <w:rPr>
                <w:b/>
                <w:i/>
              </w:rPr>
              <w:t>teilnehmenden</w:t>
            </w:r>
            <w:r>
              <w:t xml:space="preserve"> Mitgliedstaaten auf Antrag des Arbeitsuchenden oder des Arbeitgebers im Einklang mit den nationalen Rechtsvorschriften und Gepflogenheiten sowie mit allen einschlägigen internationalen Übereinkünften, einschließlich Vereinbarungen über die gegenseitige An</w:t>
            </w:r>
            <w:r>
              <w:t>erkennung von Berufsqualifikationen, erfolgen. Personalisierte Unterstützung und Online-Informationen über bestehende Anerkennungs- und Validierungsverfahren auf nationaler Ebene sollten auf der IT-Plattform des EU-Talentpools verfügbar sein und von den na</w:t>
            </w:r>
            <w:r>
              <w:t>tionalen Kontaktstellen des EU-Talentpools bereitgestellt werden.</w:t>
            </w:r>
          </w:p>
        </w:tc>
        <w:tc>
          <w:tcPr>
            <w:tcW w:w="4876" w:type="dxa"/>
            <w:tcBorders>
              <w:top w:val="nil"/>
              <w:left w:val="nil"/>
              <w:bottom w:val="nil"/>
              <w:right w:val="nil"/>
            </w:tcBorders>
          </w:tcPr>
          <w:p w:rsidR="00BC254A" w:rsidRDefault="007914A5">
            <w:pPr>
              <w:pStyle w:val="Normal6a"/>
            </w:pPr>
            <w:r>
              <w:t>(18)</w:t>
            </w:r>
            <w:r>
              <w:tab/>
              <w:t xml:space="preserve">Erforderlichenfalls sollten die Anerkennung von Qualifikationen und die Validierung der Kompetenzen registrierter Arbeitsuchender aus Drittstaaten in den Mitgliedstaaten auf Antrag des </w:t>
            </w:r>
            <w:r>
              <w:t>Arbeitsuchenden oder des Arbeitgebers im Einklang mit den nationalen Rechtsvorschriften und Gepflogenheiten sowie mit allen einschlägigen internationalen Übereinkünften, einschließlich Vereinbarungen über die gegenseitige Anerkennung von Berufsqualifikatio</w:t>
            </w:r>
            <w:r>
              <w:t>nen, erfolgen. Personalisierte Unterstützung und Online-Informationen über bestehende Anerkennungs- und Validierungsverfahren auf nationaler Ebene sollten auf der IT-Plattform des EU-Talentpools verfügbar sein und von den nationalen Kontaktstellen des EU-T</w:t>
            </w:r>
            <w:r>
              <w:t>alentpools bereitgestellt werden.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226</w:t>
      </w:r>
      <w:r>
        <w:rPr>
          <w:rStyle w:val="HideTWBExt"/>
        </w:rPr>
        <w:t>&lt;/NumAmB&gt;</w:t>
      </w:r>
    </w:p>
    <w:p w:rsidR="00BC254A" w:rsidRDefault="007914A5">
      <w:pPr>
        <w:pStyle w:val="NormalBold"/>
      </w:pPr>
      <w:r>
        <w:rPr>
          <w:rStyle w:val="HideTWBExt"/>
          <w:b w:val="0"/>
        </w:rPr>
        <w:t>&lt;RepeatBlock-By&gt;&lt;Members&gt;</w:t>
      </w:r>
      <w:r>
        <w:t>Charlie Weimers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rPr>
                <w:b/>
                <w:i/>
              </w:rPr>
              <w:lastRenderedPageBreak/>
              <w:t>(19)</w:t>
            </w:r>
            <w:r>
              <w:tab/>
            </w:r>
            <w:r>
              <w:rPr>
                <w:b/>
                <w:i/>
              </w:rPr>
              <w:t>Im Rahmen von Fachkräftepartnerschaften erhalten Staatsangehörige ausgewählter Drittstaaten Unterstützung bei der Entwicklung und Validierung von Kompetenzen in einem Rahmen, der von de</w:t>
            </w:r>
            <w:r>
              <w:rPr>
                <w:b/>
                <w:i/>
              </w:rPr>
              <w:t>n an einer Fachkräftepartnerschaft teilnehmenden Mitgliedstaaten und Partnerländern gebilligt wurde.</w:t>
            </w:r>
            <w:r>
              <w:t xml:space="preserve"> </w:t>
            </w:r>
            <w:r>
              <w:rPr>
                <w:b/>
                <w:i/>
              </w:rPr>
              <w:t>Daher sollten die im Rahmen einer Fachkräftepartnerschaft entwickelten oder validierten Kompetenzen durch den „EU-Fachkräftepartnerschaftspass“ zertifizier</w:t>
            </w:r>
            <w:r>
              <w:rPr>
                <w:b/>
                <w:i/>
              </w:rPr>
              <w:t>t werden, der im Kontext des EU-Talentpools sichtbar ist.</w:t>
            </w:r>
            <w:r>
              <w:t xml:space="preserve"> </w:t>
            </w:r>
            <w:r>
              <w:rPr>
                <w:b/>
                <w:i/>
              </w:rPr>
              <w:t>Arbeitgeber, die am EU-Talentpool teilnehmen, sollten die Profile registrierter Arbeitsuchender aus Drittstaaten so filtern können, dass sie diejenigen sehen, die über einen „EU-Fachkräftepartnersch</w:t>
            </w:r>
            <w:r>
              <w:rPr>
                <w:b/>
                <w:i/>
              </w:rPr>
              <w:t>aftspass“ verfügen.</w:t>
            </w:r>
            <w:r>
              <w:t xml:space="preserve"> </w:t>
            </w:r>
            <w:r>
              <w:rPr>
                <w:b/>
                <w:i/>
              </w:rPr>
              <w:t>Dies könnte Arbeitgeber dazu ermutigen, eine Einstellung in der Union anzubieten.</w:t>
            </w:r>
            <w:r>
              <w:t xml:space="preserve"> </w:t>
            </w:r>
            <w:r>
              <w:rPr>
                <w:b/>
                <w:i/>
              </w:rPr>
              <w:t>Die Mitgliedstaaten sollten im Rahmen einer Fachkräftepartnerschaft festlegen, unter welchen Bedingungen der „EU-Fachkräftepartnerschaftspass“ für die Zwe</w:t>
            </w:r>
            <w:r>
              <w:rPr>
                <w:b/>
                <w:i/>
              </w:rPr>
              <w:t>cke des EU-Talentpools ausgestellt wird, unter anderem, ob die nationale Behörde eines Partnerlandes, eine internationale Organisation oder ein anderer Interessenträger dessen Ausstellung unterstützen sollten. Die Ausstellung eines „EU-Fachkräftepartnersch</w:t>
            </w:r>
            <w:r>
              <w:rPr>
                <w:b/>
                <w:i/>
              </w:rPr>
              <w:t>aftspasses“ lässt die europäischen und nationalen Vorschriften über den Zugang zu reglementierten Berufen unberührt.</w:t>
            </w:r>
          </w:p>
        </w:tc>
        <w:tc>
          <w:tcPr>
            <w:tcW w:w="4876" w:type="dxa"/>
            <w:tcBorders>
              <w:top w:val="nil"/>
              <w:left w:val="nil"/>
              <w:bottom w:val="nil"/>
              <w:right w:val="nil"/>
            </w:tcBorders>
          </w:tcPr>
          <w:p w:rsidR="00BC254A" w:rsidRDefault="007914A5">
            <w:pPr>
              <w:pStyle w:val="Normal6a"/>
            </w:pPr>
            <w:r>
              <w:rPr>
                <w:b/>
                <w:i/>
              </w:rPr>
              <w:t>entfällt</w:t>
            </w:r>
          </w:p>
        </w:tc>
      </w:tr>
    </w:tbl>
    <w:p w:rsidR="00BC254A" w:rsidRDefault="007914A5">
      <w:pPr>
        <w:pStyle w:val="AmOrLang"/>
      </w:pPr>
      <w:r>
        <w:t xml:space="preserve">Or. </w:t>
      </w:r>
      <w:r>
        <w:rPr>
          <w:rStyle w:val="HideTWBExt"/>
        </w:rPr>
        <w:t>&lt;Original&gt;</w:t>
      </w:r>
      <w:r>
        <w:rPr>
          <w:rStyle w:val="HideTWBInt"/>
        </w:rPr>
        <w:t>{SV}</w:t>
      </w:r>
      <w:r>
        <w:t>sv</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227</w:t>
      </w:r>
      <w:r>
        <w:rPr>
          <w:rStyle w:val="HideTWBExt"/>
        </w:rPr>
        <w:t>&lt;/NumAmB&gt;</w:t>
      </w:r>
    </w:p>
    <w:p w:rsidR="00BC254A" w:rsidRDefault="007914A5">
      <w:pPr>
        <w:pStyle w:val="NormalBold"/>
      </w:pPr>
      <w:r>
        <w:rPr>
          <w:rStyle w:val="HideTWBExt"/>
          <w:b w:val="0"/>
        </w:rPr>
        <w:t>&lt;RepeatBlock-By&gt;&lt;Members&gt;</w:t>
      </w:r>
      <w:r>
        <w:t>Nadine Morano</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lastRenderedPageBreak/>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(19)</w:t>
            </w:r>
            <w:r>
              <w:tab/>
              <w:t xml:space="preserve">Im Rahmen von Fachkräftepartnerschaften </w:t>
            </w:r>
            <w:r>
              <w:rPr>
                <w:b/>
                <w:i/>
              </w:rPr>
              <w:t>erhalten</w:t>
            </w:r>
            <w:r>
              <w:t xml:space="preserve"> Staatsangehörige ausgewählter Drittstaaten Unterstützung bei der Entwicklung und Validierung von Kompetenzen in einem Rahmen, der von den an einer Fachkräftepartnerschaft teilnehmenden Mitgliedstaaten und Partnerländern gebilligt wurde. </w:t>
            </w:r>
            <w:r>
              <w:rPr>
                <w:b/>
                <w:i/>
              </w:rPr>
              <w:t>Daher sollten</w:t>
            </w:r>
            <w:r>
              <w:t xml:space="preserve"> die </w:t>
            </w:r>
            <w:r>
              <w:t xml:space="preserve">im Rahmen </w:t>
            </w:r>
            <w:r>
              <w:rPr>
                <w:b/>
                <w:i/>
              </w:rPr>
              <w:t>einer Fachkräftepartnerschaft entwickelten</w:t>
            </w:r>
            <w:r>
              <w:t xml:space="preserve"> oder validierten Kompetenzen </w:t>
            </w:r>
            <w:r>
              <w:rPr>
                <w:b/>
                <w:i/>
              </w:rPr>
              <w:t>durch den „EU-Fachkräftepartnerschaftspass“ zertifiziert werden, der im Kontext des EU-Talentpools sichtbar ist</w:t>
            </w:r>
            <w:r>
              <w:t>. Arbeitgeber, die am EU-Talentpool teilnehmen, sollten die Pro</w:t>
            </w:r>
            <w:r>
              <w:t>file registrierter Arbeitsuchender aus Drittstaaten so filtern können, dass sie diejenigen sehen, die über einen „EU-Fachkräftepartnerschaftspass“ verfügen. Dies könnte Arbeitgeber dazu ermutigen, eine Einstellung in der Union anzubieten. Die Mitgliedstaat</w:t>
            </w:r>
            <w:r>
              <w:t>en sollten im Rahmen einer Fachkräftepartnerschaft festlegen, unter welchen Bedingungen der „EU-Fachkräftepartnerschaftspass“ für die Zwecke des EU-Talentpools ausgestellt wird, unter anderem, ob die nationale Behörde eines Partnerlandes, eine internationa</w:t>
            </w:r>
            <w:r>
              <w:t>le Organisation oder ein anderer Interessenträger dessen Ausstellung unterstützen sollten. Die Ausstellung eines „EU-Fachkräftepartnerschaftspasses“ lässt die europäischen und nationalen Vorschriften über den Zugang zu reglementierten Berufen unberührt.</w:t>
            </w:r>
          </w:p>
        </w:tc>
        <w:tc>
          <w:tcPr>
            <w:tcW w:w="4876" w:type="dxa"/>
            <w:tcBorders>
              <w:top w:val="nil"/>
              <w:left w:val="nil"/>
              <w:bottom w:val="nil"/>
              <w:right w:val="nil"/>
            </w:tcBorders>
          </w:tcPr>
          <w:p w:rsidR="00BC254A" w:rsidRDefault="007914A5">
            <w:pPr>
              <w:pStyle w:val="Normal6a"/>
            </w:pPr>
            <w:r>
              <w:t>(1</w:t>
            </w:r>
            <w:r>
              <w:t>9)</w:t>
            </w:r>
            <w:r>
              <w:tab/>
              <w:t xml:space="preserve">Im Rahmen von Fachkräftepartnerschaften </w:t>
            </w:r>
            <w:r>
              <w:rPr>
                <w:b/>
                <w:i/>
              </w:rPr>
              <w:t>können</w:t>
            </w:r>
            <w:r>
              <w:t xml:space="preserve"> Staatsangehörige ausgewählter Drittstaaten Unterstützung bei der Entwicklung und Validierung von Kompetenzen in einem Rahmen </w:t>
            </w:r>
            <w:r>
              <w:rPr>
                <w:b/>
                <w:i/>
              </w:rPr>
              <w:t>erhalten</w:t>
            </w:r>
            <w:r>
              <w:t>, der von den an einer Fachkräftepartnerschaft teilnehmenden Mitgliedstaa</w:t>
            </w:r>
            <w:r>
              <w:t xml:space="preserve">ten und Partnerländern gebilligt wurde. </w:t>
            </w:r>
            <w:r>
              <w:rPr>
                <w:b/>
                <w:i/>
              </w:rPr>
              <w:t>Dieses Programm zur Entwicklung und Validierung von Kompetenzen muss finanziell durch die Europäische Union unterstützt werden oder in eine Initiative oder ein bilaterales Abkommen eines Mitgliedstaats im Zusammenhan</w:t>
            </w:r>
            <w:r>
              <w:rPr>
                <w:b/>
                <w:i/>
              </w:rPr>
              <w:t>g mit Fachkräftepartnerschaften eingebunden werden.</w:t>
            </w:r>
            <w:r>
              <w:t xml:space="preserve"> Die im Rahmen </w:t>
            </w:r>
            <w:r>
              <w:rPr>
                <w:b/>
                <w:i/>
              </w:rPr>
              <w:t>dieser Partnerschaften erworbenen</w:t>
            </w:r>
            <w:r>
              <w:t xml:space="preserve"> oder validierten Kompetenzen </w:t>
            </w:r>
            <w:r>
              <w:rPr>
                <w:b/>
                <w:i/>
              </w:rPr>
              <w:t>sollten gemäß der von den Mitgliedstaaten, die sich an diesen Partnerschaften beteiligen wollen, festgelegten Verfahren zertifi</w:t>
            </w:r>
            <w:r>
              <w:rPr>
                <w:b/>
                <w:i/>
              </w:rPr>
              <w:t>ziert werden</w:t>
            </w:r>
            <w:r>
              <w:t xml:space="preserve">. Arbeitgeber, die am EU-Talentpool teilnehmen, sollten die Profile registrierter Arbeitsuchender aus Drittstaaten so filtern können, dass sie diejenigen sehen, die über einen „EU-Fachkräftepartnerschaftspass“ verfügen. Dies könnte Arbeitgeber </w:t>
            </w:r>
            <w:r>
              <w:t>dazu ermutigen, eine Einstellung in der Union anzubieten. Die Mitgliedstaaten sollten im Rahmen einer Fachkräftepartnerschaft festlegen, unter welchen Bedingungen der „EU-Fachkräftepartnerschaftspass“ für die Zwecke des EU-Talentpools ausgestellt wird, unt</w:t>
            </w:r>
            <w:r>
              <w:t>er anderem, ob die nationale Behörde eines Partnerlandes, eine internationale Organisation oder ein anderer Interessenträger dessen Ausstellung unterstützen sollten. Die Ausstellung eines „EU-Fachkräftepartnerschaftspasses“ lässt die europäischen und natio</w:t>
            </w:r>
            <w:r>
              <w:t>nalen Vorschriften über den Zugang zu reglementierten Berufen unberührt.</w:t>
            </w:r>
          </w:p>
        </w:tc>
      </w:tr>
    </w:tbl>
    <w:p w:rsidR="00BC254A" w:rsidRDefault="007914A5">
      <w:pPr>
        <w:pStyle w:val="AmOrLang"/>
      </w:pPr>
      <w:r>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lastRenderedPageBreak/>
        <w:t>&lt;/AmendB&gt;</w:t>
      </w:r>
    </w:p>
    <w:p w:rsidR="00BC254A" w:rsidRDefault="007914A5">
      <w:pPr>
        <w:pStyle w:val="AmNumberTabs"/>
      </w:pPr>
      <w:r>
        <w:rPr>
          <w:rStyle w:val="HideTWBExt"/>
        </w:rPr>
        <w:t>&lt;AmendB&gt;</w:t>
      </w:r>
      <w:r>
        <w:t>Änderungsantrag</w:t>
      </w:r>
      <w:r>
        <w:tab/>
      </w:r>
      <w:r>
        <w:tab/>
      </w:r>
      <w:r>
        <w:rPr>
          <w:rStyle w:val="HideTWBExt"/>
        </w:rPr>
        <w:t>&lt;NumAmB&gt;</w:t>
      </w:r>
      <w:r>
        <w:t>228</w:t>
      </w:r>
      <w:r>
        <w:rPr>
          <w:rStyle w:val="HideTWBExt"/>
        </w:rPr>
        <w:t>&lt;/NumAmB&gt;</w:t>
      </w:r>
    </w:p>
    <w:p w:rsidR="00BC254A" w:rsidRDefault="007914A5">
      <w:pPr>
        <w:pStyle w:val="NormalBold"/>
      </w:pPr>
      <w:r>
        <w:rPr>
          <w:rStyle w:val="HideTWBExt"/>
          <w:b w:val="0"/>
        </w:rPr>
        <w:t>&lt;RepeatBlock-By&gt;&lt;Members&gt;</w:t>
      </w:r>
      <w:r>
        <w:t>Jan-Christoph Oetjen, Abir Al-Sahlani,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(19)</w:t>
            </w:r>
            <w:r>
              <w:tab/>
              <w:t xml:space="preserve">Im Rahmen von Fachkräftepartnerschaften erhalten Staatsangehörige ausgewählter Drittstaaten Unterstützung </w:t>
            </w:r>
            <w:r>
              <w:t xml:space="preserve">bei der Entwicklung und Validierung von Kompetenzen in einem Rahmen, der von den an einer Fachkräftepartnerschaft teilnehmenden Mitgliedstaaten und Partnerländern gebilligt wurde. Daher sollten die im Rahmen einer Fachkräftepartnerschaft entwickelten oder </w:t>
            </w:r>
            <w:r>
              <w:t>validierten Kompetenzen durch den „EU-Fachkräftepartnerschaftspass“ zertifiziert werden, der im Kontext des EU-Talentpools sichtbar ist. Arbeitgeber, die am EU-Talentpool teilnehmen, sollten die Profile registrierter Arbeitsuchender aus Drittstaaten so fil</w:t>
            </w:r>
            <w:r>
              <w:t>tern können, dass sie diejenigen sehen, die über einen „EU-Fachkräftepartnerschaftspass“ verfügen. Dies könnte Arbeitgeber dazu ermutigen, eine Einstellung in der Union anzubieten. Die Mitgliedstaaten sollten im Rahmen einer Fachkräftepartnerschaft festleg</w:t>
            </w:r>
            <w:r>
              <w:t>en, unter welchen Bedingungen der „EU-Fachkräftepartnerschaftspass“ für die Zwecke des EU-Talentpools ausgestellt wird, unter anderem, ob die nationale Behörde eines Partnerlandes, eine internationale Organisation oder ein anderer Interessenträger dessen A</w:t>
            </w:r>
            <w:r>
              <w:t>usstellung unterstützen sollten. Die Ausstellung eines „EU-Fachkräftepartnerschaftspasses“ lässt die europäischen und nationalen Vorschriften über den Zugang zu reglementierten Berufen unberührt.</w:t>
            </w:r>
          </w:p>
        </w:tc>
        <w:tc>
          <w:tcPr>
            <w:tcW w:w="4876" w:type="dxa"/>
            <w:tcBorders>
              <w:top w:val="nil"/>
              <w:left w:val="nil"/>
              <w:bottom w:val="nil"/>
              <w:right w:val="nil"/>
            </w:tcBorders>
          </w:tcPr>
          <w:p w:rsidR="00BC254A" w:rsidRDefault="007914A5">
            <w:pPr>
              <w:pStyle w:val="Normal6a"/>
            </w:pPr>
            <w:r>
              <w:t>(19)</w:t>
            </w:r>
            <w:r>
              <w:tab/>
              <w:t>Im Rahmen von Fachkräftepartnerschaften erhalten Staats</w:t>
            </w:r>
            <w:r>
              <w:t>angehörige ausgewählter Drittstaaten Unterstützung bei der Entwicklung und Validierung von Kompetenzen in einem Rahmen, der von den an einer Fachkräftepartnerschaft teilnehmenden Mitgliedstaaten und Partnerländern gebilligt wurde. Daher sollten die im Rahm</w:t>
            </w:r>
            <w:r>
              <w:t>en einer Fachkräftepartnerschaft entwickelten oder validierten Kompetenzen durch den „EU-Fachkräftepartnerschaftspass“ zertifiziert werden, der im Kontext des EU-Talentpools sichtbar ist. Arbeitgeber, die am EU-Talentpool teilnehmen, sollten die Profile re</w:t>
            </w:r>
            <w:r>
              <w:t>gistrierter Arbeitsuchender aus Drittstaaten so filtern können, dass sie diejenigen sehen, die über einen „EU-Fachkräftepartnerschaftspass“ verfügen. Dies könnte Arbeitgeber dazu ermutigen, eine Einstellung in der Union anzubieten. Die Mitgliedstaaten soll</w:t>
            </w:r>
            <w:r>
              <w:t xml:space="preserve">ten im Rahmen einer Fachkräftepartnerschaft </w:t>
            </w:r>
            <w:r>
              <w:rPr>
                <w:b/>
                <w:i/>
              </w:rPr>
              <w:t>und entsprechend gemeinsamer harmonisierter Leitlinien, die von der Kommission im Wege des Beratungsverfahrens gemäß Artikel 12 Absatz 4 im Einklang mit Artikel 22 Absatz 2 herausgegeben werden,</w:t>
            </w:r>
            <w:r>
              <w:t xml:space="preserve"> festlegen, unter </w:t>
            </w:r>
            <w:r>
              <w:t>welchen Bedingungen der „EU-Fachkräftepartnerschaftspass“ für die Zwecke des EU-Talentpools ausgestellt wird, unter anderem, ob die nationale Behörde eines Partnerlandes, eine internationale Organisation oder ein anderer Interessenträger dessen Ausstellung</w:t>
            </w:r>
            <w:r>
              <w:t xml:space="preserve"> unterstützen sollten. Die </w:t>
            </w:r>
            <w:r>
              <w:lastRenderedPageBreak/>
              <w:t>Ausstellung eines „EU-Fachkräftepartnerschaftspasses“ lässt die europäischen und nationalen Vorschriften über den Zugang zu reglementierten Berufen unberührt.</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w:t>
      </w:r>
      <w:r>
        <w:rPr>
          <w:rStyle w:val="HideTWBExt"/>
        </w:rPr>
        <w:t>umAmB&gt;</w:t>
      </w:r>
      <w:r>
        <w:t>229</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(19)</w:t>
            </w:r>
            <w:r>
              <w:tab/>
            </w:r>
            <w:r>
              <w:t>Im Rahmen von Fachkräftepartnerschaften erhalten Staatsangehörige ausgewählter Drittstaaten Unterstützung bei der Entwicklung und Validierung von Kompetenzen in einem Rahmen, der von den an einer Fachkräftepartnerschaft teilnehmenden Mitgliedstaaten und Pa</w:t>
            </w:r>
            <w:r>
              <w:t xml:space="preserve">rtnerländern gebilligt wurde. Daher sollten die im Rahmen einer Fachkräftepartnerschaft entwickelten oder validierten Kompetenzen durch den „EU-Fachkräftepartnerschaftspass“ zertifiziert werden, der im Kontext des EU-Talentpools sichtbar ist. Arbeitgeber, </w:t>
            </w:r>
            <w:r>
              <w:t xml:space="preserve">die am EU-Talentpool teilnehmen, sollten die Profile registrierter Arbeitsuchender aus Drittstaaten </w:t>
            </w:r>
            <w:r>
              <w:rPr>
                <w:b/>
                <w:i/>
              </w:rPr>
              <w:t>so</w:t>
            </w:r>
            <w:r>
              <w:t xml:space="preserve"> filtern können, </w:t>
            </w:r>
            <w:r>
              <w:rPr>
                <w:b/>
                <w:i/>
              </w:rPr>
              <w:t>dass</w:t>
            </w:r>
            <w:r>
              <w:t xml:space="preserve"> sie diejenigen sehen, die über einen „EU-Fachkräftepartnerschaftspass“ verfügen. Dies könnte Arbeitgeber dazu ermutigen, eine Einste</w:t>
            </w:r>
            <w:r>
              <w:t>llung in der Union anzubieten. Die Mitgliedstaaten sollten im Rahmen einer Fachkräftepartnerschaft festlegen, unter welchen Bedingungen der „EU-Fachkräftepartnerschaftspass“ für die Zwecke des EU-Talentpools ausgestellt wird, unter anderem, ob die national</w:t>
            </w:r>
            <w:r>
              <w:t xml:space="preserve">e Behörde eines Partnerlandes, eine internationale Organisation oder ein </w:t>
            </w:r>
            <w:r>
              <w:lastRenderedPageBreak/>
              <w:t>anderer Interessenträger dessen Ausstellung unterstützen sollten. Die Ausstellung eines „EU-Fachkräftepartnerschaftspasses“ lässt die europäischen und nationalen Vorschriften über den</w:t>
            </w:r>
            <w:r>
              <w:t xml:space="preserve"> Zugang zu reglementierten Berufen unberührt.</w:t>
            </w:r>
          </w:p>
        </w:tc>
        <w:tc>
          <w:tcPr>
            <w:tcW w:w="4876" w:type="dxa"/>
            <w:tcBorders>
              <w:top w:val="nil"/>
              <w:left w:val="nil"/>
              <w:bottom w:val="nil"/>
              <w:right w:val="nil"/>
            </w:tcBorders>
          </w:tcPr>
          <w:p w:rsidR="00BC254A" w:rsidRDefault="007914A5">
            <w:pPr>
              <w:pStyle w:val="Normal6a"/>
            </w:pPr>
            <w:r>
              <w:lastRenderedPageBreak/>
              <w:t>(19)</w:t>
            </w:r>
            <w:r>
              <w:tab/>
            </w:r>
            <w:r>
              <w:t>Im Rahmen von Fachkräftepartnerschaften erhalten Staatsangehörige ausgewählter Drittstaaten Unterstützung bei der Entwicklung und Validierung von Kompetenzen in einem Rahmen, der von den an einer Fachkräftepartnerschaft teilnehmenden Mitgliedstaaten und Pa</w:t>
            </w:r>
            <w:r>
              <w:t xml:space="preserve">rtnerländern gebilligt wurde. Daher sollten die im Rahmen einer Fachkräftepartnerschaft entwickelten oder validierten Kompetenzen durch den „EU-Fachkräftepartnerschaftspass“ zertifiziert werden, der im Kontext des EU-Talentpools sichtbar ist. Arbeitgeber, </w:t>
            </w:r>
            <w:r>
              <w:t xml:space="preserve">die am EU-Talentpool teilnehmen, sollten die Profile registrierter Arbeitsuchender aus Drittstaaten filtern können, </w:t>
            </w:r>
            <w:r>
              <w:rPr>
                <w:b/>
                <w:i/>
              </w:rPr>
              <w:t>damit</w:t>
            </w:r>
            <w:r>
              <w:t xml:space="preserve"> sie diejenigen sehen, die über einen „EU-Fachkräftepartnerschaftspass“ verfügen. Dies könnte Arbeitgeber dazu ermutigen, eine Einstell</w:t>
            </w:r>
            <w:r>
              <w:t xml:space="preserve">ung in der Union anzubieten. Die Mitgliedstaaten sollten im Rahmen einer Fachkräftepartnerschaft festlegen, unter welchen Bedingungen der „EU-Fachkräftepartnerschaftspass“ für die Zwecke des EU-Talentpools ausgestellt wird, unter anderem, ob die nationale </w:t>
            </w:r>
            <w:r>
              <w:t xml:space="preserve">Behörde eines Partnerlandes, eine internationale Organisation oder ein </w:t>
            </w:r>
            <w:r>
              <w:lastRenderedPageBreak/>
              <w:t>anderer Interessenträger dessen Ausstellung unterstützen sollten. Die Ausstellung eines „EU-Fachkräftepartnerschaftspasses“ lässt die europäischen und nationalen Vorschriften über den Z</w:t>
            </w:r>
            <w:r>
              <w:t>ugang zu reglementierten Berufen unberührt.</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230</w:t>
      </w:r>
      <w:r>
        <w:rPr>
          <w:rStyle w:val="HideTWBExt"/>
        </w:rPr>
        <w:t>&lt;/NumAmB&gt;</w:t>
      </w:r>
    </w:p>
    <w:p w:rsidR="00BC254A" w:rsidRDefault="007914A5">
      <w:pPr>
        <w:pStyle w:val="NormalBold"/>
      </w:pPr>
      <w:r>
        <w:rPr>
          <w:rStyle w:val="HideTWBExt"/>
          <w:b w:val="0"/>
        </w:rPr>
        <w:t>&lt;RepeatBlock-By&gt;&lt;Members&gt;</w:t>
      </w:r>
      <w:r>
        <w:t>Francisco Assis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(19)</w:t>
            </w:r>
            <w:r>
              <w:tab/>
              <w:t xml:space="preserve">Im Rahmen von Fachkräftepartnerschaften erhalten Staatsangehörige ausgewählter Drittstaaten Unterstützung bei der Entwicklung und Validierung von Kompetenzen in einem Rahmen, </w:t>
            </w:r>
            <w:r>
              <w:t>der von den an einer Fachkräftepartnerschaft teilnehmenden Mitgliedstaaten und Partnerländern gebilligt wurde. Daher sollten die im Rahmen einer Fachkräftepartnerschaft entwickelten oder validierten Kompetenzen durch den „</w:t>
            </w:r>
            <w:r>
              <w:rPr>
                <w:b/>
                <w:i/>
              </w:rPr>
              <w:t>EU-Fachkräftepartnerschaftspass</w:t>
            </w:r>
            <w:r>
              <w:t>“ z</w:t>
            </w:r>
            <w:r>
              <w:t>ertifiziert werden, der im Kontext des EU-Talentpools sichtbar ist. Arbeitgeber, die am EU-Talentpool teilnehmen, sollten die Profile registrierter Arbeitsuchender aus Drittstaaten so filtern können, dass sie diejenigen sehen, die über einen „</w:t>
            </w:r>
            <w:r>
              <w:rPr>
                <w:b/>
                <w:i/>
              </w:rPr>
              <w:t>EU-Fachkräfte</w:t>
            </w:r>
            <w:r>
              <w:rPr>
                <w:b/>
                <w:i/>
              </w:rPr>
              <w:t>partnerschaftspass</w:t>
            </w:r>
            <w:r>
              <w:t>“ verfügen. Dies könnte Arbeitgeber dazu ermutigen, eine Einstellung in der Union anzubieten. Die Mitgliedstaaten sollten im Rahmen einer Fachkräftepartnerschaft festlegen, unter welchen Bedingungen der „</w:t>
            </w:r>
            <w:r>
              <w:rPr>
                <w:b/>
                <w:i/>
              </w:rPr>
              <w:t>EU-Fachkräftepartnerschaftspass</w:t>
            </w:r>
            <w:r>
              <w:t>“ f</w:t>
            </w:r>
            <w:r>
              <w:t xml:space="preserve">ür die Zwecke des EU-Talentpools ausgestellt wird, unter anderem, ob die nationale </w:t>
            </w:r>
            <w:r>
              <w:lastRenderedPageBreak/>
              <w:t>Behörde eines Partnerlandes, eine internationale Organisation oder ein anderer Interessenträger dessen Ausstellung unterstützen sollten. Die Ausstellung eines „</w:t>
            </w:r>
            <w:r>
              <w:rPr>
                <w:b/>
                <w:i/>
              </w:rPr>
              <w:t>EU-Fachkräfte</w:t>
            </w:r>
            <w:r>
              <w:rPr>
                <w:b/>
                <w:i/>
              </w:rPr>
              <w:t>partnerschaftspasses</w:t>
            </w:r>
            <w:r>
              <w:t>“ lässt die europäischen und nationalen Vorschriften über den Zugang zu reglementierten Berufen unberührt.</w:t>
            </w:r>
          </w:p>
        </w:tc>
        <w:tc>
          <w:tcPr>
            <w:tcW w:w="4876" w:type="dxa"/>
            <w:tcBorders>
              <w:top w:val="nil"/>
              <w:left w:val="nil"/>
              <w:bottom w:val="nil"/>
              <w:right w:val="nil"/>
            </w:tcBorders>
          </w:tcPr>
          <w:p w:rsidR="00BC254A" w:rsidRDefault="007914A5">
            <w:pPr>
              <w:pStyle w:val="Normal6a"/>
            </w:pPr>
            <w:r>
              <w:lastRenderedPageBreak/>
              <w:t>(19)</w:t>
            </w:r>
            <w:r>
              <w:tab/>
              <w:t>Im Rahmen von Fachkräftepartnerschaften erhalten Staatsangehörige ausgewählter Drittstaaten Unterstützung bei der Entwicklun</w:t>
            </w:r>
            <w:r>
              <w:t>g und Validierung von Kompetenzen in einem Rahmen, der von den an einer Fachkräftepartnerschaft teilnehmenden Mitgliedstaaten und Partnerländern gebilligt wurde. Daher sollten die im Rahmen einer Fachkräftepartnerschaft entwickelten oder validierten Kompet</w:t>
            </w:r>
            <w:r>
              <w:t>enzen durch den „</w:t>
            </w:r>
            <w:r>
              <w:rPr>
                <w:b/>
                <w:i/>
              </w:rPr>
              <w:t>Fachkräftepartnerschaftspass</w:t>
            </w:r>
            <w:r>
              <w:t>“ zertifiziert werden, der im Kontext des EU-Talentpools sichtbar ist. Arbeitgeber, die am EU-Talentpool teilnehmen, sollten die Profile registrierter Arbeitsuchender aus Drittstaaten so filtern können, dass sie</w:t>
            </w:r>
            <w:r>
              <w:t xml:space="preserve"> diejenigen sehen, die über einen „</w:t>
            </w:r>
            <w:r>
              <w:rPr>
                <w:b/>
                <w:i/>
              </w:rPr>
              <w:t>Fachkräftepartnerschaftspass</w:t>
            </w:r>
            <w:r>
              <w:t>“ verfügen. Dies könnte Arbeitgeber dazu ermutigen, eine Einstellung in der Union anzubieten. Die Mitgliedstaaten sollten im Rahmen einer Fachkräftepartnerschaft festlegen, unter welchen Beding</w:t>
            </w:r>
            <w:r>
              <w:t>ungen der „</w:t>
            </w:r>
            <w:r>
              <w:rPr>
                <w:b/>
                <w:i/>
              </w:rPr>
              <w:t>Fachkräftepartnerschaftspass</w:t>
            </w:r>
            <w:r>
              <w:t xml:space="preserve">“ für die Zwecke des EU-Talentpools ausgestellt wird, unter anderem, ob die nationale Behörde eines Partnerlandes, eine </w:t>
            </w:r>
            <w:r>
              <w:lastRenderedPageBreak/>
              <w:t>internationale Organisation oder ein anderer Interessenträger dessen Ausstellung unterstützen sol</w:t>
            </w:r>
            <w:r>
              <w:t>lten. Die Ausstellung eines „</w:t>
            </w:r>
            <w:r>
              <w:rPr>
                <w:b/>
                <w:i/>
              </w:rPr>
              <w:t>Fachkräftepartnerschaftspasses</w:t>
            </w:r>
            <w:r>
              <w:t>“ lässt die europäischen und nationalen Vorschriften über den Zugang zu reglementierten Berufen unberührt.</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231</w:t>
      </w:r>
      <w:r>
        <w:rPr>
          <w:rStyle w:val="HideTWBExt"/>
        </w:rPr>
        <w:t>&lt;/NumAmB&gt;</w:t>
      </w:r>
    </w:p>
    <w:p w:rsidR="00BC254A" w:rsidRDefault="007914A5">
      <w:pPr>
        <w:pStyle w:val="NormalBold"/>
      </w:pPr>
      <w:r>
        <w:rPr>
          <w:rStyle w:val="HideTWBExt"/>
          <w:b w:val="0"/>
        </w:rPr>
        <w:t>&lt;RepeatBlock-By&gt;&lt;Members&gt;</w:t>
      </w:r>
      <w:r>
        <w:t>Javier 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(19)</w:t>
            </w:r>
            <w:r>
              <w:tab/>
              <w:t xml:space="preserve">Im Rahmen von Fachkräftepartnerschaften erhalten </w:t>
            </w:r>
            <w:r>
              <w:t>Staatsangehörige ausgewählter Drittstaaten Unterstützung bei der Entwicklung und Validierung von Kompetenzen in einem Rahmen, der von den an einer Fachkräftepartnerschaft teilnehmenden Mitgliedstaaten und Partnerländern gebilligt wurde. Daher sollten die i</w:t>
            </w:r>
            <w:r>
              <w:t>m Rahmen einer Fachkräftepartnerschaft entwickelten oder validierten Kompetenzen durch den „</w:t>
            </w:r>
            <w:r>
              <w:rPr>
                <w:b/>
                <w:i/>
              </w:rPr>
              <w:t>EU-Fachkräftepartnerschaftspass</w:t>
            </w:r>
            <w:r>
              <w:t>“ zertifiziert werden, der im Kontext des EU-Talentpools sichtbar ist. Arbeitgeber, die am EU-Talentpool teilnehmen, sollten die Prof</w:t>
            </w:r>
            <w:r>
              <w:t>ile registrierter Arbeitsuchender aus Drittstaaten so filtern können, dass sie diejenigen sehen, die über einen „</w:t>
            </w:r>
            <w:r>
              <w:rPr>
                <w:b/>
                <w:i/>
              </w:rPr>
              <w:t>EU-Fachkräftepartnerschaftspass</w:t>
            </w:r>
            <w:r>
              <w:t>“ verfügen. Dies könnte Arbeitgeber dazu ermutigen, eine Einstellung in der Union anzubieten. Die Mitgliedstaate</w:t>
            </w:r>
            <w:r>
              <w:t>n sollten im Rahmen einer Fachkräftepartnerschaft festlegen, unter welchen Bedingungen der „</w:t>
            </w:r>
            <w:r>
              <w:rPr>
                <w:b/>
                <w:i/>
              </w:rPr>
              <w:t>EU-Fachkräftepartnerschaftspass</w:t>
            </w:r>
            <w:r>
              <w:t xml:space="preserve">“ für die </w:t>
            </w:r>
            <w:r>
              <w:lastRenderedPageBreak/>
              <w:t>Zwecke des EU-Talentpools ausgestellt wird, unter anderem, ob die nationale Behörde eines Partnerlandes, eine international</w:t>
            </w:r>
            <w:r>
              <w:t>e Organisation oder ein anderer Interessenträger dessen Ausstellung unterstützen sollten. Die Ausstellung eines „</w:t>
            </w:r>
            <w:r>
              <w:rPr>
                <w:b/>
                <w:i/>
              </w:rPr>
              <w:t>EU-Fachkräftepartnerschaftspasses</w:t>
            </w:r>
            <w:r>
              <w:t>“ lässt die europäischen und nationalen Vorschriften über den Zugang zu reglementierten Berufen unberührt.</w:t>
            </w:r>
          </w:p>
        </w:tc>
        <w:tc>
          <w:tcPr>
            <w:tcW w:w="4876" w:type="dxa"/>
            <w:tcBorders>
              <w:top w:val="nil"/>
              <w:left w:val="nil"/>
              <w:bottom w:val="nil"/>
              <w:right w:val="nil"/>
            </w:tcBorders>
          </w:tcPr>
          <w:p w:rsidR="00BC254A" w:rsidRDefault="007914A5">
            <w:pPr>
              <w:pStyle w:val="Normal6a"/>
            </w:pPr>
            <w:r>
              <w:lastRenderedPageBreak/>
              <w:t>(19</w:t>
            </w:r>
            <w:r>
              <w:t>)</w:t>
            </w:r>
            <w:r>
              <w:tab/>
              <w:t xml:space="preserve">Im Rahmen von Fachkräftepartnerschaften erhalten Staatsangehörige ausgewählter Drittstaaten Unterstützung bei der Entwicklung und Validierung von Kompetenzen in einem Rahmen, der von den an einer Fachkräftepartnerschaft teilnehmenden Mitgliedstaaten und </w:t>
            </w:r>
            <w:r>
              <w:t>Partnerländern gebilligt wurde. Daher sollten die im Rahmen einer Fachkräftepartnerschaft entwickelten oder validierten Kompetenzen durch den „</w:t>
            </w:r>
            <w:r>
              <w:rPr>
                <w:b/>
                <w:i/>
              </w:rPr>
              <w:t>Fachkräftepartnerschaftspass</w:t>
            </w:r>
            <w:r>
              <w:t>“ zertifiziert werden, der im Kontext des EU-Talentpools sichtbar ist. Arbeitgeber, d</w:t>
            </w:r>
            <w:r>
              <w:t>ie am EU-Talentpool teilnehmen, sollten die Profile registrierter Arbeitsuchender aus Drittstaaten so filtern können, dass sie diejenigen sehen, die über einen „</w:t>
            </w:r>
            <w:r>
              <w:rPr>
                <w:b/>
                <w:i/>
              </w:rPr>
              <w:t>Fachkräftepartnerschaftspass</w:t>
            </w:r>
            <w:r>
              <w:t>“ verfügen. Dies könnte Arbeitgeber dazu ermutigen, eine Einstellun</w:t>
            </w:r>
            <w:r>
              <w:t>g in der Union anzubieten. Die Mitgliedstaaten sollten im Rahmen einer Fachkräftepartnerschaft festlegen, unter welchen Bedingungen der „</w:t>
            </w:r>
            <w:r>
              <w:rPr>
                <w:b/>
                <w:i/>
              </w:rPr>
              <w:t>Fachkräftepartnerschaftspass</w:t>
            </w:r>
            <w:r>
              <w:t xml:space="preserve">“ für die Zwecke des EU-Talentpools ausgestellt </w:t>
            </w:r>
            <w:r>
              <w:lastRenderedPageBreak/>
              <w:t>wird, unter anderem, ob die nationale Behör</w:t>
            </w:r>
            <w:r>
              <w:t>de eines Partnerlandes, eine internationale Organisation oder ein anderer Interessenträger dessen Ausstellung unterstützen sollten. Die Ausstellung eines „</w:t>
            </w:r>
            <w:r>
              <w:rPr>
                <w:b/>
                <w:i/>
              </w:rPr>
              <w:t>Fachkräftepartnerschaftspasses</w:t>
            </w:r>
            <w:r>
              <w:t>“ lässt die europäischen und nationalen Vorschriften über den Zugang zu</w:t>
            </w:r>
            <w:r>
              <w:t xml:space="preserve"> reglementierten Berufen unberührt.</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232</w:t>
      </w:r>
      <w:r>
        <w:rPr>
          <w:rStyle w:val="HideTWBExt"/>
        </w:rPr>
        <w:t>&lt;/NumAmB&gt;</w:t>
      </w:r>
    </w:p>
    <w:p w:rsidR="00BC254A" w:rsidRDefault="007914A5">
      <w:pPr>
        <w:pStyle w:val="NormalBold"/>
      </w:pPr>
      <w:r>
        <w:rPr>
          <w:rStyle w:val="HideTWBExt"/>
          <w:b w:val="0"/>
        </w:rPr>
        <w:t>&lt;RepeatBlock-By&gt;&lt;Members&gt;</w:t>
      </w:r>
      <w:r>
        <w:t>Javier 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(19a)</w:t>
            </w:r>
            <w:r>
              <w:tab/>
            </w:r>
            <w:r>
              <w:rPr>
                <w:b/>
                <w:i/>
              </w:rPr>
              <w:t>Arbeitsuchende aus Drittstaaten können außerdem durch nationale Rahmen für die Kompetenzentwicklung und -validierung in einem Drittstaat unterstützt werden.</w:t>
            </w:r>
            <w:r>
              <w:t xml:space="preserve"> </w:t>
            </w:r>
            <w:r>
              <w:rPr>
                <w:b/>
                <w:i/>
              </w:rPr>
              <w:t xml:space="preserve">Diese </w:t>
            </w:r>
            <w:r>
              <w:rPr>
                <w:b/>
                <w:i/>
              </w:rPr>
              <w:t>Rahmen werden von einem Mitgliedstaat und/oder aus Unionsmitteln, die nicht mit einer Fachkräftepartnerschaft in Zusammenhang stehen, finanziell unterstützt.</w:t>
            </w:r>
            <w:r>
              <w:t xml:space="preserve"> </w:t>
            </w:r>
            <w:r>
              <w:rPr>
                <w:b/>
                <w:i/>
              </w:rPr>
              <w:t>Daher sollten die in den nationalen Rahmen entwickelten oder validierten Kompetenzen auch durch de</w:t>
            </w:r>
            <w:r>
              <w:rPr>
                <w:b/>
                <w:i/>
              </w:rPr>
              <w:t>n „Fachkräftepartnerschaftspass“ zertifiziert werden, der im Kontext des EU-Talentpools sichtbar ist.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233</w:t>
      </w:r>
      <w:r>
        <w:rPr>
          <w:rStyle w:val="HideTWBExt"/>
        </w:rPr>
        <w:t>&lt;/NumAmB&gt;</w:t>
      </w:r>
    </w:p>
    <w:p w:rsidR="00BC254A" w:rsidRDefault="007914A5">
      <w:pPr>
        <w:pStyle w:val="NormalBold"/>
      </w:pPr>
      <w:r>
        <w:rPr>
          <w:rStyle w:val="HideTWBExt"/>
          <w:b w:val="0"/>
        </w:rPr>
        <w:t>&lt;RepeatBlock-By&gt;&lt;Members&gt;</w:t>
      </w:r>
      <w:r>
        <w:t>Petra Steger, Jaroslav Bžoch, Fabrice Le</w:t>
      </w:r>
      <w:r>
        <w:t>ggeri, António Tânger Corrêa, Jorge Buxadé Villalba, Marieke Ehlers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lastRenderedPageBreak/>
        <w:t>&lt;Article&gt;</w:t>
      </w:r>
      <w:r>
        <w:t>Erwägung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(20)</w:t>
            </w:r>
            <w:r>
              <w:tab/>
              <w:t xml:space="preserve">Die Liste der Drittstaaten </w:t>
            </w:r>
            <w:r>
              <w:t>und Mitgliedstaaten, die an Fachkräftepartnerschaften teilnehmen, sollte auf der IT-Plattform des EU-Talentpools zusammen mit den betreffenden Berufen, die die jeweiligen Partnerschaften abdecken, veröffentlicht werden.</w:t>
            </w:r>
          </w:p>
        </w:tc>
        <w:tc>
          <w:tcPr>
            <w:tcW w:w="4876" w:type="dxa"/>
            <w:tcBorders>
              <w:top w:val="nil"/>
              <w:left w:val="nil"/>
              <w:bottom w:val="nil"/>
              <w:right w:val="nil"/>
            </w:tcBorders>
          </w:tcPr>
          <w:p w:rsidR="00BC254A" w:rsidRDefault="007914A5">
            <w:pPr>
              <w:pStyle w:val="Normal6a"/>
            </w:pPr>
            <w:r>
              <w:t>(20)</w:t>
            </w:r>
            <w:r>
              <w:tab/>
              <w:t xml:space="preserve">Die Liste der Drittstaaten und </w:t>
            </w:r>
            <w:r>
              <w:t xml:space="preserve">Mitgliedstaaten, die an Fachkräftepartnerschaften teilnehmen, sollte auf der IT-Plattform des EU-Talentpools zusammen mit den betreffenden Berufen, die die jeweiligen Partnerschaften abdecken, veröffentlicht werden. </w:t>
            </w:r>
            <w:r>
              <w:rPr>
                <w:b/>
                <w:i/>
              </w:rPr>
              <w:t>Für die Zwecke des EU-Talentpools sollte</w:t>
            </w:r>
            <w:r>
              <w:rPr>
                <w:b/>
                <w:i/>
              </w:rPr>
              <w:t>n diese Berufe hohe Qualifikationen oder Kompetenzen erfordern.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234</w:t>
      </w:r>
      <w:r>
        <w:rPr>
          <w:rStyle w:val="HideTWBExt"/>
        </w:rPr>
        <w:t>&lt;/NumAmB&gt;</w:t>
      </w:r>
    </w:p>
    <w:p w:rsidR="00BC254A" w:rsidRDefault="007914A5">
      <w:pPr>
        <w:pStyle w:val="NormalBold"/>
      </w:pPr>
      <w:r>
        <w:rPr>
          <w:rStyle w:val="HideTWBExt"/>
          <w:b w:val="0"/>
        </w:rPr>
        <w:t>&lt;RepeatBlock-By&gt;&lt;Members&gt;</w:t>
      </w:r>
      <w:r>
        <w:t>Javier 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w:t>
      </w:r>
      <w:r>
        <w:t xml:space="preserve"> Verordnung</w:t>
      </w:r>
      <w:r>
        <w:rPr>
          <w:rStyle w:val="HideTWBExt"/>
        </w:rPr>
        <w:t>&lt;/DocAmend&gt;</w:t>
      </w:r>
    </w:p>
    <w:p w:rsidR="00BC254A" w:rsidRDefault="007914A5">
      <w:pPr>
        <w:pStyle w:val="NormalBold"/>
      </w:pPr>
      <w:r>
        <w:rPr>
          <w:rStyle w:val="HideTWBExt"/>
        </w:rPr>
        <w:t>&lt;Article&gt;</w:t>
      </w:r>
      <w:r>
        <w:t>Erwägung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(20)</w:t>
            </w:r>
            <w:r>
              <w:tab/>
              <w:t xml:space="preserve">Die Liste der Drittstaaten und Mitgliedstaaten, die an Fachkräftepartnerschaften teilnehmen, </w:t>
            </w:r>
            <w:r>
              <w:rPr>
                <w:b/>
                <w:i/>
              </w:rPr>
              <w:t>sollte</w:t>
            </w:r>
            <w:r>
              <w:t xml:space="preserve"> auf der IT-Plattform des EU-Talentpools zusammen mit den betreffenden Berufen, die die jeweiligen Partnerschaften abdecken, </w:t>
            </w:r>
            <w:r>
              <w:rPr>
                <w:b/>
                <w:i/>
              </w:rPr>
              <w:t>veröffentlicht werden</w:t>
            </w:r>
            <w:r>
              <w:t>.</w:t>
            </w:r>
          </w:p>
        </w:tc>
        <w:tc>
          <w:tcPr>
            <w:tcW w:w="4876" w:type="dxa"/>
            <w:tcBorders>
              <w:top w:val="nil"/>
              <w:left w:val="nil"/>
              <w:bottom w:val="nil"/>
              <w:right w:val="nil"/>
            </w:tcBorders>
          </w:tcPr>
          <w:p w:rsidR="00BC254A" w:rsidRDefault="007914A5">
            <w:pPr>
              <w:pStyle w:val="Normal6a"/>
            </w:pPr>
            <w:r>
              <w:t>(20)</w:t>
            </w:r>
            <w:r>
              <w:tab/>
            </w:r>
            <w:r>
              <w:rPr>
                <w:b/>
                <w:i/>
              </w:rPr>
              <w:t>Das Sekretariat des EU-Talentpools sollte</w:t>
            </w:r>
            <w:r>
              <w:t xml:space="preserve"> die Liste der Drittstaaten und Mitgliedstaaten, die an Fachkr</w:t>
            </w:r>
            <w:r>
              <w:t xml:space="preserve">äftepartnerschaften teilnehmen, auf der IT-Plattform des EU-Talentpools zusammen mit den betreffenden Berufen, die die jeweiligen Partnerschaften abdecken, </w:t>
            </w:r>
            <w:r>
              <w:rPr>
                <w:b/>
                <w:i/>
              </w:rPr>
              <w:t>veröffentlichen</w:t>
            </w:r>
            <w:r>
              <w: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235</w:t>
      </w:r>
      <w:r>
        <w:rPr>
          <w:rStyle w:val="HideTWBExt"/>
        </w:rPr>
        <w:t>&lt;/Nu</w:t>
      </w:r>
      <w:r>
        <w:rPr>
          <w:rStyle w:val="HideTWBExt"/>
        </w:rPr>
        <w:t>mAmB&gt;</w:t>
      </w:r>
    </w:p>
    <w:p w:rsidR="00BC254A" w:rsidRDefault="007914A5">
      <w:pPr>
        <w:pStyle w:val="NormalBold"/>
      </w:pPr>
      <w:r>
        <w:rPr>
          <w:rStyle w:val="HideTWBExt"/>
          <w:b w:val="0"/>
        </w:rPr>
        <w:t>&lt;RepeatBlock-By&gt;&lt;Members&gt;</w:t>
      </w:r>
      <w:r>
        <w:t>Jan-Christoph Oetjen, Abir Al-Sahlani, Hilde Vautmans, Irena Joveva</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lastRenderedPageBreak/>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(21)</w:t>
            </w:r>
            <w:r>
              <w:tab/>
              <w:t>Im Rahmen einer Fachkräftepartnerschaft können die Kompetenzentwicklung und -validierung auf den Arbeitsmarkt eines oder mehrerer teilnehmender Mitgliedstaaten ausgerichtet sein. Die Mitgliedstaaten können auch finanziell zur Entwicklung und Umsetzung</w:t>
            </w:r>
            <w:r>
              <w:t xml:space="preserve"> der im Rahmen einer Fachkräftepartnerschaft angebotenen Unterstützung für die Entwicklung und Validierung von Kompetenzen beitragen. </w:t>
            </w:r>
            <w:r>
              <w:rPr>
                <w:b/>
                <w:i/>
              </w:rPr>
              <w:t>Wenn die an der Fachkräftepartnerschaft teilnehmenden Mitgliedstaaten dies beschließen, sollten daher für einen Zeitraum v</w:t>
            </w:r>
            <w:r>
              <w:rPr>
                <w:b/>
                <w:i/>
              </w:rPr>
              <w:t>on höchstens einem Jahr nur Arbeitgeber mit Sitz in einem oder mehreren an</w:t>
            </w:r>
            <w:r>
              <w:t xml:space="preserve"> einer Fachkräftepartnerschaft </w:t>
            </w:r>
            <w:r>
              <w:rPr>
                <w:b/>
                <w:i/>
              </w:rPr>
              <w:t>teilnehmenden Mitgliedstaaten nach registrierten Arbeitsuchenden suchen können, die Inhaber eines „EU-Fachkräftepartnerschaftspasses“ sind.</w:t>
            </w:r>
            <w:r>
              <w:t xml:space="preserve"> </w:t>
            </w:r>
            <w:r>
              <w:rPr>
                <w:b/>
                <w:i/>
              </w:rPr>
              <w:t>Diese Mögli</w:t>
            </w:r>
            <w:r>
              <w:rPr>
                <w:b/>
                <w:i/>
              </w:rPr>
              <w:t>chkeit könnte insbesondere in Fällen gelten, in denen die Kompetenzentwicklung speziell auf die Bedürfnisse eines Mitgliedstaats ausgerichtet war.</w:t>
            </w:r>
            <w:r>
              <w:t xml:space="preserve"> </w:t>
            </w:r>
            <w:r>
              <w:rPr>
                <w:b/>
                <w:i/>
              </w:rPr>
              <w:t>Informationen darüber, ob und in welchen Fällen diese Möglichkeit besteht, sollten</w:t>
            </w:r>
            <w:r>
              <w:t xml:space="preserve"> auf der IT-Plattform des E</w:t>
            </w:r>
            <w:r>
              <w:t xml:space="preserve">U-Talentpools </w:t>
            </w:r>
            <w:r>
              <w:rPr>
                <w:b/>
                <w:i/>
              </w:rPr>
              <w:t>bereitgestellt werden, um registrierte Arbeitsuchende aus Drittstaaten und am EU-Talentpool teilnehmende Arbeitgeber zu informieren.</w:t>
            </w:r>
            <w:r>
              <w:t xml:space="preserve"> </w:t>
            </w:r>
            <w:r>
              <w:rPr>
                <w:b/>
                <w:i/>
              </w:rPr>
              <w:t>Nach Ablauf dieser Frist können alle Arbeitgeber, die am EU-Talentpool teilnehmen, nach den Profilen registri</w:t>
            </w:r>
            <w:r>
              <w:rPr>
                <w:b/>
                <w:i/>
              </w:rPr>
              <w:t>erter Arbeitsuchender mit einem EU-Fachkräftepartnerschaftspass suchen. Arbeitsuchende aus Drittstaaten, die Unterstützung</w:t>
            </w:r>
            <w:r>
              <w:t xml:space="preserve"> im Rahmen einer </w:t>
            </w:r>
            <w:r>
              <w:rPr>
                <w:b/>
                <w:i/>
              </w:rPr>
              <w:t>Fachkräftepartnerschaft erhalten haben, sollten stets die Möglichkeit haben, sich wie jeder andere Drittstaatsangehör</w:t>
            </w:r>
            <w:r>
              <w:rPr>
                <w:b/>
                <w:i/>
              </w:rPr>
              <w:t xml:space="preserve">ige im EU-Talentpool registrieren zu lassen, ohne das Vorhandensein eines „EU-Fachkräftepartnerschaftspasses“ angeben zu müssen, und sich somit auf Stellen in </w:t>
            </w:r>
            <w:r>
              <w:rPr>
                <w:b/>
                <w:i/>
              </w:rPr>
              <w:lastRenderedPageBreak/>
              <w:t>anderen Mitgliedstaaten bewerben zu können</w:t>
            </w:r>
            <w:r>
              <w:t>.</w:t>
            </w:r>
          </w:p>
        </w:tc>
        <w:tc>
          <w:tcPr>
            <w:tcW w:w="4876" w:type="dxa"/>
            <w:tcBorders>
              <w:top w:val="nil"/>
              <w:left w:val="nil"/>
              <w:bottom w:val="nil"/>
              <w:right w:val="nil"/>
            </w:tcBorders>
          </w:tcPr>
          <w:p w:rsidR="00BC254A" w:rsidRDefault="007914A5">
            <w:pPr>
              <w:pStyle w:val="Normal6a"/>
            </w:pPr>
            <w:r>
              <w:lastRenderedPageBreak/>
              <w:t>(21)</w:t>
            </w:r>
            <w:r>
              <w:tab/>
            </w:r>
            <w:r>
              <w:t xml:space="preserve">Im Rahmen einer Fachkräftepartnerschaft können die Kompetenzentwicklung und -validierung auf den Arbeitsmarkt eines oder mehrerer teilnehmender Mitgliedstaaten ausgerichtet sein. Die Mitgliedstaaten können auch finanziell zur Entwicklung und Umsetzung der </w:t>
            </w:r>
            <w:r>
              <w:t xml:space="preserve">im Rahmen einer Fachkräftepartnerschaft angebotenen Unterstützung für die Entwicklung und Validierung von Kompetenzen beitragen. </w:t>
            </w:r>
            <w:r>
              <w:rPr>
                <w:b/>
                <w:i/>
              </w:rPr>
              <w:t>Arbeitsuchende aus Drittstaaten, die im Rahmen</w:t>
            </w:r>
            <w:r>
              <w:t xml:space="preserve"> einer Fachkräftepartnerschaft </w:t>
            </w:r>
            <w:r>
              <w:rPr>
                <w:b/>
                <w:i/>
              </w:rPr>
              <w:t>Unterstützung erhalten haben, könnten ihr Profil m</w:t>
            </w:r>
            <w:r>
              <w:rPr>
                <w:b/>
                <w:i/>
              </w:rPr>
              <w:t>it dem zertifizierten „EU-Fachkräftepartnerschaftspass“</w:t>
            </w:r>
            <w:r>
              <w:t xml:space="preserve"> auf der IT-Plattform des EU-Talentpools </w:t>
            </w:r>
            <w:r>
              <w:rPr>
                <w:b/>
                <w:i/>
              </w:rPr>
              <w:t>verknüpfen, um ihre</w:t>
            </w:r>
            <w:r>
              <w:t xml:space="preserve"> im Rahmen einer </w:t>
            </w:r>
            <w:r>
              <w:rPr>
                <w:b/>
                <w:i/>
              </w:rPr>
              <w:t>EU-Fachkräftepartnerschaft entwickelten und validierten Kompetenzen nachzuweisen</w:t>
            </w:r>
            <w:r>
              <w: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236</w:t>
      </w:r>
      <w:r>
        <w:rPr>
          <w:rStyle w:val="HideTWBExt"/>
        </w:rPr>
        <w:t>&lt;/NumAmB&gt;</w:t>
      </w:r>
    </w:p>
    <w:p w:rsidR="00BC254A" w:rsidRDefault="007914A5">
      <w:pPr>
        <w:pStyle w:val="NormalBold"/>
      </w:pPr>
      <w:r>
        <w:rPr>
          <w:rStyle w:val="HideTWBExt"/>
          <w:b w:val="0"/>
        </w:rPr>
        <w:t>&lt;RepeatBlock-By&gt;&lt;Members&gt;</w:t>
      </w:r>
      <w:r>
        <w:t>Petra Steger, Jaroslav Bžoch, Fabrice Leggeri, António Tânger Corrêa, Jorge Buxadé Villalba, Marieke Ehlers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(21)</w:t>
            </w:r>
            <w:r>
              <w:tab/>
            </w:r>
            <w:r>
              <w:t xml:space="preserve">Im Rahmen einer Fachkräftepartnerschaft können die Kompetenzentwicklung und -validierung auf den Arbeitsmarkt eines oder mehrerer teilnehmender Mitgliedstaaten ausgerichtet sein. Die Mitgliedstaaten können auch finanziell zur Entwicklung und Umsetzung der </w:t>
            </w:r>
            <w:r>
              <w:t xml:space="preserve">im Rahmen einer Fachkräftepartnerschaft angebotenen Unterstützung für die Entwicklung und Validierung von Kompetenzen beitragen. Wenn die an der Fachkräftepartnerschaft teilnehmenden Mitgliedstaaten dies beschließen, sollten </w:t>
            </w:r>
            <w:r>
              <w:rPr>
                <w:b/>
                <w:i/>
              </w:rPr>
              <w:t>daher für einen Zeitraum von hö</w:t>
            </w:r>
            <w:r>
              <w:rPr>
                <w:b/>
                <w:i/>
              </w:rPr>
              <w:t>chstens einem Jahr</w:t>
            </w:r>
            <w:r>
              <w:t xml:space="preserve"> nur Arbeitgeber mit Sitz in einem oder mehreren an einer Fachkräftepartnerschaft teilnehmenden Mitgliedstaaten nach registrierten Arbeitsuchenden suchen können, die Inhaber eines „EU-Fachkräftepartnerschaftspasses“ sind. Diese Möglichkei</w:t>
            </w:r>
            <w:r>
              <w:t>t könnte insbesondere in Fällen gelten, in denen die Kompetenzentwicklung speziell auf die Bedürfnisse eines Mitgliedstaats ausgerichtet war. Informationen darüber, ob und in welchen Fällen diese Möglichkeit besteht, sollten auf der IT-Plattform des EU-Tal</w:t>
            </w:r>
            <w:r>
              <w:t xml:space="preserve">entpools bereitgestellt werden, um registrierte Arbeitsuchende aus Drittstaaten und am EU-Talentpool teilnehmende Arbeitgeber zu informieren. </w:t>
            </w:r>
            <w:r>
              <w:rPr>
                <w:b/>
                <w:i/>
              </w:rPr>
              <w:lastRenderedPageBreak/>
              <w:t>Nach Ablauf dieser Frist</w:t>
            </w:r>
            <w:r>
              <w:t xml:space="preserve"> können alle Arbeitgeber, die am EU-Talentpool teilnehmen, nach den Profilen registrierter</w:t>
            </w:r>
            <w:r>
              <w:t xml:space="preserve"> Arbeitsuchender mit einem EU-Fachkräftepartnerschaftspass suchen. </w:t>
            </w:r>
            <w:r>
              <w:rPr>
                <w:b/>
                <w:i/>
              </w:rPr>
              <w:t>Arbeitsuchende aus Drittstaaten, die Unterstützung im Rahmen einer Fachkräftepartnerschaft erhalten haben, sollten stets die Möglichkeit haben, sich wie jeder andere Drittstaatsangehörige i</w:t>
            </w:r>
            <w:r>
              <w:rPr>
                <w:b/>
                <w:i/>
              </w:rPr>
              <w:t>m EU-Talentpool registrieren zu lassen, ohne das Vorhandensein eines „EU-Fachkräftepartnerschaftspasses“ angeben zu müssen, und sich somit auf Stellen in anderen Mitgliedstaaten bewerben zu können.</w:t>
            </w:r>
          </w:p>
        </w:tc>
        <w:tc>
          <w:tcPr>
            <w:tcW w:w="4876" w:type="dxa"/>
            <w:tcBorders>
              <w:top w:val="nil"/>
              <w:left w:val="nil"/>
              <w:bottom w:val="nil"/>
              <w:right w:val="nil"/>
            </w:tcBorders>
          </w:tcPr>
          <w:p w:rsidR="00BC254A" w:rsidRDefault="007914A5">
            <w:pPr>
              <w:pStyle w:val="Normal6a"/>
            </w:pPr>
            <w:r>
              <w:lastRenderedPageBreak/>
              <w:t>(21)</w:t>
            </w:r>
            <w:r>
              <w:tab/>
              <w:t>Im Rahmen einer Fachkräftepartnerschaft können die Ko</w:t>
            </w:r>
            <w:r>
              <w:t>mpetenzentwicklung und -validierung auf den Arbeitsmarkt eines oder mehrerer teilnehmender Mitgliedstaaten ausgerichtet sein. Die Mitgliedstaaten können auch finanziell zur Entwicklung und Umsetzung der im Rahmen einer Fachkräftepartnerschaft angebotenen U</w:t>
            </w:r>
            <w:r>
              <w:t>nterstützung für die Entwicklung und Validierung von Kompetenzen beitragen. Wenn die an der Fachkräftepartnerschaft teilnehmenden Mitgliedstaaten dies beschließen, sollten nur Arbeitgeber mit Sitz in einem oder mehreren an einer Fachkräftepartnerschaft tei</w:t>
            </w:r>
            <w:r>
              <w:t xml:space="preserve">lnehmenden Mitgliedstaaten nach registrierten Arbeitsuchenden suchen können, die Inhaber eines „EU-Fachkräftepartnerschaftspasses“ sind. Diese Möglichkeit könnte insbesondere in Fällen gelten, in denen die Kompetenzentwicklung speziell auf die Bedürfnisse </w:t>
            </w:r>
            <w:r>
              <w:t>eines Mitgliedstaats ausgerichtet war. Informationen darüber, ob und in welchen Fällen diese Möglichkeit besteht, sollten auf der IT-Plattform des EU-Talentpools bereitgestellt werden, um registrierte Arbeitsuchende aus Drittstaaten und am EU-Talentpool te</w:t>
            </w:r>
            <w:r>
              <w:t xml:space="preserve">ilnehmende Arbeitgeber zu informieren. </w:t>
            </w:r>
            <w:r>
              <w:rPr>
                <w:b/>
                <w:i/>
              </w:rPr>
              <w:t xml:space="preserve">Wenn diese Entscheidung widerrufen </w:t>
            </w:r>
            <w:r>
              <w:rPr>
                <w:b/>
                <w:i/>
              </w:rPr>
              <w:lastRenderedPageBreak/>
              <w:t>wird,</w:t>
            </w:r>
            <w:r>
              <w:t xml:space="preserve"> können alle Arbeitgeber, die am EU-Talentpool teilnehmen, nach den Profilen registrierter Arbeitsuchender mit einem EU-Fachkräftepartnerschaftspass suchen.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237</w:t>
      </w:r>
      <w:r>
        <w:rPr>
          <w:rStyle w:val="HideTWBExt"/>
        </w:rPr>
        <w:t>&lt;/NumAmB&gt;</w:t>
      </w:r>
    </w:p>
    <w:p w:rsidR="00BC254A" w:rsidRDefault="007914A5">
      <w:pPr>
        <w:pStyle w:val="NormalBold"/>
      </w:pPr>
      <w:r>
        <w:rPr>
          <w:rStyle w:val="HideTWBExt"/>
          <w:b w:val="0"/>
        </w:rPr>
        <w:t>&lt;RepeatBlock-By&gt;&lt;Members&gt;</w:t>
      </w:r>
      <w:r>
        <w:t>Francisco Assis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(21)</w:t>
            </w:r>
            <w:r>
              <w:tab/>
              <w:t>Im Rahmen einer Fachkräftepartnerschaft können die Kompetenzentwicklung und -validierung auf den Arbeitsmarkt eines oder mehrerer teilnehmender Mitgliedstaaten ausgerichtet sein. Die Mitgliedstaaten können auch finanziell zur Entwickl</w:t>
            </w:r>
            <w:r>
              <w:t>ung und Umsetzung der im Rahmen einer Fachkräftepartnerschaft angebotenen Unterstützung für die Entwicklung und Validierung von Kompetenzen beitragen. Wenn die an der Fachkräftepartnerschaft teilnehmenden Mitgliedstaaten dies beschließen, sollten daher für</w:t>
            </w:r>
            <w:r>
              <w:t xml:space="preserve"> einen Zeitraum von höchstens einem Jahr nur Arbeitgeber mit Sitz in einem oder mehreren an einer Fachkräftepartnerschaft teilnehmenden Mitgliedstaaten nach registrierten Arbeitsuchenden suchen </w:t>
            </w:r>
            <w:r>
              <w:lastRenderedPageBreak/>
              <w:t>können, die Inhaber eines „</w:t>
            </w:r>
            <w:r>
              <w:rPr>
                <w:b/>
                <w:i/>
              </w:rPr>
              <w:t>EU-Fachkräftepartnerschaftspasses</w:t>
            </w:r>
            <w:r>
              <w:t xml:space="preserve">“ </w:t>
            </w:r>
            <w:r>
              <w:t>sind. Diese Möglichkeit könnte insbesondere in Fällen gelten, in denen die Kompetenzentwicklung speziell auf die Bedürfnisse eines Mitgliedstaats ausgerichtet war. Informationen darüber, ob und in welchen Fällen diese Möglichkeit besteht, sollten auf der I</w:t>
            </w:r>
            <w:r>
              <w:t xml:space="preserve">T-Plattform des EU-Talentpools bereitgestellt werden, um registrierte Arbeitsuchende aus Drittstaaten und am EU-Talentpool teilnehmende Arbeitgeber zu informieren. Nach Ablauf dieser Frist können alle Arbeitgeber, die am EU-Talentpool teilnehmen, nach den </w:t>
            </w:r>
            <w:r>
              <w:t xml:space="preserve">Profilen registrierter Arbeitsuchender mit einem </w:t>
            </w:r>
            <w:r>
              <w:rPr>
                <w:b/>
                <w:i/>
              </w:rPr>
              <w:t>EU-Fachkräftepartnerschaftspass</w:t>
            </w:r>
            <w:r>
              <w:t xml:space="preserve"> suchen. Arbeitsuchende aus Drittstaaten, die Unterstützung im Rahmen einer Fachkräftepartnerschaft erhalten haben, sollten stets die Möglichkeit haben, sich wie jeder andere D</w:t>
            </w:r>
            <w:r>
              <w:t>rittstaatsangehörige im EU-Talentpool registrieren zu lassen, ohne das Vorhandensein eines „</w:t>
            </w:r>
            <w:r>
              <w:rPr>
                <w:b/>
                <w:i/>
              </w:rPr>
              <w:t>EU-Fachkräftepartnerschaftspasses</w:t>
            </w:r>
            <w:r>
              <w:t>“ angeben zu müssen, und sich somit auf Stellen in anderen Mitgliedstaaten bewerben zu können.</w:t>
            </w:r>
          </w:p>
        </w:tc>
        <w:tc>
          <w:tcPr>
            <w:tcW w:w="4876" w:type="dxa"/>
            <w:tcBorders>
              <w:top w:val="nil"/>
              <w:left w:val="nil"/>
              <w:bottom w:val="nil"/>
              <w:right w:val="nil"/>
            </w:tcBorders>
          </w:tcPr>
          <w:p w:rsidR="00BC254A" w:rsidRDefault="007914A5">
            <w:pPr>
              <w:pStyle w:val="Normal6a"/>
            </w:pPr>
            <w:r>
              <w:lastRenderedPageBreak/>
              <w:t>(21)</w:t>
            </w:r>
            <w:r>
              <w:tab/>
              <w:t>Im Rahmen einer Fachkräftepartn</w:t>
            </w:r>
            <w:r>
              <w:t>erschaft können die Kompetenzentwicklung und -validierung auf den Arbeitsmarkt eines oder mehrerer teilnehmender Mitgliedstaaten ausgerichtet sein. Die Mitgliedstaaten können auch finanziell zur Entwicklung und Umsetzung der im Rahmen einer Fachkräftepartn</w:t>
            </w:r>
            <w:r>
              <w:t>erschaft angebotenen Unterstützung für die Entwicklung und Validierung von Kompetenzen beitragen. Wenn die an der Fachkräftepartnerschaft teilnehmenden Mitgliedstaaten dies beschließen, sollten daher für einen Zeitraum von höchstens einem Jahr nur Arbeitge</w:t>
            </w:r>
            <w:r>
              <w:t xml:space="preserve">ber mit Sitz in einem oder mehreren an einer Fachkräftepartnerschaft teilnehmenden Mitgliedstaaten nach registrierten Arbeitsuchenden suchen </w:t>
            </w:r>
            <w:r>
              <w:lastRenderedPageBreak/>
              <w:t>können, die Inhaber eines „</w:t>
            </w:r>
            <w:r>
              <w:rPr>
                <w:b/>
                <w:i/>
              </w:rPr>
              <w:t>Fachkräftepartnerschaftspasses</w:t>
            </w:r>
            <w:r>
              <w:t>“ sind. Diese Möglichkeit könnte insbesondere in Fällen ge</w:t>
            </w:r>
            <w:r>
              <w:t>lten, in denen die Kompetenzentwicklung speziell auf die Bedürfnisse eines Mitgliedstaats ausgerichtet war. Informationen darüber, ob und in welchen Fällen diese Möglichkeit besteht, sollten auf der IT-Plattform des EU-Talentpools bereitgestellt werden, um</w:t>
            </w:r>
            <w:r>
              <w:t xml:space="preserve"> registrierte Arbeitsuchende aus Drittstaaten und am EU-Talentpool teilnehmende Arbeitgeber zu informieren. Nach Ablauf dieser Frist können alle Arbeitgeber, die am EU-Talentpool teilnehmen, nach den Profilen registrierter Arbeitsuchender mit einem </w:t>
            </w:r>
            <w:r>
              <w:rPr>
                <w:b/>
                <w:i/>
              </w:rPr>
              <w:t>Fachkrä</w:t>
            </w:r>
            <w:r>
              <w:rPr>
                <w:b/>
                <w:i/>
              </w:rPr>
              <w:t>ftepartnerschaftspass</w:t>
            </w:r>
            <w:r>
              <w:t xml:space="preserve"> suchen. Arbeitsuchende aus Drittstaaten, die Unterstützung im Rahmen einer Fachkräftepartnerschaft erhalten haben, sollten stets die Möglichkeit haben, sich wie jeder andere Drittstaatsangehörige im EU-Talentpool registrieren zu lasse</w:t>
            </w:r>
            <w:r>
              <w:t>n, ohne das Vorhandensein eines „</w:t>
            </w:r>
            <w:r>
              <w:rPr>
                <w:b/>
                <w:i/>
              </w:rPr>
              <w:t>Fachkräftepartnerschaftspasses</w:t>
            </w:r>
            <w:r>
              <w:t>“ angeben zu müssen, und sich somit auf Stellen in anderen Mitgliedstaaten bewerben zu können.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238</w:t>
      </w:r>
      <w:r>
        <w:rPr>
          <w:rStyle w:val="HideTWBExt"/>
        </w:rPr>
        <w:t>&lt;/NumAmB&gt;</w:t>
      </w:r>
    </w:p>
    <w:p w:rsidR="00BC254A" w:rsidRDefault="007914A5">
      <w:pPr>
        <w:pStyle w:val="NormalBold"/>
      </w:pPr>
      <w:r>
        <w:rPr>
          <w:rStyle w:val="HideTWBExt"/>
          <w:b w:val="0"/>
        </w:rPr>
        <w:t>&lt;RepeatBl</w:t>
      </w:r>
      <w:r>
        <w:rPr>
          <w:rStyle w:val="HideTWBExt"/>
          <w:b w:val="0"/>
        </w:rPr>
        <w:t>ock-By&gt;&lt;Members&gt;</w:t>
      </w:r>
      <w:r>
        <w:t>Javier 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(21)</w:t>
            </w:r>
            <w:r>
              <w:tab/>
              <w:t xml:space="preserve">Im Rahmen einer Fachkräftepartnerschaft können die </w:t>
            </w:r>
            <w:r>
              <w:t xml:space="preserve">Kompetenzentwicklung und -validierung auf den Arbeitsmarkt eines oder mehrerer teilnehmender Mitgliedstaaten ausgerichtet sein. Die Mitgliedstaaten können auch </w:t>
            </w:r>
            <w:r>
              <w:lastRenderedPageBreak/>
              <w:t>finanziell zur Entwicklung und Umsetzung der im Rahmen einer Fachkräftepartnerschaft angebotenen</w:t>
            </w:r>
            <w:r>
              <w:t xml:space="preserve"> Unterstützung für die Entwicklung und Validierung von Kompetenzen beitragen. Wenn die an der Fachkräftepartnerschaft teilnehmenden Mitgliedstaaten dies beschließen, sollten daher für einen Zeitraum von höchstens einem Jahr nur Arbeitgeber mit Sitz in eine</w:t>
            </w:r>
            <w:r>
              <w:t>m oder mehreren an einer Fachkräftepartnerschaft teilnehmenden Mitgliedstaaten nach registrierten Arbeitsuchenden suchen können, die Inhaber eines „</w:t>
            </w:r>
            <w:r>
              <w:rPr>
                <w:b/>
                <w:i/>
              </w:rPr>
              <w:t>EU-Fachkräftepartnerschaftspasses</w:t>
            </w:r>
            <w:r>
              <w:t>“ sind. Diese Möglichkeit könnte insbesondere in Fällen gelten, in denen di</w:t>
            </w:r>
            <w:r>
              <w:t>e Kompetenzentwicklung speziell auf die Bedürfnisse eines Mitgliedstaats ausgerichtet war. Informationen darüber, ob und in welchen Fällen diese Möglichkeit besteht, sollten auf der IT-Plattform des EU-Talentpools bereitgestellt werden, um registrierte Arb</w:t>
            </w:r>
            <w:r>
              <w:t xml:space="preserve">eitsuchende aus Drittstaaten und am EU-Talentpool teilnehmende Arbeitgeber zu informieren. Nach Ablauf dieser Frist können alle Arbeitgeber, die am EU-Talentpool teilnehmen, nach den Profilen registrierter Arbeitsuchender mit einem </w:t>
            </w:r>
            <w:r>
              <w:rPr>
                <w:b/>
                <w:i/>
              </w:rPr>
              <w:t>EU-Fachkräftepartnerscha</w:t>
            </w:r>
            <w:r>
              <w:rPr>
                <w:b/>
                <w:i/>
              </w:rPr>
              <w:t>ftspass</w:t>
            </w:r>
            <w:r>
              <w:t xml:space="preserve"> suchen. Arbeitsuchende aus Drittstaaten, die Unterstützung im Rahmen einer Fachkräftepartnerschaft erhalten haben, sollten stets die Möglichkeit haben, sich wie jeder andere Drittstaatsangehörige im EU-Talentpool registrieren zu lassen, ohne das Vo</w:t>
            </w:r>
            <w:r>
              <w:t>rhandensein eines „</w:t>
            </w:r>
            <w:r>
              <w:rPr>
                <w:b/>
                <w:i/>
              </w:rPr>
              <w:t>EU-Fachkräftepartnerschaftspasses</w:t>
            </w:r>
            <w:r>
              <w:t>“ angeben zu müssen, und sich somit auf Stellen in anderen Mitgliedstaaten bewerben zu können.</w:t>
            </w:r>
          </w:p>
        </w:tc>
        <w:tc>
          <w:tcPr>
            <w:tcW w:w="4876" w:type="dxa"/>
            <w:tcBorders>
              <w:top w:val="nil"/>
              <w:left w:val="nil"/>
              <w:bottom w:val="nil"/>
              <w:right w:val="nil"/>
            </w:tcBorders>
          </w:tcPr>
          <w:p w:rsidR="00BC254A" w:rsidRDefault="007914A5">
            <w:pPr>
              <w:pStyle w:val="Normal6a"/>
            </w:pPr>
            <w:r>
              <w:lastRenderedPageBreak/>
              <w:t>(21)</w:t>
            </w:r>
            <w:r>
              <w:tab/>
              <w:t xml:space="preserve">Im Rahmen einer Fachkräftepartnerschaft können die Kompetenzentwicklung und -validierung auf den </w:t>
            </w:r>
            <w:r>
              <w:t xml:space="preserve">Arbeitsmarkt eines oder mehrerer teilnehmender Mitgliedstaaten ausgerichtet sein. Die Mitgliedstaaten können auch </w:t>
            </w:r>
            <w:r>
              <w:lastRenderedPageBreak/>
              <w:t>finanziell zur Entwicklung und Umsetzung der im Rahmen einer Fachkräftepartnerschaft angebotenen Unterstützung für die Entwicklung und Validie</w:t>
            </w:r>
            <w:r>
              <w:t>rung von Kompetenzen beitragen. Wenn die an der Fachkräftepartnerschaft teilnehmenden Mitgliedstaaten dies beschließen, sollten daher für einen Zeitraum von höchstens einem Jahr nur Arbeitgeber mit Sitz in einem oder mehreren an einer Fachkräftepartnerscha</w:t>
            </w:r>
            <w:r>
              <w:t>ft teilnehmenden Mitgliedstaaten nach registrierten Arbeitsuchenden suchen können, die Inhaber eines „</w:t>
            </w:r>
            <w:r>
              <w:rPr>
                <w:b/>
                <w:i/>
              </w:rPr>
              <w:t>Fachkräftepartnerschaftspasses</w:t>
            </w:r>
            <w:r>
              <w:t>“ sind. Diese Möglichkeit könnte insbesondere in Fällen gelten, in denen die Kompetenzentwicklung speziell auf die Bedürfnis</w:t>
            </w:r>
            <w:r>
              <w:t>se eines Mitgliedstaats ausgerichtet war. Informationen darüber, ob und in welchen Fällen diese Möglichkeit besteht, sollten auf der IT-Plattform des EU-Talentpools bereitgestellt werden, um registrierte Arbeitsuchende aus Drittstaaten und am EU-Talentpool</w:t>
            </w:r>
            <w:r>
              <w:t xml:space="preserve"> teilnehmende Arbeitgeber zu informieren. Nach Ablauf dieser Frist können alle Arbeitgeber, die am EU-Talentpool teilnehmen, nach den Profilen registrierter Arbeitsuchender mit einem </w:t>
            </w:r>
            <w:r>
              <w:rPr>
                <w:b/>
                <w:i/>
              </w:rPr>
              <w:t>Fachkräftepartnerschaftspass</w:t>
            </w:r>
            <w:r>
              <w:t xml:space="preserve"> suchen. Arbeitsuchende aus Drittstaaten, die</w:t>
            </w:r>
            <w:r>
              <w:t xml:space="preserve"> Unterstützung im Rahmen einer Fachkräftepartnerschaft erhalten haben, sollten stets die Möglichkeit haben, sich wie jeder andere Drittstaatsangehörige im EU-Talentpool registrieren zu lassen, ohne das Vorhandensein eines „</w:t>
            </w:r>
            <w:r>
              <w:rPr>
                <w:b/>
                <w:i/>
              </w:rPr>
              <w:t>Fachkräftepartnerschaftspasses</w:t>
            </w:r>
            <w:r>
              <w:t>“ a</w:t>
            </w:r>
            <w:r>
              <w:t>ngeben zu müssen, und sich somit auf Stellen in anderen Mitgliedstaaten bewerben zu können.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239</w:t>
      </w:r>
      <w:r>
        <w:rPr>
          <w:rStyle w:val="HideTWBExt"/>
        </w:rPr>
        <w:t>&lt;/NumAmB&gt;</w:t>
      </w:r>
    </w:p>
    <w:p w:rsidR="00BC254A" w:rsidRDefault="007914A5">
      <w:pPr>
        <w:pStyle w:val="NormalBold"/>
      </w:pPr>
      <w:r>
        <w:rPr>
          <w:rStyle w:val="HideTWBExt"/>
          <w:b w:val="0"/>
        </w:rPr>
        <w:lastRenderedPageBreak/>
        <w:t>&lt;RepeatBlock-By&gt;&lt;Members&gt;</w:t>
      </w:r>
      <w:r>
        <w:t>Jan-Christoph Oetjen</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w:t>
      </w:r>
      <w:r>
        <w:rPr>
          <w:rStyle w:val="HideTWBExt"/>
        </w:rPr>
        <w:t>DocAmend&gt;</w:t>
      </w:r>
      <w:r>
        <w:t>Vorschlag für eine Verordnung</w:t>
      </w:r>
      <w:r>
        <w:rPr>
          <w:rStyle w:val="HideTWBExt"/>
        </w:rPr>
        <w:t>&lt;/DocAmend&gt;</w:t>
      </w:r>
    </w:p>
    <w:p w:rsidR="00BC254A" w:rsidRDefault="007914A5">
      <w:pPr>
        <w:pStyle w:val="NormalBold"/>
      </w:pPr>
      <w:r>
        <w:rPr>
          <w:rStyle w:val="HideTWBExt"/>
        </w:rPr>
        <w:t>&lt;Article&gt;</w:t>
      </w:r>
      <w:r>
        <w:t>Erwägung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rPr>
                <w:b/>
                <w:i/>
              </w:rPr>
              <w:t>(22)</w:t>
            </w:r>
            <w:r>
              <w:tab/>
            </w:r>
            <w:r>
              <w:rPr>
                <w:b/>
                <w:i/>
              </w:rPr>
              <w:t xml:space="preserve">Die Grundsätze der europäischen Säule sozialer Rechte sollten für alle Tätigkeiten im Rahmen des EU-Talentpools gelten, </w:t>
            </w:r>
            <w:r>
              <w:rPr>
                <w:b/>
                <w:i/>
              </w:rPr>
              <w:t>insbesondere was das Recht auf faire und gleiche Behandlung in Bezug auf Arbeitsbedingungen, Mindestlöhne, Zugang zu sozialem Schutz, Fortbildung und Schutz von Jugendlichen am Arbeitsplatz angeht.</w:t>
            </w:r>
            <w:r>
              <w:t xml:space="preserve"> </w:t>
            </w:r>
            <w:r>
              <w:rPr>
                <w:b/>
                <w:i/>
              </w:rPr>
              <w:t>Im Einklang mit diesen Grundsätzen sollte der EU-Talentpoo</w:t>
            </w:r>
            <w:r>
              <w:rPr>
                <w:b/>
                <w:i/>
              </w:rPr>
              <w:t>l hochwertige Arbeitsplätze gewährleisten.</w:t>
            </w:r>
          </w:p>
        </w:tc>
        <w:tc>
          <w:tcPr>
            <w:tcW w:w="4876" w:type="dxa"/>
            <w:tcBorders>
              <w:top w:val="nil"/>
              <w:left w:val="nil"/>
              <w:bottom w:val="nil"/>
              <w:right w:val="nil"/>
            </w:tcBorders>
          </w:tcPr>
          <w:p w:rsidR="00BC254A" w:rsidRDefault="007914A5">
            <w:pPr>
              <w:pStyle w:val="Normal6a"/>
            </w:pPr>
            <w:r>
              <w:rPr>
                <w:b/>
                <w:i/>
              </w:rPr>
              <w:t>entfällt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240</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(22)</w:t>
            </w:r>
            <w:r>
              <w:tab/>
            </w:r>
            <w:r>
              <w:t xml:space="preserve">Die Grundsätze der europäischen Säule sozialer Rechte sollten für alle Tätigkeiten im Rahmen des EU-Talentpools gelten, insbesondere was das Recht auf faire und gleiche Behandlung in Bezug auf Arbeitsbedingungen, </w:t>
            </w:r>
            <w:r>
              <w:rPr>
                <w:b/>
                <w:i/>
              </w:rPr>
              <w:t>Mindestlöhne</w:t>
            </w:r>
            <w:r>
              <w:t>, Zugang zu sozialem Schutz, Fo</w:t>
            </w:r>
            <w:r>
              <w:t>rtbildung und Schutz von Jugendlichen am Arbeitsplatz angeht. Im Einklang mit diesen Grundsätzen sollte der EU-Talentpool hochwertige Arbeitsplätze gewährleisten.</w:t>
            </w:r>
          </w:p>
        </w:tc>
        <w:tc>
          <w:tcPr>
            <w:tcW w:w="4876" w:type="dxa"/>
            <w:tcBorders>
              <w:top w:val="nil"/>
              <w:left w:val="nil"/>
              <w:bottom w:val="nil"/>
              <w:right w:val="nil"/>
            </w:tcBorders>
          </w:tcPr>
          <w:p w:rsidR="00BC254A" w:rsidRDefault="007914A5">
            <w:pPr>
              <w:pStyle w:val="Normal6a"/>
            </w:pPr>
            <w:r>
              <w:t>(22)</w:t>
            </w:r>
            <w:r>
              <w:tab/>
              <w:t>Die Grundsätze der Europäischen Säule sozialer Rechte sollten für alle Tätigkeiten im Ra</w:t>
            </w:r>
            <w:r>
              <w:t xml:space="preserve">hmen des EU-Talentpools gelten, insbesondere was das Recht auf faire und gleiche Behandlung in Bezug auf Arbeitsbedingungen, </w:t>
            </w:r>
            <w:r>
              <w:rPr>
                <w:b/>
                <w:i/>
              </w:rPr>
              <w:t>Vergütung</w:t>
            </w:r>
            <w:r>
              <w:t>, Zugang zu sozialem Schutz, Fortbildung und Schutz von Jugendlichen am Arbeitsplatz</w:t>
            </w:r>
            <w:r>
              <w:rPr>
                <w:b/>
                <w:i/>
              </w:rPr>
              <w:t>, die Notwendigkeit eines besseren Sch</w:t>
            </w:r>
            <w:r>
              <w:rPr>
                <w:b/>
                <w:i/>
              </w:rPr>
              <w:t>utzes der Frauenrechte und der Geschlechterperspektive und die Notwendigkeit, Menschen mit Behinderungen zu schützen und ihre Rechte und ihren Zugang zu Betreuung und Pflege zu wahren,</w:t>
            </w:r>
            <w:r>
              <w:t xml:space="preserve"> angeht. Im Einklang mit diesen Grundsätzen sollte der EU-Talentpool hoc</w:t>
            </w:r>
            <w:r>
              <w:t xml:space="preserve">hwertige Arbeitsplätze </w:t>
            </w:r>
            <w:r>
              <w:lastRenderedPageBreak/>
              <w:t>gewährleisten.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241</w:t>
      </w:r>
      <w:r>
        <w:rPr>
          <w:rStyle w:val="HideTWBExt"/>
        </w:rPr>
        <w:t>&lt;/NumAmB&gt;</w:t>
      </w:r>
    </w:p>
    <w:p w:rsidR="00BC254A" w:rsidRDefault="007914A5">
      <w:pPr>
        <w:pStyle w:val="NormalBold"/>
      </w:pPr>
      <w:r>
        <w:rPr>
          <w:rStyle w:val="HideTWBExt"/>
          <w:b w:val="0"/>
        </w:rPr>
        <w:t>&lt;RepeatBlock-By&gt;&lt;Members&gt;</w:t>
      </w:r>
      <w:r>
        <w:t>Pernando Barrena Arza</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(22)</w:t>
            </w:r>
            <w:r>
              <w:tab/>
              <w:t>Die Grundsätze der europäischen Säule sozialer Rechte sollten für alle Tätigkeiten im Rahmen des EU-Talentpools gelten, insbesondere was das Recht auf faire und gleiche Behandl</w:t>
            </w:r>
            <w:r>
              <w:t xml:space="preserve">ung in Bezug auf </w:t>
            </w:r>
            <w:r>
              <w:rPr>
                <w:b/>
                <w:i/>
              </w:rPr>
              <w:t>Arbeitsbedingungen</w:t>
            </w:r>
            <w:r>
              <w:t xml:space="preserve">, Mindestlöhne, Zugang zu sozialem Schutz, Fortbildung </w:t>
            </w:r>
            <w:r>
              <w:rPr>
                <w:b/>
                <w:i/>
              </w:rPr>
              <w:t>und</w:t>
            </w:r>
            <w:r>
              <w:t xml:space="preserve"> Schutz </w:t>
            </w:r>
            <w:r>
              <w:rPr>
                <w:b/>
                <w:i/>
              </w:rPr>
              <w:t>von Jugendlichen</w:t>
            </w:r>
            <w:r>
              <w:t xml:space="preserve"> am Arbeitsplatz angeht. Im Einklang mit diesen Grundsätzen sollte der EU-Talentpool hochwertige Arbeitsplätze gewährleisten.</w:t>
            </w:r>
          </w:p>
        </w:tc>
        <w:tc>
          <w:tcPr>
            <w:tcW w:w="4876" w:type="dxa"/>
            <w:tcBorders>
              <w:top w:val="nil"/>
              <w:left w:val="nil"/>
              <w:bottom w:val="nil"/>
              <w:right w:val="nil"/>
            </w:tcBorders>
          </w:tcPr>
          <w:p w:rsidR="00BC254A" w:rsidRDefault="007914A5">
            <w:pPr>
              <w:pStyle w:val="Normal6a"/>
            </w:pPr>
            <w:r>
              <w:t>(22)</w:t>
            </w:r>
            <w:r>
              <w:tab/>
              <w:t xml:space="preserve">Die </w:t>
            </w:r>
            <w:r>
              <w:t>Grundsätze der Europäischen Säule sozialer Rechte sollten für alle Tätigkeiten im Rahmen des EU-Talentpools gelten, insbesondere was das Recht auf faire und gleiche Behandlung</w:t>
            </w:r>
            <w:r>
              <w:rPr>
                <w:b/>
                <w:i/>
              </w:rPr>
              <w:t>, unter anderem</w:t>
            </w:r>
            <w:r>
              <w:t xml:space="preserve"> in Bezug auf </w:t>
            </w:r>
            <w:r>
              <w:rPr>
                <w:b/>
                <w:i/>
              </w:rPr>
              <w:t>Arbeits- und Beschäftigungsbedingungen</w:t>
            </w:r>
            <w:r>
              <w:t>, Mindestlöhne</w:t>
            </w:r>
            <w:r>
              <w:t>, </w:t>
            </w:r>
            <w:r>
              <w:rPr>
                <w:b/>
                <w:i/>
              </w:rPr>
              <w:t>Vergütung,</w:t>
            </w:r>
            <w:r>
              <w:t xml:space="preserve"> Zugang zu sozialem Schutz, Fortbildung</w:t>
            </w:r>
            <w:r>
              <w:rPr>
                <w:b/>
                <w:i/>
              </w:rPr>
              <w:t>, soziale und steuerliche Vorteile, Gesundheitsversorgung, Bildung, Gewerkschaftsrechte, Zugang zu Wohnraum und den</w:t>
            </w:r>
            <w:r>
              <w:t xml:space="preserve"> Schutz </w:t>
            </w:r>
            <w:r>
              <w:rPr>
                <w:b/>
                <w:i/>
              </w:rPr>
              <w:t>junger Menschen</w:t>
            </w:r>
            <w:r>
              <w:t xml:space="preserve"> am Arbeitsplatz angeht. Im Einklang mit diesen Grundsätzen sollte </w:t>
            </w:r>
            <w:r>
              <w:t>der EU-Talentpool hochwertige Arbeitsplätze gewährleisten.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242</w:t>
      </w:r>
      <w:r>
        <w:rPr>
          <w:rStyle w:val="HideTWBExt"/>
        </w:rPr>
        <w:t>&lt;/NumAmB&gt;</w:t>
      </w:r>
    </w:p>
    <w:p w:rsidR="00BC254A" w:rsidRDefault="007914A5">
      <w:pPr>
        <w:pStyle w:val="NormalBold"/>
      </w:pPr>
      <w:r>
        <w:rPr>
          <w:rStyle w:val="HideTWBExt"/>
          <w:b w:val="0"/>
        </w:rPr>
        <w:t>&lt;RepeatBlock-By&gt;&lt;Members&gt;</w:t>
      </w:r>
      <w:r>
        <w:t>François-Xavier Bellamy</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w:t>
      </w:r>
      <w:r>
        <w:t>rordnung</w:t>
      </w:r>
      <w:r>
        <w:rPr>
          <w:rStyle w:val="HideTWBExt"/>
        </w:rPr>
        <w:t>&lt;/DocAmend&gt;</w:t>
      </w:r>
    </w:p>
    <w:p w:rsidR="00BC254A" w:rsidRDefault="007914A5">
      <w:pPr>
        <w:pStyle w:val="NormalBold"/>
      </w:pPr>
      <w:r>
        <w:rPr>
          <w:rStyle w:val="HideTWBExt"/>
        </w:rPr>
        <w:t>&lt;Article&gt;</w:t>
      </w:r>
      <w:r>
        <w:t>Erwägung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(22)</w:t>
            </w:r>
            <w:r>
              <w:tab/>
              <w:t xml:space="preserve">Die Grundsätze der europäischen Säule sozialer Rechte sollten </w:t>
            </w:r>
            <w:r>
              <w:rPr>
                <w:b/>
                <w:i/>
              </w:rPr>
              <w:t>für alle Tätigkeiten im Rahmen des EU-Talentpools gelten, insbesondere was das Recht auf faire</w:t>
            </w:r>
            <w:r>
              <w:rPr>
                <w:b/>
                <w:i/>
              </w:rPr>
              <w:t xml:space="preserve"> und gleiche Behandlung </w:t>
            </w:r>
            <w:r>
              <w:rPr>
                <w:b/>
                <w:i/>
              </w:rPr>
              <w:lastRenderedPageBreak/>
              <w:t>in Bezug auf Arbeitsbedingungen, Mindestlöhne, Zugang zu sozialem Schutz, Fortbildung und Schutz von Jugendlichen am Arbeitsplatz angeht</w:t>
            </w:r>
            <w:r>
              <w:t>. Im Einklang mit diesen Grundsätzen sollte der EU-Talentpool hochwertige Arbeitsplätze gewährle</w:t>
            </w:r>
            <w:r>
              <w:t>isten.</w:t>
            </w:r>
          </w:p>
        </w:tc>
        <w:tc>
          <w:tcPr>
            <w:tcW w:w="4876" w:type="dxa"/>
            <w:tcBorders>
              <w:top w:val="nil"/>
              <w:left w:val="nil"/>
              <w:bottom w:val="nil"/>
              <w:right w:val="nil"/>
            </w:tcBorders>
          </w:tcPr>
          <w:p w:rsidR="00BC254A" w:rsidRDefault="007914A5">
            <w:pPr>
              <w:pStyle w:val="Normal6a"/>
            </w:pPr>
            <w:r>
              <w:lastRenderedPageBreak/>
              <w:t>(22)</w:t>
            </w:r>
            <w:r>
              <w:tab/>
              <w:t xml:space="preserve">Die Grundsätze der europäischen Säule sozialer Rechte sollten </w:t>
            </w:r>
            <w:r>
              <w:rPr>
                <w:b/>
                <w:i/>
              </w:rPr>
              <w:t>im Einklang mit den geltenden nationalen Rechtsvorschriften für alle Tätigkeiten im Rahmen des EU-Talentpools gelten</w:t>
            </w:r>
            <w:r>
              <w:t xml:space="preserve">. Im </w:t>
            </w:r>
            <w:r>
              <w:lastRenderedPageBreak/>
              <w:t>Einklang mit diesen Grundsätzen sollte der EU-Talentpool hoch</w:t>
            </w:r>
            <w:r>
              <w:t>wertige Arbeitsplätze gewährleisten.</w:t>
            </w:r>
          </w:p>
        </w:tc>
      </w:tr>
    </w:tbl>
    <w:p w:rsidR="00BC254A" w:rsidRDefault="007914A5">
      <w:pPr>
        <w:pStyle w:val="AmOrLang"/>
      </w:pPr>
      <w:r>
        <w:lastRenderedPageBreak/>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243</w:t>
      </w:r>
      <w:r>
        <w:rPr>
          <w:rStyle w:val="HideTWBExt"/>
        </w:rPr>
        <w:t>&lt;/NumAmB&gt;</w:t>
      </w:r>
    </w:p>
    <w:p w:rsidR="00BC254A" w:rsidRDefault="007914A5">
      <w:pPr>
        <w:pStyle w:val="NormalBold"/>
      </w:pPr>
      <w:r>
        <w:rPr>
          <w:rStyle w:val="HideTWBExt"/>
          <w:b w:val="0"/>
        </w:rPr>
        <w:t>&lt;RepeatBlock-By&gt;&lt;Members&gt;</w:t>
      </w:r>
      <w:r>
        <w:t>Lena Düpont, Tomas Tobé</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(22)</w:t>
            </w:r>
            <w:r>
              <w:tab/>
              <w:t xml:space="preserve">Die Grundsätze der europäischen Säule sozialer Rechte sollten für alle Tätigkeiten im Rahmen des EU-Talentpools gelten, insbesondere was das Recht auf faire und gleiche </w:t>
            </w:r>
            <w:r>
              <w:t>Behandlung in Bezug auf Arbeitsbedingungen, Mindestlöhne, Zugang zu sozialem Schutz, Fortbildung und Schutz von Jugendlichen am Arbeitsplatz angeht. Im Einklang mit diesen Grundsätzen sollte der EU-Talentpool hochwertige Arbeitsplätze gewährleisten.</w:t>
            </w:r>
          </w:p>
        </w:tc>
        <w:tc>
          <w:tcPr>
            <w:tcW w:w="4876" w:type="dxa"/>
            <w:tcBorders>
              <w:top w:val="nil"/>
              <w:left w:val="nil"/>
              <w:bottom w:val="nil"/>
              <w:right w:val="nil"/>
            </w:tcBorders>
          </w:tcPr>
          <w:p w:rsidR="00BC254A" w:rsidRDefault="007914A5">
            <w:pPr>
              <w:pStyle w:val="Normal6a"/>
            </w:pPr>
            <w:r>
              <w:t>(22)</w:t>
            </w:r>
            <w:r>
              <w:tab/>
              <w:t>D</w:t>
            </w:r>
            <w:r>
              <w:t xml:space="preserve">ie Grundsätze der Europäischen Säule sozialer Rechte sollten für alle Tätigkeiten im Rahmen des EU-Talentpools gelten, insbesondere was </w:t>
            </w:r>
            <w:r>
              <w:rPr>
                <w:b/>
                <w:i/>
              </w:rPr>
              <w:t>– unbeschadet der nationalen Bestimmungen –</w:t>
            </w:r>
            <w:r>
              <w:t xml:space="preserve"> das Recht auf faire und gleiche Behandlung in Bezug auf Arbeitsbedingungen, </w:t>
            </w:r>
            <w:r>
              <w:t xml:space="preserve">Mindestlöhne, </w:t>
            </w:r>
            <w:r>
              <w:rPr>
                <w:b/>
                <w:i/>
              </w:rPr>
              <w:t>den</w:t>
            </w:r>
            <w:r>
              <w:t xml:space="preserve"> Zugang zu sozialem Schutz, Fortbildung und </w:t>
            </w:r>
            <w:r>
              <w:rPr>
                <w:b/>
                <w:i/>
              </w:rPr>
              <w:t>den</w:t>
            </w:r>
            <w:r>
              <w:t xml:space="preserve"> Schutz von Jugendlichen am Arbeitsplatz angeht. Im Einklang mit diesen Grundsätzen sollte der EU-Talentpool hochwertige Arbeitsplätze gewährleisten.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244</w:t>
      </w:r>
      <w:r>
        <w:rPr>
          <w:rStyle w:val="HideTWBExt"/>
        </w:rPr>
        <w:t>&lt;/NumAmB&gt;</w:t>
      </w:r>
    </w:p>
    <w:p w:rsidR="00BC254A" w:rsidRDefault="007914A5">
      <w:pPr>
        <w:pStyle w:val="NormalBold"/>
      </w:pPr>
      <w:r>
        <w:rPr>
          <w:rStyle w:val="HideTWBExt"/>
          <w:b w:val="0"/>
        </w:rPr>
        <w:t>&lt;RepeatBlock-By&gt;&lt;Members&gt;</w:t>
      </w:r>
      <w:r>
        <w:t>Alice Teodorescu Måwe</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(22)</w:t>
            </w:r>
            <w:r>
              <w:tab/>
              <w:t>Die</w:t>
            </w:r>
            <w:r>
              <w:t xml:space="preserve"> Grundsätze der europäischen Säule sozialer Rechte sollten für alle </w:t>
            </w:r>
            <w:r>
              <w:lastRenderedPageBreak/>
              <w:t>Tätigkeiten im Rahmen des EU-Talentpools gelten, insbesondere was das Recht auf faire und gleiche Behandlung in Bezug auf Arbeitsbedingungen, Mindestlöhne, Zugang zu sozialem Schutz, Fortb</w:t>
            </w:r>
            <w:r>
              <w:t>ildung und Schutz von Jugendlichen am Arbeitsplatz angeht. Im Einklang mit diesen Grundsätzen sollte der EU-Talentpool hochwertige Arbeitsplätze gewährleisten.</w:t>
            </w:r>
          </w:p>
        </w:tc>
        <w:tc>
          <w:tcPr>
            <w:tcW w:w="4876" w:type="dxa"/>
            <w:tcBorders>
              <w:top w:val="nil"/>
              <w:left w:val="nil"/>
              <w:bottom w:val="nil"/>
              <w:right w:val="nil"/>
            </w:tcBorders>
          </w:tcPr>
          <w:p w:rsidR="00BC254A" w:rsidRDefault="007914A5">
            <w:pPr>
              <w:pStyle w:val="Normal6a"/>
            </w:pPr>
            <w:r>
              <w:lastRenderedPageBreak/>
              <w:t>(22)</w:t>
            </w:r>
            <w:r>
              <w:tab/>
            </w:r>
            <w:r>
              <w:t xml:space="preserve">Die Grundsätze der Europäischen Säule sozialer Rechte sollten für alle </w:t>
            </w:r>
            <w:r>
              <w:lastRenderedPageBreak/>
              <w:t xml:space="preserve">Tätigkeiten im Rahmen des EU-Talentpools gelten, insbesondere was </w:t>
            </w:r>
            <w:r>
              <w:rPr>
                <w:b/>
                <w:i/>
              </w:rPr>
              <w:t>– unbeschadet der nationalen Bestimmungen –</w:t>
            </w:r>
            <w:r>
              <w:t xml:space="preserve"> das Recht auf faire und gleiche Behandlung in Bezug auf Arbeitsbedingungen,</w:t>
            </w:r>
            <w:r>
              <w:t xml:space="preserve"> Mindestlöhne, </w:t>
            </w:r>
            <w:r>
              <w:rPr>
                <w:b/>
                <w:i/>
              </w:rPr>
              <w:t>den</w:t>
            </w:r>
            <w:r>
              <w:t xml:space="preserve"> Zugang zu sozialem Schutz, Fortbildung und </w:t>
            </w:r>
            <w:r>
              <w:rPr>
                <w:b/>
                <w:i/>
              </w:rPr>
              <w:t>den</w:t>
            </w:r>
            <w:r>
              <w:t xml:space="preserve"> Schutz von Jugendlichen am Arbeitsplatz angeht. Im Einklang mit diesen Grundsätzen sollte der EU-Talentpool hochwertige Arbeitsplätze gewährleisten.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245</w:t>
      </w:r>
      <w:r>
        <w:rPr>
          <w:rStyle w:val="HideTWBExt"/>
        </w:rPr>
        <w:t>&lt;/NumAmB&gt;</w:t>
      </w:r>
    </w:p>
    <w:p w:rsidR="00BC254A" w:rsidRDefault="007914A5">
      <w:pPr>
        <w:pStyle w:val="NormalBold"/>
      </w:pPr>
      <w:r>
        <w:rPr>
          <w:rStyle w:val="HideTWBExt"/>
          <w:b w:val="0"/>
        </w:rPr>
        <w:t>&lt;RepeatBlock-By&gt;&lt;Members&gt;</w:t>
      </w:r>
      <w:r>
        <w:t>Petra Steger, Jaroslav Bžoch, Fabrice Leggeri, António Tânger Corrêa, Jorge Buxadé Villalba, Marieke Ehlers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(22)</w:t>
            </w:r>
            <w:r>
              <w:tab/>
              <w:t xml:space="preserve">Die Grundsätze der europäischen Säule sozialer Rechte sollten für alle Tätigkeiten im Rahmen des EU-Talentpools gelten, insbesondere was das Recht auf faire und </w:t>
            </w:r>
            <w:r>
              <w:t>gleiche Behandlung in Bezug auf Arbeitsbedingungen, Mindestlöhne</w:t>
            </w:r>
            <w:r>
              <w:rPr>
                <w:b/>
                <w:i/>
              </w:rPr>
              <w:t>, Zugang zu sozialem Schutz, Fortbildung und</w:t>
            </w:r>
            <w:r>
              <w:t xml:space="preserve"> Schutz von Jugendlichen am Arbeitsplatz angeht. Im Einklang mit diesen Grundsätzen sollte der EU-Talentpool hochwertige Arbeitsplätze gewährleisten</w:t>
            </w:r>
            <w:r>
              <w:t>.</w:t>
            </w:r>
          </w:p>
        </w:tc>
        <w:tc>
          <w:tcPr>
            <w:tcW w:w="4876" w:type="dxa"/>
            <w:tcBorders>
              <w:top w:val="nil"/>
              <w:left w:val="nil"/>
              <w:bottom w:val="nil"/>
              <w:right w:val="nil"/>
            </w:tcBorders>
          </w:tcPr>
          <w:p w:rsidR="00BC254A" w:rsidRDefault="007914A5">
            <w:pPr>
              <w:pStyle w:val="Normal6a"/>
            </w:pPr>
            <w:r>
              <w:t>(22)</w:t>
            </w:r>
            <w:r>
              <w:tab/>
              <w:t xml:space="preserve">Die Grundsätze der Europäischen Säule sozialer Rechte sollten für alle Tätigkeiten im Rahmen des EU-Talentpools gelten, insbesondere was das Recht auf faire und gleiche Behandlung in Bezug auf Arbeitsbedingungen, Mindestlöhne </w:t>
            </w:r>
            <w:r>
              <w:rPr>
                <w:b/>
                <w:i/>
              </w:rPr>
              <w:t>und den</w:t>
            </w:r>
            <w:r>
              <w:t xml:space="preserve"> Schutz von Juge</w:t>
            </w:r>
            <w:r>
              <w:t>ndlichen am Arbeitsplatz angeht. Im Einklang mit diesen Grundsätzen sollte der EU-Talentpool hochwertige Arbeitsplätze gewährleisten.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246</w:t>
      </w:r>
      <w:r>
        <w:rPr>
          <w:rStyle w:val="HideTWBExt"/>
        </w:rPr>
        <w:t>&lt;/NumAmB&gt;</w:t>
      </w:r>
    </w:p>
    <w:p w:rsidR="00BC254A" w:rsidRDefault="007914A5">
      <w:pPr>
        <w:pStyle w:val="NormalBold"/>
      </w:pPr>
      <w:r>
        <w:rPr>
          <w:rStyle w:val="HideTWBExt"/>
          <w:b w:val="0"/>
        </w:rPr>
        <w:t>&lt;RepeatBlock-By&gt;&lt;Members&gt;</w:t>
      </w:r>
      <w:r>
        <w:t xml:space="preserve">Javier </w:t>
      </w:r>
      <w:r>
        <w:t>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lastRenderedPageBreak/>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(22)</w:t>
            </w:r>
            <w:r>
              <w:tab/>
            </w:r>
            <w:r>
              <w:t xml:space="preserve">Die Grundsätze der europäischen Säule sozialer Rechte sollten für alle Tätigkeiten im Rahmen des EU-Talentpools gelten, insbesondere was das Recht auf faire und gleiche Behandlung in Bezug auf Arbeitsbedingungen, </w:t>
            </w:r>
            <w:r>
              <w:rPr>
                <w:b/>
                <w:i/>
              </w:rPr>
              <w:t>Mindestlöhne</w:t>
            </w:r>
            <w:r>
              <w:t>, Zugang zu sozialem Schutz, Fo</w:t>
            </w:r>
            <w:r>
              <w:t>rtbildung und Schutz von Jugendlichen am Arbeitsplatz angeht. Im Einklang mit diesen Grundsätzen sollte der EU-Talentpool hochwertige Arbeitsplätze gewährleisten.</w:t>
            </w:r>
          </w:p>
        </w:tc>
        <w:tc>
          <w:tcPr>
            <w:tcW w:w="4876" w:type="dxa"/>
            <w:tcBorders>
              <w:top w:val="nil"/>
              <w:left w:val="nil"/>
              <w:bottom w:val="nil"/>
              <w:right w:val="nil"/>
            </w:tcBorders>
          </w:tcPr>
          <w:p w:rsidR="00BC254A" w:rsidRDefault="007914A5">
            <w:pPr>
              <w:pStyle w:val="Normal6a"/>
            </w:pPr>
            <w:r>
              <w:t>(22)</w:t>
            </w:r>
            <w:r>
              <w:tab/>
              <w:t>Die Grundsätze der Europäischen Säule sozialer Rechte sollten für alle Tätigkeiten im Ra</w:t>
            </w:r>
            <w:r>
              <w:t xml:space="preserve">hmen des EU-Talentpools gelten, insbesondere was das Recht auf faire und gleiche Behandlung in Bezug auf Arbeitsbedingungen, </w:t>
            </w:r>
            <w:r>
              <w:rPr>
                <w:b/>
                <w:i/>
              </w:rPr>
              <w:t>Vergütung</w:t>
            </w:r>
            <w:r>
              <w:t xml:space="preserve">, Zugang zu sozialem Schutz, Fortbildung und </w:t>
            </w:r>
            <w:r>
              <w:rPr>
                <w:b/>
                <w:i/>
              </w:rPr>
              <w:t>den</w:t>
            </w:r>
            <w:r>
              <w:t xml:space="preserve"> Schutz von Jugendlichen am Arbeitsplatz angeht. Im Einklang mit diesen Gr</w:t>
            </w:r>
            <w:r>
              <w:t>undsätzen sollte der EU-Talentpool hochwertige Arbeitsplätze gewährleisten.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247</w:t>
      </w:r>
      <w:r>
        <w:rPr>
          <w:rStyle w:val="HideTWBExt"/>
        </w:rPr>
        <w:t>&lt;/NumAmB&gt;</w:t>
      </w:r>
    </w:p>
    <w:p w:rsidR="00BC254A" w:rsidRDefault="007914A5">
      <w:pPr>
        <w:pStyle w:val="NormalBold"/>
      </w:pPr>
      <w:r>
        <w:rPr>
          <w:rStyle w:val="HideTWBExt"/>
          <w:b w:val="0"/>
        </w:rPr>
        <w:t>&lt;RepeatBlock-By&gt;&lt;Members&gt;</w:t>
      </w:r>
      <w:r>
        <w:t>Francisco Assis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 xml:space="preserve">Vorschlag </w:t>
      </w:r>
      <w:r>
        <w:t>für eine Verordnung</w:t>
      </w:r>
      <w:r>
        <w:rPr>
          <w:rStyle w:val="HideTWBExt"/>
        </w:rPr>
        <w:t>&lt;/DocAmend&gt;</w:t>
      </w:r>
    </w:p>
    <w:p w:rsidR="00BC254A" w:rsidRDefault="007914A5">
      <w:pPr>
        <w:pStyle w:val="NormalBold"/>
      </w:pPr>
      <w:r>
        <w:rPr>
          <w:rStyle w:val="HideTWBExt"/>
        </w:rPr>
        <w:t>&lt;Article&gt;</w:t>
      </w:r>
      <w:r>
        <w:t>Erwägung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(22)</w:t>
            </w:r>
            <w:r>
              <w:tab/>
              <w:t>Die Grundsätze der europäischen Säule sozialer Rechte sollten für alle Tätigkeiten im Rahmen des EU-Talentpools gelten, insbesondere was das Rech</w:t>
            </w:r>
            <w:r>
              <w:t xml:space="preserve">t auf faire und gleiche Behandlung in Bezug auf Arbeitsbedingungen, </w:t>
            </w:r>
            <w:r>
              <w:rPr>
                <w:b/>
                <w:i/>
              </w:rPr>
              <w:t>Mindestlöhne,</w:t>
            </w:r>
            <w:r>
              <w:t xml:space="preserve"> Zugang zu sozialem Schutz, Fortbildung und Schutz von Jugendlichen am Arbeitsplatz angeht. Im Einklang mit diesen Grundsätzen sollte der EU-Talentpool hochwertige Arbeitsplät</w:t>
            </w:r>
            <w:r>
              <w:t>ze gewährleisten.</w:t>
            </w:r>
          </w:p>
        </w:tc>
        <w:tc>
          <w:tcPr>
            <w:tcW w:w="4876" w:type="dxa"/>
            <w:tcBorders>
              <w:top w:val="nil"/>
              <w:left w:val="nil"/>
              <w:bottom w:val="nil"/>
              <w:right w:val="nil"/>
            </w:tcBorders>
          </w:tcPr>
          <w:p w:rsidR="00BC254A" w:rsidRDefault="007914A5">
            <w:pPr>
              <w:pStyle w:val="Normal6a"/>
            </w:pPr>
            <w:r>
              <w:t>(22)</w:t>
            </w:r>
            <w:r>
              <w:tab/>
              <w:t xml:space="preserve">Die Grundsätze der Europäischen Säule sozialer Rechte sollten für alle Tätigkeiten im Rahmen des EU-Talentpools gelten, insbesondere was das Recht auf faire und gleiche Behandlung in Bezug auf Arbeitsbedingungen, </w:t>
            </w:r>
            <w:r>
              <w:rPr>
                <w:b/>
                <w:i/>
              </w:rPr>
              <w:t>Löhne, den</w:t>
            </w:r>
            <w:r>
              <w:t xml:space="preserve"> Zugang zu sozialem Schutz, Fortbildung und </w:t>
            </w:r>
            <w:r>
              <w:rPr>
                <w:b/>
                <w:i/>
              </w:rPr>
              <w:t>den</w:t>
            </w:r>
            <w:r>
              <w:t xml:space="preserve"> Schutz von Jugendlichen am Arbeitsplatz angeht. Im Einklang mit diesen Grundsätzen sollte der EU-Talentpool hochwertige Arbeitsplätze gewährleisten.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w:t>
      </w:r>
      <w:r>
        <w:t>santrag</w:t>
      </w:r>
      <w:r>
        <w:tab/>
      </w:r>
      <w:r>
        <w:tab/>
      </w:r>
      <w:r>
        <w:rPr>
          <w:rStyle w:val="HideTWBExt"/>
        </w:rPr>
        <w:t>&lt;NumAmB&gt;</w:t>
      </w:r>
      <w:r>
        <w:t>248</w:t>
      </w:r>
      <w:r>
        <w:rPr>
          <w:rStyle w:val="HideTWBExt"/>
        </w:rPr>
        <w:t>&lt;/NumAmB&gt;</w:t>
      </w:r>
    </w:p>
    <w:p w:rsidR="00BC254A" w:rsidRDefault="007914A5">
      <w:pPr>
        <w:pStyle w:val="NormalBold"/>
      </w:pPr>
      <w:r>
        <w:rPr>
          <w:rStyle w:val="HideTWBExt"/>
          <w:b w:val="0"/>
        </w:rPr>
        <w:t>&lt;RepeatBlock-By&gt;&lt;Members&gt;</w:t>
      </w:r>
      <w:r>
        <w:t>Pernando Barrena Arza</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(23)</w:t>
            </w:r>
            <w:r>
              <w:tab/>
            </w:r>
            <w:r>
              <w:t>Die Internationale Arbeitsorganisation (IAO) legt in ihren „Allgemeinen Grundsätzen und operativen Leitlinien für faire Einstellungsverfahren“ eine Reihe von Standards für einen angemessenen Schutz von Arbeitsuchenden aus Drittstaaten vor unlauteren Einste</w:t>
            </w:r>
            <w:r>
              <w:t xml:space="preserve">llungsverfahren fest. </w:t>
            </w:r>
            <w:r>
              <w:rPr>
                <w:b/>
                <w:i/>
              </w:rPr>
              <w:t>Arbeitgeber sollten die geltenden</w:t>
            </w:r>
            <w:r>
              <w:t xml:space="preserve"> Rechtsvorschriften und Gepflogenheiten der </w:t>
            </w:r>
            <w:r>
              <w:rPr>
                <w:b/>
                <w:i/>
              </w:rPr>
              <w:t>Union einhalten</w:t>
            </w:r>
            <w:r>
              <w:t>. Ferner sollten die Arbeitgeber die Gleichbehandlung von Arbeitsuchenden aus Drittstaaten und Staatsangehörigen des teilnehmenden Mitgliedsta</w:t>
            </w:r>
            <w:r>
              <w:t>ats gemäß den Richtlinien 2011/98/EU</w:t>
            </w:r>
            <w:r>
              <w:rPr>
                <w:vertAlign w:val="superscript"/>
              </w:rPr>
              <w:t>13</w:t>
            </w:r>
            <w:r>
              <w:t>, 2014/36/EU</w:t>
            </w:r>
            <w:r>
              <w:rPr>
                <w:vertAlign w:val="superscript"/>
              </w:rPr>
              <w:t>14</w:t>
            </w:r>
            <w:r>
              <w:t>, 2021/1883/EU</w:t>
            </w:r>
            <w:r>
              <w:rPr>
                <w:vertAlign w:val="superscript"/>
              </w:rPr>
              <w:t>15</w:t>
            </w:r>
            <w:r>
              <w:t>und 2016/801/EU</w:t>
            </w:r>
            <w:r>
              <w:rPr>
                <w:vertAlign w:val="superscript"/>
              </w:rPr>
              <w:t>16</w:t>
            </w:r>
            <w:r>
              <w:t>sicherstellen. Gemäß der Richtlinie 2019/1152/EU</w:t>
            </w:r>
            <w:r>
              <w:rPr>
                <w:b/>
                <w:i/>
                <w:vertAlign w:val="superscript"/>
              </w:rPr>
              <w:t>17</w:t>
            </w:r>
            <w:r>
              <w:t>sollten Arbeitgeber, die am EU-Talentpool teilnehmen, registrierte Arbeitsuchende aus Drittstaaten zu Beginn des Beschäft</w:t>
            </w:r>
            <w:r>
              <w:t xml:space="preserve">igungsverhältnisses schriftlich und in verständlicher Sprache über ihre Rechte und Pflichten informieren, die sich aus dem Beschäftigungsverhältnis ergeben. Diese Informationen sollten mindestens den Ort und die Art der Tätigkeit, die Beschäftigungsdauer, </w:t>
            </w:r>
            <w:r>
              <w:t xml:space="preserve">die Vergütung, die Arbeitszeiten, die Dauer des bezahlten Urlaubs und gegebenenfalls andere relevante </w:t>
            </w:r>
            <w:r>
              <w:rPr>
                <w:b/>
                <w:i/>
              </w:rPr>
              <w:t>Arbeitsbedingungen</w:t>
            </w:r>
            <w:r>
              <w:t xml:space="preserve"> umfassen. Ein Arbeitgeber sollte weder Anwerbungsgebühren </w:t>
            </w:r>
            <w:r>
              <w:rPr>
                <w:b/>
                <w:i/>
              </w:rPr>
              <w:t>erheben</w:t>
            </w:r>
            <w:r>
              <w:t xml:space="preserve"> noch Arbeitnehmern verbieten dürfen, außerhalb des mit ihm festgelegt</w:t>
            </w:r>
            <w:r>
              <w:t>en Arbeitsplans eine Beschäftigung bei anderen Arbeitgebern aufzunehmen, noch sie benachteiligen, falls sie dies tun. Arbeitgeber, die am EU-Talentpool teilnehmen, sollten bei der Entsendung von Arbeitnehmern im Rahmen der Erbringung von Dienstleistungen d</w:t>
            </w:r>
            <w:r>
              <w:t>ie Richtlinie 96/71/EG</w:t>
            </w:r>
            <w:r>
              <w:rPr>
                <w:vertAlign w:val="superscript"/>
              </w:rPr>
              <w:t>18</w:t>
            </w:r>
            <w:r>
              <w:t xml:space="preserve">in der Fassung der Richtlinie (EU) 2018/957 einhalten, insbesondere in </w:t>
            </w:r>
            <w:r>
              <w:lastRenderedPageBreak/>
              <w:t>Bezug auf die darin festgelegten Arbeits- und Beschäftigungsbedingungen, etwa die Verpflichtung, dass Arbeitnehmer aus Drittstaaten nur dann in einen Mitgliedsta</w:t>
            </w:r>
            <w:r>
              <w:t>at entsandt werden dürfen, wenn sie rechtmäßig und gewöhnlich in einem anderen Mitgliedstaat beschäftigt sind.</w:t>
            </w:r>
          </w:p>
        </w:tc>
        <w:tc>
          <w:tcPr>
            <w:tcW w:w="4876" w:type="dxa"/>
            <w:tcBorders>
              <w:top w:val="nil"/>
              <w:left w:val="nil"/>
              <w:bottom w:val="nil"/>
              <w:right w:val="nil"/>
            </w:tcBorders>
          </w:tcPr>
          <w:p w:rsidR="00BC254A" w:rsidRDefault="007914A5">
            <w:pPr>
              <w:pStyle w:val="Normal6a"/>
            </w:pPr>
            <w:r>
              <w:lastRenderedPageBreak/>
              <w:t>(23)</w:t>
            </w:r>
            <w:r>
              <w:tab/>
              <w:t>Die Internationale Arbeitsorganisation (IAO) legt in ihren „Allgemeinen Grundsätzen und operativen Leitlinien für faire Einstellungsverfahre</w:t>
            </w:r>
            <w:r>
              <w:t xml:space="preserve">n“ eine Reihe von Standards für einen angemessenen Schutz von Arbeitsuchenden aus Drittstaaten vor unlauteren Einstellungsverfahren fest. </w:t>
            </w:r>
            <w:r>
              <w:rPr>
                <w:b/>
                <w:i/>
              </w:rPr>
              <w:t xml:space="preserve">Der EU-Talentpool sollte dem Schutz der Rechte von Wanderarbeitnehmern Vorrang einräumen und sicherstellen, dass alle </w:t>
            </w:r>
            <w:r>
              <w:rPr>
                <w:b/>
                <w:i/>
              </w:rPr>
              <w:t>Einstellungsverfahren und die anschließende Beschäftigung den internationalen Arbeitsnormen und den</w:t>
            </w:r>
            <w:r>
              <w:t xml:space="preserve"> Rechtsvorschriften und Gepflogenheiten der </w:t>
            </w:r>
            <w:r>
              <w:rPr>
                <w:b/>
                <w:i/>
              </w:rPr>
              <w:t>EU und des Mitgliedstaats entsprechen, wozu auch gehört, dass Tarifverträge und faire Einstellungspraktiken angew</w:t>
            </w:r>
            <w:r>
              <w:rPr>
                <w:b/>
                <w:i/>
              </w:rPr>
              <w:t>endet werden.</w:t>
            </w:r>
            <w:r>
              <w:t xml:space="preserve"> </w:t>
            </w:r>
            <w:r>
              <w:rPr>
                <w:b/>
                <w:i/>
              </w:rPr>
              <w:t>Arbeitgeber, bei denen ein Verstoß gegen diese Bestimmungen festgestellt wird, sollten von der Plattform ausgeschlossen werden</w:t>
            </w:r>
            <w:r>
              <w:t>. Ferner sollten die Arbeitgeber die Gleichbehandlung von Arbeitsuchenden aus Drittstaaten und Staatsangehörigen des</w:t>
            </w:r>
            <w:r>
              <w:t xml:space="preserve"> teilnehmenden Mitgliedstaats gemäß den Richtlinien 2011/98/EU</w:t>
            </w:r>
            <w:r>
              <w:rPr>
                <w:vertAlign w:val="superscript"/>
              </w:rPr>
              <w:t>13</w:t>
            </w:r>
            <w:r>
              <w:t>, 2014/36/EU</w:t>
            </w:r>
            <w:r>
              <w:rPr>
                <w:vertAlign w:val="superscript"/>
              </w:rPr>
              <w:t>14</w:t>
            </w:r>
            <w:r>
              <w:t>, 2021/1883/EU</w:t>
            </w:r>
            <w:r>
              <w:rPr>
                <w:vertAlign w:val="superscript"/>
              </w:rPr>
              <w:t>15</w:t>
            </w:r>
            <w:r>
              <w:t xml:space="preserve"> und 2016/801/EU</w:t>
            </w:r>
            <w:r>
              <w:rPr>
                <w:vertAlign w:val="superscript"/>
              </w:rPr>
              <w:t>16</w:t>
            </w:r>
            <w:r>
              <w:t xml:space="preserve"> sicherstellen. Gemäß der Richtlinie 2019/1152/EU sollten Arbeitgeber, die am EU-Talentpool teilnehmen, registrierte Arbeitsuchende aus Drittstaaten zu Beginn des Beschäftigungsverhältnisses schriftlich und in verständlicher Sprache über ihre Rechte und Pf</w:t>
            </w:r>
            <w:r>
              <w:t xml:space="preserve">lichten informieren, die sich aus dem Beschäftigungsverhältnis ergeben. Diese Informationen sollten mindestens den </w:t>
            </w:r>
            <w:r>
              <w:rPr>
                <w:b/>
                <w:i/>
              </w:rPr>
              <w:t>gewöhnlichen</w:t>
            </w:r>
            <w:r>
              <w:t xml:space="preserve"> Ort und die Art der Tätigkeit, die Beschäftigungsdauer, die Vergütung, die Arbeitszeiten, die Dauer des bezahlten Urlaubs und ge</w:t>
            </w:r>
            <w:r>
              <w:t xml:space="preserve">gebenenfalls andere relevante </w:t>
            </w:r>
            <w:r>
              <w:rPr>
                <w:b/>
                <w:i/>
              </w:rPr>
              <w:t>Arbeits- und Beschäftigungsbedingungen</w:t>
            </w:r>
            <w:r>
              <w:t xml:space="preserve"> umfassen. </w:t>
            </w:r>
            <w:r>
              <w:rPr>
                <w:b/>
                <w:i/>
              </w:rPr>
              <w:lastRenderedPageBreak/>
              <w:t>Für Arbeitsuchende aus Drittstaaten sollten im Zusammenhang mit ihrer Teilnahme am EU-Talentpool oder ihrem Einstellungsverfahren weder direkte oder indirekte Kosten noch Gebühr</w:t>
            </w:r>
            <w:r>
              <w:rPr>
                <w:b/>
                <w:i/>
              </w:rPr>
              <w:t>en anfallen.</w:t>
            </w:r>
            <w:r>
              <w:t xml:space="preserve"> Ein Arbeitgeber sollte weder Anwerbungsgebühren</w:t>
            </w:r>
            <w:r>
              <w:rPr>
                <w:b/>
                <w:i/>
              </w:rPr>
              <w:t>, Reisekosten, Arbeitsmittel und Unterkunft in Rechnung stellen</w:t>
            </w:r>
            <w:r>
              <w:t xml:space="preserve"> noch Arbeitnehmern verbieten dürfen, außerhalb des mit ihm festgelegten Arbeitsplans eine Beschäftigung bei anderen Arbeitgebern auf</w:t>
            </w:r>
            <w:r>
              <w:t>zunehmen, noch sie benachteiligen, falls sie dies tun. Arbeitgeber, die am EU-Talentpool teilnehmen, sollten bei der Entsendung von Arbeitnehmern im Rahmen der Erbringung von Dienstleistungen die Richtlinie 96/71/EG</w:t>
            </w:r>
            <w:r>
              <w:rPr>
                <w:vertAlign w:val="superscript"/>
              </w:rPr>
              <w:t>18</w:t>
            </w:r>
            <w:r>
              <w:t xml:space="preserve"> in der Fassung der Richtlinie (EU) 201</w:t>
            </w:r>
            <w:r>
              <w:t xml:space="preserve">8/957 einhalten, insbesondere in Bezug auf die darin festgelegten Arbeits- und Beschäftigungsbedingungen, etwa die Verpflichtung, dass Arbeitnehmer aus Drittstaaten nur dann in einen Mitgliedstaat entsandt werden dürfen, wenn sie rechtmäßig und gewöhnlich </w:t>
            </w:r>
            <w:r>
              <w:t xml:space="preserve">in einem anderen Mitgliedstaat beschäftigt sind. </w:t>
            </w:r>
            <w:r>
              <w:rPr>
                <w:b/>
                <w:i/>
              </w:rPr>
              <w:t>Um unechte Entsendungen zu verhindern, sollte der EU-Talentpool nicht dazu genutzt werden, Einstellungen zu erleichtern, bei denen Arbeitnehmer ausschließlich zum Zweck der Entsendung eingestellt werden.</w:t>
            </w:r>
            <w:r>
              <w:t xml:space="preserve"> </w:t>
            </w:r>
            <w:r>
              <w:rPr>
                <w:b/>
                <w:i/>
              </w:rPr>
              <w:t>Die</w:t>
            </w:r>
            <w:r>
              <w:rPr>
                <w:b/>
                <w:i/>
              </w:rPr>
              <w:t>s setzt voraus, dass Arbeitgeber im Hinblick darauf, ob es sich tatsächlich um eine Entsendung handelt, die Richtlinie 2014/67/EU einhalten, damit Missbrauch und Umgehung verhindert werden.</w:t>
            </w:r>
            <w:r>
              <w:t xml:space="preserve"> </w:t>
            </w:r>
            <w:r>
              <w:rPr>
                <w:b/>
                <w:i/>
              </w:rPr>
              <w:t xml:space="preserve">Es sollte ein Aufsichtsmechanismus eingerichtet werden, damit die </w:t>
            </w:r>
            <w:r>
              <w:rPr>
                <w:b/>
                <w:i/>
              </w:rPr>
              <w:t>Nutzung des EU-Talentpools überwacht, Beschwerden nachgegangen und sichergestellt werden kann, dass die Plattform nicht verwendet wird, um ausbeuterische Arbeitspraktiken zu erleichtern oder die Arbeitnehmerrechte zu untergraben.</w:t>
            </w:r>
          </w:p>
        </w:tc>
      </w:tr>
      <w:tr w:rsidR="00BC254A">
        <w:trPr>
          <w:jc w:val="center"/>
        </w:trPr>
        <w:tc>
          <w:tcPr>
            <w:tcW w:w="4876" w:type="dxa"/>
            <w:tcBorders>
              <w:top w:val="nil"/>
              <w:left w:val="nil"/>
              <w:bottom w:val="nil"/>
              <w:right w:val="nil"/>
            </w:tcBorders>
          </w:tcPr>
          <w:p w:rsidR="00BC254A" w:rsidRDefault="007914A5">
            <w:pPr>
              <w:pStyle w:val="Normal6a"/>
            </w:pPr>
            <w:r>
              <w:rPr>
                <w:b/>
                <w:i/>
              </w:rPr>
              <w:lastRenderedPageBreak/>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13</w:t>
            </w:r>
            <w:r>
              <w:t xml:space="preserve"> Richtlinie 2011/98/EU des Europäischen Parlaments und des Rates vom 13. Dezember 2011 über ein einheitliches Verfahren zur Beantragung einer kombinierten Erlaubnis für Drittstaatsangehörige, sich im Hoheitsgebiet eines Mitgliedstaats </w:t>
            </w:r>
            <w:r>
              <w:t>aufzuhalten und zu arbeiten, sowie über ein gemeinsames Bündel von Rechten für Drittstaatsarbeitnehmer, die sich rechtmäßig in einem Mitgliedstaat aufhalten (ABl. L 343 vom 23.12.2011, S. 1, ELI: http://data.europa.eu/eli/dir/2011/98/oj).</w:t>
            </w:r>
          </w:p>
        </w:tc>
        <w:tc>
          <w:tcPr>
            <w:tcW w:w="4876" w:type="dxa"/>
            <w:tcBorders>
              <w:top w:val="nil"/>
              <w:left w:val="nil"/>
              <w:bottom w:val="nil"/>
              <w:right w:val="nil"/>
            </w:tcBorders>
          </w:tcPr>
          <w:p w:rsidR="00BC254A" w:rsidRDefault="007914A5">
            <w:pPr>
              <w:pStyle w:val="Normal6a"/>
            </w:pPr>
            <w:r>
              <w:rPr>
                <w:vertAlign w:val="superscript"/>
              </w:rPr>
              <w:t>13</w:t>
            </w:r>
            <w:r>
              <w:t xml:space="preserve"> Richtlinie 201</w:t>
            </w:r>
            <w:r>
              <w:t>1/98/EU des Europäischen Parlaments und des Rates vom 13. Dezember 2011 über ein einheitliches Verfahren zur Beantragung einer kombinierten Erlaubnis für Drittstaatsangehörige, sich im Hoheitsgebiet eines Mitgliedstaats aufzuhalten und zu arbeiten, sowie ü</w:t>
            </w:r>
            <w:r>
              <w:t>ber ein gemeinsames Bündel von Rechten für Drittstaatsarbeitnehmer, die sich rechtmäßig in einem Mitgliedstaat aufhalten (ABl. L 343 vom 23.12.2011, S.</w:t>
            </w:r>
            <w:r>
              <w:rPr>
                <w:b/>
                <w:i/>
              </w:rPr>
              <w:t xml:space="preserve"> 1);</w:t>
            </w:r>
            <w:r>
              <w:t xml:space="preserve"> 1, ELI: http://data.europa.eu/eli/dir/2011/98/oj).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14</w:t>
            </w:r>
            <w:r>
              <w:t xml:space="preserve"> Richtlinie 2014/36/EU des Europäischen Parlam</w:t>
            </w:r>
            <w:r>
              <w:t>ents und des Rates vom 26. Februar 2014 über die Bedingungen für die Einreise und den Aufenthalt von Drittstaatsangehörigen zwecks Beschäftigung als Saisonarbeitnehmer (ABl. L 94 vom 28.3.2014, S. 375, ELI: http://data.europa.eu/eli/dir/2014/36/oj).</w:t>
            </w:r>
          </w:p>
        </w:tc>
        <w:tc>
          <w:tcPr>
            <w:tcW w:w="4876" w:type="dxa"/>
            <w:tcBorders>
              <w:top w:val="nil"/>
              <w:left w:val="nil"/>
              <w:bottom w:val="nil"/>
              <w:right w:val="nil"/>
            </w:tcBorders>
          </w:tcPr>
          <w:p w:rsidR="00BC254A" w:rsidRDefault="007914A5">
            <w:pPr>
              <w:pStyle w:val="Normal6a"/>
            </w:pPr>
            <w:r>
              <w:rPr>
                <w:vertAlign w:val="superscript"/>
              </w:rPr>
              <w:t>14</w:t>
            </w:r>
            <w:r>
              <w:t xml:space="preserve"> Ric</w:t>
            </w:r>
            <w:r>
              <w:t>htlinie 2014/36/EU des Europäischen Parlaments und des Rates vom 26. Februar 2014 über die Bedingungen für die Einreise und den Aufenthalt von Drittstaatsangehörigen zwecks Beschäftigung als Saisonarbeitnehmer (ABl. L 94 vom 28.3.2014, S. 375, ELI: http://</w:t>
            </w:r>
            <w:r>
              <w:t>data.europa.eu/eli/dir/2014/36/oj).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15</w:t>
            </w:r>
            <w:r>
              <w:t xml:space="preserve"> Richtlinie (EU) 2021/1883 des Europäischen Parlaments und des Rates vom 20. Oktober 2021 über die Bedingungen für die Einreise und den Aufenthalt von Drittstaatsangehörigen zur Ausübung einer hoch qualifizierten Besc</w:t>
            </w:r>
            <w:r>
              <w:t>häftigung und zur Aufhebung der Richtlinie 2009/50/EG des Rates (ABl. L 382 vom 28.10.2021, S. 1, ELI: http://data.europa.eu/eli/dir/2021/1883/oj).</w:t>
            </w:r>
          </w:p>
        </w:tc>
        <w:tc>
          <w:tcPr>
            <w:tcW w:w="4876" w:type="dxa"/>
            <w:tcBorders>
              <w:top w:val="nil"/>
              <w:left w:val="nil"/>
              <w:bottom w:val="nil"/>
              <w:right w:val="nil"/>
            </w:tcBorders>
          </w:tcPr>
          <w:p w:rsidR="00BC254A" w:rsidRDefault="007914A5">
            <w:pPr>
              <w:pStyle w:val="Normal6a"/>
            </w:pPr>
            <w:r>
              <w:rPr>
                <w:vertAlign w:val="superscript"/>
              </w:rPr>
              <w:t>15</w:t>
            </w:r>
            <w:r>
              <w:t xml:space="preserve"> Richtlinie (EU) 2021/1883 des Europäischen Parlaments und des Rates vom 20. Oktober 2021 über die Bedingu</w:t>
            </w:r>
            <w:r>
              <w:t>ngen für die Einreise und den Aufenthalt von Drittstaatsangehörigen zur Ausübung einer hoch qualifizierten Beschäftigung und zur Aufhebung der Richtlinie 2009/50/EG des Rates (ABl. L 382 vom 28.10.2021, S. 1, ELI: http://data.europa.eu/eli/dir/2021/1883/oj</w:t>
            </w:r>
            <w:r>
              <w:t>).</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16</w:t>
            </w:r>
            <w:r>
              <w:t xml:space="preserve"> Richtlinie (EU) 2016/801 des Europäischen Parlaments und des Rates vom 11. Mai 2016 über die Bedingungen für die Einreise und den Aufenthalt von Drittstaatsangehörigen zu Forschungs- oder Studienzwecken, zur Absolvierung eines Praktikums, zur Teilna</w:t>
            </w:r>
            <w:r>
              <w:t>hme an einem Freiwilligendienst, Schüleraustauschprogrammen oder Bildungsvorhaben und zur Ausübung einer Au-pair-Tätigkeit (Neufassung) (ABl. L 132 vom 21.5.2016, S. 21, ELI: http://data.europa.eu/eli/dir/2016/801/oj)</w:t>
            </w:r>
            <w:r>
              <w:rPr>
                <w:b/>
                <w:i/>
              </w:rPr>
              <w:t>.</w:t>
            </w:r>
          </w:p>
        </w:tc>
        <w:tc>
          <w:tcPr>
            <w:tcW w:w="4876" w:type="dxa"/>
            <w:tcBorders>
              <w:top w:val="nil"/>
              <w:left w:val="nil"/>
              <w:bottom w:val="nil"/>
              <w:right w:val="nil"/>
            </w:tcBorders>
          </w:tcPr>
          <w:p w:rsidR="00BC254A" w:rsidRDefault="007914A5">
            <w:pPr>
              <w:pStyle w:val="Normal6a"/>
            </w:pPr>
            <w:r>
              <w:rPr>
                <w:vertAlign w:val="superscript"/>
              </w:rPr>
              <w:t>16</w:t>
            </w:r>
            <w:r>
              <w:t xml:space="preserve"> Richtlinie (EU) 2016/801 des Europ</w:t>
            </w:r>
            <w:r>
              <w:t>äischen Parlaments und des Rates vom 11. Mai 2016 über die Bedingungen für die Einreise und den Aufenthalt von Drittstaatsangehörigen zu Forschungs- oder Studienzwecken, zur Absolvierung eines Praktikums, zur Teilnahme an einem Freiwilligendienst, Schülera</w:t>
            </w:r>
            <w:r>
              <w:t>ustauschprogrammen oder Bildungsvorhaben und zur Ausübung einer Au-pair-Tätigkeit (Neufassung) (ABl. L 132 vom 21.5.2016, S. 21, ELI: http://data.europa.eu/eli/dir/2016/801/oj).</w:t>
            </w:r>
          </w:p>
        </w:tc>
      </w:tr>
      <w:tr w:rsidR="00BC254A">
        <w:trPr>
          <w:jc w:val="center"/>
        </w:trPr>
        <w:tc>
          <w:tcPr>
            <w:tcW w:w="4876" w:type="dxa"/>
            <w:tcBorders>
              <w:top w:val="nil"/>
              <w:left w:val="nil"/>
              <w:bottom w:val="nil"/>
              <w:right w:val="nil"/>
            </w:tcBorders>
          </w:tcPr>
          <w:p w:rsidR="00BC254A" w:rsidRDefault="007914A5">
            <w:pPr>
              <w:pStyle w:val="Normal6a"/>
            </w:pPr>
            <w:r>
              <w:rPr>
                <w:b/>
                <w:i/>
                <w:vertAlign w:val="superscript"/>
              </w:rPr>
              <w:lastRenderedPageBreak/>
              <w:t>17</w:t>
            </w:r>
            <w:r>
              <w:t xml:space="preserve"> </w:t>
            </w:r>
            <w:r>
              <w:rPr>
                <w:b/>
                <w:i/>
              </w:rPr>
              <w:t>Richtlinie (EU) 2019/1152 des Europäischen Parlaments und des Rates vom 20</w:t>
            </w:r>
            <w:r>
              <w:rPr>
                <w:b/>
                <w:i/>
              </w:rPr>
              <w:t>. Juni 2019 über transparente und vorhersehbare Arbeitsbedingungen in der Europäischen Union (ABl.</w:t>
            </w:r>
            <w:r>
              <w:t xml:space="preserve"> </w:t>
            </w:r>
            <w:r>
              <w:rPr>
                <w:b/>
                <w:i/>
              </w:rPr>
              <w:t>L 186 vom 11.7.2019, S.</w:t>
            </w:r>
            <w:r>
              <w:t xml:space="preserve"> </w:t>
            </w:r>
            <w:r>
              <w:rPr>
                <w:b/>
                <w:i/>
              </w:rPr>
              <w:t>105, ELI: http://data.europa.eu/eli/dir/2019/1152/oj)</w:t>
            </w:r>
            <w:r>
              <w:t>.</w:t>
            </w:r>
          </w:p>
        </w:tc>
        <w:tc>
          <w:tcPr>
            <w:tcW w:w="4876" w:type="dxa"/>
            <w:tcBorders>
              <w:top w:val="nil"/>
              <w:left w:val="nil"/>
              <w:bottom w:val="nil"/>
              <w:right w:val="nil"/>
            </w:tcBorders>
          </w:tcPr>
          <w:p w:rsidR="00BC254A" w:rsidRDefault="00BC254A"/>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18</w:t>
            </w:r>
            <w:r>
              <w:t xml:space="preserve"> Richtlinie 96/71/EG des Europäischen Parlaments und des Rates vom 16. </w:t>
            </w:r>
            <w:r>
              <w:t>Dezember 1996 über die Entsendung von Arbeitnehmern im Rahmen der Erbringung von Dienstleistungen (ABl. L 18 vom 21.1.1997, S. 1, ELI: http://data.europa.eu/eli/dir/1996/71/oj).</w:t>
            </w:r>
          </w:p>
        </w:tc>
        <w:tc>
          <w:tcPr>
            <w:tcW w:w="4876" w:type="dxa"/>
            <w:tcBorders>
              <w:top w:val="nil"/>
              <w:left w:val="nil"/>
              <w:bottom w:val="nil"/>
              <w:right w:val="nil"/>
            </w:tcBorders>
          </w:tcPr>
          <w:p w:rsidR="00BC254A" w:rsidRDefault="007914A5">
            <w:pPr>
              <w:pStyle w:val="Normal6a"/>
            </w:pPr>
            <w:r>
              <w:rPr>
                <w:vertAlign w:val="superscript"/>
              </w:rPr>
              <w:t>18</w:t>
            </w:r>
            <w:r>
              <w:t xml:space="preserve"> Richtlinie 96/71/EG des Europäischen Parlaments und des Rates vom 16. Dezem</w:t>
            </w:r>
            <w:r>
              <w:t>ber 1996 über die Entsendung von Arbeitnehmern im Rahmen der Erbringung von Dienstleistungen (ABl. L 18 vom 21.1.1997, S. 1, ELI: http://data.europa.eu/eli/dir/1996/71/oj).</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249</w:t>
      </w:r>
      <w:r>
        <w:rPr>
          <w:rStyle w:val="HideTWBExt"/>
        </w:rPr>
        <w:t>&lt;/Nu</w:t>
      </w:r>
      <w:r>
        <w:rPr>
          <w:rStyle w:val="HideTWBExt"/>
        </w:rPr>
        <w:t>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(23)</w:t>
            </w:r>
            <w:r>
              <w:tab/>
              <w:t>Die Internationale Arbeitsorganisation (IAO) legt</w:t>
            </w:r>
            <w:r>
              <w:t xml:space="preserve"> in ihren „Allgemeinen Grundsätzen und operativen Leitlinien für faire Einstellungsverfahren“ eine Reihe von Standards für einen angemessenen Schutz von Arbeitsuchenden aus Drittstaaten vor unlauteren Einstellungsverfahren fest. Arbeitgeber sollten die gel</w:t>
            </w:r>
            <w:r>
              <w:t>tenden Rechtsvorschriften und Gepflogenheiten der Union einhalten. Ferner sollten die Arbeitgeber die Gleichbehandlung von Arbeitsuchenden aus Drittstaaten und Staatsangehörigen des teilnehmenden Mitgliedstaats gemäß den Richtlinien 2011/98/EU</w:t>
            </w:r>
            <w:r>
              <w:rPr>
                <w:vertAlign w:val="superscript"/>
              </w:rPr>
              <w:t>13</w:t>
            </w:r>
            <w:r>
              <w:t>, 2014/36/E</w:t>
            </w:r>
            <w:r>
              <w:t>U</w:t>
            </w:r>
            <w:r>
              <w:rPr>
                <w:vertAlign w:val="superscript"/>
              </w:rPr>
              <w:t>14</w:t>
            </w:r>
            <w:r>
              <w:t>, 2021/1883/EU</w:t>
            </w:r>
            <w:r>
              <w:rPr>
                <w:vertAlign w:val="superscript"/>
              </w:rPr>
              <w:t>15</w:t>
            </w:r>
            <w:r>
              <w:t>und 2016/801/EU</w:t>
            </w:r>
            <w:r>
              <w:rPr>
                <w:vertAlign w:val="superscript"/>
              </w:rPr>
              <w:t>16</w:t>
            </w:r>
            <w:r>
              <w:t>sicherstellen. Gemäß der Richtlinie 2019/1152/EU</w:t>
            </w:r>
            <w:r>
              <w:rPr>
                <w:vertAlign w:val="superscript"/>
              </w:rPr>
              <w:t>17</w:t>
            </w:r>
            <w:r>
              <w:t xml:space="preserve">sollten Arbeitgeber, die am EU-Talentpool </w:t>
            </w:r>
            <w:r>
              <w:lastRenderedPageBreak/>
              <w:t>teilnehmen, registrierte Arbeitsuchende aus Drittstaaten zu Beginn des Beschäftigungsverhältnisses schriftlich und in verständli</w:t>
            </w:r>
            <w:r>
              <w:t>cher Sprache über ihre Rechte und Pflichten informieren, die sich aus dem Beschäftigungsverhältnis ergeben. Diese Informationen sollten mindestens den Ort und die Art der Tätigkeit, die Beschäftigungsdauer, die Vergütung, die Arbeitszeiten, die Dauer des b</w:t>
            </w:r>
            <w:r>
              <w:t>ezahlten Urlaubs und gegebenenfalls andere relevante Arbeitsbedingungen umfassen. Ein Arbeitgeber sollte weder Anwerbungsgebühren erheben noch Arbeitnehmern verbieten dürfen, außerhalb des mit ihm festgelegten Arbeitsplans eine Beschäftigung bei anderen Ar</w:t>
            </w:r>
            <w:r>
              <w:t>beitgebern aufzunehmen, noch sie benachteiligen, falls sie dies tun. Arbeitgeber, die am EU-Talentpool teilnehmen, sollten bei der Entsendung von Arbeitnehmern im Rahmen der Erbringung von Dienstleistungen die Richtlinie 96/71/EG</w:t>
            </w:r>
            <w:r>
              <w:rPr>
                <w:vertAlign w:val="superscript"/>
              </w:rPr>
              <w:t>18</w:t>
            </w:r>
            <w:r>
              <w:t>in der Fassung der Richtl</w:t>
            </w:r>
            <w:r>
              <w:t>inie (EU) 2018/957 einhalten, insbesondere in Bezug auf die darin festgelegten Arbeits- und Beschäftigungsbedingungen, etwa die Verpflichtung, dass Arbeitnehmer aus Drittstaaten nur dann in einen Mitgliedstaat entsandt werden dürfen, wenn sie rechtmäßig un</w:t>
            </w:r>
            <w:r>
              <w:t>d gewöhnlich in einem anderen Mitgliedstaat beschäftigt sind.</w:t>
            </w:r>
          </w:p>
        </w:tc>
        <w:tc>
          <w:tcPr>
            <w:tcW w:w="4876" w:type="dxa"/>
            <w:tcBorders>
              <w:top w:val="nil"/>
              <w:left w:val="nil"/>
              <w:bottom w:val="nil"/>
              <w:right w:val="nil"/>
            </w:tcBorders>
          </w:tcPr>
          <w:p w:rsidR="00BC254A" w:rsidRDefault="007914A5">
            <w:pPr>
              <w:pStyle w:val="Normal6a"/>
            </w:pPr>
            <w:r>
              <w:lastRenderedPageBreak/>
              <w:t>(23)</w:t>
            </w:r>
            <w:r>
              <w:tab/>
              <w:t>Die Internationale Arbeitsorganisation (IAO) legt in ihren „Allgemeinen Grundsätzen und operativen Leitlinien für faire Einstellungsverfahren“ eine Reihe von Standards für einen angemessene</w:t>
            </w:r>
            <w:r>
              <w:t>n Schutz von Arbeitsuchenden aus Drittstaaten vor unlauteren Einstellungsverfahren fest</w:t>
            </w:r>
            <w:r>
              <w:rPr>
                <w:b/>
                <w:i/>
              </w:rPr>
              <w:t>, wozu insbesondere der Grundsatz gehört, dass keine Anwerbungsgebühren oder -kosten von Arbeitnehmern oder Arbeitsuchenden entrichtet werden sollten.</w:t>
            </w:r>
            <w:r>
              <w:t xml:space="preserve"> </w:t>
            </w:r>
            <w:r>
              <w:rPr>
                <w:b/>
                <w:i/>
              </w:rPr>
              <w:t>Dementsprechend so</w:t>
            </w:r>
            <w:r>
              <w:rPr>
                <w:b/>
                <w:i/>
              </w:rPr>
              <w:t>llte die Teilnahme am Talentpool für Arbeitsuchende unentgeltlich sein</w:t>
            </w:r>
            <w:r>
              <w:t>. Arbeitgeber sollten die geltenden Rechtsvorschriften und Gepflogenheiten der Union einhalten. Ferner sollten die Arbeitgeber die Gleichbehandlung von Arbeitsuchenden aus Drittstaaten u</w:t>
            </w:r>
            <w:r>
              <w:t xml:space="preserve">nd </w:t>
            </w:r>
            <w:r>
              <w:lastRenderedPageBreak/>
              <w:t>Staatsangehörigen des teilnehmenden Mitgliedstaats gemäß den Richtlinien 2011/98/EU</w:t>
            </w:r>
            <w:r>
              <w:rPr>
                <w:vertAlign w:val="superscript"/>
              </w:rPr>
              <w:t>13</w:t>
            </w:r>
            <w:r>
              <w:t>, 2014/36/EU</w:t>
            </w:r>
            <w:r>
              <w:rPr>
                <w:vertAlign w:val="superscript"/>
              </w:rPr>
              <w:t>14</w:t>
            </w:r>
            <w:r>
              <w:t>, 2021/1883/EU</w:t>
            </w:r>
            <w:r>
              <w:rPr>
                <w:vertAlign w:val="superscript"/>
              </w:rPr>
              <w:t>15</w:t>
            </w:r>
            <w:r>
              <w:t xml:space="preserve"> und 2016/801/EU</w:t>
            </w:r>
            <w:r>
              <w:rPr>
                <w:vertAlign w:val="superscript"/>
              </w:rPr>
              <w:t>16</w:t>
            </w:r>
            <w:r>
              <w:t xml:space="preserve"> sicherstellen. Gemäß der Richtlinie 2019/1152/EU</w:t>
            </w:r>
            <w:r>
              <w:rPr>
                <w:vertAlign w:val="superscript"/>
              </w:rPr>
              <w:t>17</w:t>
            </w:r>
            <w:r>
              <w:t xml:space="preserve"> sollten Arbeitgeber, die am EU-Talentpool teilnehmen, registrierte A</w:t>
            </w:r>
            <w:r>
              <w:t>rbeitsuchende aus Drittstaaten zu Beginn des Beschäftigungsverhältnisses schriftlich und in verständlicher Sprache über ihre Rechte und Pflichten informieren, die sich aus dem Beschäftigungsverhältnis ergeben. Diese Informationen sollten mindestens den Ort</w:t>
            </w:r>
            <w:r>
              <w:t xml:space="preserve"> und die Art der Tätigkeit, die Beschäftigungsdauer, die Vergütung, die Arbeitszeiten, die Dauer des bezahlten Urlaubs und gegebenenfalls andere relevante Arbeitsbedingungen umfassen. Ein Arbeitgeber sollte weder Anwerbungsgebühren </w:t>
            </w:r>
            <w:r>
              <w:rPr>
                <w:b/>
                <w:i/>
              </w:rPr>
              <w:t>oder damit verbundene Ko</w:t>
            </w:r>
            <w:r>
              <w:rPr>
                <w:b/>
                <w:i/>
              </w:rPr>
              <w:t>sten</w:t>
            </w:r>
            <w:r>
              <w:t xml:space="preserve"> erheben noch Arbeitnehmern verbieten dürfen, außerhalb des mit ihm festgelegten Arbeitsplans eine Beschäftigung bei anderen Arbeitgebern aufzunehmen, noch sie benachteiligen, falls sie dies tun. Arbeitgeber, die am EU-Talentpool teilnehmen, sollten be</w:t>
            </w:r>
            <w:r>
              <w:t>i der Entsendung von Arbeitnehmern im Rahmen der Erbringung von Dienstleistungen die Richtlinie 96/71/EG</w:t>
            </w:r>
            <w:r>
              <w:rPr>
                <w:vertAlign w:val="superscript"/>
              </w:rPr>
              <w:t>18</w:t>
            </w:r>
            <w:r>
              <w:t xml:space="preserve"> in der Fassung der Richtlinie (EU) 2018/957 einhalten, insbesondere in Bezug auf die darin festgelegten Arbeits- und Beschäftigungsbedingungen, etwa </w:t>
            </w:r>
            <w:r>
              <w:t xml:space="preserve">die Verpflichtung, dass Arbeitnehmer aus Drittstaaten nur dann in einen Mitgliedstaat entsandt werden dürfen, wenn sie rechtmäßig und gewöhnlich in einem anderen Mitgliedstaat beschäftigt sind. </w:t>
            </w:r>
            <w:r>
              <w:rPr>
                <w:b/>
                <w:i/>
              </w:rPr>
              <w:t>Arbeitgeber und Vermittler sollten verpflichtet werden, bei de</w:t>
            </w:r>
            <w:r>
              <w:rPr>
                <w:b/>
                <w:i/>
              </w:rPr>
              <w:t>r Registrierung einer freien Stelle zu erklären, dass das Einstellungsverfahren fair und nach internationalen Arbeitsnormen ablaufen wird.</w:t>
            </w:r>
            <w:r>
              <w:t xml:space="preserve"> </w:t>
            </w:r>
            <w:r>
              <w:rPr>
                <w:b/>
                <w:i/>
              </w:rPr>
              <w:t>Der Grundsatz, dass Arbeitnehmer oder Arbeitsuchende keine Anwerbungsgebühren oder damit verbundene Kosten entrichten</w:t>
            </w:r>
            <w:r>
              <w:rPr>
                <w:b/>
                <w:i/>
              </w:rPr>
              <w:t xml:space="preserve"> sollten, </w:t>
            </w:r>
            <w:r>
              <w:rPr>
                <w:b/>
                <w:i/>
              </w:rPr>
              <w:lastRenderedPageBreak/>
              <w:t>sollte auf der Plattform und in den Stellenangeboten klar zum Ausdruck kommen. Die nationalen Kontaktstellen sollten, gegebenenfalls in Abstimmung mit den Sozialpartnern, proaktiv darauf achten, dass die Arbeitgeber diese Bestimmung einhalten.</w:t>
            </w:r>
            <w:r>
              <w:t xml:space="preserve"> </w:t>
            </w:r>
          </w:p>
        </w:tc>
      </w:tr>
      <w:tr w:rsidR="00BC254A">
        <w:trPr>
          <w:jc w:val="center"/>
        </w:trPr>
        <w:tc>
          <w:tcPr>
            <w:tcW w:w="4876" w:type="dxa"/>
            <w:tcBorders>
              <w:top w:val="nil"/>
              <w:left w:val="nil"/>
              <w:bottom w:val="nil"/>
              <w:right w:val="nil"/>
            </w:tcBorders>
          </w:tcPr>
          <w:p w:rsidR="00BC254A" w:rsidRDefault="007914A5">
            <w:pPr>
              <w:pStyle w:val="Normal6a"/>
            </w:pPr>
            <w:r>
              <w:rPr>
                <w:b/>
                <w:i/>
              </w:rPr>
              <w:lastRenderedPageBreak/>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13</w:t>
            </w:r>
            <w:r>
              <w:t xml:space="preserve"> Richtlinie 2011/98/EU des Europäischen Parlaments und des Rates vom 13. Dezember 2011 über ein einheitliches Verfahren zur Beantragung einer kombinierten Erlaubnis für Drittstaatsangehörige, sich im Hoheitsgebiet ein</w:t>
            </w:r>
            <w:r>
              <w:t>es Mitgliedstaats aufzuhalten und zu arbeiten, sowie über ein gemeinsames Bündel von Rechten für Drittstaatsarbeitnehmer, die sich rechtmäßig in einem Mitgliedstaat aufhalten (ABl. L 343 vom 23.12.2011, S. 1, ELI: http://data.europa.eu/eli/dir/2011/98/oj).</w:t>
            </w:r>
          </w:p>
        </w:tc>
        <w:tc>
          <w:tcPr>
            <w:tcW w:w="4876" w:type="dxa"/>
            <w:tcBorders>
              <w:top w:val="nil"/>
              <w:left w:val="nil"/>
              <w:bottom w:val="nil"/>
              <w:right w:val="nil"/>
            </w:tcBorders>
          </w:tcPr>
          <w:p w:rsidR="00BC254A" w:rsidRDefault="007914A5">
            <w:pPr>
              <w:pStyle w:val="Normal6a"/>
            </w:pPr>
            <w:r>
              <w:rPr>
                <w:vertAlign w:val="superscript"/>
              </w:rPr>
              <w:t>13</w:t>
            </w:r>
            <w:r>
              <w:t xml:space="preserve"> Richtlinie 2011/98/EU des Europäischen Parlaments und des Rates vom 13. Dezember 2011 über ein einheitliches Verfahren zur Beantragung einer kombinierten Erlaubnis für Drittstaatsangehörige, sich im Hoheitsgebiet eines Mitgliedstaats aufzuhalten und zu</w:t>
            </w:r>
            <w:r>
              <w:t xml:space="preserve"> arbeiten, sowie über ein gemeinsames Bündel von Rechten für Drittstaatsarbeitnehmer, die sich rechtmäßig in einem Mitgliedstaat aufhalten (ABl. L 343 vom 23.12.2011, S. 1, ELI: http://data.europa.eu/eli/dir/2011/98/oj).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14</w:t>
            </w:r>
            <w:r>
              <w:t xml:space="preserve"> Richtlinie 2014/36/EU des Europ</w:t>
            </w:r>
            <w:r>
              <w:t>äischen Parlaments und des Rates vom 26. Februar 2014 über die Bedingungen für die Einreise und den Aufenthalt von Drittstaatsangehörigen zwecks Beschäftigung als Saisonarbeitnehmer (ABl. L 94 vom 28.3.2014, S. 375, ELI: http://data.europa.eu/eli/dir/2014/</w:t>
            </w:r>
            <w:r>
              <w:t>36/oj).</w:t>
            </w:r>
          </w:p>
        </w:tc>
        <w:tc>
          <w:tcPr>
            <w:tcW w:w="4876" w:type="dxa"/>
            <w:tcBorders>
              <w:top w:val="nil"/>
              <w:left w:val="nil"/>
              <w:bottom w:val="nil"/>
              <w:right w:val="nil"/>
            </w:tcBorders>
          </w:tcPr>
          <w:p w:rsidR="00BC254A" w:rsidRDefault="007914A5">
            <w:pPr>
              <w:pStyle w:val="Normal6a"/>
            </w:pPr>
            <w:r>
              <w:rPr>
                <w:vertAlign w:val="superscript"/>
              </w:rPr>
              <w:t>14</w:t>
            </w:r>
            <w:r>
              <w:t xml:space="preserve"> Richtlinie 2014/36/EU des Europäischen Parlaments und des Rates vom 26. Februar 2014 über die Bedingungen für die Einreise und den Aufenthalt von Drittstaatsangehörigen zwecks Beschäftigung als Saisonarbeitnehmer (ABl. L 94 vom 28.3.2014, S. 375</w:t>
            </w:r>
            <w:r>
              <w:t>, ELI: http://data.europa.eu/eli/dir/2014/36/oj).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15</w:t>
            </w:r>
            <w:r>
              <w:t xml:space="preserve"> Richtlinie (EU) 2021/1883 des Europäischen Parlaments und des Rates vom 20. Oktober 2021 über die Bedingungen für die Einreise und den Aufenthalt von Drittstaatsangehörigen zur Ausübung einer hoch quali</w:t>
            </w:r>
            <w:r>
              <w:t>fizierten Beschäftigung und zur Aufhebung der Richtlinie 2009/50/EG des Rates (ABl. L 382 vom 28.10.2021, S. 1, ELI: http://data.europa.eu/eli/dir/2021/1883/oj).</w:t>
            </w:r>
          </w:p>
        </w:tc>
        <w:tc>
          <w:tcPr>
            <w:tcW w:w="4876" w:type="dxa"/>
            <w:tcBorders>
              <w:top w:val="nil"/>
              <w:left w:val="nil"/>
              <w:bottom w:val="nil"/>
              <w:right w:val="nil"/>
            </w:tcBorders>
          </w:tcPr>
          <w:p w:rsidR="00BC254A" w:rsidRDefault="007914A5">
            <w:pPr>
              <w:pStyle w:val="Normal6a"/>
            </w:pPr>
            <w:r>
              <w:rPr>
                <w:vertAlign w:val="superscript"/>
              </w:rPr>
              <w:t>15</w:t>
            </w:r>
            <w:r>
              <w:t xml:space="preserve"> Richtlinie (EU) 2021/1883 des Europäischen Parlaments und des Rates vom 20. Oktober 2021 üb</w:t>
            </w:r>
            <w:r>
              <w:t>er die Bedingungen für die Einreise und den Aufenthalt von Drittstaatsangehörigen zur Ausübung einer hoch qualifizierten Beschäftigung und zur Aufhebung der Richtlinie 2009/50/EG des Rates (ABl. L 382 vom 28.10.2021, S. 1, ELI: http://data.europa.eu/eli/di</w:t>
            </w:r>
            <w:r>
              <w:t>r/2021/1883/oj).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16</w:t>
            </w:r>
            <w:r>
              <w:t xml:space="preserve"> Richtlinie (EU) 2016/801 des Europäischen Parlaments und des Rates vom 11. Mai 2016 über die Bedingungen für die Einreise und den Aufenthalt von Drittstaatsangehörigen zu Forschungs- oder Studienzwecken, zur Absolvierung eines </w:t>
            </w:r>
            <w:r>
              <w:lastRenderedPageBreak/>
              <w:t>Praktiku</w:t>
            </w:r>
            <w:r>
              <w:t>ms, zur Teilnahme an einem Freiwilligendienst, Schüleraustauschprogrammen oder Bildungsvorhaben und zur Ausübung einer Au-pair-Tätigkeit (Neufassung) (ABl. L 132 vom 21.5.2016, S. 21, ELI: http://data.europa.eu/eli/dir/2016/801/oj).</w:t>
            </w:r>
          </w:p>
        </w:tc>
        <w:tc>
          <w:tcPr>
            <w:tcW w:w="4876" w:type="dxa"/>
            <w:tcBorders>
              <w:top w:val="nil"/>
              <w:left w:val="nil"/>
              <w:bottom w:val="nil"/>
              <w:right w:val="nil"/>
            </w:tcBorders>
          </w:tcPr>
          <w:p w:rsidR="00BC254A" w:rsidRDefault="007914A5">
            <w:pPr>
              <w:pStyle w:val="Normal6a"/>
            </w:pPr>
            <w:r>
              <w:rPr>
                <w:vertAlign w:val="superscript"/>
              </w:rPr>
              <w:lastRenderedPageBreak/>
              <w:t>16</w:t>
            </w:r>
            <w:r>
              <w:t xml:space="preserve"> Richtlinie (EU) 2016</w:t>
            </w:r>
            <w:r>
              <w:t xml:space="preserve">/801 des Europäischen Parlaments und des Rates vom 11. Mai 2016 über die Bedingungen für die Einreise und den Aufenthalt von Drittstaatsangehörigen zu Forschungs- oder Studienzwecken, zur Absolvierung eines </w:t>
            </w:r>
            <w:r>
              <w:lastRenderedPageBreak/>
              <w:t>Praktikums, zur Teilnahme an einem Freiwilligendi</w:t>
            </w:r>
            <w:r>
              <w:t>enst, Schüleraustauschprogrammen oder Bildungsvorhaben und zur Ausübung einer Au-pair-Tätigkeit (Neufassung) (ABl. L 132 vom 21.5.2016, S. 21, ELI: http://data.europa.eu/eli/dir/2016/801/oj).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lastRenderedPageBreak/>
              <w:t>17</w:t>
            </w:r>
            <w:r>
              <w:t xml:space="preserve"> Richtlinie (EU) 2019/1152 des Europäischen Parlaments und de</w:t>
            </w:r>
            <w:r>
              <w:t>s Rates vom 20. Juni 2019 über transparente und vorhersehbare Arbeitsbedingungen in der Europäischen Union (ABl. L 186 vom 11.7.2019, S. 105, ELI: http://data.europa.eu/eli/dir/2019/1152/oj).</w:t>
            </w:r>
          </w:p>
        </w:tc>
        <w:tc>
          <w:tcPr>
            <w:tcW w:w="4876" w:type="dxa"/>
            <w:tcBorders>
              <w:top w:val="nil"/>
              <w:left w:val="nil"/>
              <w:bottom w:val="nil"/>
              <w:right w:val="nil"/>
            </w:tcBorders>
          </w:tcPr>
          <w:p w:rsidR="00BC254A" w:rsidRDefault="007914A5">
            <w:pPr>
              <w:pStyle w:val="Normal6a"/>
            </w:pPr>
            <w:r>
              <w:rPr>
                <w:vertAlign w:val="superscript"/>
              </w:rPr>
              <w:t>17</w:t>
            </w:r>
            <w:r>
              <w:t xml:space="preserve"> Richtlinie (EU) 2019/1152 des Europäischen Parlaments und des</w:t>
            </w:r>
            <w:r>
              <w:t xml:space="preserve"> Rates vom 20. Juni 2019 über transparente und vorhersehbare Arbeitsbedingungen in der Europäischen Union (ABl. L 186 vom 11.7.2019, S. 105, ELI: http://data.europa.eu/eli/dir/2019/1152/oj).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18</w:t>
            </w:r>
            <w:r>
              <w:t xml:space="preserve"> Richtlinie 96/71/EG des Europäischen Parlaments und des Rates</w:t>
            </w:r>
            <w:r>
              <w:t xml:space="preserve"> vom 16. Dezember 1996 über die Entsendung von Arbeitnehmern im Rahmen der Erbringung von Dienstleistungen (ABl. L 18 vom 21.1.1997, S. 1, ELI: http://data.europa.eu/eli/dir/1996/71/oj).</w:t>
            </w:r>
          </w:p>
        </w:tc>
        <w:tc>
          <w:tcPr>
            <w:tcW w:w="4876" w:type="dxa"/>
            <w:tcBorders>
              <w:top w:val="nil"/>
              <w:left w:val="nil"/>
              <w:bottom w:val="nil"/>
              <w:right w:val="nil"/>
            </w:tcBorders>
          </w:tcPr>
          <w:p w:rsidR="00BC254A" w:rsidRDefault="007914A5">
            <w:pPr>
              <w:pStyle w:val="Normal6a"/>
            </w:pPr>
            <w:r>
              <w:rPr>
                <w:vertAlign w:val="superscript"/>
              </w:rPr>
              <w:t>18</w:t>
            </w:r>
            <w:r>
              <w:t xml:space="preserve"> Richtlinie 96/71/EG des Europäischen Parlaments und des Rates vom </w:t>
            </w:r>
            <w:r>
              <w:t>16. Dezember 1996 über die Entsendung von Arbeitnehmern im Rahmen der Erbringung von Dienstleistungen (ABl. L 18 vom 21.1.1997, S. 1, ELI: http://data.europa.eu/eli/dir/1996/71/oj).</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250</w:t>
      </w:r>
      <w:r>
        <w:rPr>
          <w:rStyle w:val="HideTWBExt"/>
        </w:rPr>
        <w:t>&lt;/NumAmB&gt;</w:t>
      </w:r>
    </w:p>
    <w:p w:rsidR="00BC254A" w:rsidRDefault="007914A5">
      <w:pPr>
        <w:pStyle w:val="NormalBold"/>
      </w:pPr>
      <w:r>
        <w:rPr>
          <w:rStyle w:val="HideTWBExt"/>
          <w:b w:val="0"/>
        </w:rPr>
        <w:t>&lt;RepeatBlock-By&gt;&lt;Members&gt;</w:t>
      </w:r>
      <w:r>
        <w:t>Jan-Christoph Oetjen, Abir Al-Sahlani, Hilde Vautmans, Irena Joveva,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 xml:space="preserve">Vorschlag der </w:t>
            </w:r>
            <w:r>
              <w:t>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(23)</w:t>
            </w:r>
            <w:r>
              <w:tab/>
              <w:t>Die Internationale Arbeitsorganisation (IAO) legt in ihren „Allgemeinen Grundsätzen und operativen Leitlinien für faire Einstellungsverfahren“ eine Reihe von Standards für einen angemessenen Schutz von Arbeitsuchenden aus D</w:t>
            </w:r>
            <w:r>
              <w:t xml:space="preserve">rittstaaten vor unlauteren Einstellungsverfahren fest. Arbeitgeber sollten die geltenden Rechtsvorschriften und Gepflogenheiten der Union einhalten. Ferner sollten die Arbeitgeber die Gleichbehandlung von </w:t>
            </w:r>
            <w:r>
              <w:lastRenderedPageBreak/>
              <w:t>Arbeitsuchenden aus Drittstaaten und Staatsangehöri</w:t>
            </w:r>
            <w:r>
              <w:t>gen des teilnehmenden Mitgliedstaats gemäß den Richtlinien 2011/98/EU</w:t>
            </w:r>
            <w:r>
              <w:rPr>
                <w:vertAlign w:val="superscript"/>
              </w:rPr>
              <w:t>13</w:t>
            </w:r>
            <w:r>
              <w:t>, 2014/36/EU</w:t>
            </w:r>
            <w:r>
              <w:rPr>
                <w:vertAlign w:val="superscript"/>
              </w:rPr>
              <w:t>14</w:t>
            </w:r>
            <w:r>
              <w:t>, 2021/1883/EU</w:t>
            </w:r>
            <w:r>
              <w:rPr>
                <w:vertAlign w:val="superscript"/>
              </w:rPr>
              <w:t>15</w:t>
            </w:r>
            <w:r>
              <w:t>und 2016/801/EU</w:t>
            </w:r>
            <w:r>
              <w:rPr>
                <w:vertAlign w:val="superscript"/>
              </w:rPr>
              <w:t>16</w:t>
            </w:r>
            <w:r>
              <w:t>sicherstellen. Gemäß der Richtlinie 2019/1152/EU</w:t>
            </w:r>
            <w:r>
              <w:rPr>
                <w:vertAlign w:val="superscript"/>
              </w:rPr>
              <w:t>17</w:t>
            </w:r>
            <w:r>
              <w:t>sollten Arbeitgeber, die am EU-Talentpool teilnehmen, registrierte Arbeitsuchende aus Dr</w:t>
            </w:r>
            <w:r>
              <w:t>ittstaaten zu Beginn des Beschäftigungsverhältnisses schriftlich und in verständlicher Sprache über ihre Rechte und Pflichten informieren, die sich aus dem Beschäftigungsverhältnis ergeben. Diese Informationen sollten mindestens den Ort und die Art der Tät</w:t>
            </w:r>
            <w:r>
              <w:t>igkeit, die Beschäftigungsdauer, die Vergütung, die Arbeitszeiten, die Dauer des bezahlten Urlaubs und gegebenenfalls andere relevante Arbeitsbedingungen umfassen. Ein Arbeitgeber sollte weder Anwerbungsgebühren erheben noch Arbeitnehmern verbieten dürfen,</w:t>
            </w:r>
            <w:r>
              <w:t xml:space="preserve"> außerhalb des mit ihm festgelegten Arbeitsplans eine Beschäftigung bei anderen Arbeitgebern aufzunehmen, noch sie benachteiligen, falls sie dies tun. Arbeitgeber, die am EU-Talentpool teilnehmen, sollten bei der Entsendung von Arbeitnehmern im Rahmen der </w:t>
            </w:r>
            <w:r>
              <w:t>Erbringung von Dienstleistungen die Richtlinie 96/71/EG</w:t>
            </w:r>
            <w:r>
              <w:rPr>
                <w:vertAlign w:val="superscript"/>
              </w:rPr>
              <w:t>18</w:t>
            </w:r>
            <w:r>
              <w:t>in der Fassung der Richtlinie (EU) 2018/957 einhalten, insbesondere in Bezug auf die darin festgelegten Arbeits- und Beschäftigungsbedingungen, etwa die Verpflichtung, dass Arbeitnehmer aus Drittstaa</w:t>
            </w:r>
            <w:r>
              <w:t>ten nur dann in einen Mitgliedstaat entsandt werden dürfen, wenn sie rechtmäßig und gewöhnlich in einem anderen Mitgliedstaat beschäftigt sind.</w:t>
            </w:r>
          </w:p>
        </w:tc>
        <w:tc>
          <w:tcPr>
            <w:tcW w:w="4876" w:type="dxa"/>
            <w:tcBorders>
              <w:top w:val="nil"/>
              <w:left w:val="nil"/>
              <w:bottom w:val="nil"/>
              <w:right w:val="nil"/>
            </w:tcBorders>
          </w:tcPr>
          <w:p w:rsidR="00BC254A" w:rsidRDefault="007914A5">
            <w:pPr>
              <w:pStyle w:val="Normal6a"/>
            </w:pPr>
            <w:r>
              <w:lastRenderedPageBreak/>
              <w:t>(23)</w:t>
            </w:r>
            <w:r>
              <w:tab/>
              <w:t>Die Internationale Arbeitsorganisation (IAO) legt in ihren „Allgemeinen Grundsätzen und operativen Leitlini</w:t>
            </w:r>
            <w:r>
              <w:t>en für faire Einstellungsverfahren“ eine Reihe von Standards für einen angemessenen Schutz von Arbeitsuchenden aus Drittstaaten vor unlauteren Einstellungsverfahren fest. Arbeitgeber sollten die geltenden Rechtsvorschriften und Gepflogenheiten der Union ei</w:t>
            </w:r>
            <w:r>
              <w:t xml:space="preserve">nhalten. Ferner sollten die Arbeitgeber die Gleichbehandlung von </w:t>
            </w:r>
            <w:r>
              <w:lastRenderedPageBreak/>
              <w:t>Arbeitsuchenden aus Drittstaaten und Staatsangehörigen des teilnehmenden Mitgliedstaats gemäß den Richtlinien 2011/98/EU</w:t>
            </w:r>
            <w:r>
              <w:rPr>
                <w:vertAlign w:val="superscript"/>
              </w:rPr>
              <w:t>13</w:t>
            </w:r>
            <w:r>
              <w:t>, 2014/36/EU</w:t>
            </w:r>
            <w:r>
              <w:rPr>
                <w:vertAlign w:val="superscript"/>
              </w:rPr>
              <w:t>14</w:t>
            </w:r>
            <w:r>
              <w:t>, 2021/1883/EU</w:t>
            </w:r>
            <w:r>
              <w:rPr>
                <w:vertAlign w:val="superscript"/>
              </w:rPr>
              <w:t>15</w:t>
            </w:r>
            <w:r>
              <w:t xml:space="preserve"> und 2016/801/EU</w:t>
            </w:r>
            <w:r>
              <w:rPr>
                <w:vertAlign w:val="superscript"/>
              </w:rPr>
              <w:t>16</w:t>
            </w:r>
            <w:r>
              <w:t xml:space="preserve"> sicherstellen. Gemäß</w:t>
            </w:r>
            <w:r>
              <w:t xml:space="preserve"> der Richtlinie 2019/1152/EU</w:t>
            </w:r>
            <w:r>
              <w:rPr>
                <w:vertAlign w:val="superscript"/>
              </w:rPr>
              <w:t>17</w:t>
            </w:r>
            <w:r>
              <w:t xml:space="preserve"> sollten Arbeitgeber, die am EU-Talentpool teilnehmen, registrierte Arbeitsuchende aus Drittstaaten zu Beginn des Beschäftigungsverhältnisses schriftlich und in verständlicher Sprache </w:t>
            </w:r>
            <w:r>
              <w:rPr>
                <w:b/>
                <w:i/>
              </w:rPr>
              <w:t>(sofern technisch möglich zumindest in den</w:t>
            </w:r>
            <w:r>
              <w:rPr>
                <w:b/>
                <w:i/>
              </w:rPr>
              <w:t xml:space="preserve"> Amtssprachen aller EU-Mitgliedstaaten, in den Amtssprachen der Drittstaaten, die an den Fachkräftepartnerschaften teilnehmen, und in den Amtssprachen der zehn Nationalitäten, die in den vergangenen drei Jahren die meisten kombinierten Erlaubnisse in der E</w:t>
            </w:r>
            <w:r>
              <w:rPr>
                <w:b/>
                <w:i/>
              </w:rPr>
              <w:t>U erhalten haben)</w:t>
            </w:r>
            <w:r>
              <w:t xml:space="preserve"> über ihre Rechte und Pflichten informieren, die sich aus dem Beschäftigungsverhältnis ergeben. Diese Informationen sollten mindestens den Ort und die Art der Tätigkeit, die Beschäftigungsdauer, die Vergütung, die Arbeitszeiten, die Dauer </w:t>
            </w:r>
            <w:r>
              <w:t>des bezahlten Urlaubs und gegebenenfalls andere relevante Arbeitsbedingungen umfassen. Ein Arbeitgeber sollte weder Anwerbungsgebühren erheben noch Arbeitnehmern verbieten dürfen, außerhalb des mit ihm festgelegten Arbeitsplans eine Beschäftigung bei ander</w:t>
            </w:r>
            <w:r>
              <w:t>en Arbeitgebern aufzunehmen, noch sie benachteiligen, falls sie dies tun. Arbeitgeber, die am EU-Talentpool teilnehmen, sollten bei der Entsendung von Arbeitnehmern im Rahmen der Erbringung von Dienstleistungen die Richtlinie 96/71/EG</w:t>
            </w:r>
            <w:r>
              <w:rPr>
                <w:vertAlign w:val="superscript"/>
              </w:rPr>
              <w:t>18</w:t>
            </w:r>
            <w:r>
              <w:t xml:space="preserve"> in der Fassung der </w:t>
            </w:r>
            <w:r>
              <w:t>Richtlinie (EU) 2018/957 einhalten, insbesondere in Bezug auf die darin festgelegten Arbeits- und Beschäftigungsbedingungen, etwa die Verpflichtung, dass Arbeitnehmer aus Drittstaaten nur dann in einen Mitgliedstaat entsandt werden dürfen, wenn sie rechtmä</w:t>
            </w:r>
            <w:r>
              <w:t xml:space="preserve">ßig und gewöhnlich in einem </w:t>
            </w:r>
            <w:r>
              <w:lastRenderedPageBreak/>
              <w:t>anderen Mitgliedstaat beschäftigt sind.</w:t>
            </w:r>
          </w:p>
        </w:tc>
      </w:tr>
      <w:tr w:rsidR="00BC254A">
        <w:trPr>
          <w:jc w:val="center"/>
        </w:trPr>
        <w:tc>
          <w:tcPr>
            <w:tcW w:w="4876" w:type="dxa"/>
            <w:tcBorders>
              <w:top w:val="nil"/>
              <w:left w:val="nil"/>
              <w:bottom w:val="nil"/>
              <w:right w:val="nil"/>
            </w:tcBorders>
          </w:tcPr>
          <w:p w:rsidR="00BC254A" w:rsidRDefault="007914A5">
            <w:pPr>
              <w:pStyle w:val="Normal6a"/>
            </w:pPr>
            <w:r>
              <w:rPr>
                <w:b/>
                <w:i/>
              </w:rPr>
              <w:lastRenderedPageBreak/>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13</w:t>
            </w:r>
            <w:r>
              <w:t xml:space="preserve"> Richtlinie 2011/98/EU des Europäischen Parlaments und des Rates vom 13. Dezember 2011 über ein einheitliches Verfahren zur Beantragung einer </w:t>
            </w:r>
            <w:r>
              <w:t xml:space="preserve">kombinierten Erlaubnis für Drittstaatsangehörige, sich im Hoheitsgebiet eines Mitgliedstaats aufzuhalten und zu arbeiten, sowie über ein gemeinsames Bündel von Rechten für Drittstaatsarbeitnehmer, die sich rechtmäßig in einem Mitgliedstaat aufhalten (ABl. </w:t>
            </w:r>
            <w:r>
              <w:t>L 343 vom 23.12.2011, S. 1, ELI: http://data.europa.eu/eli/dir/2011/98/oj).</w:t>
            </w:r>
          </w:p>
        </w:tc>
        <w:tc>
          <w:tcPr>
            <w:tcW w:w="4876" w:type="dxa"/>
            <w:tcBorders>
              <w:top w:val="nil"/>
              <w:left w:val="nil"/>
              <w:bottom w:val="nil"/>
              <w:right w:val="nil"/>
            </w:tcBorders>
          </w:tcPr>
          <w:p w:rsidR="00BC254A" w:rsidRDefault="007914A5">
            <w:pPr>
              <w:pStyle w:val="Normal6a"/>
            </w:pPr>
            <w:r>
              <w:rPr>
                <w:vertAlign w:val="superscript"/>
              </w:rPr>
              <w:t>13</w:t>
            </w:r>
            <w:r>
              <w:t xml:space="preserve"> Richtlinie 2011/98/EU des Europäischen Parlaments und des Rates vom 13. Dezember 2011 über ein einheitliches Verfahren zur Beantragung einer kombinierten Erlaubnis für Drittstaa</w:t>
            </w:r>
            <w:r>
              <w:t>tsangehörige, sich im Hoheitsgebiet eines Mitgliedstaats aufzuhalten und zu arbeiten, sowie über ein gemeinsames Bündel von Rechten für Drittstaatsarbeitnehmer, die sich rechtmäßig in einem Mitgliedstaat aufhalten (ABl. L 343 vom 23.12.2011, S. 1, ELI: htt</w:t>
            </w:r>
            <w:r>
              <w:t>p://data.europa.eu/eli/dir/2011/98/oj).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14</w:t>
            </w:r>
            <w:r>
              <w:t xml:space="preserve"> Richtlinie 2014/36/EU des Europäischen Parlaments und des Rates vom 26. Februar 2014 über die Bedingungen für die Einreise und den Aufenthalt von Drittstaatsangehörigen zwecks Beschäftigung als Saisonarbeitnehmer</w:t>
            </w:r>
            <w:r>
              <w:t xml:space="preserve"> (ABl. L 94 vom 28.3.2014, S. 375, ELI: http://data.europa.eu/eli/dir/2014/36/oj).</w:t>
            </w:r>
          </w:p>
        </w:tc>
        <w:tc>
          <w:tcPr>
            <w:tcW w:w="4876" w:type="dxa"/>
            <w:tcBorders>
              <w:top w:val="nil"/>
              <w:left w:val="nil"/>
              <w:bottom w:val="nil"/>
              <w:right w:val="nil"/>
            </w:tcBorders>
          </w:tcPr>
          <w:p w:rsidR="00BC254A" w:rsidRDefault="007914A5">
            <w:pPr>
              <w:pStyle w:val="Normal6a"/>
            </w:pPr>
            <w:r>
              <w:rPr>
                <w:vertAlign w:val="superscript"/>
              </w:rPr>
              <w:t>14</w:t>
            </w:r>
            <w:r>
              <w:t xml:space="preserve"> Richtlinie 2014/36/EU des Europäischen Parlaments und des Rates vom 26. Februar 2014 über die Bedingungen für die Einreise und den Aufenthalt von Drittstaatsangehörigen z</w:t>
            </w:r>
            <w:r>
              <w:t>wecks Beschäftigung als Saisonarbeitnehmer (ABl. L 94 vom 28.3.2014, S. 375, ELI: http://data.europa.eu/eli/dir/2014/36/oj).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15</w:t>
            </w:r>
            <w:r>
              <w:t xml:space="preserve"> Richtlinie (EU) 2021/1883 des Europäischen Parlaments und des Rates vom 20. Oktober 2021 über die Bedingungen für die Einreise </w:t>
            </w:r>
            <w:r>
              <w:t>und den Aufenthalt von Drittstaatsangehörigen zur Ausübung einer hoch qualifizierten Beschäftigung und zur Aufhebung der Richtlinie 2009/50/EG des Rates (ABl. L 382 vom 28.10.2021, S. 1, ELI: http://data.europa.eu/eli/dir/2021/1883/oj).</w:t>
            </w:r>
          </w:p>
        </w:tc>
        <w:tc>
          <w:tcPr>
            <w:tcW w:w="4876" w:type="dxa"/>
            <w:tcBorders>
              <w:top w:val="nil"/>
              <w:left w:val="nil"/>
              <w:bottom w:val="nil"/>
              <w:right w:val="nil"/>
            </w:tcBorders>
          </w:tcPr>
          <w:p w:rsidR="00BC254A" w:rsidRDefault="007914A5">
            <w:pPr>
              <w:pStyle w:val="Normal6a"/>
            </w:pPr>
            <w:r>
              <w:rPr>
                <w:vertAlign w:val="superscript"/>
              </w:rPr>
              <w:t>15</w:t>
            </w:r>
            <w:r>
              <w:t xml:space="preserve"> Richtlinie (EU) </w:t>
            </w:r>
            <w:r>
              <w:t>2021/1883 des Europäischen Parlaments und des Rates vom 20. Oktober 2021 über die Bedingungen für die Einreise und den Aufenthalt von Drittstaatsangehörigen zur Ausübung einer hoch qualifizierten Beschäftigung und zur Aufhebung der Richtlinie 2009/50/EG de</w:t>
            </w:r>
            <w:r>
              <w:t>s Rates (ABl. L 382 vom 28.10.2021, S. 1, ELI: http://data.europa.eu/eli/dir/2021/1883/oj).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16</w:t>
            </w:r>
            <w:r>
              <w:t xml:space="preserve"> Richtlinie (EU) 2016/801 des Europäischen Parlaments und des Rates vom 11. Mai 2016 über die Bedingungen für die Einreise und den Aufenthalt von Drittstaatsange</w:t>
            </w:r>
            <w:r>
              <w:t>hörigen zu Forschungs- oder Studienzwecken, zur Absolvierung eines Praktikums, zur Teilnahme an einem Freiwilligendienst, Schüleraustauschprogrammen oder Bildungsvorhaben und zur Ausübung einer Au-pair-Tätigkeit (Neufassung) (ABl. L 132 vom 21.5.2016, S. 2</w:t>
            </w:r>
            <w:r>
              <w:t xml:space="preserve">1, ELI: </w:t>
            </w:r>
            <w:r>
              <w:lastRenderedPageBreak/>
              <w:t>http://data.europa.eu/eli/dir/2016/801/oj).</w:t>
            </w:r>
          </w:p>
        </w:tc>
        <w:tc>
          <w:tcPr>
            <w:tcW w:w="4876" w:type="dxa"/>
            <w:tcBorders>
              <w:top w:val="nil"/>
              <w:left w:val="nil"/>
              <w:bottom w:val="nil"/>
              <w:right w:val="nil"/>
            </w:tcBorders>
          </w:tcPr>
          <w:p w:rsidR="00BC254A" w:rsidRDefault="007914A5">
            <w:pPr>
              <w:pStyle w:val="Normal6a"/>
            </w:pPr>
            <w:r>
              <w:rPr>
                <w:vertAlign w:val="superscript"/>
              </w:rPr>
              <w:lastRenderedPageBreak/>
              <w:t>16</w:t>
            </w:r>
            <w:r>
              <w:t xml:space="preserve"> Richtlinie (EU) 2016/801 des Europäischen Parlaments und des Rates vom 11. Mai 2016 über die Bedingungen für die Einreise und den Aufenthalt von Drittstaatsangehörigen zu Forschungs- oder Studienzwecke</w:t>
            </w:r>
            <w:r>
              <w:t xml:space="preserve">n, zur Absolvierung eines Praktikums, zur Teilnahme an einem Freiwilligendienst, Schüleraustauschprogrammen oder Bildungsvorhaben und zur Ausübung einer Au-pair-Tätigkeit (Neufassung) (ABl. L 132 vom 21.5.2016, S. 21, ELI: </w:t>
            </w:r>
            <w:r>
              <w:lastRenderedPageBreak/>
              <w:t>http://data.europa.eu/eli/dir/201</w:t>
            </w:r>
            <w:r>
              <w:t>6/801/oj).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lastRenderedPageBreak/>
              <w:t>17</w:t>
            </w:r>
            <w:r>
              <w:t xml:space="preserve"> Richtlinie (EU) 2019/1152 des Europäischen Parlaments und des Rates vom 20. Juni 2019 über transparente und vorhersehbare Arbeitsbedingungen in der Europäischen Union (ABl. L 186 vom 11.7.2019, S. 105, ELI: http://data.europa.eu/eli/dir/2019</w:t>
            </w:r>
            <w:r>
              <w:t>/1152/oj).</w:t>
            </w:r>
          </w:p>
        </w:tc>
        <w:tc>
          <w:tcPr>
            <w:tcW w:w="4876" w:type="dxa"/>
            <w:tcBorders>
              <w:top w:val="nil"/>
              <w:left w:val="nil"/>
              <w:bottom w:val="nil"/>
              <w:right w:val="nil"/>
            </w:tcBorders>
          </w:tcPr>
          <w:p w:rsidR="00BC254A" w:rsidRDefault="007914A5">
            <w:pPr>
              <w:pStyle w:val="Normal6a"/>
            </w:pPr>
            <w:r>
              <w:rPr>
                <w:vertAlign w:val="superscript"/>
              </w:rPr>
              <w:t>17</w:t>
            </w:r>
            <w:r>
              <w:t xml:space="preserve"> Richtlinie (EU) 2019/1152 des Europäischen Parlaments und des Rates vom 20. Juni 2019 über transparente und vorhersehbare Arbeitsbedingungen in der Europäischen Union (ABl. L 186 vom 11.7.2019, S. 105, ELI: http://data.europa.eu/eli/dir/2019/</w:t>
            </w:r>
            <w:r>
              <w:t>1152/oj).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18</w:t>
            </w:r>
            <w:r>
              <w:t xml:space="preserve"> Richtlinie 96/71/EG des Europäischen Parlaments und des Rates vom 16. Dezember 1996 über die Entsendung von Arbeitnehmern im Rahmen der Erbringung von Dienstleistungen (ABl. L 18 vom 21.1.1997, S. 1, ELI: http://data.europa.eu/eli/dir/1996/71</w:t>
            </w:r>
            <w:r>
              <w:t>/oj).</w:t>
            </w:r>
          </w:p>
        </w:tc>
        <w:tc>
          <w:tcPr>
            <w:tcW w:w="4876" w:type="dxa"/>
            <w:tcBorders>
              <w:top w:val="nil"/>
              <w:left w:val="nil"/>
              <w:bottom w:val="nil"/>
              <w:right w:val="nil"/>
            </w:tcBorders>
          </w:tcPr>
          <w:p w:rsidR="00BC254A" w:rsidRDefault="007914A5">
            <w:pPr>
              <w:pStyle w:val="Normal6a"/>
            </w:pPr>
            <w:r>
              <w:rPr>
                <w:vertAlign w:val="superscript"/>
              </w:rPr>
              <w:t>18</w:t>
            </w:r>
            <w:r>
              <w:t xml:space="preserve"> Richtlinie 96/71/EG des Europäischen Parlaments und des Rates vom 16. Dezember 1996 über die Entsendung von Arbeitnehmern im Rahmen der Erbringung von Dienstleistungen (ABl. L 18 vom 21.1.1997, S. 1, ELI: http://data.europa.eu/eli/dir/1996/71/oj).</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251</w:t>
      </w:r>
      <w:r>
        <w:rPr>
          <w:rStyle w:val="HideTWBExt"/>
        </w:rPr>
        <w:t>&lt;/NumAmB&gt;</w:t>
      </w:r>
    </w:p>
    <w:p w:rsidR="00BC254A" w:rsidRDefault="007914A5">
      <w:pPr>
        <w:pStyle w:val="NormalBold"/>
      </w:pPr>
      <w:r>
        <w:rPr>
          <w:rStyle w:val="HideTWBExt"/>
          <w:b w:val="0"/>
        </w:rPr>
        <w:t>&lt;RepeatBlock-By&gt;&lt;Members&gt;</w:t>
      </w:r>
      <w:r>
        <w:t>Nadine Morano</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 xml:space="preserve">Vorschlag der </w:t>
            </w:r>
            <w:r>
              <w:t>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(23)</w:t>
            </w:r>
            <w:r>
              <w:tab/>
              <w:t>Die Internationale Arbeitsorganisation (IAO) legt in ihren „Allgemeinen Grundsätzen und operativen Leitlinien für faire Einstellungsverfahren“ eine Reihe von Standards für einen angemessenen Schutz von Arbeitsuchenden aus D</w:t>
            </w:r>
            <w:r>
              <w:t xml:space="preserve">rittstaaten vor unlauteren Einstellungsverfahren fest. Arbeitgeber sollten die geltenden Rechtsvorschriften und Gepflogenheiten der Union einhalten. </w:t>
            </w:r>
            <w:r>
              <w:rPr>
                <w:b/>
                <w:i/>
              </w:rPr>
              <w:t>Ferner sollten die Arbeitgeber die Gleichbehandlung von Arbeitsuchenden aus Drittstaaten und Staatsangehöri</w:t>
            </w:r>
            <w:r>
              <w:rPr>
                <w:b/>
                <w:i/>
              </w:rPr>
              <w:t>gen des teilnehmenden Mitgliedstaats gemäß den Richtlinien 2011/98/EU</w:t>
            </w:r>
            <w:r>
              <w:rPr>
                <w:b/>
                <w:i/>
                <w:vertAlign w:val="superscript"/>
              </w:rPr>
              <w:t>13</w:t>
            </w:r>
            <w:r>
              <w:rPr>
                <w:b/>
                <w:i/>
              </w:rPr>
              <w:t>, 2014/36/EU</w:t>
            </w:r>
            <w:r>
              <w:rPr>
                <w:b/>
                <w:i/>
                <w:vertAlign w:val="superscript"/>
              </w:rPr>
              <w:t>14</w:t>
            </w:r>
            <w:r>
              <w:rPr>
                <w:b/>
                <w:i/>
              </w:rPr>
              <w:t>, 2021/1883/EU</w:t>
            </w:r>
            <w:r>
              <w:rPr>
                <w:b/>
                <w:i/>
                <w:vertAlign w:val="superscript"/>
              </w:rPr>
              <w:t>15</w:t>
            </w:r>
            <w:r>
              <w:rPr>
                <w:b/>
                <w:i/>
              </w:rPr>
              <w:t>und 2016/801/EU</w:t>
            </w:r>
            <w:r>
              <w:rPr>
                <w:b/>
                <w:i/>
                <w:vertAlign w:val="superscript"/>
              </w:rPr>
              <w:t>16</w:t>
            </w:r>
            <w:r>
              <w:rPr>
                <w:b/>
                <w:i/>
              </w:rPr>
              <w:t>sicherstellen.</w:t>
            </w:r>
            <w:r>
              <w:t xml:space="preserve"> Gemäß der Richtlinie </w:t>
            </w:r>
            <w:r w:rsidRPr="007914A5">
              <w:t>2019/1152/EU</w:t>
            </w:r>
            <w:r w:rsidRPr="007914A5">
              <w:rPr>
                <w:vertAlign w:val="superscript"/>
              </w:rPr>
              <w:t>17</w:t>
            </w:r>
            <w:r w:rsidRPr="007914A5">
              <w:t>s</w:t>
            </w:r>
            <w:r>
              <w:t xml:space="preserve">ollten </w:t>
            </w:r>
            <w:r>
              <w:lastRenderedPageBreak/>
              <w:t>Arbeitgeber, die am EU-Talentpool teilnehmen, registrierte Arbeitsuchende aus Dr</w:t>
            </w:r>
            <w:r>
              <w:t>ittstaaten zu Beginn des Beschäftigungsverhältnisses schriftlich und in verständlicher Sprache über ihre Rechte und Pflichten informieren, die sich aus dem Beschäftigungsverhältnis ergeben. Diese Informationen sollten mindestens den Ort und die Art der Tät</w:t>
            </w:r>
            <w:r>
              <w:t>igkeit, die Beschäftigungsdauer, die Vergütung, die Arbeitszeiten, die Dauer des bezahlten Urlaubs und gegebenenfalls andere relevante Arbeitsbedingungen umfassen. Ein Arbeitgeber sollte weder Anwerbungsgebühren erheben noch Arbeitnehmern verbieten dürfen,</w:t>
            </w:r>
            <w:r>
              <w:t xml:space="preserve"> außerhalb des mit ihm festgelegten Arbeitsplans eine Beschäftigung bei anderen Arbeitgebern aufzunehmen, noch sie benachteiligen, falls sie dies tun. Arbeitgeber, die am EU-Talentpool teilnehmen, sollten bei der Entsendung von Arbeitnehmern im Rahmen der </w:t>
            </w:r>
            <w:r>
              <w:t>Erbringung von Dienstleistungen die Richtlinie 96/71/EG</w:t>
            </w:r>
            <w:r>
              <w:rPr>
                <w:vertAlign w:val="superscript"/>
              </w:rPr>
              <w:t>18</w:t>
            </w:r>
            <w:r>
              <w:t>in der Fassung der Richtlinie (EU) 2018/957 einhalten, insbesondere in Bezug auf die darin festgelegten Arbeits- und Beschäftigungsbedingungen, etwa die Verpflichtung, dass Arbeitnehmer aus Drittstaa</w:t>
            </w:r>
            <w:r>
              <w:t>ten nur dann in einen Mitgliedstaat entsandt werden dürfen, wenn sie rechtmäßig und gewöhnlich in einem anderen Mitgliedstaat beschäftigt sind.</w:t>
            </w:r>
          </w:p>
        </w:tc>
        <w:tc>
          <w:tcPr>
            <w:tcW w:w="4876" w:type="dxa"/>
            <w:tcBorders>
              <w:top w:val="nil"/>
              <w:left w:val="nil"/>
              <w:bottom w:val="nil"/>
              <w:right w:val="nil"/>
            </w:tcBorders>
          </w:tcPr>
          <w:p w:rsidR="00BC254A" w:rsidRDefault="007914A5">
            <w:pPr>
              <w:pStyle w:val="Normal6a"/>
            </w:pPr>
            <w:r>
              <w:lastRenderedPageBreak/>
              <w:t>(23)</w:t>
            </w:r>
            <w:r>
              <w:tab/>
              <w:t>Die Internationale Arbeitsorganisation (IAO) legt in ihren „Allgemeinen Grundsätzen und operativen Leitlini</w:t>
            </w:r>
            <w:r>
              <w:t>en für faire Einstellungsverfahren“ eine Reihe von Standards für einen angemessenen Schutz von Arbeitsuchenden aus Drittstaaten vor unlauteren Einstellungsverfahren fest. Arbeitgeber sollten die geltenden Rechtsvorschriften und Gepflogenheiten der Union ei</w:t>
            </w:r>
            <w:r>
              <w:t xml:space="preserve">nhalten. Gemäß der Richtlinie </w:t>
            </w:r>
            <w:r w:rsidRPr="007914A5">
              <w:t>2019/1152/EU</w:t>
            </w:r>
            <w:r w:rsidRPr="007914A5">
              <w:rPr>
                <w:vertAlign w:val="superscript"/>
              </w:rPr>
              <w:t>17</w:t>
            </w:r>
            <w:r w:rsidRPr="007914A5">
              <w:rPr>
                <w:vertAlign w:val="superscript"/>
              </w:rPr>
              <w:t xml:space="preserve"> </w:t>
            </w:r>
            <w:r>
              <w:t>sollten Arbeitgeber, die am EU-Talentpool teilnehmen, registrierte Arbeitsuchende aus Drittstaaten zu Beginn des Beschäftigungsverhältnisses schriftlich und in verständlicher Sprache über ihre Rechte und Pflicht</w:t>
            </w:r>
            <w:r>
              <w:t xml:space="preserve">en informieren, die sich aus dem Beschäftigungsverhältnis ergeben. Diese Informationen sollten mindestens </w:t>
            </w:r>
            <w:r>
              <w:lastRenderedPageBreak/>
              <w:t>den Ort und die Art der Tätigkeit, die Beschäftigungsdauer, die Vergütung, die Arbeitszeiten, die Dauer des bezahlten Urlaubs und gegebenenfalls ander</w:t>
            </w:r>
            <w:r>
              <w:t>e relevante Arbeitsbedingungen umfassen. Ein Arbeitgeber sollte weder Anwerbungsgebühren erheben noch Arbeitnehmern verbieten dürfen, außerhalb des mit ihm festgelegten Arbeitsplans eine Besch</w:t>
            </w:r>
            <w:bookmarkStart w:id="0" w:name="_GoBack"/>
            <w:bookmarkEnd w:id="0"/>
            <w:r>
              <w:t>äftigung bei anderen Arbeitgebern aufzunehmen, noch sie benachte</w:t>
            </w:r>
            <w:r>
              <w:t>iligen, falls sie dies tun. Arbeitgeber, die am EU-Talentpool teilnehmen, sollten bei der Entsendung von Arbeitnehmern im Rahmen der Erbringung von Dienstleistungen die Richtlinie 96/71/EG</w:t>
            </w:r>
            <w:r>
              <w:rPr>
                <w:vertAlign w:val="superscript"/>
              </w:rPr>
              <w:t>18</w:t>
            </w:r>
            <w:r>
              <w:t xml:space="preserve"> in der Fassung der Richtlinie (EU) 2018/957 einhalten, insbesonde</w:t>
            </w:r>
            <w:r>
              <w:t>re in Bezug auf die darin festgelegten Arbeits- und Beschäftigungsbedingungen, etwa die Verpflichtung, dass Arbeitnehmer aus Drittstaaten nur dann in einen Mitgliedstaat entsandt werden dürfen, wenn sie rechtmäßig und gewöhnlich in einem anderen Mitgliedst</w:t>
            </w:r>
            <w:r>
              <w:t>aat beschäftigt sind.</w:t>
            </w:r>
          </w:p>
        </w:tc>
      </w:tr>
      <w:tr w:rsidR="00BC254A">
        <w:trPr>
          <w:jc w:val="center"/>
        </w:trPr>
        <w:tc>
          <w:tcPr>
            <w:tcW w:w="4876" w:type="dxa"/>
            <w:tcBorders>
              <w:top w:val="nil"/>
              <w:left w:val="nil"/>
              <w:bottom w:val="nil"/>
              <w:right w:val="nil"/>
            </w:tcBorders>
          </w:tcPr>
          <w:p w:rsidR="00BC254A" w:rsidRDefault="007914A5">
            <w:pPr>
              <w:pStyle w:val="Normal6a"/>
            </w:pPr>
            <w:r>
              <w:rPr>
                <w:b/>
                <w:i/>
              </w:rPr>
              <w:lastRenderedPageBreak/>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b/>
                <w:i/>
                <w:vertAlign w:val="superscript"/>
              </w:rPr>
              <w:t>13</w:t>
            </w:r>
            <w:r>
              <w:t xml:space="preserve"> </w:t>
            </w:r>
            <w:r>
              <w:rPr>
                <w:b/>
                <w:i/>
              </w:rPr>
              <w:t xml:space="preserve">Richtlinie 2011/98/EU des Europäischen Parlaments und des Rates vom 13. Dezember 2011 über ein einheitliches Verfahren zur Beantragung einer kombinierten Erlaubnis für Drittstaatsangehörige, </w:t>
            </w:r>
            <w:r>
              <w:rPr>
                <w:b/>
                <w:i/>
              </w:rPr>
              <w:t>sich im Hoheitsgebiet eines Mitgliedstaats aufzuhalten und zu arbeiten, sowie über ein gemeinsames Bündel von Rechten für Drittstaatsarbeitnehmer, die sich rechtmäßig in einem Mitgliedstaat aufhalten (ABl.</w:t>
            </w:r>
            <w:r>
              <w:t xml:space="preserve"> </w:t>
            </w:r>
            <w:r>
              <w:rPr>
                <w:b/>
                <w:i/>
              </w:rPr>
              <w:t>L 343 vom 23.12.2011, S.</w:t>
            </w:r>
            <w:r>
              <w:t xml:space="preserve"> </w:t>
            </w:r>
            <w:r>
              <w:rPr>
                <w:b/>
                <w:i/>
              </w:rPr>
              <w:t xml:space="preserve">1, ELI: </w:t>
            </w:r>
            <w:r>
              <w:rPr>
                <w:b/>
                <w:i/>
              </w:rPr>
              <w:lastRenderedPageBreak/>
              <w:t>http://data.europ</w:t>
            </w:r>
            <w:r>
              <w:rPr>
                <w:b/>
                <w:i/>
              </w:rPr>
              <w:t>a.eu/eli/dir/2011/98/oj).</w:t>
            </w:r>
          </w:p>
        </w:tc>
        <w:tc>
          <w:tcPr>
            <w:tcW w:w="4876" w:type="dxa"/>
            <w:tcBorders>
              <w:top w:val="nil"/>
              <w:left w:val="nil"/>
              <w:bottom w:val="nil"/>
              <w:right w:val="nil"/>
            </w:tcBorders>
          </w:tcPr>
          <w:p w:rsidR="00BC254A" w:rsidRDefault="00BC254A"/>
        </w:tc>
      </w:tr>
      <w:tr w:rsidR="00BC254A">
        <w:trPr>
          <w:jc w:val="center"/>
        </w:trPr>
        <w:tc>
          <w:tcPr>
            <w:tcW w:w="4876" w:type="dxa"/>
            <w:tcBorders>
              <w:top w:val="nil"/>
              <w:left w:val="nil"/>
              <w:bottom w:val="nil"/>
              <w:right w:val="nil"/>
            </w:tcBorders>
          </w:tcPr>
          <w:p w:rsidR="00BC254A" w:rsidRDefault="007914A5">
            <w:pPr>
              <w:pStyle w:val="Normal6a"/>
            </w:pPr>
            <w:r>
              <w:rPr>
                <w:b/>
                <w:i/>
                <w:vertAlign w:val="superscript"/>
              </w:rPr>
              <w:t>14</w:t>
            </w:r>
            <w:r>
              <w:t xml:space="preserve"> </w:t>
            </w:r>
            <w:r>
              <w:rPr>
                <w:b/>
                <w:i/>
              </w:rPr>
              <w:t>Richtlinie 2014/36/EU des Europäischen Parlaments und des Rates vom 26. Februar 2014 über die Bedingungen für die Einreise und den Aufenthalt von Drittstaatsangehörigen zwecks Beschäftigung als Saisonarbeitnehmer (ABl.</w:t>
            </w:r>
            <w:r>
              <w:t xml:space="preserve"> </w:t>
            </w:r>
            <w:r>
              <w:rPr>
                <w:b/>
                <w:i/>
              </w:rPr>
              <w:t>L 94 v</w:t>
            </w:r>
            <w:r>
              <w:rPr>
                <w:b/>
                <w:i/>
              </w:rPr>
              <w:t>om 28.3.2014, S.</w:t>
            </w:r>
            <w:r>
              <w:t xml:space="preserve"> </w:t>
            </w:r>
            <w:r>
              <w:rPr>
                <w:b/>
                <w:i/>
              </w:rPr>
              <w:t>375, ELI: http://data.europa.eu/eli/dir/2014/36/oj).</w:t>
            </w:r>
          </w:p>
        </w:tc>
        <w:tc>
          <w:tcPr>
            <w:tcW w:w="4876" w:type="dxa"/>
            <w:tcBorders>
              <w:top w:val="nil"/>
              <w:left w:val="nil"/>
              <w:bottom w:val="nil"/>
              <w:right w:val="nil"/>
            </w:tcBorders>
          </w:tcPr>
          <w:p w:rsidR="00BC254A" w:rsidRDefault="00BC254A"/>
        </w:tc>
      </w:tr>
      <w:tr w:rsidR="00BC254A">
        <w:trPr>
          <w:jc w:val="center"/>
        </w:trPr>
        <w:tc>
          <w:tcPr>
            <w:tcW w:w="4876" w:type="dxa"/>
            <w:tcBorders>
              <w:top w:val="nil"/>
              <w:left w:val="nil"/>
              <w:bottom w:val="nil"/>
              <w:right w:val="nil"/>
            </w:tcBorders>
          </w:tcPr>
          <w:p w:rsidR="00BC254A" w:rsidRDefault="007914A5">
            <w:pPr>
              <w:pStyle w:val="Normal6a"/>
            </w:pPr>
            <w:r>
              <w:rPr>
                <w:b/>
                <w:i/>
                <w:vertAlign w:val="superscript"/>
              </w:rPr>
              <w:t>15</w:t>
            </w:r>
            <w:r>
              <w:t xml:space="preserve"> </w:t>
            </w:r>
            <w:r>
              <w:rPr>
                <w:b/>
                <w:i/>
              </w:rPr>
              <w:t>Richtlinie (EU) 2021/1883 des Europäischen Parlaments und des Rates vom 20. Oktober 2021 über die Bedingungen für die Einreise und den Aufenthalt von Drittstaatsangehörigen zur Ausü</w:t>
            </w:r>
            <w:r>
              <w:rPr>
                <w:b/>
                <w:i/>
              </w:rPr>
              <w:t>bung einer hoch qualifizierten Beschäftigung und zur Aufhebung der Richtlinie 2009/50/EG des Rates (ABl.</w:t>
            </w:r>
            <w:r>
              <w:t xml:space="preserve"> </w:t>
            </w:r>
            <w:r>
              <w:rPr>
                <w:b/>
                <w:i/>
              </w:rPr>
              <w:t>L 382 vom 28.10.2021, S.</w:t>
            </w:r>
            <w:r>
              <w:t xml:space="preserve"> </w:t>
            </w:r>
            <w:r>
              <w:rPr>
                <w:b/>
                <w:i/>
              </w:rPr>
              <w:t>1, ELI: http://data.europa.eu/eli/dir/2021/1883/oj).</w:t>
            </w:r>
          </w:p>
        </w:tc>
        <w:tc>
          <w:tcPr>
            <w:tcW w:w="4876" w:type="dxa"/>
            <w:tcBorders>
              <w:top w:val="nil"/>
              <w:left w:val="nil"/>
              <w:bottom w:val="nil"/>
              <w:right w:val="nil"/>
            </w:tcBorders>
          </w:tcPr>
          <w:p w:rsidR="00BC254A" w:rsidRDefault="00BC254A"/>
        </w:tc>
      </w:tr>
      <w:tr w:rsidR="00BC254A">
        <w:trPr>
          <w:jc w:val="center"/>
        </w:trPr>
        <w:tc>
          <w:tcPr>
            <w:tcW w:w="4876" w:type="dxa"/>
            <w:tcBorders>
              <w:top w:val="nil"/>
              <w:left w:val="nil"/>
              <w:bottom w:val="nil"/>
              <w:right w:val="nil"/>
            </w:tcBorders>
          </w:tcPr>
          <w:p w:rsidR="00BC254A" w:rsidRDefault="007914A5">
            <w:pPr>
              <w:pStyle w:val="Normal6a"/>
            </w:pPr>
            <w:r>
              <w:rPr>
                <w:b/>
                <w:i/>
                <w:vertAlign w:val="superscript"/>
              </w:rPr>
              <w:t>16</w:t>
            </w:r>
            <w:r>
              <w:t xml:space="preserve"> </w:t>
            </w:r>
            <w:r>
              <w:rPr>
                <w:b/>
                <w:i/>
              </w:rPr>
              <w:t>Richtlinie (EU) 2016/801 des Europäischen Parlaments und des Rates v</w:t>
            </w:r>
            <w:r>
              <w:rPr>
                <w:b/>
                <w:i/>
              </w:rPr>
              <w:t>om 11. Mai 2016 über die Bedingungen für die Einreise und den Aufenthalt von Drittstaatsangehörigen zu Forschungs- oder Studienzwecken, zur Absolvierung eines Praktikums, zur Teilnahme an einem Freiwilligendienst, Schüleraustauschprogrammen oder Bildungsvo</w:t>
            </w:r>
            <w:r>
              <w:rPr>
                <w:b/>
                <w:i/>
              </w:rPr>
              <w:t>rhaben und zur Ausübung einer Au-pair-Tätigkeit (Neufassung) (ABl.</w:t>
            </w:r>
            <w:r>
              <w:t xml:space="preserve"> </w:t>
            </w:r>
            <w:r>
              <w:rPr>
                <w:b/>
                <w:i/>
              </w:rPr>
              <w:t>L 132 vom 21.5.2016, S.</w:t>
            </w:r>
            <w:r>
              <w:t xml:space="preserve"> </w:t>
            </w:r>
            <w:r>
              <w:rPr>
                <w:b/>
                <w:i/>
              </w:rPr>
              <w:t>21, ELI: http://data.europa.eu/eli/dir/2016/801/oj).</w:t>
            </w:r>
          </w:p>
        </w:tc>
        <w:tc>
          <w:tcPr>
            <w:tcW w:w="4876" w:type="dxa"/>
            <w:tcBorders>
              <w:top w:val="nil"/>
              <w:left w:val="nil"/>
              <w:bottom w:val="nil"/>
              <w:right w:val="nil"/>
            </w:tcBorders>
          </w:tcPr>
          <w:p w:rsidR="00BC254A" w:rsidRDefault="00BC254A"/>
        </w:tc>
      </w:tr>
      <w:tr w:rsidR="007914A5">
        <w:trPr>
          <w:jc w:val="center"/>
        </w:trPr>
        <w:tc>
          <w:tcPr>
            <w:tcW w:w="4876" w:type="dxa"/>
            <w:tcBorders>
              <w:top w:val="nil"/>
              <w:left w:val="nil"/>
              <w:bottom w:val="nil"/>
              <w:right w:val="nil"/>
            </w:tcBorders>
          </w:tcPr>
          <w:p w:rsidR="007914A5" w:rsidRPr="007914A5" w:rsidRDefault="007914A5" w:rsidP="007914A5">
            <w:pPr>
              <w:pStyle w:val="Normal6a"/>
            </w:pPr>
            <w:r w:rsidRPr="007914A5">
              <w:rPr>
                <w:vertAlign w:val="superscript"/>
              </w:rPr>
              <w:t>17</w:t>
            </w:r>
            <w:r w:rsidRPr="007914A5">
              <w:t xml:space="preserve"> Richtlinie (EU) 2019/1152 des Europäischen Parlaments und des Rates vom 20. Juni 2019 über transparente und vorhersehbare Arbeitsbedingungen in der Europäischen Union (ABl. L 186 vom 11.7.2019, S. 105, ELI: http://data.europa.eu/eli/dir/2019/1152/oj).</w:t>
            </w:r>
          </w:p>
        </w:tc>
        <w:tc>
          <w:tcPr>
            <w:tcW w:w="4876" w:type="dxa"/>
            <w:tcBorders>
              <w:top w:val="nil"/>
              <w:left w:val="nil"/>
              <w:bottom w:val="nil"/>
              <w:right w:val="nil"/>
            </w:tcBorders>
          </w:tcPr>
          <w:p w:rsidR="007914A5" w:rsidRPr="007914A5" w:rsidRDefault="007914A5" w:rsidP="007914A5">
            <w:pPr>
              <w:pStyle w:val="Normal6a"/>
            </w:pPr>
            <w:r w:rsidRPr="007914A5">
              <w:rPr>
                <w:vertAlign w:val="superscript"/>
              </w:rPr>
              <w:t>17</w:t>
            </w:r>
            <w:r w:rsidRPr="007914A5">
              <w:t xml:space="preserve"> Richtlinie (EU) 2019/1152 des Europäischen Parlaments und des Rates vom 20. Juni 2019 über transparente und vorhersehbare Arbeitsbedingungen in der Europäischen Union (ABl. L 186 vom 11.7.2019, S. 105, ELI: http://data.europa.eu/eli/dir/2019/1152/oj).</w:t>
            </w:r>
          </w:p>
        </w:tc>
      </w:tr>
      <w:tr w:rsidR="007914A5">
        <w:trPr>
          <w:jc w:val="center"/>
        </w:trPr>
        <w:tc>
          <w:tcPr>
            <w:tcW w:w="4876" w:type="dxa"/>
            <w:tcBorders>
              <w:top w:val="nil"/>
              <w:left w:val="nil"/>
              <w:bottom w:val="nil"/>
              <w:right w:val="nil"/>
            </w:tcBorders>
          </w:tcPr>
          <w:p w:rsidR="007914A5" w:rsidRDefault="007914A5" w:rsidP="007914A5">
            <w:pPr>
              <w:pStyle w:val="Normal6a"/>
            </w:pPr>
            <w:r>
              <w:rPr>
                <w:vertAlign w:val="superscript"/>
              </w:rPr>
              <w:t>18</w:t>
            </w:r>
            <w:r>
              <w:t xml:space="preserve"> Richtlinie 96/71/EG des Europäischen Parlaments und des Rates vom 16. Dezember 1996 über die Entsendung von Arbeitnehmern im Rahmen der Erbringung von Dienstleistungen (ABl. L 18 vom 21.1.1997, S. 1, ELI: http://data.europa.eu/eli/dir/1996/71/oj).</w:t>
            </w:r>
          </w:p>
        </w:tc>
        <w:tc>
          <w:tcPr>
            <w:tcW w:w="4876" w:type="dxa"/>
            <w:tcBorders>
              <w:top w:val="nil"/>
              <w:left w:val="nil"/>
              <w:bottom w:val="nil"/>
              <w:right w:val="nil"/>
            </w:tcBorders>
          </w:tcPr>
          <w:p w:rsidR="007914A5" w:rsidRDefault="007914A5" w:rsidP="007914A5">
            <w:pPr>
              <w:pStyle w:val="Normal6a"/>
            </w:pPr>
            <w:r>
              <w:rPr>
                <w:vertAlign w:val="superscript"/>
              </w:rPr>
              <w:t>18</w:t>
            </w:r>
            <w:r>
              <w:t xml:space="preserve"> Richtlinie 96/71/EG des Europäischen Parlaments und des Rates vom 16. Dezember 1996 über die Entsendung von Arbeitnehmern im Rahmen der Erbringung von Dienstleistungen (ABl. L 18 vom 21.1.1997, S. 1, ELI: http://data.europa.eu/eli/dir/1996/71/oj).</w:t>
            </w:r>
          </w:p>
        </w:tc>
      </w:tr>
    </w:tbl>
    <w:p w:rsidR="00BC254A" w:rsidRDefault="007914A5">
      <w:pPr>
        <w:pStyle w:val="AmOrLang"/>
      </w:pPr>
      <w:r>
        <w:t xml:space="preserve">Or. </w:t>
      </w:r>
      <w:r>
        <w:rPr>
          <w:rStyle w:val="HideTWBExt"/>
        </w:rPr>
        <w:t>&lt;Original&gt;</w:t>
      </w:r>
      <w:r>
        <w:rPr>
          <w:rStyle w:val="HideTWBInt"/>
        </w:rPr>
        <w:t>{FR}</w:t>
      </w:r>
      <w:r>
        <w:t>fr</w:t>
      </w:r>
      <w:r>
        <w:rPr>
          <w:rStyle w:val="HideTWBExt"/>
        </w:rPr>
        <w:t>&lt;/Original&gt;</w:t>
      </w:r>
    </w:p>
    <w:p w:rsidR="00BC254A" w:rsidRDefault="007914A5">
      <w:pPr>
        <w:pStyle w:val="AmJustTitle"/>
      </w:pPr>
      <w:r>
        <w:rPr>
          <w:rStyle w:val="HideTWBExt"/>
        </w:rPr>
        <w:t>&lt;TitreJust&gt;</w:t>
      </w:r>
      <w:r>
        <w:t>Begründung</w:t>
      </w:r>
      <w:r>
        <w:rPr>
          <w:rStyle w:val="HideTWBExt"/>
        </w:rPr>
        <w:t>&lt;/TitreJust&gt;</w:t>
      </w:r>
    </w:p>
    <w:p w:rsidR="00BC254A" w:rsidRDefault="007914A5">
      <w:pPr>
        <w:pStyle w:val="AmJustText"/>
      </w:pPr>
      <w:r>
        <w:t>Der EU-Talentpool sollte darauf abzielen, die teil</w:t>
      </w:r>
      <w:r>
        <w:t>nehmenden Mitgliedstaaten nur dann dabei zu unterstützen, bestehende und künftige Qualifikationsdefizite und den bestehenden und künftigen Arbeitskräftemangel durch die Einstellung von Drittstaatsangehörigen zu beheben, wenn die Aktivierung einheimischer A</w:t>
      </w:r>
      <w:r>
        <w:t>rbeitskräfte und die Mobilität innerhalb der EU nicht ausreichen, um dieses Ziel zu erreichen (siehe Erwägungsgrund 5). Arbeitgeber sollten zuerst die Mobilität innerhalb der EU nutzen, bevor sie Personen aus Drittstaaten einstellen.</w:t>
      </w:r>
    </w:p>
    <w:p w:rsidR="00BC254A" w:rsidRDefault="007914A5">
      <w:r>
        <w:rPr>
          <w:rStyle w:val="HideTWBExt"/>
        </w:rPr>
        <w:t>&lt;/AmendB&gt;</w:t>
      </w:r>
    </w:p>
    <w:p w:rsidR="00BC254A" w:rsidRDefault="007914A5">
      <w:pPr>
        <w:pStyle w:val="AmNumberTabs"/>
      </w:pPr>
      <w:r>
        <w:rPr>
          <w:rStyle w:val="HideTWBExt"/>
        </w:rPr>
        <w:t>&lt;AmendB&gt;</w:t>
      </w:r>
      <w:r>
        <w:t>Ände</w:t>
      </w:r>
      <w:r>
        <w:t>rungsantrag</w:t>
      </w:r>
      <w:r>
        <w:tab/>
      </w:r>
      <w:r>
        <w:tab/>
      </w:r>
      <w:r>
        <w:rPr>
          <w:rStyle w:val="HideTWBExt"/>
        </w:rPr>
        <w:t>&lt;NumAmB&gt;</w:t>
      </w:r>
      <w:r>
        <w:t>252</w:t>
      </w:r>
      <w:r>
        <w:rPr>
          <w:rStyle w:val="HideTWBExt"/>
        </w:rPr>
        <w:t>&lt;/NumAmB&gt;</w:t>
      </w:r>
    </w:p>
    <w:p w:rsidR="00BC254A" w:rsidRDefault="007914A5">
      <w:pPr>
        <w:pStyle w:val="NormalBold"/>
      </w:pPr>
      <w:r>
        <w:rPr>
          <w:rStyle w:val="HideTWBExt"/>
          <w:b w:val="0"/>
        </w:rPr>
        <w:t>&lt;RepeatBlock-By&gt;&lt;Members&gt;</w:t>
      </w:r>
      <w:r>
        <w:t>Javier 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(23)</w:t>
            </w:r>
            <w:r>
              <w:tab/>
            </w:r>
            <w:r>
              <w:t>Die Internationale Arbeitsorganisation (IAO) legt in ihren „Allgemeinen Grundsätzen und operativen Leitlinien für faire Einstellungsverfahren“ eine Reihe von Standards für einen angemessenen Schutz von Arbeitsuchenden aus Drittstaaten vor unlauteren Einste</w:t>
            </w:r>
            <w:r>
              <w:t>llungsverfahren fest. Arbeitgeber sollten die geltenden Rechtsvorschriften und Gepflogenheiten der Union einhalten. Ferner sollten die Arbeitgeber die Gleichbehandlung von Arbeitsuchenden aus Drittstaaten und Staatsangehörigen des teilnehmenden Mitgliedsta</w:t>
            </w:r>
            <w:r>
              <w:t xml:space="preserve">ats gemäß den </w:t>
            </w:r>
            <w:r>
              <w:rPr>
                <w:b/>
                <w:i/>
              </w:rPr>
              <w:t>Richtlinien 2011/98/EU</w:t>
            </w:r>
            <w:r>
              <w:rPr>
                <w:vertAlign w:val="superscript"/>
              </w:rPr>
              <w:t>13</w:t>
            </w:r>
            <w:r>
              <w:t>, 2014/36/EU</w:t>
            </w:r>
            <w:r>
              <w:rPr>
                <w:vertAlign w:val="superscript"/>
              </w:rPr>
              <w:t>14</w:t>
            </w:r>
            <w:r>
              <w:t>, 2021/1883/EU</w:t>
            </w:r>
            <w:r>
              <w:rPr>
                <w:vertAlign w:val="superscript"/>
              </w:rPr>
              <w:t>15</w:t>
            </w:r>
            <w:r>
              <w:t>und 2016/801/EU</w:t>
            </w:r>
            <w:r>
              <w:rPr>
                <w:vertAlign w:val="superscript"/>
              </w:rPr>
              <w:t>16</w:t>
            </w:r>
            <w:r>
              <w:t>sicherstellen. Gemäß der Richtlinie 2019/1152/EU</w:t>
            </w:r>
            <w:r>
              <w:rPr>
                <w:vertAlign w:val="superscript"/>
              </w:rPr>
              <w:t>17</w:t>
            </w:r>
            <w:r>
              <w:t>sollten Arbeitgeber, die am EU-Talentpool teilnehmen, registrierte Arbeitsuchende aus Drittstaaten zu Beginn des Beschäft</w:t>
            </w:r>
            <w:r>
              <w:t xml:space="preserve">igungsverhältnisses schriftlich und in verständlicher Sprache über ihre Rechte </w:t>
            </w:r>
            <w:r>
              <w:lastRenderedPageBreak/>
              <w:t xml:space="preserve">und Pflichten informieren, die sich aus dem Beschäftigungsverhältnis ergeben. Diese Informationen sollten mindestens den Ort und die Art der Tätigkeit, die Beschäftigungsdauer, </w:t>
            </w:r>
            <w:r>
              <w:t>die Vergütung, die Arbeitszeiten, die Dauer des bezahlten Urlaubs und gegebenenfalls andere relevante Arbeitsbedingungen umfassen. Ein Arbeitgeber sollte weder Anwerbungsgebühren erheben noch Arbeitnehmern verbieten dürfen, außerhalb des mit ihm festgelegt</w:t>
            </w:r>
            <w:r>
              <w:t>en Arbeitsplans eine Beschäftigung bei anderen Arbeitgebern aufzunehmen, noch sie benachteiligen, falls sie dies tun. Arbeitgeber, die am EU-Talentpool teilnehmen, sollten bei der Entsendung von Arbeitnehmern im Rahmen der Erbringung von Dienstleistungen d</w:t>
            </w:r>
            <w:r>
              <w:t>ie Richtlinie 96/71/EG</w:t>
            </w:r>
            <w:r>
              <w:rPr>
                <w:vertAlign w:val="superscript"/>
              </w:rPr>
              <w:t>18</w:t>
            </w:r>
            <w:r>
              <w:t>in der Fassung der Richtlinie (EU) 2018/957 einhalten, insbesondere in Bezug auf die darin festgelegten Arbeits- und Beschäftigungsbedingungen, etwa die Verpflichtung, dass Arbeitnehmer aus Drittstaaten nur dann in einen Mitgliedsta</w:t>
            </w:r>
            <w:r>
              <w:t>at entsandt werden dürfen, wenn sie rechtmäßig und gewöhnlich in einem anderen Mitgliedstaat beschäftigt sind.</w:t>
            </w:r>
          </w:p>
        </w:tc>
        <w:tc>
          <w:tcPr>
            <w:tcW w:w="4876" w:type="dxa"/>
            <w:tcBorders>
              <w:top w:val="nil"/>
              <w:left w:val="nil"/>
              <w:bottom w:val="nil"/>
              <w:right w:val="nil"/>
            </w:tcBorders>
          </w:tcPr>
          <w:p w:rsidR="00BC254A" w:rsidRDefault="007914A5">
            <w:pPr>
              <w:pStyle w:val="Normal6a"/>
            </w:pPr>
            <w:r>
              <w:lastRenderedPageBreak/>
              <w:t>(23)</w:t>
            </w:r>
            <w:r>
              <w:tab/>
              <w:t>Die Internationale Arbeitsorganisation (IAO) legt in ihren „Allgemeinen Grundsätzen und operativen Leitlinien für faire Einstellungsverfahre</w:t>
            </w:r>
            <w:r>
              <w:t>n“ eine Reihe von Standards für einen angemessenen Schutz von Arbeitsuchenden aus Drittstaaten vor unlauteren Einstellungsverfahren fest. Arbeitgeber sollten die geltenden Rechtsvorschriften und Gepflogenheiten der Union einhalten. Ferner sollten die Arbei</w:t>
            </w:r>
            <w:r>
              <w:t xml:space="preserve">tgeber die Gleichbehandlung von Arbeitsuchenden aus Drittstaaten und Staatsangehörigen des teilnehmenden Mitgliedstaats gemäß den </w:t>
            </w:r>
            <w:r>
              <w:rPr>
                <w:b/>
                <w:i/>
              </w:rPr>
              <w:t>Richtlinien (EU) 2024/1233</w:t>
            </w:r>
            <w:r>
              <w:rPr>
                <w:vertAlign w:val="superscript"/>
              </w:rPr>
              <w:t>13</w:t>
            </w:r>
            <w:r>
              <w:t>, 2014/36/EU</w:t>
            </w:r>
            <w:r>
              <w:rPr>
                <w:vertAlign w:val="superscript"/>
              </w:rPr>
              <w:t>14</w:t>
            </w:r>
            <w:r>
              <w:t>, 2021/1883/EU</w:t>
            </w:r>
            <w:r>
              <w:rPr>
                <w:vertAlign w:val="superscript"/>
              </w:rPr>
              <w:t>15</w:t>
            </w:r>
            <w:r>
              <w:t xml:space="preserve"> und 2016/801/EU</w:t>
            </w:r>
            <w:r>
              <w:rPr>
                <w:vertAlign w:val="superscript"/>
              </w:rPr>
              <w:t>16</w:t>
            </w:r>
            <w:r>
              <w:t xml:space="preserve"> sicherstellen. Gemäß der Richtlinie 2019/1152/EU</w:t>
            </w:r>
            <w:r>
              <w:rPr>
                <w:vertAlign w:val="superscript"/>
              </w:rPr>
              <w:t>1</w:t>
            </w:r>
            <w:r>
              <w:rPr>
                <w:vertAlign w:val="superscript"/>
              </w:rPr>
              <w:t>7</w:t>
            </w:r>
            <w:r>
              <w:t xml:space="preserve"> sollten Arbeitgeber, die am EU-Talentpool teilnehmen, registrierte Arbeitsuchende aus Drittstaaten zu Beginn des Beschäftigungsverhältnisses schriftlich und in verständlicher Sprache über ihre Rechte und Pflichten informieren, die sich </w:t>
            </w:r>
            <w:r>
              <w:lastRenderedPageBreak/>
              <w:t>aus dem Beschäftig</w:t>
            </w:r>
            <w:r>
              <w:t xml:space="preserve">ungsverhältnis ergeben. Diese Informationen sollten mindestens den </w:t>
            </w:r>
            <w:r>
              <w:rPr>
                <w:b/>
                <w:i/>
              </w:rPr>
              <w:t>gewöhnlichen</w:t>
            </w:r>
            <w:r>
              <w:t xml:space="preserve"> Ort und die Art der Tätigkeit, die Beschäftigungsdauer, die Vergütung, die Arbeitszeiten, die Dauer des bezahlten Urlaubs und gegebenenfalls andere relevante Arbeitsbedingungen</w:t>
            </w:r>
            <w:r>
              <w:t xml:space="preserve"> umfassen. </w:t>
            </w:r>
            <w:r>
              <w:rPr>
                <w:b/>
                <w:i/>
              </w:rPr>
              <w:t>Für Arbeitsuchende aus Drittstaaten sollten im Zusammenhang mit ihrer Teilnahme am EU-Talentpool oder ihrem Einstellungsverfahren weder direkte oder indirekte Kosten noch Gebühren anfallen.</w:t>
            </w:r>
            <w:r>
              <w:t xml:space="preserve"> Ein Arbeitgeber sollte weder Anwerbungsgebühren erheben</w:t>
            </w:r>
            <w:r>
              <w:t xml:space="preserve"> noch Arbeitnehmern verbieten dürfen, außerhalb des mit ihm festgelegten Arbeitsplans eine Beschäftigung bei anderen Arbeitgebern aufzunehmen, noch sie benachteiligen, falls sie dies tun. Arbeitgeber, die am EU-Talentpool teilnehmen, sollten bei der Entsen</w:t>
            </w:r>
            <w:r>
              <w:t>dung von Arbeitnehmern im Rahmen der Erbringung von Dienstleistungen die Richtlinie 96/71/EG</w:t>
            </w:r>
            <w:r>
              <w:rPr>
                <w:vertAlign w:val="superscript"/>
              </w:rPr>
              <w:t>18</w:t>
            </w:r>
            <w:r>
              <w:t xml:space="preserve"> in der Fassung der Richtlinie (EU) 2018/957 einhalten, insbesondere in Bezug auf die darin festgelegten Arbeits- und Beschäftigungsbedingungen, etwa die Verpflic</w:t>
            </w:r>
            <w:r>
              <w:t>htung, dass Arbeitnehmer aus Drittstaaten nur dann in einen Mitgliedstaat entsandt werden dürfen, wenn sie rechtmäßig und gewöhnlich in einem anderen Mitgliedstaat beschäftigt sind.</w:t>
            </w:r>
          </w:p>
        </w:tc>
      </w:tr>
      <w:tr w:rsidR="00BC254A">
        <w:trPr>
          <w:jc w:val="center"/>
        </w:trPr>
        <w:tc>
          <w:tcPr>
            <w:tcW w:w="4876" w:type="dxa"/>
            <w:tcBorders>
              <w:top w:val="nil"/>
              <w:left w:val="nil"/>
              <w:bottom w:val="nil"/>
              <w:right w:val="nil"/>
            </w:tcBorders>
          </w:tcPr>
          <w:p w:rsidR="00BC254A" w:rsidRDefault="007914A5">
            <w:pPr>
              <w:pStyle w:val="Normal6a"/>
            </w:pPr>
            <w:r>
              <w:rPr>
                <w:b/>
                <w:i/>
              </w:rPr>
              <w:lastRenderedPageBreak/>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13</w:t>
            </w:r>
            <w:r>
              <w:t xml:space="preserve"> Richtlinie </w:t>
            </w:r>
            <w:r>
              <w:rPr>
                <w:b/>
                <w:i/>
              </w:rPr>
              <w:t>2011/98/EU</w:t>
            </w:r>
            <w:r>
              <w:t xml:space="preserve"> des Europäischen Parlaments und des Rates vom </w:t>
            </w:r>
            <w:r>
              <w:rPr>
                <w:b/>
                <w:i/>
              </w:rPr>
              <w:t>13. Dezember 2011</w:t>
            </w:r>
            <w:r>
              <w:t xml:space="preserve"> über ein einheitliches Verfahren zur Beantragung einer kombinierten Erlaubnis für Drittstaatsangehörige, sich im Hoheitsgebiet eines Mitgliedstaats aufzuhalten und zu arbeiten, sowie über ein</w:t>
            </w:r>
            <w:r>
              <w:t xml:space="preserve"> gemeinsames Bündel von Rechten für Drittstaatsarbeitnehmer, die sich rechtmäßig in einem Mitgliedstaat aufhalten (</w:t>
            </w:r>
            <w:r>
              <w:rPr>
                <w:b/>
                <w:i/>
              </w:rPr>
              <w:t>ABl.</w:t>
            </w:r>
            <w:r>
              <w:t xml:space="preserve"> </w:t>
            </w:r>
            <w:r>
              <w:rPr>
                <w:b/>
                <w:i/>
              </w:rPr>
              <w:t>L 343 vom 23.12.2011</w:t>
            </w:r>
            <w:r>
              <w:t xml:space="preserve">, S. 1, ELI: </w:t>
            </w:r>
            <w:r>
              <w:lastRenderedPageBreak/>
              <w:t>http://data.europa.</w:t>
            </w:r>
            <w:r>
              <w:rPr>
                <w:b/>
                <w:i/>
              </w:rPr>
              <w:t>eu/eli/dir/2011/98/oj)</w:t>
            </w:r>
            <w:r>
              <w:t>.</w:t>
            </w:r>
          </w:p>
        </w:tc>
        <w:tc>
          <w:tcPr>
            <w:tcW w:w="4876" w:type="dxa"/>
            <w:tcBorders>
              <w:top w:val="nil"/>
              <w:left w:val="nil"/>
              <w:bottom w:val="nil"/>
              <w:right w:val="nil"/>
            </w:tcBorders>
          </w:tcPr>
          <w:p w:rsidR="00BC254A" w:rsidRDefault="007914A5">
            <w:pPr>
              <w:pStyle w:val="Normal6a"/>
            </w:pPr>
            <w:r>
              <w:rPr>
                <w:vertAlign w:val="superscript"/>
              </w:rPr>
              <w:lastRenderedPageBreak/>
              <w:t>13</w:t>
            </w:r>
            <w:r>
              <w:t xml:space="preserve"> Richtlinie </w:t>
            </w:r>
            <w:r>
              <w:rPr>
                <w:b/>
                <w:i/>
              </w:rPr>
              <w:t>(EU) 2024/1233</w:t>
            </w:r>
            <w:r>
              <w:t xml:space="preserve"> des Europäischen Parlaments und</w:t>
            </w:r>
            <w:r>
              <w:t xml:space="preserve"> des Rates vom </w:t>
            </w:r>
            <w:r>
              <w:rPr>
                <w:b/>
                <w:i/>
              </w:rPr>
              <w:t>24. April 2024</w:t>
            </w:r>
            <w:r>
              <w:t xml:space="preserve"> über ein einheitliches Verfahren zur Beantragung einer kombinierten Erlaubnis für Drittstaatsangehörige, sich im Hoheitsgebiet eines Mitgliedstaats aufzuhalten und zu arbeiten, sowie über ein gemeinsames Bündel von Rechten für</w:t>
            </w:r>
            <w:r>
              <w:t xml:space="preserve"> Drittstaatsarbeitnehmer, die sich rechtmäßig in einem Mitgliedstaat aufhalten (</w:t>
            </w:r>
            <w:r>
              <w:rPr>
                <w:b/>
                <w:i/>
              </w:rPr>
              <w:t>Neufassung), ABl. L 1233, 30.4.2024</w:t>
            </w:r>
            <w:r>
              <w:t xml:space="preserve">, S. 1, ELI: </w:t>
            </w:r>
            <w:r>
              <w:lastRenderedPageBreak/>
              <w:t>http://data.europa.</w:t>
            </w:r>
            <w:r>
              <w:rPr>
                <w:b/>
                <w:i/>
              </w:rPr>
              <w:t>eu/eli/dir/2024/1233/oj)</w:t>
            </w:r>
            <w:r>
              <w:t>.</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lastRenderedPageBreak/>
              <w:t>14</w:t>
            </w:r>
            <w:r>
              <w:t xml:space="preserve"> Richtlinie 2014/36/EU des Europäischen Parlaments und des Rates vom 26. Februar</w:t>
            </w:r>
            <w:r>
              <w:t xml:space="preserve"> 2014 über die Bedingungen für die Einreise und den Aufenthalt von Drittstaatsangehörigen zwecks Beschäftigung als Saisonarbeitnehmer (ABl. L 94 vom 28.3.2014, S. 375, ELI: http://data.europa.eu/eli/dir/2014/36/oj).</w:t>
            </w:r>
          </w:p>
        </w:tc>
        <w:tc>
          <w:tcPr>
            <w:tcW w:w="4876" w:type="dxa"/>
            <w:tcBorders>
              <w:top w:val="nil"/>
              <w:left w:val="nil"/>
              <w:bottom w:val="nil"/>
              <w:right w:val="nil"/>
            </w:tcBorders>
          </w:tcPr>
          <w:p w:rsidR="00BC254A" w:rsidRDefault="007914A5">
            <w:pPr>
              <w:pStyle w:val="Normal6a"/>
            </w:pPr>
            <w:r>
              <w:rPr>
                <w:vertAlign w:val="superscript"/>
              </w:rPr>
              <w:t>14</w:t>
            </w:r>
            <w:r>
              <w:t xml:space="preserve"> Richtlinie 2014/36/EU des Europäische</w:t>
            </w:r>
            <w:r>
              <w:t>n Parlaments und des Rates vom 26. Februar 2014 über die Bedingungen für die Einreise und den Aufenthalt von Drittstaatsangehörigen zwecks Beschäftigung als Saisonarbeitnehmer (ABl. L 94 vom 28.3.2014, S. 375, ELI: http://data.europa.eu/eli/dir/2014/36/oj)</w:t>
            </w:r>
            <w:r>
              <w:t>.</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15</w:t>
            </w:r>
            <w:r>
              <w:t xml:space="preserve"> Richtlinie (EU) 2021/1883 des Europäischen Parlaments und des Rates vom 20. Oktober 2021 über die Bedingungen für die Einreise und den Aufenthalt von Drittstaatsangehörigen zur Ausübung einer hoch qualifizierten Beschäftigung und zur Aufhebung der Ri</w:t>
            </w:r>
            <w:r>
              <w:t>chtlinie 2009/50/EG des Rates (ABl. L 382 vom 28.10.2021, S. 1, ELI: http://data.europa.eu/eli/dir/2021/1883/oj).</w:t>
            </w:r>
          </w:p>
        </w:tc>
        <w:tc>
          <w:tcPr>
            <w:tcW w:w="4876" w:type="dxa"/>
            <w:tcBorders>
              <w:top w:val="nil"/>
              <w:left w:val="nil"/>
              <w:bottom w:val="nil"/>
              <w:right w:val="nil"/>
            </w:tcBorders>
          </w:tcPr>
          <w:p w:rsidR="00BC254A" w:rsidRDefault="007914A5">
            <w:pPr>
              <w:pStyle w:val="Normal6a"/>
            </w:pPr>
            <w:r>
              <w:rPr>
                <w:vertAlign w:val="superscript"/>
              </w:rPr>
              <w:t>15</w:t>
            </w:r>
            <w:r>
              <w:t xml:space="preserve"> Richtlinie (EU) 2021/1883 des Europäischen Parlaments und des Rates vom 20. Oktober 2021 über die Bedingungen für die Einreise und den Aufe</w:t>
            </w:r>
            <w:r>
              <w:t>nthalt von Drittstaatsangehörigen zur Ausübung einer hoch qualifizierten Beschäftigung und zur Aufhebung der Richtlinie 2009/50/EG des Rates (ABl. L 382 vom 28.10.2021, S. 1, ELI: http://data.europa.eu/eli/dir/2021/1883/oj).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16</w:t>
            </w:r>
            <w:r>
              <w:t xml:space="preserve"> Richtlinie (EU) 2016/801 de</w:t>
            </w:r>
            <w:r>
              <w:t>s Europäischen Parlaments und des Rates vom 11. Mai 2016 über die Bedingungen für die Einreise und den Aufenthalt von Drittstaatsangehörigen zu Forschungs- oder Studienzwecken, zur Absolvierung eines Praktikums, zur Teilnahme an einem Freiwilligendienst, S</w:t>
            </w:r>
            <w:r>
              <w:t>chüleraustauschprogrammen oder Bildungsvorhaben und zur Ausübung einer Au-pair-Tätigkeit (Neufassung) (ABl. L 132 vom 21.5.2016, S. 21, ELI: http://data.europa.eu/eli/dir/2016/801/oj).</w:t>
            </w:r>
          </w:p>
        </w:tc>
        <w:tc>
          <w:tcPr>
            <w:tcW w:w="4876" w:type="dxa"/>
            <w:tcBorders>
              <w:top w:val="nil"/>
              <w:left w:val="nil"/>
              <w:bottom w:val="nil"/>
              <w:right w:val="nil"/>
            </w:tcBorders>
          </w:tcPr>
          <w:p w:rsidR="00BC254A" w:rsidRDefault="007914A5">
            <w:pPr>
              <w:pStyle w:val="Normal6a"/>
            </w:pPr>
            <w:r>
              <w:rPr>
                <w:vertAlign w:val="superscript"/>
              </w:rPr>
              <w:t>16</w:t>
            </w:r>
            <w:r>
              <w:t xml:space="preserve"> Richtlinie (EU) 2016/801 des Europäischen Parlaments und des Rates v</w:t>
            </w:r>
            <w:r>
              <w:t>om 11. Mai 2016 über die Bedingungen für die Einreise und den Aufenthalt von Drittstaatsangehörigen zu Forschungs- oder Studienzwecken, zur Absolvierung eines Praktikums, zur Teilnahme an einem Freiwilligendienst, Schüleraustauschprogrammen oder Bildungsvo</w:t>
            </w:r>
            <w:r>
              <w:t>rhaben und zur Ausübung einer Au-pair-Tätigkeit (Neufassung) (ABl. L 132 vom 21.5.2016, S. 21, ELI: http://data.europa.eu/eli/dir/2016/801/oj).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17</w:t>
            </w:r>
            <w:r>
              <w:t xml:space="preserve"> Richtlinie (EU) 2019/1152 des Europäischen Parlaments und des Rates vom 20. Juni 2019 über transparente und </w:t>
            </w:r>
            <w:r>
              <w:t>vorhersehbare Arbeitsbedingungen in der Europäischen Union (ABl. L 186 vom 11.7.2019, S. 105, ELI: http://data.europa.eu/eli/dir/2019/1152/oj).</w:t>
            </w:r>
          </w:p>
        </w:tc>
        <w:tc>
          <w:tcPr>
            <w:tcW w:w="4876" w:type="dxa"/>
            <w:tcBorders>
              <w:top w:val="nil"/>
              <w:left w:val="nil"/>
              <w:bottom w:val="nil"/>
              <w:right w:val="nil"/>
            </w:tcBorders>
          </w:tcPr>
          <w:p w:rsidR="00BC254A" w:rsidRDefault="007914A5">
            <w:pPr>
              <w:pStyle w:val="Normal6a"/>
            </w:pPr>
            <w:r>
              <w:rPr>
                <w:vertAlign w:val="superscript"/>
              </w:rPr>
              <w:t>17</w:t>
            </w:r>
            <w:r>
              <w:t xml:space="preserve"> Richtlinie (EU) 2019/1152 des Europäischen Parlaments und des Rates vom 20. Juni 2019 über transparente und v</w:t>
            </w:r>
            <w:r>
              <w:t>orhersehbare Arbeitsbedingungen in der Europäischen Union (ABl. L 186 vom 11.7.2019, S. 105, ELI: http://data.europa.eu/eli/dir/2019/1152/oj).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18</w:t>
            </w:r>
            <w:r>
              <w:t xml:space="preserve"> Richtlinie 96/71/EG des Europäischen Parlaments und des Rates vom 16. Dezember 1996 über die Entsendung von A</w:t>
            </w:r>
            <w:r>
              <w:t xml:space="preserve">rbeitnehmern im Rahmen der Erbringung von Dienstleistungen (ABl. L 18 vom 21.1.1997, S. 1, ELI: </w:t>
            </w:r>
            <w:r>
              <w:lastRenderedPageBreak/>
              <w:t>http://data.europa.eu/eli/dir/1996/71/oj).</w:t>
            </w:r>
          </w:p>
        </w:tc>
        <w:tc>
          <w:tcPr>
            <w:tcW w:w="4876" w:type="dxa"/>
            <w:tcBorders>
              <w:top w:val="nil"/>
              <w:left w:val="nil"/>
              <w:bottom w:val="nil"/>
              <w:right w:val="nil"/>
            </w:tcBorders>
          </w:tcPr>
          <w:p w:rsidR="00BC254A" w:rsidRDefault="007914A5">
            <w:pPr>
              <w:pStyle w:val="Normal6a"/>
            </w:pPr>
            <w:r>
              <w:rPr>
                <w:vertAlign w:val="superscript"/>
              </w:rPr>
              <w:lastRenderedPageBreak/>
              <w:t>18</w:t>
            </w:r>
            <w:r>
              <w:t xml:space="preserve"> Richtlinie 96/71/EG des Europäischen Parlaments und des Rates vom 16. Dezember 1996 über die Entsendung von </w:t>
            </w:r>
            <w:r>
              <w:t xml:space="preserve">Arbeitnehmern im Rahmen der Erbringung von Dienstleistungen (ABl. L 18 vom 21.1.1997, S. 1, ELI: </w:t>
            </w:r>
            <w:r>
              <w:lastRenderedPageBreak/>
              <w:t>http://data.europa.eu/eli/dir/1996/71/oj).</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253</w:t>
      </w:r>
      <w:r>
        <w:rPr>
          <w:rStyle w:val="HideTWBExt"/>
        </w:rPr>
        <w:t>&lt;/NumAmB&gt;</w:t>
      </w:r>
    </w:p>
    <w:p w:rsidR="00BC254A" w:rsidRDefault="007914A5">
      <w:pPr>
        <w:pStyle w:val="NormalBold"/>
      </w:pPr>
      <w:r>
        <w:rPr>
          <w:rStyle w:val="HideTWBExt"/>
          <w:b w:val="0"/>
        </w:rPr>
        <w:t>&lt;RepeatBlock-By&gt;&lt;Members&gt;</w:t>
      </w:r>
      <w:r>
        <w:t>Ja</w:t>
      </w:r>
      <w:r>
        <w:t>n-Christoph Oetjen, Abir Al-Sahlani,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(23)</w:t>
            </w:r>
            <w:r>
              <w:tab/>
              <w:t xml:space="preserve">Die Internationale Arbeitsorganisation (IAO) legt </w:t>
            </w:r>
            <w:r>
              <w:t>in ihren „Allgemeinen Grundsätzen und operativen Leitlinien für faire Einstellungsverfahren“ eine Reihe von Standards für einen angemessenen Schutz von Arbeitsuchenden aus Drittstaaten vor unlauteren Einstellungsverfahren fest. Arbeitgeber sollten die gelt</w:t>
            </w:r>
            <w:r>
              <w:t>enden Rechtsvorschriften und Gepflogenheiten der Union einhalten. Ferner sollten die Arbeitgeber die Gleichbehandlung von Arbeitsuchenden aus Drittstaaten und Staatsangehörigen des teilnehmenden Mitgliedstaats gemäß den Richtlinien 2011/98/EU</w:t>
            </w:r>
            <w:r>
              <w:rPr>
                <w:vertAlign w:val="superscript"/>
              </w:rPr>
              <w:t>13</w:t>
            </w:r>
            <w:r>
              <w:t>, 2014/36/EU</w:t>
            </w:r>
            <w:r>
              <w:rPr>
                <w:vertAlign w:val="superscript"/>
              </w:rPr>
              <w:t>14</w:t>
            </w:r>
            <w:r>
              <w:t>, 2021/1883/EU</w:t>
            </w:r>
            <w:r>
              <w:rPr>
                <w:vertAlign w:val="superscript"/>
              </w:rPr>
              <w:t>15</w:t>
            </w:r>
            <w:r>
              <w:t>und 2016/801/EU</w:t>
            </w:r>
            <w:r>
              <w:rPr>
                <w:vertAlign w:val="superscript"/>
              </w:rPr>
              <w:t>16</w:t>
            </w:r>
            <w:r>
              <w:t>sicherstellen. Gemäß der Richtlinie 2019/1152/EU</w:t>
            </w:r>
            <w:r>
              <w:rPr>
                <w:vertAlign w:val="superscript"/>
              </w:rPr>
              <w:t>17</w:t>
            </w:r>
            <w:r>
              <w:t xml:space="preserve">sollten Arbeitgeber, die am EU-Talentpool teilnehmen, registrierte Arbeitsuchende aus Drittstaaten zu Beginn des Beschäftigungsverhältnisses schriftlich und in </w:t>
            </w:r>
            <w:r>
              <w:t>verständlicher Sprache über ihre Rechte und Pflichten informieren, die sich aus dem Beschäftigungsverhältnis ergeben. Diese Informationen sollten mindestens den Ort und die Art der Tätigkeit, die Beschäftigungsdauer, die Vergütung, die Arbeitszeiten, die D</w:t>
            </w:r>
            <w:r>
              <w:t xml:space="preserve">auer des bezahlten Urlaubs und gegebenenfalls andere relevante Arbeitsbedingungen umfassen. Ein Arbeitgeber sollte weder Anwerbungsgebühren erheben noch </w:t>
            </w:r>
            <w:r>
              <w:lastRenderedPageBreak/>
              <w:t xml:space="preserve">Arbeitnehmern verbieten dürfen, außerhalb des mit ihm festgelegten Arbeitsplans eine Beschäftigung bei </w:t>
            </w:r>
            <w:r>
              <w:t>anderen Arbeitgebern aufzunehmen, noch sie benachteiligen, falls sie dies tun. Arbeitgeber, die am EU-Talentpool teilnehmen, sollten bei der Entsendung von Arbeitnehmern im Rahmen der Erbringung von Dienstleistungen die Richtlinie 96/71/EG</w:t>
            </w:r>
            <w:r>
              <w:rPr>
                <w:vertAlign w:val="superscript"/>
              </w:rPr>
              <w:t>18</w:t>
            </w:r>
            <w:r>
              <w:t xml:space="preserve">in der Fassung </w:t>
            </w:r>
            <w:r>
              <w:t>der Richtlinie (EU) 2018/957 einhalten, insbesondere in Bezug auf die darin festgelegten Arbeits- und Beschäftigungsbedingungen, etwa die Verpflichtung, dass Arbeitnehmer aus Drittstaaten nur dann in einen Mitgliedstaat entsandt werden dürfen, wenn sie rec</w:t>
            </w:r>
            <w:r>
              <w:t>htmäßig und gewöhnlich in einem anderen Mitgliedstaat beschäftigt sind.</w:t>
            </w:r>
          </w:p>
        </w:tc>
        <w:tc>
          <w:tcPr>
            <w:tcW w:w="4876" w:type="dxa"/>
            <w:tcBorders>
              <w:top w:val="nil"/>
              <w:left w:val="nil"/>
              <w:bottom w:val="nil"/>
              <w:right w:val="nil"/>
            </w:tcBorders>
          </w:tcPr>
          <w:p w:rsidR="00BC254A" w:rsidRDefault="007914A5">
            <w:pPr>
              <w:pStyle w:val="Normal6a"/>
            </w:pPr>
            <w:r>
              <w:lastRenderedPageBreak/>
              <w:t>(23)</w:t>
            </w:r>
            <w:r>
              <w:tab/>
              <w:t>Die Internationale Arbeitsorganisation (IAO) legt in ihren „Allgemeinen Grundsätzen und operativen Leitlinien für faire Einstellungsverfahren“ eine Reihe von Standards für einen a</w:t>
            </w:r>
            <w:r>
              <w:t>ngemessenen Schutz von Arbeitsuchenden aus Drittstaaten vor unlauteren Einstellungsverfahren fest. Arbeitgeber sollten die geltenden Rechtsvorschriften und Gepflogenheiten der Union einhalten. Ferner sollten die Arbeitgeber die Gleichbehandlung von Arbeits</w:t>
            </w:r>
            <w:r>
              <w:t>uchenden aus Drittstaaten und Staatsangehörigen des teilnehmenden Mitgliedstaats gemäß den Richtlinien 2011/98/EU</w:t>
            </w:r>
            <w:r>
              <w:rPr>
                <w:vertAlign w:val="superscript"/>
              </w:rPr>
              <w:t>13</w:t>
            </w:r>
            <w:r>
              <w:t>, 2014/36/EU</w:t>
            </w:r>
            <w:r>
              <w:rPr>
                <w:vertAlign w:val="superscript"/>
              </w:rPr>
              <w:t>14</w:t>
            </w:r>
            <w:r>
              <w:t>, 2021/1883/EU</w:t>
            </w:r>
            <w:r>
              <w:rPr>
                <w:vertAlign w:val="superscript"/>
              </w:rPr>
              <w:t>15</w:t>
            </w:r>
            <w:r>
              <w:t xml:space="preserve"> und 2016/801/EU</w:t>
            </w:r>
            <w:r>
              <w:rPr>
                <w:vertAlign w:val="superscript"/>
              </w:rPr>
              <w:t>16</w:t>
            </w:r>
            <w:r>
              <w:t xml:space="preserve"> sicherstellen. Gemäß der Richtlinie 2019/1152/EU</w:t>
            </w:r>
            <w:r>
              <w:rPr>
                <w:vertAlign w:val="superscript"/>
              </w:rPr>
              <w:t>17</w:t>
            </w:r>
            <w:r>
              <w:t xml:space="preserve"> sollten Arbeitgeber, die am EU-Talentpool</w:t>
            </w:r>
            <w:r>
              <w:t xml:space="preserve"> teilnehmen, registrierte Arbeitsuchende aus Drittstaaten zu Beginn des Beschäftigungsverhältnisses schriftlich und in verständlicher Sprache über ihre Rechte und Pflichten informieren, die sich aus dem Beschäftigungsverhältnis ergeben. Diese Informationen</w:t>
            </w:r>
            <w:r>
              <w:t xml:space="preserve"> sollten mindestens den Ort und die Art der Tätigkeit, die Beschäftigungsdauer, </w:t>
            </w:r>
            <w:r>
              <w:rPr>
                <w:b/>
                <w:i/>
              </w:rPr>
              <w:t>das Recht auf Beendigung des Vertrags,</w:t>
            </w:r>
            <w:r>
              <w:t xml:space="preserve"> die Vergütung, die Arbeitszeiten, die Dauer des bezahlten Urlaubs und gegebenenfalls andere relevante Arbeitsbedingungen umfassen. Ein Ar</w:t>
            </w:r>
            <w:r>
              <w:t xml:space="preserve">beitgeber sollte weder Anwerbungsgebühren erheben noch </w:t>
            </w:r>
            <w:r>
              <w:lastRenderedPageBreak/>
              <w:t>Arbeitnehmern verbieten dürfen, außerhalb des mit ihm festgelegten Arbeitsplans eine Beschäftigung bei anderen Arbeitgebern aufzunehmen, noch sie benachteiligen, falls sie dies tun. Arbeitgeber, die am</w:t>
            </w:r>
            <w:r>
              <w:t xml:space="preserve"> EU-Talentpool teilnehmen, sollten bei der Entsendung von Arbeitnehmern im Rahmen der Erbringung von Dienstleistungen die Richtlinie 96/71/EG</w:t>
            </w:r>
            <w:r>
              <w:rPr>
                <w:vertAlign w:val="superscript"/>
              </w:rPr>
              <w:t>18</w:t>
            </w:r>
            <w:r>
              <w:t xml:space="preserve"> in der Fassung der Richtlinie (EU) 2018/957 einhalten, insbesondere in Bezug auf die darin festgelegten Arbeits-</w:t>
            </w:r>
            <w:r>
              <w:t xml:space="preserve"> und Beschäftigungsbedingungen, etwa die Verpflichtung, dass Arbeitnehmer aus Drittstaaten nur dann in einen Mitgliedstaat entsandt werden dürfen, wenn sie rechtmäßig und gewöhnlich in einem anderen Mitgliedstaat beschäftigt sind.</w:t>
            </w:r>
          </w:p>
        </w:tc>
      </w:tr>
      <w:tr w:rsidR="00BC254A">
        <w:trPr>
          <w:jc w:val="center"/>
        </w:trPr>
        <w:tc>
          <w:tcPr>
            <w:tcW w:w="4876" w:type="dxa"/>
            <w:tcBorders>
              <w:top w:val="nil"/>
              <w:left w:val="nil"/>
              <w:bottom w:val="nil"/>
              <w:right w:val="nil"/>
            </w:tcBorders>
          </w:tcPr>
          <w:p w:rsidR="00BC254A" w:rsidRDefault="007914A5">
            <w:pPr>
              <w:pStyle w:val="Normal6a"/>
            </w:pPr>
            <w:r>
              <w:rPr>
                <w:b/>
                <w:i/>
              </w:rPr>
              <w:lastRenderedPageBreak/>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13</w:t>
            </w:r>
            <w:r>
              <w:t xml:space="preserve"> Richtlinie 2011/98/EU des Europäischen Parlaments und des Rates vom 13. Dezember 2011 über ein einheitliches Verfahren zur Beantragung einer kombinierten Erlaubnis für Drittstaatsangehörige, sich im Hoheitsgebiet eines Mitgliedstaats </w:t>
            </w:r>
            <w:r>
              <w:t>aufzuhalten und zu arbeiten, sowie über ein gemeinsames Bündel von Rechten für Drittstaatsarbeitnehmer, die sich rechtmäßig in einem Mitgliedstaat aufhalten (ABl. L 343 vom 23.12.2011, S. 1, ELI: http://data.europa.eu/eli/dir/2011/98/oj).</w:t>
            </w:r>
          </w:p>
        </w:tc>
        <w:tc>
          <w:tcPr>
            <w:tcW w:w="4876" w:type="dxa"/>
            <w:tcBorders>
              <w:top w:val="nil"/>
              <w:left w:val="nil"/>
              <w:bottom w:val="nil"/>
              <w:right w:val="nil"/>
            </w:tcBorders>
          </w:tcPr>
          <w:p w:rsidR="00BC254A" w:rsidRDefault="007914A5">
            <w:pPr>
              <w:pStyle w:val="Normal6a"/>
            </w:pPr>
            <w:r>
              <w:rPr>
                <w:vertAlign w:val="superscript"/>
              </w:rPr>
              <w:t>13</w:t>
            </w:r>
            <w:r>
              <w:t xml:space="preserve"> Richtlinie 201</w:t>
            </w:r>
            <w:r>
              <w:t>1/98/EU des Europäischen Parlaments und des Rates vom 13. Dezember 2011 über ein einheitliches Verfahren zur Beantragung einer kombinierten Erlaubnis für Drittstaatsangehörige, sich im Hoheitsgebiet eines Mitgliedstaats aufzuhalten und zu arbeiten, sowie ü</w:t>
            </w:r>
            <w:r>
              <w:t>ber ein gemeinsames Bündel von Rechten für Drittstaatsarbeitnehmer, die sich rechtmäßig in einem Mitgliedstaat aufhalten (ABl. L 343 vom 23.12.2011, S. 1, ELI: http://data.europa.eu/eli/dir/2011/98/oj).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14</w:t>
            </w:r>
            <w:r>
              <w:t xml:space="preserve"> Richtlinie 2014/36/EU des Europäischen Parlaments</w:t>
            </w:r>
            <w:r>
              <w:t xml:space="preserve"> und des Rates vom 26. Februar 2014 über die Bedingungen für die Einreise und den Aufenthalt von Drittstaatsangehörigen zwecks Beschäftigung als Saisonarbeitnehmer (ABl. L 94 vom 28.3.2014, S. 375, ELI: http://data.europa.eu/eli/dir/2014/36/oj).</w:t>
            </w:r>
          </w:p>
        </w:tc>
        <w:tc>
          <w:tcPr>
            <w:tcW w:w="4876" w:type="dxa"/>
            <w:tcBorders>
              <w:top w:val="nil"/>
              <w:left w:val="nil"/>
              <w:bottom w:val="nil"/>
              <w:right w:val="nil"/>
            </w:tcBorders>
          </w:tcPr>
          <w:p w:rsidR="00BC254A" w:rsidRDefault="007914A5">
            <w:pPr>
              <w:pStyle w:val="Normal6a"/>
            </w:pPr>
            <w:r>
              <w:rPr>
                <w:vertAlign w:val="superscript"/>
              </w:rPr>
              <w:t>14</w:t>
            </w:r>
            <w:r>
              <w:t xml:space="preserve"> Richtli</w:t>
            </w:r>
            <w:r>
              <w:t>nie 2014/36/EU des Europäischen Parlaments und des Rates vom 26. Februar 2014 über die Bedingungen für die Einreise und den Aufenthalt von Drittstaatsangehörigen zwecks Beschäftigung als Saisonarbeitnehmer (ABl. L 94 vom 28.3.2014, S. 375, ELI: http://data</w:t>
            </w:r>
            <w:r>
              <w:t>.europa.eu/eli/dir/2014/36/oj).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15</w:t>
            </w:r>
            <w:r>
              <w:t xml:space="preserve"> Richtlinie (EU) 2021/1883 des Europäischen Parlaments und des Rates vom 20. Oktober 2021 über die Bedingungen für die Einreise und den Aufenthalt von Drittstaatsangehörigen zur </w:t>
            </w:r>
            <w:r>
              <w:lastRenderedPageBreak/>
              <w:t>Ausübung einer hoch qualifizierten Beschäft</w:t>
            </w:r>
            <w:r>
              <w:t>igung und zur Aufhebung der Richtlinie 2009/50/EG des Rates (ABl. L 382 vom 28.10.2021, S. 1, ELI: http://data.europa.eu/eli/dir/2021/1883/oj).</w:t>
            </w:r>
          </w:p>
        </w:tc>
        <w:tc>
          <w:tcPr>
            <w:tcW w:w="4876" w:type="dxa"/>
            <w:tcBorders>
              <w:top w:val="nil"/>
              <w:left w:val="nil"/>
              <w:bottom w:val="nil"/>
              <w:right w:val="nil"/>
            </w:tcBorders>
          </w:tcPr>
          <w:p w:rsidR="00BC254A" w:rsidRDefault="007914A5">
            <w:pPr>
              <w:pStyle w:val="Normal6a"/>
            </w:pPr>
            <w:r>
              <w:rPr>
                <w:vertAlign w:val="superscript"/>
              </w:rPr>
              <w:lastRenderedPageBreak/>
              <w:t>15</w:t>
            </w:r>
            <w:r>
              <w:t xml:space="preserve"> Richtlinie (EU) 2021/1883 des Europäischen Parlaments und des Rates vom 20. Oktober 2021 über die Bedingungen</w:t>
            </w:r>
            <w:r>
              <w:t xml:space="preserve"> für die Einreise und den Aufenthalt von Drittstaatsangehörigen zur </w:t>
            </w:r>
            <w:r>
              <w:lastRenderedPageBreak/>
              <w:t>Ausübung einer hoch qualifizierten Beschäftigung und zur Aufhebung der Richtlinie 2009/50/EG des Rates (ABl. L 382 vom 28.10.2021, S. 1, ELI: http://data.europa.eu/eli/dir/2021/1883/oj).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lastRenderedPageBreak/>
              <w:t>16</w:t>
            </w:r>
            <w:r>
              <w:t xml:space="preserve"> Richtlinie (EU) 2016/801 des Europäischen Parlaments und des Rates vom 11. Mai 2016 über die Bedingungen für die Einreise und den Aufenthalt von Drittstaatsangehörigen zu Forschungs- oder Studienzwecken, zur Absolvierung eines Praktikums, zur Teilnahme </w:t>
            </w:r>
            <w:r>
              <w:t>an einem Freiwilligendienst, Schüleraustauschprogrammen oder Bildungsvorhaben und zur Ausübung einer Au-pair-Tätigkeit (Neufassung) (ABl. L 132 vom 21.5.2016, S. 21, ELI: http://data.europa.eu/eli/dir/2016/801/oj).</w:t>
            </w:r>
          </w:p>
        </w:tc>
        <w:tc>
          <w:tcPr>
            <w:tcW w:w="4876" w:type="dxa"/>
            <w:tcBorders>
              <w:top w:val="nil"/>
              <w:left w:val="nil"/>
              <w:bottom w:val="nil"/>
              <w:right w:val="nil"/>
            </w:tcBorders>
          </w:tcPr>
          <w:p w:rsidR="00BC254A" w:rsidRDefault="007914A5">
            <w:pPr>
              <w:pStyle w:val="Normal6a"/>
            </w:pPr>
            <w:r>
              <w:rPr>
                <w:vertAlign w:val="superscript"/>
              </w:rPr>
              <w:t>16</w:t>
            </w:r>
            <w:r>
              <w:t xml:space="preserve"> Richtlinie (EU) 2016/801 des Europäisc</w:t>
            </w:r>
            <w:r>
              <w:t>hen Parlaments und des Rates vom 11. Mai 2016 über die Bedingungen für die Einreise und den Aufenthalt von Drittstaatsangehörigen zu Forschungs- oder Studienzwecken, zur Absolvierung eines Praktikums, zur Teilnahme an einem Freiwilligendienst, Schülerausta</w:t>
            </w:r>
            <w:r>
              <w:t>uschprogrammen oder Bildungsvorhaben und zur Ausübung einer Au-pair-Tätigkeit (Neufassung) (ABl. L 132 vom 21.5.2016, S. 21, ELI: http://data.europa.eu/eli/dir/2016/801/oj).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17</w:t>
            </w:r>
            <w:r>
              <w:t xml:space="preserve"> Richtlinie (EU) 2019/1152 des Europäischen Parlaments und des Rates vom 20. Ju</w:t>
            </w:r>
            <w:r>
              <w:t>ni 2019 über transparente und vorhersehbare Arbeitsbedingungen in der Europäischen Union (ABl. L 186 vom 11.7.2019, S. 105, ELI: http://data.europa.eu/eli/dir/2019/1152/oj).</w:t>
            </w:r>
          </w:p>
        </w:tc>
        <w:tc>
          <w:tcPr>
            <w:tcW w:w="4876" w:type="dxa"/>
            <w:tcBorders>
              <w:top w:val="nil"/>
              <w:left w:val="nil"/>
              <w:bottom w:val="nil"/>
              <w:right w:val="nil"/>
            </w:tcBorders>
          </w:tcPr>
          <w:p w:rsidR="00BC254A" w:rsidRDefault="007914A5">
            <w:pPr>
              <w:pStyle w:val="Normal6a"/>
            </w:pPr>
            <w:r>
              <w:rPr>
                <w:vertAlign w:val="superscript"/>
              </w:rPr>
              <w:t>17</w:t>
            </w:r>
            <w:r>
              <w:t xml:space="preserve"> Richtlinie (EU) 2019/1152 des Europäischen Parlaments und des Rates vom 20. Jun</w:t>
            </w:r>
            <w:r>
              <w:t>i 2019 über transparente und vorhersehbare Arbeitsbedingungen in der Europäischen Union (ABl. L 186 vom 11.7.2019, S. 105, ELI: http://data.europa.eu/eli/dir/2019/1152/oj).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18</w:t>
            </w:r>
            <w:r>
              <w:t xml:space="preserve"> Richtlinie 96/71/EG des Europäischen Parlaments und des Rates vom 16. Dezember </w:t>
            </w:r>
            <w:r>
              <w:t>1996 über die Entsendung von Arbeitnehmern im Rahmen der Erbringung von Dienstleistungen (ABl. L 18 vom 21.1.1997, S. 1, ELI: http://data.europa.eu/eli/dir/1996/71/oj).</w:t>
            </w:r>
          </w:p>
        </w:tc>
        <w:tc>
          <w:tcPr>
            <w:tcW w:w="4876" w:type="dxa"/>
            <w:tcBorders>
              <w:top w:val="nil"/>
              <w:left w:val="nil"/>
              <w:bottom w:val="nil"/>
              <w:right w:val="nil"/>
            </w:tcBorders>
          </w:tcPr>
          <w:p w:rsidR="00BC254A" w:rsidRDefault="007914A5">
            <w:pPr>
              <w:pStyle w:val="Normal6a"/>
            </w:pPr>
            <w:r>
              <w:rPr>
                <w:vertAlign w:val="superscript"/>
              </w:rPr>
              <w:t>18</w:t>
            </w:r>
            <w:r>
              <w:t xml:space="preserve"> Richtlinie 96/71/EG des Europäischen Parlaments und des Rates vom 16. Dezember 1996 </w:t>
            </w:r>
            <w:r>
              <w:t>über die Entsendung von Arbeitnehmern im Rahmen der Erbringung von Dienstleistungen (ABl. L 18 vom 21.1.1997, S. 1, ELI: http://data.europa.eu/eli/dir/1996/71/oj).</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254</w:t>
      </w:r>
      <w:r>
        <w:rPr>
          <w:rStyle w:val="HideTWBExt"/>
        </w:rPr>
        <w:t>&lt;/NumAmB&gt;</w:t>
      </w:r>
    </w:p>
    <w:p w:rsidR="00BC254A" w:rsidRDefault="007914A5">
      <w:pPr>
        <w:pStyle w:val="NormalBold"/>
      </w:pPr>
      <w:r>
        <w:rPr>
          <w:rStyle w:val="HideTWBExt"/>
          <w:b w:val="0"/>
        </w:rPr>
        <w:t>&lt;Re</w:t>
      </w:r>
      <w:r>
        <w:rPr>
          <w:rStyle w:val="HideTWBExt"/>
          <w:b w:val="0"/>
        </w:rPr>
        <w:t>peatBlock-By&gt;&lt;Members&gt;</w:t>
      </w:r>
      <w:r>
        <w:t>François-Xavier Bellamy</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(23)</w:t>
            </w:r>
            <w:r>
              <w:tab/>
              <w:t xml:space="preserve">Die Internationale Arbeitsorganisation (IAO) legt </w:t>
            </w:r>
            <w:r>
              <w:t xml:space="preserve">in ihren </w:t>
            </w:r>
            <w:r>
              <w:lastRenderedPageBreak/>
              <w:t>„Allgemeinen Grundsätzen und operativen Leitlinien für faire Einstellungsverfahren“ eine Reihe von Standards für einen angemessenen Schutz von Arbeitsuchenden aus Drittstaaten vor unlauteren Einstellungsverfahren fest. Arbeitgeber sollten die gelt</w:t>
            </w:r>
            <w:r>
              <w:t>enden Rechtsvorschriften und Gepflogenheiten der Union einhalten. Ferner sollten die Arbeitgeber die Gleichbehandlung von Arbeitsuchenden aus Drittstaaten und Staatsangehörigen des teilnehmenden Mitgliedstaats gemäß den Richtlinien 2011/98/EU</w:t>
            </w:r>
            <w:r>
              <w:rPr>
                <w:vertAlign w:val="superscript"/>
              </w:rPr>
              <w:t>13</w:t>
            </w:r>
            <w:r>
              <w:t>, 2014/36/EU</w:t>
            </w:r>
            <w:r>
              <w:rPr>
                <w:vertAlign w:val="superscript"/>
              </w:rPr>
              <w:t>14</w:t>
            </w:r>
            <w:r>
              <w:t>, 2021/1883/EU</w:t>
            </w:r>
            <w:r>
              <w:rPr>
                <w:vertAlign w:val="superscript"/>
              </w:rPr>
              <w:t>15</w:t>
            </w:r>
            <w:r>
              <w:t>und 2016/801/EU</w:t>
            </w:r>
            <w:r>
              <w:rPr>
                <w:vertAlign w:val="superscript"/>
              </w:rPr>
              <w:t>16</w:t>
            </w:r>
            <w:r>
              <w:t>sicherstellen. Gemäß der Richtlinie 2019/1152/EU</w:t>
            </w:r>
            <w:r>
              <w:rPr>
                <w:vertAlign w:val="superscript"/>
              </w:rPr>
              <w:t>17</w:t>
            </w:r>
            <w:r>
              <w:t xml:space="preserve">sollten Arbeitgeber, die am EU-Talentpool teilnehmen, registrierte Arbeitsuchende aus Drittstaaten zu Beginn des Beschäftigungsverhältnisses schriftlich und in </w:t>
            </w:r>
            <w:r>
              <w:rPr>
                <w:b/>
                <w:i/>
              </w:rPr>
              <w:t>verständlic</w:t>
            </w:r>
            <w:r>
              <w:rPr>
                <w:b/>
                <w:i/>
              </w:rPr>
              <w:t>her Sprache</w:t>
            </w:r>
            <w:r>
              <w:t xml:space="preserve"> über ihre Rechte und Pflichten informieren, die sich aus dem Beschäftigungsverhältnis ergeben. Diese Informationen sollten mindestens den Ort und die Art der Tätigkeit, die Beschäftigungsdauer, die Vergütung, die Arbeitszeiten, die Dauer des be</w:t>
            </w:r>
            <w:r>
              <w:t>zahlten Urlaubs und gegebenenfalls andere relevante Arbeitsbedingungen umfassen. Ein Arbeitgeber sollte weder Anwerbungsgebühren erheben noch Arbeitnehmern verbieten dürfen, außerhalb des mit ihm festgelegten Arbeitsplans eine Beschäftigung bei anderen Arb</w:t>
            </w:r>
            <w:r>
              <w:t>eitgebern aufzunehmen, noch sie benachteiligen, falls sie dies tun. Arbeitgeber, die am EU-Talentpool teilnehmen, sollten bei der Entsendung von Arbeitnehmern im Rahmen der Erbringung von Dienstleistungen die Richtlinie 96/71/EG</w:t>
            </w:r>
            <w:r>
              <w:rPr>
                <w:vertAlign w:val="superscript"/>
              </w:rPr>
              <w:t>18</w:t>
            </w:r>
            <w:r>
              <w:t>in der Fassung der Richtli</w:t>
            </w:r>
            <w:r>
              <w:t xml:space="preserve">nie (EU) 2018/957 einhalten, insbesondere in Bezug auf die darin festgelegten Arbeits- und Beschäftigungsbedingungen, etwa die Verpflichtung, dass Arbeitnehmer aus Drittstaaten nur dann in einen Mitgliedstaat entsandt werden dürfen, wenn sie </w:t>
            </w:r>
            <w:r>
              <w:lastRenderedPageBreak/>
              <w:t>rechtmäßig und</w:t>
            </w:r>
            <w:r>
              <w:t xml:space="preserve"> gewöhnlich in einem anderen Mitgliedstaat beschäftigt sind.</w:t>
            </w:r>
          </w:p>
        </w:tc>
        <w:tc>
          <w:tcPr>
            <w:tcW w:w="4876" w:type="dxa"/>
            <w:tcBorders>
              <w:top w:val="nil"/>
              <w:left w:val="nil"/>
              <w:bottom w:val="nil"/>
              <w:right w:val="nil"/>
            </w:tcBorders>
          </w:tcPr>
          <w:p w:rsidR="00BC254A" w:rsidRDefault="007914A5">
            <w:pPr>
              <w:pStyle w:val="Normal6a"/>
            </w:pPr>
            <w:r>
              <w:lastRenderedPageBreak/>
              <w:t>(23)</w:t>
            </w:r>
            <w:r>
              <w:tab/>
              <w:t xml:space="preserve">Die Internationale Arbeitsorganisation (IAO) legt in ihren </w:t>
            </w:r>
            <w:r>
              <w:lastRenderedPageBreak/>
              <w:t>„Allgemeinen Grundsätzen und operativen Leitlinien für faire Einstellungsverfahren“ eine Reihe von Standards für einen angemessenen</w:t>
            </w:r>
            <w:r>
              <w:t xml:space="preserve"> Schutz von Arbeitsuchenden aus Drittstaaten vor unlauteren Einstellungsverfahren fest. Arbeitgeber sollten die geltenden Rechtsvorschriften und Gepflogenheiten der Union einhalten. Ferner sollten die Arbeitgeber die Gleichbehandlung von Arbeitsuchenden au</w:t>
            </w:r>
            <w:r>
              <w:t>s Drittstaaten und Staatsangehörigen des teilnehmenden Mitgliedstaats gemäß den Richtlinien 2011/98/EU</w:t>
            </w:r>
            <w:r>
              <w:rPr>
                <w:vertAlign w:val="superscript"/>
              </w:rPr>
              <w:t>13</w:t>
            </w:r>
            <w:r>
              <w:t>, 2014/36/EU</w:t>
            </w:r>
            <w:r>
              <w:rPr>
                <w:vertAlign w:val="superscript"/>
              </w:rPr>
              <w:t>14</w:t>
            </w:r>
            <w:r>
              <w:t>, 2021/1883/EU</w:t>
            </w:r>
            <w:r>
              <w:rPr>
                <w:vertAlign w:val="superscript"/>
              </w:rPr>
              <w:t>15</w:t>
            </w:r>
            <w:r>
              <w:t xml:space="preserve"> und 2016/801/EU</w:t>
            </w:r>
            <w:r>
              <w:rPr>
                <w:vertAlign w:val="superscript"/>
              </w:rPr>
              <w:t>16</w:t>
            </w:r>
            <w:r>
              <w:t xml:space="preserve"> sicherstellen. Gemäß der Richtlinie 2019/1152/EU</w:t>
            </w:r>
            <w:r>
              <w:rPr>
                <w:vertAlign w:val="superscript"/>
              </w:rPr>
              <w:t>17</w:t>
            </w:r>
            <w:r>
              <w:t xml:space="preserve"> sollten Arbeitgeber, die am EU-Talentpool teilnehmen</w:t>
            </w:r>
            <w:r>
              <w:t xml:space="preserve">, registrierte Arbeitsuchende aus Drittstaaten zu Beginn des Beschäftigungsverhältnisses schriftlich und in </w:t>
            </w:r>
            <w:r>
              <w:rPr>
                <w:b/>
                <w:i/>
              </w:rPr>
              <w:t>einer der Amtssprachen der EU</w:t>
            </w:r>
            <w:r>
              <w:t xml:space="preserve"> über ihre Rechte und Pflichten informieren, die sich aus dem Beschäftigungsverhältnis ergeben. Diese Informationen sol</w:t>
            </w:r>
            <w:r>
              <w:t>lten mindestens den Ort und die Art der Tätigkeit, die Beschäftigungsdauer, die Vergütung, die Arbeitszeiten, die Dauer des bezahlten Urlaubs und gegebenenfalls andere relevante Arbeitsbedingungen umfassen. Ein Arbeitgeber sollte weder Anwerbungsgebühren e</w:t>
            </w:r>
            <w:r>
              <w:t xml:space="preserve">rheben noch Arbeitnehmern verbieten dürfen, außerhalb des mit ihm festgelegten Arbeitsplans eine Beschäftigung bei anderen Arbeitgebern aufzunehmen, noch sie benachteiligen, falls sie dies tun. Arbeitgeber, die am EU-Talentpool teilnehmen, sollten bei der </w:t>
            </w:r>
            <w:r>
              <w:t>Entsendung von Arbeitnehmern im Rahmen der Erbringung von Dienstleistungen die Richtlinie 96/71/EG</w:t>
            </w:r>
            <w:r>
              <w:rPr>
                <w:vertAlign w:val="superscript"/>
              </w:rPr>
              <w:t>18</w:t>
            </w:r>
            <w:r>
              <w:t xml:space="preserve"> in der Fassung der Richtlinie (EU) 2018/957 einhalten, insbesondere in Bezug auf die darin festgelegten Arbeits- und Beschäftigungsbedingungen, etwa die Ve</w:t>
            </w:r>
            <w:r>
              <w:t xml:space="preserve">rpflichtung, dass Arbeitnehmer aus Drittstaaten nur dann in einen Mitgliedstaat entsandt werden dürfen, wenn sie rechtmäßig und gewöhnlich in einem </w:t>
            </w:r>
            <w:r>
              <w:lastRenderedPageBreak/>
              <w:t>anderen Mitgliedstaat beschäftigt sind.</w:t>
            </w:r>
          </w:p>
        </w:tc>
      </w:tr>
      <w:tr w:rsidR="00BC254A">
        <w:trPr>
          <w:jc w:val="center"/>
        </w:trPr>
        <w:tc>
          <w:tcPr>
            <w:tcW w:w="4876" w:type="dxa"/>
            <w:tcBorders>
              <w:top w:val="nil"/>
              <w:left w:val="nil"/>
              <w:bottom w:val="nil"/>
              <w:right w:val="nil"/>
            </w:tcBorders>
          </w:tcPr>
          <w:p w:rsidR="00BC254A" w:rsidRDefault="007914A5">
            <w:pPr>
              <w:pStyle w:val="Normal6a"/>
            </w:pPr>
            <w:r>
              <w:rPr>
                <w:b/>
                <w:i/>
              </w:rPr>
              <w:lastRenderedPageBreak/>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13</w:t>
            </w:r>
            <w:r>
              <w:t xml:space="preserve"> Richtlinie 2011/98/EU des </w:t>
            </w:r>
            <w:r>
              <w:t>Europäischen Parlaments und des Rates vom 13. Dezember 2011 über ein einheitliches Verfahren zur Beantragung einer kombinierten Erlaubnis für Drittstaatsangehörige, sich im Hoheitsgebiet eines Mitgliedstaats aufzuhalten und zu arbeiten, sowie über ein geme</w:t>
            </w:r>
            <w:r>
              <w:t>insames Bündel von Rechten für Drittstaatsarbeitnehmer, die sich rechtmäßig in einem Mitgliedstaat aufhalten (ABl. L 343 vom 23.12.2011, S. 1, ELI: http://data.europa.eu/eli/dir/2011/98/oj).</w:t>
            </w:r>
          </w:p>
        </w:tc>
        <w:tc>
          <w:tcPr>
            <w:tcW w:w="4876" w:type="dxa"/>
            <w:tcBorders>
              <w:top w:val="nil"/>
              <w:left w:val="nil"/>
              <w:bottom w:val="nil"/>
              <w:right w:val="nil"/>
            </w:tcBorders>
          </w:tcPr>
          <w:p w:rsidR="00BC254A" w:rsidRDefault="007914A5">
            <w:pPr>
              <w:pStyle w:val="Normal6a"/>
            </w:pPr>
            <w:r>
              <w:rPr>
                <w:vertAlign w:val="superscript"/>
              </w:rPr>
              <w:t>13</w:t>
            </w:r>
            <w:r>
              <w:t xml:space="preserve"> Richtlinie 2011/98/EU des Europäischen Parlaments und des Rate</w:t>
            </w:r>
            <w:r>
              <w:t>s vom 13. Dezember 2011 über ein einheitliches Verfahren zur Beantragung einer kombinierten Erlaubnis für Drittstaatsangehörige, sich im Hoheitsgebiet eines Mitgliedstaats aufzuhalten und zu arbeiten, sowie über ein gemeinsames Bündel von Rechten für Dritt</w:t>
            </w:r>
            <w:r>
              <w:t>staatsarbeitnehmer, die sich rechtmäßig in einem Mitgliedstaat aufhalten (ABl. L 343 vom 23.12.2011, S. 1, ELI: http://data.europa.eu/eli/dir/2011/98/oj).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14</w:t>
            </w:r>
            <w:r>
              <w:t xml:space="preserve"> Richtlinie 2014/36/EU des Europäischen Parlaments und des Rates vom 26. Februar 2014 über die Bed</w:t>
            </w:r>
            <w:r>
              <w:t>ingungen für die Einreise und den Aufenthalt von Drittstaatsangehörigen zwecks Beschäftigung als Saisonarbeitnehmer (ABl. L 94 vom 28.3.2014, S. 375, ELI: http://data.europa.eu/eli/dir/2014/36/oj).</w:t>
            </w:r>
          </w:p>
        </w:tc>
        <w:tc>
          <w:tcPr>
            <w:tcW w:w="4876" w:type="dxa"/>
            <w:tcBorders>
              <w:top w:val="nil"/>
              <w:left w:val="nil"/>
              <w:bottom w:val="nil"/>
              <w:right w:val="nil"/>
            </w:tcBorders>
          </w:tcPr>
          <w:p w:rsidR="00BC254A" w:rsidRDefault="007914A5">
            <w:pPr>
              <w:pStyle w:val="Normal6a"/>
            </w:pPr>
            <w:r>
              <w:rPr>
                <w:vertAlign w:val="superscript"/>
              </w:rPr>
              <w:t>14</w:t>
            </w:r>
            <w:r>
              <w:t xml:space="preserve"> Richtlinie 2014/36/EU des Europäischen Parlaments und d</w:t>
            </w:r>
            <w:r>
              <w:t>es Rates vom 26. Februar 2014 über die Bedingungen für die Einreise und den Aufenthalt von Drittstaatsangehörigen zwecks Beschäftigung als Saisonarbeitnehmer (ABl. L 94 vom 28.3.2014, S. 375, ELI: http://data.europa.eu/eli/dir/2014/36/oj).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15</w:t>
            </w:r>
            <w:r>
              <w:t xml:space="preserve"> Richtlinie (</w:t>
            </w:r>
            <w:r>
              <w:t>EU) 2021/1883 des Europäischen Parlaments und des Rates vom 20. Oktober 2021 über die Bedingungen für die Einreise und den Aufenthalt von Drittstaatsangehörigen zur Ausübung einer hoch qualifizierten Beschäftigung und zur Aufhebung der Richtlinie 2009/50/E</w:t>
            </w:r>
            <w:r>
              <w:t>G des Rates (ABl. L 382 vom 28.10.2021, S. 1, ELI: http://data.europa.eu/eli/dir/2021/1883/oj).</w:t>
            </w:r>
          </w:p>
        </w:tc>
        <w:tc>
          <w:tcPr>
            <w:tcW w:w="4876" w:type="dxa"/>
            <w:tcBorders>
              <w:top w:val="nil"/>
              <w:left w:val="nil"/>
              <w:bottom w:val="nil"/>
              <w:right w:val="nil"/>
            </w:tcBorders>
          </w:tcPr>
          <w:p w:rsidR="00BC254A" w:rsidRDefault="007914A5">
            <w:pPr>
              <w:pStyle w:val="Normal6a"/>
            </w:pPr>
            <w:r>
              <w:rPr>
                <w:vertAlign w:val="superscript"/>
              </w:rPr>
              <w:t>15</w:t>
            </w:r>
            <w:r>
              <w:t xml:space="preserve"> Richtlinie (EU) 2021/1883 des Europäischen Parlaments und des Rates vom 20. Oktober 2021 über die Bedingungen für die Einreise und den Aufenthalt von Drittst</w:t>
            </w:r>
            <w:r>
              <w:t>aatsangehörigen zur Ausübung einer hoch qualifizierten Beschäftigung und zur Aufhebung der Richtlinie 2009/50/EG des Rates (ABl. L 382 vom 28.10.2021, S. 1, ELI: http://data.europa.eu/eli/dir/2021/1883/oj).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16</w:t>
            </w:r>
            <w:r>
              <w:t xml:space="preserve"> Richtlinie (EU) 2016/801 des Europäischen Par</w:t>
            </w:r>
            <w:r>
              <w:t>laments und des Rates vom 11. Mai 2016 über die Bedingungen für die Einreise und den Aufenthalt von Drittstaatsangehörigen zu Forschungs- oder Studienzwecken, zur Absolvierung eines Praktikums, zur Teilnahme an einem Freiwilligendienst, Schüleraustauschpro</w:t>
            </w:r>
            <w:r>
              <w:t xml:space="preserve">grammen oder Bildungsvorhaben und zur Ausübung einer Au-pair-Tätigkeit (Neufassung) (ABl. L </w:t>
            </w:r>
            <w:r>
              <w:lastRenderedPageBreak/>
              <w:t>132 vom 21.5.2016, S. 21, ELI: http://data.europa.eu/eli/dir/2016/801/oj).</w:t>
            </w:r>
          </w:p>
        </w:tc>
        <w:tc>
          <w:tcPr>
            <w:tcW w:w="4876" w:type="dxa"/>
            <w:tcBorders>
              <w:top w:val="nil"/>
              <w:left w:val="nil"/>
              <w:bottom w:val="nil"/>
              <w:right w:val="nil"/>
            </w:tcBorders>
          </w:tcPr>
          <w:p w:rsidR="00BC254A" w:rsidRDefault="007914A5">
            <w:pPr>
              <w:pStyle w:val="Normal6a"/>
            </w:pPr>
            <w:r>
              <w:rPr>
                <w:vertAlign w:val="superscript"/>
              </w:rPr>
              <w:lastRenderedPageBreak/>
              <w:t>16</w:t>
            </w:r>
            <w:r>
              <w:t xml:space="preserve"> Richtlinie (EU) 2016/801 des Europäischen Parlaments und des Rates vom 11. Mai 2016 üb</w:t>
            </w:r>
            <w:r>
              <w:t>er die Bedingungen für die Einreise und den Aufenthalt von Drittstaatsangehörigen zu Forschungs- oder Studienzwecken, zur Absolvierung eines Praktikums, zur Teilnahme an einem Freiwilligendienst, Schüleraustauschprogrammen oder Bildungsvorhaben und zur Aus</w:t>
            </w:r>
            <w:r>
              <w:t xml:space="preserve">übung einer Au-pair-Tätigkeit (Neufassung) (ABl. </w:t>
            </w:r>
            <w:r>
              <w:lastRenderedPageBreak/>
              <w:t>L 132 vom 21.5.2016, S. 21, ELI: http://data.europa.eu/eli/dir/2016/801/oj).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lastRenderedPageBreak/>
              <w:t>17</w:t>
            </w:r>
            <w:r>
              <w:t xml:space="preserve"> Richtlinie (EU) 2019/1152 des Europäischen Parlaments und des Rates vom 20. Juni 2019 über transparente und vorhersehbare Arbe</w:t>
            </w:r>
            <w:r>
              <w:t>itsbedingungen in der Europäischen Union (ABl. L 186 vom 11.7.2019, S. 105, ELI: http://data.europa.eu/eli/dir/2019/1152/oj).</w:t>
            </w:r>
          </w:p>
        </w:tc>
        <w:tc>
          <w:tcPr>
            <w:tcW w:w="4876" w:type="dxa"/>
            <w:tcBorders>
              <w:top w:val="nil"/>
              <w:left w:val="nil"/>
              <w:bottom w:val="nil"/>
              <w:right w:val="nil"/>
            </w:tcBorders>
          </w:tcPr>
          <w:p w:rsidR="00BC254A" w:rsidRDefault="007914A5">
            <w:pPr>
              <w:pStyle w:val="Normal6a"/>
            </w:pPr>
            <w:r>
              <w:rPr>
                <w:vertAlign w:val="superscript"/>
              </w:rPr>
              <w:t>17</w:t>
            </w:r>
            <w:r>
              <w:t xml:space="preserve"> Richtlinie (EU) 2019/1152 des Europäischen Parlaments und des Rates vom 20. Juni 2019 über transparente und vorhersehbare Arbei</w:t>
            </w:r>
            <w:r>
              <w:t>tsbedingungen in der Europäischen Union (ABl. L 186 vom 11.7.2019, S. 105, ELI: http://data.europa.eu/eli/dir/2019/1152/oj).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18</w:t>
            </w:r>
            <w:r>
              <w:t xml:space="preserve"> Richtlinie 96/71/EG des Europäischen Parlaments und des Rates vom 16. Dezember 1996 über die Entsendung von Arbeitnehmern im Ra</w:t>
            </w:r>
            <w:r>
              <w:t>hmen der Erbringung von Dienstleistungen (ABl. L 18 vom 21.1.1997, S. 1, ELI: http://data.europa.eu/eli/dir/1996/71/oj).</w:t>
            </w:r>
          </w:p>
        </w:tc>
        <w:tc>
          <w:tcPr>
            <w:tcW w:w="4876" w:type="dxa"/>
            <w:tcBorders>
              <w:top w:val="nil"/>
              <w:left w:val="nil"/>
              <w:bottom w:val="nil"/>
              <w:right w:val="nil"/>
            </w:tcBorders>
          </w:tcPr>
          <w:p w:rsidR="00BC254A" w:rsidRDefault="007914A5">
            <w:pPr>
              <w:pStyle w:val="Normal6a"/>
            </w:pPr>
            <w:r>
              <w:rPr>
                <w:vertAlign w:val="superscript"/>
              </w:rPr>
              <w:t>18</w:t>
            </w:r>
            <w:r>
              <w:t xml:space="preserve"> Richtlinie 96/71/EG des Europäischen Parlaments und des Rates vom 16. Dezember 1996 über die Entsendung von Arbeitnehmern im Rahmen </w:t>
            </w:r>
            <w:r>
              <w:t>der Erbringung von Dienstleistungen (ABl. L 18 vom 21.1.1997, S. 1, ELI: http://data.europa.eu/eli/dir/1996/71/oj).</w:t>
            </w:r>
          </w:p>
        </w:tc>
      </w:tr>
    </w:tbl>
    <w:p w:rsidR="00BC254A" w:rsidRDefault="007914A5">
      <w:pPr>
        <w:pStyle w:val="AmOrLang"/>
      </w:pPr>
      <w:r>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255</w:t>
      </w:r>
      <w:r>
        <w:rPr>
          <w:rStyle w:val="HideTWBExt"/>
        </w:rPr>
        <w:t>&lt;/NumAmB&gt;</w:t>
      </w:r>
    </w:p>
    <w:p w:rsidR="00BC254A" w:rsidRDefault="007914A5">
      <w:pPr>
        <w:pStyle w:val="NormalBold"/>
      </w:pPr>
      <w:r>
        <w:rPr>
          <w:rStyle w:val="HideTWBExt"/>
          <w:b w:val="0"/>
        </w:rPr>
        <w:t>&lt;RepeatBlock-By&gt;&lt;Members&gt;</w:t>
      </w:r>
      <w:r>
        <w:t>Francisco Assis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(23)</w:t>
            </w:r>
            <w:r>
              <w:tab/>
            </w:r>
            <w:r>
              <w:t>Die Internationale Arbeitsorganisation (IAO) legt in ihren „Allgemeinen Grundsätzen und operativen Leitlinien für faire Einstellungsverfahren“ eine Reihe von Standards für einen angemessenen Schutz von Arbeitsuchenden aus Drittstaaten vor unlauteren Einste</w:t>
            </w:r>
            <w:r>
              <w:t>llungsverfahren fest. Arbeitgeber sollten die geltenden Rechtsvorschriften und Gepflogenheiten der Union einhalten. Ferner sollten die Arbeitgeber die Gleichbehandlung von Arbeitsuchenden aus Drittstaaten und Staatsangehörigen des teilnehmenden Mitgliedsta</w:t>
            </w:r>
            <w:r>
              <w:t xml:space="preserve">ats gemäß den </w:t>
            </w:r>
            <w:r>
              <w:rPr>
                <w:b/>
                <w:i/>
              </w:rPr>
              <w:t>Richtlinien 2011/98/EU</w:t>
            </w:r>
            <w:r>
              <w:rPr>
                <w:b/>
                <w:i/>
                <w:vertAlign w:val="superscript"/>
              </w:rPr>
              <w:t>13</w:t>
            </w:r>
            <w:r>
              <w:t>, 2014/36/EU</w:t>
            </w:r>
            <w:r>
              <w:rPr>
                <w:vertAlign w:val="superscript"/>
              </w:rPr>
              <w:t>14</w:t>
            </w:r>
            <w:r>
              <w:t>, 2021/1883/EU</w:t>
            </w:r>
            <w:r>
              <w:rPr>
                <w:vertAlign w:val="superscript"/>
              </w:rPr>
              <w:t>15</w:t>
            </w:r>
            <w:r>
              <w:t>und 2016/801/EU</w:t>
            </w:r>
            <w:r>
              <w:rPr>
                <w:vertAlign w:val="superscript"/>
              </w:rPr>
              <w:t>16</w:t>
            </w:r>
            <w:r>
              <w:t xml:space="preserve">sicherstellen. Gemäß der </w:t>
            </w:r>
            <w:r>
              <w:lastRenderedPageBreak/>
              <w:t>Richtlinie 2019/1152/EU</w:t>
            </w:r>
            <w:r>
              <w:rPr>
                <w:vertAlign w:val="superscript"/>
              </w:rPr>
              <w:t>17</w:t>
            </w:r>
            <w:r>
              <w:t>sollten Arbeitgeber, die am EU-Talentpool teilnehmen, registrierte Arbeitsuchende aus Drittstaaten zu Beginn des Beschäft</w:t>
            </w:r>
            <w:r>
              <w:t xml:space="preserve">igungsverhältnisses schriftlich und in verständlicher Sprache über ihre Rechte und Pflichten informieren, die sich aus dem Beschäftigungsverhältnis ergeben. Diese Informationen sollten mindestens den Ort und die Art der Tätigkeit, die Beschäftigungsdauer, </w:t>
            </w:r>
            <w:r>
              <w:t>die Vergütung, die Arbeitszeiten, die Dauer des bezahlten Urlaubs und gegebenenfalls andere relevante Arbeitsbedingungen umfassen. Ein Arbeitgeber sollte weder Anwerbungsgebühren erheben noch Arbeitnehmern verbieten dürfen, außerhalb des mit ihm festgelegt</w:t>
            </w:r>
            <w:r>
              <w:t>en Arbeitsplans eine Beschäftigung bei anderen Arbeitgebern aufzunehmen, noch sie benachteiligen, falls sie dies tun. Arbeitgeber, die am EU-Talentpool teilnehmen, sollten bei der Entsendung von Arbeitnehmern im Rahmen der Erbringung von Dienstleistungen d</w:t>
            </w:r>
            <w:r>
              <w:t>ie Richtlinie 96/71/EG</w:t>
            </w:r>
            <w:r>
              <w:rPr>
                <w:vertAlign w:val="superscript"/>
              </w:rPr>
              <w:t>18</w:t>
            </w:r>
            <w:r>
              <w:t>in der Fassung der Richtlinie (EU) 2018/957 einhalten, insbesondere in Bezug auf die darin festgelegten Arbeits- und Beschäftigungsbedingungen, etwa die Verpflichtung, dass Arbeitnehmer aus Drittstaaten nur dann in einen Mitgliedsta</w:t>
            </w:r>
            <w:r>
              <w:t>at entsandt werden dürfen, wenn sie rechtmäßig und gewöhnlich in einem anderen Mitgliedstaat beschäftigt sind.</w:t>
            </w:r>
          </w:p>
        </w:tc>
        <w:tc>
          <w:tcPr>
            <w:tcW w:w="4876" w:type="dxa"/>
            <w:tcBorders>
              <w:top w:val="nil"/>
              <w:left w:val="nil"/>
              <w:bottom w:val="nil"/>
              <w:right w:val="nil"/>
            </w:tcBorders>
          </w:tcPr>
          <w:p w:rsidR="00BC254A" w:rsidRDefault="007914A5">
            <w:pPr>
              <w:pStyle w:val="Normal6a"/>
            </w:pPr>
            <w:r>
              <w:lastRenderedPageBreak/>
              <w:t>(23)</w:t>
            </w:r>
            <w:r>
              <w:tab/>
              <w:t>Die Internationale Arbeitsorganisation (IAO) legt in ihren „Allgemeinen Grundsätzen und operativen Leitlinien für faire Einstellungsverfahre</w:t>
            </w:r>
            <w:r>
              <w:t>n“ eine Reihe von Standards für einen angemessenen Schutz von Arbeitsuchenden aus Drittstaaten vor unlauteren Einstellungsverfahren fest. Arbeitgeber sollten die geltenden Rechtsvorschriften und Gepflogenheiten der Union einhalten. Ferner sollten die Arbei</w:t>
            </w:r>
            <w:r>
              <w:t xml:space="preserve">tgeber die Gleichbehandlung von Arbeitsuchenden aus Drittstaaten und Staatsangehörigen des teilnehmenden Mitgliedstaats gemäß den </w:t>
            </w:r>
            <w:r>
              <w:rPr>
                <w:b/>
                <w:i/>
              </w:rPr>
              <w:t>Richtlinien (EU) 2024/1233</w:t>
            </w:r>
            <w:r>
              <w:t>, 2014/36/EU</w:t>
            </w:r>
            <w:r>
              <w:rPr>
                <w:vertAlign w:val="superscript"/>
              </w:rPr>
              <w:t>14</w:t>
            </w:r>
            <w:r>
              <w:t>, 2021/1883/EU</w:t>
            </w:r>
            <w:r>
              <w:rPr>
                <w:vertAlign w:val="superscript"/>
              </w:rPr>
              <w:t>15</w:t>
            </w:r>
            <w:r>
              <w:t xml:space="preserve"> und 2016/801/EU</w:t>
            </w:r>
            <w:r>
              <w:rPr>
                <w:vertAlign w:val="superscript"/>
              </w:rPr>
              <w:t>16</w:t>
            </w:r>
            <w:r>
              <w:t xml:space="preserve"> sicherstellen. Gemäß der Richtlinie 2019/1152/EU</w:t>
            </w:r>
            <w:r>
              <w:rPr>
                <w:vertAlign w:val="superscript"/>
              </w:rPr>
              <w:t>17</w:t>
            </w:r>
            <w:r>
              <w:t xml:space="preserve"> </w:t>
            </w:r>
            <w:r>
              <w:t xml:space="preserve">sollten </w:t>
            </w:r>
            <w:r>
              <w:lastRenderedPageBreak/>
              <w:t>Arbeitgeber, die am EU-Talentpool teilnehmen, registrierte Arbeitsuchende aus Drittstaaten zu Beginn des Beschäftigungsverhältnisses schriftlich und in verständlicher Sprache über ihre Rechte und Pflichten informieren, die sich aus dem Beschäftigun</w:t>
            </w:r>
            <w:r>
              <w:t xml:space="preserve">gsverhältnis ergeben. Diese Informationen sollten mindestens den </w:t>
            </w:r>
            <w:r>
              <w:rPr>
                <w:b/>
                <w:i/>
              </w:rPr>
              <w:t>gewöhnlichen</w:t>
            </w:r>
            <w:r>
              <w:t xml:space="preserve"> Ort und die Art der Tätigkeit, die Beschäftigungsdauer, die Vergütung, die Arbeitszeiten, die Dauer des bezahlten Urlaubs und gegebenenfalls andere relevante Arbeitsbedingungen u</w:t>
            </w:r>
            <w:r>
              <w:t>mfassen. Ein Arbeitgeber sollte weder Anwerbungsgebühren erheben noch Arbeitnehmern verbieten dürfen, außerhalb des mit ihm festgelegten Arbeitsplans eine Beschäftigung bei anderen Arbeitgebern aufzunehmen, noch sie benachteiligen, falls sie dies tun. Arbe</w:t>
            </w:r>
            <w:r>
              <w:t>itgeber, die am EU-Talentpool teilnehmen, sollten bei der Entsendung von Arbeitnehmern im Rahmen der Erbringung von Dienstleistungen die Richtlinie 96/71/EG</w:t>
            </w:r>
            <w:r>
              <w:rPr>
                <w:vertAlign w:val="superscript"/>
              </w:rPr>
              <w:t>18</w:t>
            </w:r>
            <w:r>
              <w:t xml:space="preserve"> in der Fassung der Richtlinie (EU) 2018/957 einhalten, insbesondere in Bezug auf die darin festge</w:t>
            </w:r>
            <w:r>
              <w:t>legten Arbeits- und Beschäftigungsbedingungen, etwa die Verpflichtung, dass Arbeitnehmer aus Drittstaaten nur dann in einen Mitgliedstaat entsandt werden dürfen, wenn sie rechtmäßig und gewöhnlich in einem anderen Mitgliedstaat beschäftigt sind.</w:t>
            </w:r>
          </w:p>
        </w:tc>
      </w:tr>
      <w:tr w:rsidR="00BC254A">
        <w:trPr>
          <w:jc w:val="center"/>
        </w:trPr>
        <w:tc>
          <w:tcPr>
            <w:tcW w:w="4876" w:type="dxa"/>
            <w:tcBorders>
              <w:top w:val="nil"/>
              <w:left w:val="nil"/>
              <w:bottom w:val="nil"/>
              <w:right w:val="nil"/>
            </w:tcBorders>
          </w:tcPr>
          <w:p w:rsidR="00BC254A" w:rsidRDefault="007914A5">
            <w:pPr>
              <w:pStyle w:val="Normal6a"/>
            </w:pPr>
            <w:r>
              <w:rPr>
                <w:b/>
                <w:i/>
              </w:rPr>
              <w:lastRenderedPageBreak/>
              <w:t>_________________</w:t>
            </w:r>
          </w:p>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7914A5">
            <w:pPr>
              <w:pStyle w:val="Normal6a"/>
            </w:pPr>
            <w:r>
              <w:rPr>
                <w:b/>
                <w:i/>
                <w:vertAlign w:val="superscript"/>
              </w:rPr>
              <w:t>13</w:t>
            </w:r>
            <w:r>
              <w:t xml:space="preserve"> </w:t>
            </w:r>
            <w:r>
              <w:rPr>
                <w:b/>
                <w:i/>
              </w:rPr>
              <w:t>Richtlinie 2011/98/EU des Europäischen Parlaments und des Rates vom 13. Dezember 2011 über ein einheitliches Verfahren zur Beantragung einer kombinierten Erlaubnis für Drittstaatsangehörige, sich im Hoheitsgebiet ein</w:t>
            </w:r>
            <w:r>
              <w:rPr>
                <w:b/>
                <w:i/>
              </w:rPr>
              <w:t>es Mitgliedstaats aufzuhalten und zu arbeiten, sowie über ein gemeinsames Bündel von Rechten für Drittstaatsarbeitnehmer, die sich rechtmäßig in einem Mitgliedstaat aufhalten (ABl.</w:t>
            </w:r>
            <w:r>
              <w:t xml:space="preserve"> </w:t>
            </w:r>
            <w:r>
              <w:rPr>
                <w:b/>
                <w:i/>
              </w:rPr>
              <w:t>L 343 vom 23.12.2011, S.</w:t>
            </w:r>
            <w:r>
              <w:t xml:space="preserve"> </w:t>
            </w:r>
            <w:r>
              <w:rPr>
                <w:b/>
                <w:i/>
              </w:rPr>
              <w:lastRenderedPageBreak/>
              <w:t>1, ELI: http://data.europa.eu/eli/dir/2011/98/oj).</w:t>
            </w:r>
          </w:p>
        </w:tc>
        <w:tc>
          <w:tcPr>
            <w:tcW w:w="4876" w:type="dxa"/>
            <w:tcBorders>
              <w:top w:val="nil"/>
              <w:left w:val="nil"/>
              <w:bottom w:val="nil"/>
              <w:right w:val="nil"/>
            </w:tcBorders>
          </w:tcPr>
          <w:p w:rsidR="00BC254A" w:rsidRDefault="00BC254A"/>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14</w:t>
            </w:r>
            <w:r>
              <w:t xml:space="preserve"> Richtlinie 2014/36/EU des Europäischen Parlaments und des Rates vom 26. Februar 2014 über die Bedingungen für die Einreise und den Aufenthalt von Drittstaatsangehörigen zwecks Beschäftigung als Saisonarbeitnehmer (ABl. L 94 vom 28.3.2014, S. 375, ELI</w:t>
            </w:r>
            <w:r>
              <w:t>: http://data.europa.eu/eli/dir/2014/36/oj).</w:t>
            </w:r>
          </w:p>
        </w:tc>
        <w:tc>
          <w:tcPr>
            <w:tcW w:w="4876" w:type="dxa"/>
            <w:tcBorders>
              <w:top w:val="nil"/>
              <w:left w:val="nil"/>
              <w:bottom w:val="nil"/>
              <w:right w:val="nil"/>
            </w:tcBorders>
          </w:tcPr>
          <w:p w:rsidR="00BC254A" w:rsidRDefault="007914A5">
            <w:pPr>
              <w:pStyle w:val="Normal6a"/>
            </w:pPr>
            <w:r>
              <w:rPr>
                <w:vertAlign w:val="superscript"/>
              </w:rPr>
              <w:t>14</w:t>
            </w:r>
            <w:r>
              <w:t xml:space="preserve"> Richtlinie 2014/36/EU des Europäischen Parlaments und des Rates vom 26. Februar 2014 über die Bedingungen für die Einreise und den Aufenthalt von Drittstaatsangehörigen zwecks Beschäftigung als Saisonarbeitne</w:t>
            </w:r>
            <w:r>
              <w:t>hmer (ABl. L 94 vom 28.3.2014, S. 375, ELI: http://data.europa.eu/eli/dir/2014/36/oj).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15</w:t>
            </w:r>
            <w:r>
              <w:t xml:space="preserve"> Richtlinie (EU) 2021/1883 des Europäischen Parlaments und des Rates vom 20. Oktober 2021 über die Bedingungen für die Einreise und den Aufenthalt von Drittstaatsange</w:t>
            </w:r>
            <w:r>
              <w:t>hörigen zur Ausübung einer hoch qualifizierten Beschäftigung und zur Aufhebung der Richtlinie 2009/50/EG des Rates (ABl. L 382 vom 28.10.2021, S. 1, ELI: http://data.europa.eu/eli/dir/2021/1883/oj).</w:t>
            </w:r>
          </w:p>
        </w:tc>
        <w:tc>
          <w:tcPr>
            <w:tcW w:w="4876" w:type="dxa"/>
            <w:tcBorders>
              <w:top w:val="nil"/>
              <w:left w:val="nil"/>
              <w:bottom w:val="nil"/>
              <w:right w:val="nil"/>
            </w:tcBorders>
          </w:tcPr>
          <w:p w:rsidR="00BC254A" w:rsidRDefault="007914A5">
            <w:pPr>
              <w:pStyle w:val="Normal6a"/>
            </w:pPr>
            <w:r>
              <w:rPr>
                <w:vertAlign w:val="superscript"/>
              </w:rPr>
              <w:t>15</w:t>
            </w:r>
            <w:r>
              <w:t xml:space="preserve"> Richtlinie (EU) 2021/1883 des Europäischen Parlaments </w:t>
            </w:r>
            <w:r>
              <w:t>und des Rates vom 20. Oktober 2021 über die Bedingungen für die Einreise und den Aufenthalt von Drittstaatsangehörigen zur Ausübung einer hoch qualifizierten Beschäftigung und zur Aufhebung der Richtlinie 2009/50/EG des Rates (ABl. L 382 vom 28.10.2021, S.</w:t>
            </w:r>
            <w:r>
              <w:t xml:space="preserve"> 1, ELI: http://data.europa.eu/eli/dir/2021/1883/oj).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16</w:t>
            </w:r>
            <w:r>
              <w:t xml:space="preserve"> Richtlinie (EU) 2016/801 des Europäischen Parlaments und des Rates vom 11. Mai 2016 über die Bedingungen für die Einreise und den Aufenthalt von Drittstaatsangehörigen zu Forschungs- oder Studienzwe</w:t>
            </w:r>
            <w:r>
              <w:t>cken, zur Absolvierung eines Praktikums, zur Teilnahme an einem Freiwilligendienst, Schüleraustauschprogrammen oder Bildungsvorhaben und zur Ausübung einer Au-pair-Tätigkeit (Neufassung) (ABl. L 132 vom 21.5.2016, S. 21, ELI: http://data.europa.eu/eli/dir/</w:t>
            </w:r>
            <w:r>
              <w:t>2016/801/oj).</w:t>
            </w:r>
          </w:p>
        </w:tc>
        <w:tc>
          <w:tcPr>
            <w:tcW w:w="4876" w:type="dxa"/>
            <w:tcBorders>
              <w:top w:val="nil"/>
              <w:left w:val="nil"/>
              <w:bottom w:val="nil"/>
              <w:right w:val="nil"/>
            </w:tcBorders>
          </w:tcPr>
          <w:p w:rsidR="00BC254A" w:rsidRDefault="007914A5">
            <w:pPr>
              <w:pStyle w:val="Normal6a"/>
            </w:pPr>
            <w:r>
              <w:rPr>
                <w:vertAlign w:val="superscript"/>
              </w:rPr>
              <w:t>16</w:t>
            </w:r>
            <w:r>
              <w:t xml:space="preserve"> Richtlinie (EU) 2016/801 des Europäischen Parlaments und des Rates vom 11. Mai 2016 über die Bedingungen für die Einreise und den Aufenthalt von Drittstaatsangehörigen zu Forschungs- oder Studienzwecken, zur Absolvierung eines Praktikums, </w:t>
            </w:r>
            <w:r>
              <w:t>zur Teilnahme an einem Freiwilligendienst, Schüleraustauschprogrammen oder Bildungsvorhaben und zur Ausübung einer Au-pair-Tätigkeit (Neufassung) (ABl. L 132 vom 21.5.2016, S. 21, ELI: http://data.europa.eu/eli/dir/2016/801/oj).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17</w:t>
            </w:r>
            <w:r>
              <w:t xml:space="preserve"> Richtlinie (EU) 2019/11</w:t>
            </w:r>
            <w:r>
              <w:t>52 des Europäischen Parlaments und des Rates vom 20. Juni 2019 über transparente und vorhersehbare Arbeitsbedingungen in der Europäischen Union (ABl. L 186 vom 11.7.2019, S. 105, ELI: http://data.europa.eu/eli/dir/2019/1152/oj).</w:t>
            </w:r>
          </w:p>
        </w:tc>
        <w:tc>
          <w:tcPr>
            <w:tcW w:w="4876" w:type="dxa"/>
            <w:tcBorders>
              <w:top w:val="nil"/>
              <w:left w:val="nil"/>
              <w:bottom w:val="nil"/>
              <w:right w:val="nil"/>
            </w:tcBorders>
          </w:tcPr>
          <w:p w:rsidR="00BC254A" w:rsidRDefault="007914A5">
            <w:pPr>
              <w:pStyle w:val="Normal6a"/>
            </w:pPr>
            <w:r>
              <w:rPr>
                <w:vertAlign w:val="superscript"/>
              </w:rPr>
              <w:t>17</w:t>
            </w:r>
            <w:r>
              <w:t xml:space="preserve"> Richtlinie (EU) 2019/115</w:t>
            </w:r>
            <w:r>
              <w:t>2 des Europäischen Parlaments und des Rates vom 20. Juni 2019 über transparente und vorhersehbare Arbeitsbedingungen in der Europäischen Union (ABl. L 186 vom 11.7.2019, S. 105, ELI: http://data.europa.eu/eli/dir/2019/1152/oj).</w:t>
            </w:r>
          </w:p>
        </w:tc>
      </w:tr>
      <w:tr w:rsidR="00BC254A">
        <w:trPr>
          <w:jc w:val="center"/>
        </w:trPr>
        <w:tc>
          <w:tcPr>
            <w:tcW w:w="4876" w:type="dxa"/>
            <w:tcBorders>
              <w:top w:val="nil"/>
              <w:left w:val="nil"/>
              <w:bottom w:val="nil"/>
              <w:right w:val="nil"/>
            </w:tcBorders>
          </w:tcPr>
          <w:p w:rsidR="00BC254A" w:rsidRDefault="007914A5">
            <w:pPr>
              <w:pStyle w:val="Normal6a"/>
            </w:pPr>
            <w:r>
              <w:rPr>
                <w:vertAlign w:val="superscript"/>
              </w:rPr>
              <w:t>18</w:t>
            </w:r>
            <w:r>
              <w:t xml:space="preserve"> Richtlinie 96/71/EG des </w:t>
            </w:r>
            <w:r>
              <w:t xml:space="preserve">Europäischen Parlaments und des Rates vom 16. Dezember 1996 über die Entsendung von Arbeitnehmern im Rahmen der Erbringung von Dienstleistungen (ABl. L 18 vom 21.1.1997, S. 1, ELI: </w:t>
            </w:r>
            <w:r>
              <w:lastRenderedPageBreak/>
              <w:t>http://data.europa.eu/eli/dir/1996/71/oj).</w:t>
            </w:r>
          </w:p>
        </w:tc>
        <w:tc>
          <w:tcPr>
            <w:tcW w:w="4876" w:type="dxa"/>
            <w:tcBorders>
              <w:top w:val="nil"/>
              <w:left w:val="nil"/>
              <w:bottom w:val="nil"/>
              <w:right w:val="nil"/>
            </w:tcBorders>
          </w:tcPr>
          <w:p w:rsidR="00BC254A" w:rsidRDefault="007914A5">
            <w:pPr>
              <w:pStyle w:val="Normal6a"/>
            </w:pPr>
            <w:r>
              <w:rPr>
                <w:vertAlign w:val="superscript"/>
              </w:rPr>
              <w:lastRenderedPageBreak/>
              <w:t>18</w:t>
            </w:r>
            <w:r>
              <w:t xml:space="preserve"> Richtlinie 96/71/EG des Europ</w:t>
            </w:r>
            <w:r>
              <w:t xml:space="preserve">äischen Parlaments und des Rates vom 16. Dezember 1996 über die Entsendung von Arbeitnehmern im Rahmen der Erbringung von Dienstleistungen (ABl. L 18 vom 21.1.1997, S. 1, ELI: </w:t>
            </w:r>
            <w:r>
              <w:lastRenderedPageBreak/>
              <w:t>http://data.europa.eu/eli/dir/1996/71/oj).</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256</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(24)</w:t>
            </w:r>
            <w:r>
              <w:tab/>
              <w:t>Um eine hochwertige Arbeitsvermittlung zu gewährleisten, sollten registrierte Arbeitsuchende aus Drittstaaten und Arbeitgeber, die am EU-Talentpool teilnehmen, auf eine Liste vorgeschlagener Profile von registrierten Arbeitsuchenden und Stellenangeboten z</w:t>
            </w:r>
            <w:r>
              <w:t>ugreifen, die auf der Relevanz ihrer Kompetenzen, Qualifikationen und Berufserfahrungen für die offene Stelle basiert. Die Liste wird von dem automatisierten Abgleich-Tool der IT-Plattform des EU-Talentpools erstellt.</w:t>
            </w:r>
          </w:p>
        </w:tc>
        <w:tc>
          <w:tcPr>
            <w:tcW w:w="4876" w:type="dxa"/>
            <w:tcBorders>
              <w:top w:val="nil"/>
              <w:left w:val="nil"/>
              <w:bottom w:val="nil"/>
              <w:right w:val="nil"/>
            </w:tcBorders>
          </w:tcPr>
          <w:p w:rsidR="00BC254A" w:rsidRDefault="007914A5">
            <w:pPr>
              <w:pStyle w:val="Normal6a"/>
            </w:pPr>
            <w:r>
              <w:t>(24)</w:t>
            </w:r>
            <w:r>
              <w:tab/>
              <w:t>Um eine hochwertige Arbeitsvermit</w:t>
            </w:r>
            <w:r>
              <w:t>tlung zu gewährleisten, sollten registrierte Arbeitsuchende aus Drittstaaten und Arbeitgeber, die am EU-Talentpool teilnehmen, auf eine Liste vorgeschlagener Profile von registrierten Arbeitsuchenden und Stellenangeboten zugreifen, die auf der Relevanz ihr</w:t>
            </w:r>
            <w:r>
              <w:t xml:space="preserve">er Kompetenzen, Qualifikationen und Berufserfahrungen für die offene Stelle basiert. Die Liste wird von dem automatisierten Abgleich-Tool der IT-Plattform des EU-Talentpools </w:t>
            </w:r>
            <w:r>
              <w:rPr>
                <w:b/>
                <w:i/>
              </w:rPr>
              <w:t>oder, wenn Arbeitsuchende und Arbeitgeber die Nutzung von anderen Abgleichalgorith</w:t>
            </w:r>
            <w:r>
              <w:rPr>
                <w:b/>
                <w:i/>
              </w:rPr>
              <w:t>men, die auf der Plattform betrieben werden, vereinbaren, von diesen Algorithmen</w:t>
            </w:r>
            <w:r>
              <w:t xml:space="preserve"> erstellt.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257</w:t>
      </w:r>
      <w:r>
        <w:rPr>
          <w:rStyle w:val="HideTWBExt"/>
        </w:rPr>
        <w:t>&lt;/NumAmB&gt;</w:t>
      </w:r>
    </w:p>
    <w:p w:rsidR="00BC254A" w:rsidRDefault="007914A5">
      <w:pPr>
        <w:pStyle w:val="NormalBold"/>
      </w:pPr>
      <w:r>
        <w:rPr>
          <w:rStyle w:val="HideTWBExt"/>
          <w:b w:val="0"/>
        </w:rPr>
        <w:t>&lt;RepeatBlock-By&gt;&lt;Members&gt;</w:t>
      </w:r>
      <w:r>
        <w:t>Jan-Christoph Oetjen, Abir Al-Sahlani,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(24)</w:t>
            </w:r>
            <w:r>
              <w:tab/>
            </w:r>
            <w:r>
              <w:t>Um eine hochwertige Arbeitsvermittlung zu gewährleisten, sollten registrierte Arbeitsuchende aus Drittstaaten und Arbeitgeber, die am EU-</w:t>
            </w:r>
            <w:r>
              <w:lastRenderedPageBreak/>
              <w:t>Talentpool teilnehmen, auf eine Liste vorgeschlagener Profile von registrierten Arbeitsuchenden und Stellenangeboten zu</w:t>
            </w:r>
            <w:r>
              <w:t xml:space="preserve">greifen, die auf der Relevanz ihrer Kompetenzen, Qualifikationen und </w:t>
            </w:r>
            <w:r>
              <w:rPr>
                <w:b/>
                <w:i/>
              </w:rPr>
              <w:t>Berufserfahrungen</w:t>
            </w:r>
            <w:r>
              <w:t xml:space="preserve"> für die offene Stelle basiert. Die Liste wird von dem automatisierten Abgleich-Tool der IT-Plattform des EU-Talentpools erstellt.</w:t>
            </w:r>
          </w:p>
        </w:tc>
        <w:tc>
          <w:tcPr>
            <w:tcW w:w="4876" w:type="dxa"/>
            <w:tcBorders>
              <w:top w:val="nil"/>
              <w:left w:val="nil"/>
              <w:bottom w:val="nil"/>
              <w:right w:val="nil"/>
            </w:tcBorders>
          </w:tcPr>
          <w:p w:rsidR="00BC254A" w:rsidRDefault="007914A5">
            <w:pPr>
              <w:pStyle w:val="Normal6a"/>
            </w:pPr>
            <w:r>
              <w:lastRenderedPageBreak/>
              <w:t>(24)</w:t>
            </w:r>
            <w:r>
              <w:tab/>
              <w:t>Um eine hochwertige Arbeitsvermitt</w:t>
            </w:r>
            <w:r>
              <w:t>lung zu gewährleisten, sollten registrierte Arbeitsuchende aus Drittstaaten und Arbeitgeber, die am EU-</w:t>
            </w:r>
            <w:r>
              <w:lastRenderedPageBreak/>
              <w:t>Talentpool teilnehmen, auf eine Liste vorgeschlagener Profile von registrierten Arbeitsuchenden und Stellenangeboten zugreifen, die auf der Relevanz ihre</w:t>
            </w:r>
            <w:r>
              <w:t xml:space="preserve">r Kompetenzen, </w:t>
            </w:r>
            <w:r>
              <w:rPr>
                <w:b/>
                <w:i/>
              </w:rPr>
              <w:t>ihrer Verfügbarkeit, ihren</w:t>
            </w:r>
            <w:r>
              <w:t xml:space="preserve"> Qualifikationen und </w:t>
            </w:r>
            <w:r>
              <w:rPr>
                <w:b/>
                <w:i/>
              </w:rPr>
              <w:t>ihrer Berufserfahrung</w:t>
            </w:r>
            <w:r>
              <w:t xml:space="preserve"> für die offene Stelle basiert. Die Liste wird von dem automatisierten Abgleich-Tool der IT-Plattform des EU-Talentpools erstellt.</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258</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(25)</w:t>
            </w:r>
            <w:r>
              <w:tab/>
            </w:r>
            <w:r>
              <w:t>Die Plattform des EU-Talentpools sollte dem festgestellten Bedarf auf dem Arbeitsmarkt entsprechen und nicht als Mittel dienen, um vorhandene Arbeitskräfte zu verdrängen oder negativ zu beeinflussen oder auf andere Weise menschenwürdige Arbeit oder den fai</w:t>
            </w:r>
            <w:r>
              <w:t xml:space="preserve">ren Wettbewerb zu untergraben. Um die </w:t>
            </w:r>
            <w:r>
              <w:rPr>
                <w:b/>
                <w:i/>
              </w:rPr>
              <w:t>Bemühungen der Mitgliedstaaten zur Bewältigung</w:t>
            </w:r>
            <w:r>
              <w:t xml:space="preserve"> des bestehenden und künftigen Arbeitskräftemangels besser zu unterstützen, sollte </w:t>
            </w:r>
            <w:r>
              <w:rPr>
                <w:b/>
                <w:i/>
              </w:rPr>
              <w:t>der</w:t>
            </w:r>
            <w:r>
              <w:t xml:space="preserve"> EU-Talentpool </w:t>
            </w:r>
            <w:r>
              <w:rPr>
                <w:b/>
                <w:i/>
              </w:rPr>
              <w:t>auf spezifische Berufe aller Qualifikationsniveaus ausgerichtet sein;</w:t>
            </w:r>
            <w:r>
              <w:t xml:space="preserve"> </w:t>
            </w:r>
            <w:r>
              <w:rPr>
                <w:b/>
                <w:i/>
              </w:rPr>
              <w:t>G</w:t>
            </w:r>
            <w:r>
              <w:rPr>
                <w:b/>
                <w:i/>
              </w:rPr>
              <w:t>rundlage hierfür sollten die im Anhang dieser Verordnung aufgeführten Berufe</w:t>
            </w:r>
            <w:r>
              <w:t xml:space="preserve">, in denen in der Union am häufigsten ein Mangel besteht, und </w:t>
            </w:r>
            <w:r>
              <w:rPr>
                <w:b/>
                <w:i/>
              </w:rPr>
              <w:t>die Berufe</w:t>
            </w:r>
            <w:r>
              <w:t xml:space="preserve">, die einen direkten Beitrag zum ökologischen und digitalen Wandel leisten, </w:t>
            </w:r>
            <w:r>
              <w:rPr>
                <w:b/>
                <w:i/>
              </w:rPr>
              <w:t>sein.</w:t>
            </w:r>
            <w:r>
              <w:t xml:space="preserve"> </w:t>
            </w:r>
            <w:r>
              <w:rPr>
                <w:b/>
                <w:i/>
              </w:rPr>
              <w:t xml:space="preserve">Um die offenen Stellen an </w:t>
            </w:r>
            <w:r>
              <w:rPr>
                <w:b/>
                <w:i/>
              </w:rPr>
              <w:t>die spezifischen Bedürfnisse der nationalen Arbeitsmärkte anzupassen, können die teilnehmenden</w:t>
            </w:r>
            <w:r>
              <w:t xml:space="preserve"> Mitgliedstaaten </w:t>
            </w:r>
            <w:r>
              <w:rPr>
                <w:b/>
                <w:i/>
              </w:rPr>
              <w:t xml:space="preserve">ausgehend von der im Anhang enthaltenen Liste der EU-weiten </w:t>
            </w:r>
            <w:r>
              <w:rPr>
                <w:b/>
                <w:i/>
              </w:rPr>
              <w:lastRenderedPageBreak/>
              <w:t>Mangelberufe dem</w:t>
            </w:r>
            <w:r>
              <w:t xml:space="preserve"> Sekretariat des EU-Talentpools die Hinzufügung oder Streichung besti</w:t>
            </w:r>
            <w:r>
              <w:t xml:space="preserve">mmter Mangelberufe </w:t>
            </w:r>
            <w:r>
              <w:rPr>
                <w:b/>
                <w:i/>
              </w:rPr>
              <w:t>melden.</w:t>
            </w:r>
            <w:r>
              <w:t xml:space="preserve"> </w:t>
            </w:r>
            <w:r>
              <w:rPr>
                <w:b/>
                <w:i/>
              </w:rPr>
              <w:t>Diese Meldungen sollten sich nur auf die Übereinstimmungen für Stellenangebote auswirken, die von dem jeweiligen Mitgliedstaat eingereicht werden.</w:t>
            </w:r>
            <w:r>
              <w:t xml:space="preserve"> </w:t>
            </w:r>
            <w:r>
              <w:rPr>
                <w:b/>
                <w:i/>
              </w:rPr>
              <w:t xml:space="preserve">Weder die Liste der EU-weiten Mangelberufe noch die Meldungen der Mitgliedstaaten </w:t>
            </w:r>
            <w:r>
              <w:rPr>
                <w:b/>
                <w:i/>
              </w:rPr>
              <w:t>sollten den Grundsatz der Bevorzugung von Unionsbürgern beeinträchtigen</w:t>
            </w:r>
            <w:r>
              <w:t>.</w:t>
            </w:r>
          </w:p>
        </w:tc>
        <w:tc>
          <w:tcPr>
            <w:tcW w:w="4876" w:type="dxa"/>
            <w:tcBorders>
              <w:top w:val="nil"/>
              <w:left w:val="nil"/>
              <w:bottom w:val="nil"/>
              <w:right w:val="nil"/>
            </w:tcBorders>
          </w:tcPr>
          <w:p w:rsidR="00BC254A" w:rsidRDefault="007914A5">
            <w:pPr>
              <w:pStyle w:val="Normal6a"/>
            </w:pPr>
            <w:r>
              <w:lastRenderedPageBreak/>
              <w:t>(25)</w:t>
            </w:r>
            <w:r>
              <w:tab/>
            </w:r>
            <w:r>
              <w:t>Die Plattform des EU-Talentpools sollte dem festgestellten Bedarf auf dem Arbeitsmarkt entsprechen und nicht als Mittel dienen, um vorhandene Arbeitskräfte zu verdrängen oder negativ zu beeinflussen oder auf andere Weise menschenwürdige Arbeit oder den fai</w:t>
            </w:r>
            <w:r>
              <w:t xml:space="preserve">ren Wettbewerb zu untergraben. Um die </w:t>
            </w:r>
            <w:r>
              <w:rPr>
                <w:b/>
                <w:i/>
              </w:rPr>
              <w:t>Mitgliedstaaten und die Arbeitsuchenden bei der Ermittlung</w:t>
            </w:r>
            <w:r>
              <w:t xml:space="preserve"> des bestehenden und </w:t>
            </w:r>
            <w:r>
              <w:rPr>
                <w:b/>
                <w:i/>
              </w:rPr>
              <w:t>des</w:t>
            </w:r>
            <w:r>
              <w:t xml:space="preserve"> künftigen Arbeitskräftemangels besser zu unterstützen, sollte </w:t>
            </w:r>
            <w:r>
              <w:rPr>
                <w:b/>
                <w:i/>
              </w:rPr>
              <w:t>im</w:t>
            </w:r>
            <w:r>
              <w:t xml:space="preserve"> EU-Talentpool </w:t>
            </w:r>
            <w:r>
              <w:rPr>
                <w:b/>
                <w:i/>
              </w:rPr>
              <w:t>eine Liste EU-weiter Mangelberufe mit den Berufen</w:t>
            </w:r>
            <w:r>
              <w:t>, in de</w:t>
            </w:r>
            <w:r>
              <w:t xml:space="preserve">nen in der Union am häufigsten ein Mangel besteht, und </w:t>
            </w:r>
            <w:r>
              <w:rPr>
                <w:b/>
                <w:i/>
              </w:rPr>
              <w:t>den Berufen</w:t>
            </w:r>
            <w:r>
              <w:t xml:space="preserve">, die einen direkten Beitrag zum ökologischen und </w:t>
            </w:r>
            <w:r>
              <w:rPr>
                <w:b/>
                <w:i/>
              </w:rPr>
              <w:t>zum</w:t>
            </w:r>
            <w:r>
              <w:t xml:space="preserve"> digitalen Wandel leisten, </w:t>
            </w:r>
            <w:r>
              <w:rPr>
                <w:b/>
                <w:i/>
              </w:rPr>
              <w:t>verfügbar sein, die im Anhang zu dieser Verordnung festgelegt ist. Die</w:t>
            </w:r>
            <w:r>
              <w:t xml:space="preserve"> Mitgliedstaaten </w:t>
            </w:r>
            <w:r>
              <w:rPr>
                <w:b/>
                <w:i/>
              </w:rPr>
              <w:t>unterrichten das</w:t>
            </w:r>
            <w:r>
              <w:t xml:space="preserve"> Sekret</w:t>
            </w:r>
            <w:r>
              <w:t xml:space="preserve">ariat des EU-Talentpools </w:t>
            </w:r>
            <w:r>
              <w:rPr>
                <w:b/>
                <w:i/>
              </w:rPr>
              <w:t>über</w:t>
            </w:r>
            <w:r>
              <w:t xml:space="preserve"> die Hinzufügung oder Streichung bestimmter Mangelberufe.</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259</w:t>
      </w:r>
      <w:r>
        <w:rPr>
          <w:rStyle w:val="HideTWBExt"/>
        </w:rPr>
        <w:t>&lt;/NumAmB&gt;</w:t>
      </w:r>
    </w:p>
    <w:p w:rsidR="00BC254A" w:rsidRDefault="007914A5">
      <w:pPr>
        <w:pStyle w:val="NormalBold"/>
      </w:pPr>
      <w:r>
        <w:rPr>
          <w:rStyle w:val="HideTWBExt"/>
          <w:b w:val="0"/>
        </w:rPr>
        <w:t>&lt;RepeatBlock-By&gt;&lt;Members&gt;</w:t>
      </w:r>
      <w:r>
        <w:t>Johan Danielsson, Evin Incir</w:t>
      </w:r>
      <w:r>
        <w:rPr>
          <w:rStyle w:val="HideTWBExt"/>
          <w:b w:val="0"/>
        </w:rPr>
        <w:t>&lt;/Members&gt;</w:t>
      </w:r>
    </w:p>
    <w:p w:rsidR="00BC254A" w:rsidRDefault="007914A5">
      <w:pPr>
        <w:pStyle w:val="NormalBold"/>
      </w:pPr>
      <w:r>
        <w:rPr>
          <w:rStyle w:val="HideTWBExt"/>
          <w:b w:val="0"/>
        </w:rPr>
        <w:t>&lt;/RepeatBlock-By</w:t>
      </w:r>
      <w:r>
        <w:rPr>
          <w:rStyle w:val="HideTWBExt"/>
          <w:b w:val="0"/>
        </w:rPr>
        <w:t>&gt;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(25)</w:t>
            </w:r>
            <w:r>
              <w:tab/>
              <w:t xml:space="preserve">Die Plattform des EU-Talentpools sollte dem festgestellten Bedarf </w:t>
            </w:r>
            <w:r>
              <w:rPr>
                <w:b/>
                <w:i/>
              </w:rPr>
              <w:t>auf dem Arbeitsmarkt</w:t>
            </w:r>
            <w:r>
              <w:t xml:space="preserve"> entsprechen und nicht als Mittel dienen, um vorhandene Arbeitskräfte zu verdrängen oder negativ zu beeinflussen oder auf andere Weise menschenwürdige Arbeit oder den fairen Wettbewerb zu untergraben. Um die Bemühungen der Mitgliedstaaten zur Bewältigung d</w:t>
            </w:r>
            <w:r>
              <w:t xml:space="preserve">es bestehenden und künftigen Arbeitskräftemangels besser zu unterstützen, sollte der EU-Talentpool auf spezifische Berufe </w:t>
            </w:r>
            <w:r>
              <w:rPr>
                <w:b/>
                <w:i/>
              </w:rPr>
              <w:t>aller Qualifikationsniveaus</w:t>
            </w:r>
            <w:r>
              <w:t xml:space="preserve"> ausgerichtet sein; Grundlage hierfür sollten die </w:t>
            </w:r>
            <w:r>
              <w:rPr>
                <w:b/>
                <w:i/>
              </w:rPr>
              <w:t>im Anhang dieser Verordnung aufgeführten</w:t>
            </w:r>
            <w:r>
              <w:t xml:space="preserve"> Berufe, in denen </w:t>
            </w:r>
            <w:r>
              <w:rPr>
                <w:b/>
                <w:i/>
              </w:rPr>
              <w:t>in der Union am häufigsten</w:t>
            </w:r>
            <w:r>
              <w:t xml:space="preserve"> ein Mangel besteht, und </w:t>
            </w:r>
            <w:r>
              <w:rPr>
                <w:b/>
                <w:i/>
              </w:rPr>
              <w:t>die</w:t>
            </w:r>
            <w:r>
              <w:t xml:space="preserve"> Berufe, die einen </w:t>
            </w:r>
            <w:r>
              <w:rPr>
                <w:b/>
                <w:i/>
              </w:rPr>
              <w:t>direkten</w:t>
            </w:r>
            <w:r>
              <w:t xml:space="preserve"> Beitrag zum ökologischen und digitalen Wandel leisten, sein. </w:t>
            </w:r>
            <w:r>
              <w:rPr>
                <w:b/>
                <w:i/>
              </w:rPr>
              <w:t>Um die offenen Stellen an die spezifischen Bedürfnisse der nationalen Arbeitsmärkte anzupassen,</w:t>
            </w:r>
            <w:r>
              <w:rPr>
                <w:b/>
                <w:i/>
              </w:rPr>
              <w:t xml:space="preserve"> können die teilnehmenden </w:t>
            </w:r>
            <w:r>
              <w:rPr>
                <w:b/>
                <w:i/>
              </w:rPr>
              <w:lastRenderedPageBreak/>
              <w:t>Mitgliedstaaten ausgehend von der im Anhang enthaltenen Liste der EU-weiten Mangelberufe dem Sekretariat des EU-Talentpools die Hinzufügung oder Streichung bestimmter Mangelberufe melden.</w:t>
            </w:r>
            <w:r>
              <w:t xml:space="preserve"> </w:t>
            </w:r>
            <w:r>
              <w:rPr>
                <w:b/>
                <w:i/>
              </w:rPr>
              <w:t>Diese Meldungen sollten sich nur auf die Ü</w:t>
            </w:r>
            <w:r>
              <w:rPr>
                <w:b/>
                <w:i/>
              </w:rPr>
              <w:t>bereinstimmungen</w:t>
            </w:r>
            <w:r>
              <w:t xml:space="preserve"> für Stellenangebote </w:t>
            </w:r>
            <w:r>
              <w:rPr>
                <w:b/>
                <w:i/>
              </w:rPr>
              <w:t>auswirken, die von dem jeweiligen Mitgliedstaat eingereicht</w:t>
            </w:r>
            <w:r>
              <w:t xml:space="preserve"> werden</w:t>
            </w:r>
            <w:r>
              <w:rPr>
                <w:b/>
                <w:i/>
              </w:rPr>
              <w:t>.</w:t>
            </w:r>
            <w:r>
              <w:t xml:space="preserve"> </w:t>
            </w:r>
            <w:r>
              <w:rPr>
                <w:b/>
                <w:i/>
              </w:rPr>
              <w:t>Weder die Liste der EU-weiten Mangelberufe noch die Meldungen der Mitgliedstaaten sollten den Grundsatz der Bevorzugung von Unionsbürgern beeinträchtig</w:t>
            </w:r>
            <w:r>
              <w:rPr>
                <w:b/>
                <w:i/>
              </w:rPr>
              <w:t>en</w:t>
            </w:r>
            <w:r>
              <w:t>.</w:t>
            </w:r>
          </w:p>
        </w:tc>
        <w:tc>
          <w:tcPr>
            <w:tcW w:w="4876" w:type="dxa"/>
            <w:tcBorders>
              <w:top w:val="nil"/>
              <w:left w:val="nil"/>
              <w:bottom w:val="nil"/>
              <w:right w:val="nil"/>
            </w:tcBorders>
          </w:tcPr>
          <w:p w:rsidR="00BC254A" w:rsidRDefault="007914A5">
            <w:pPr>
              <w:pStyle w:val="Normal6a"/>
            </w:pPr>
            <w:r>
              <w:lastRenderedPageBreak/>
              <w:t>(25)</w:t>
            </w:r>
            <w:r>
              <w:tab/>
              <w:t xml:space="preserve">Die Plattform des EU-Talentpools sollte dem festgestellten Bedarf </w:t>
            </w:r>
            <w:r>
              <w:rPr>
                <w:b/>
                <w:i/>
              </w:rPr>
              <w:t>des Arbeitsmarkts</w:t>
            </w:r>
            <w:r>
              <w:t xml:space="preserve"> entsprechen und nicht als Mittel dienen, um vorhandene Arbeitskräfte zu verdrängen oder negativ zu beeinflussen oder auf andere Weise menschenwürdige Arbeit oder d</w:t>
            </w:r>
            <w:r>
              <w:t>en fairen Wettbewerb zu untergraben. Um die Bemühungen der Mitgliedstaaten zur Bewältigung des bestehenden und künftigen Arbeitskräftemangels besser zu unterstützen, sollte der EU-Talentpool auf spezifische Berufe ausgerichtet sein; Grundlage hierfür sollt</w:t>
            </w:r>
            <w:r>
              <w:t xml:space="preserve">en die Berufe, in denen ein Mangel besteht, und Berufe, die einen Beitrag zum ökologischen und </w:t>
            </w:r>
            <w:r>
              <w:rPr>
                <w:b/>
                <w:i/>
              </w:rPr>
              <w:t>zum</w:t>
            </w:r>
            <w:r>
              <w:t xml:space="preserve"> digitalen Wandel </w:t>
            </w:r>
            <w:r>
              <w:rPr>
                <w:b/>
                <w:i/>
              </w:rPr>
              <w:t>in den Mitgliedstaaten</w:t>
            </w:r>
            <w:r>
              <w:t xml:space="preserve"> leisten, sein. </w:t>
            </w:r>
            <w:r>
              <w:rPr>
                <w:b/>
                <w:i/>
              </w:rPr>
              <w:t>Der EU-Talentpool sollte den Grundsatz der Bevorzugung von Unionsbürgern nicht beeinträchtigen und dah</w:t>
            </w:r>
            <w:r>
              <w:rPr>
                <w:b/>
                <w:i/>
              </w:rPr>
              <w:t>er nur dann</w:t>
            </w:r>
            <w:r>
              <w:t xml:space="preserve"> für Stellenangebote </w:t>
            </w:r>
            <w:r>
              <w:rPr>
                <w:b/>
                <w:i/>
              </w:rPr>
              <w:t>und Einstellungen genutzt</w:t>
            </w:r>
            <w:r>
              <w:t xml:space="preserve"> werden</w:t>
            </w:r>
            <w:r>
              <w:rPr>
                <w:b/>
                <w:i/>
              </w:rPr>
              <w:t xml:space="preserve">, wenn eine freie Stelle nicht über eine Einstellung in </w:t>
            </w:r>
            <w:r>
              <w:rPr>
                <w:b/>
                <w:i/>
              </w:rPr>
              <w:lastRenderedPageBreak/>
              <w:t>der Union mithilfe nationaler Arbeitsvermittlungsdienste und des EURES-Portals besetzt werden kann</w:t>
            </w:r>
            <w:r>
              <w:t>.</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260</w:t>
      </w:r>
      <w:r>
        <w:rPr>
          <w:rStyle w:val="HideTWBExt"/>
        </w:rPr>
        <w:t>&lt;/NumAmB&gt;</w:t>
      </w:r>
    </w:p>
    <w:p w:rsidR="00BC254A" w:rsidRDefault="007914A5">
      <w:pPr>
        <w:pStyle w:val="NormalBold"/>
      </w:pPr>
      <w:r>
        <w:rPr>
          <w:rStyle w:val="HideTWBExt"/>
          <w:b w:val="0"/>
        </w:rPr>
        <w:t>&lt;RepeatBlock-By&gt;&lt;Members&gt;</w:t>
      </w:r>
      <w:r>
        <w:t>Javier 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(25)</w:t>
            </w:r>
            <w:r>
              <w:tab/>
              <w:t>Die Plattform des EU-Talentpools sollte dem festgestellten Bedarf auf dem Arbeitsmarkt entsprechen und nicht als Mittel dienen, um vorhandene Arbeitskräfte zu verdrängen oder negativ zu beeinflussen oder auf andere Weise menschenwürdige Arbeit oder d</w:t>
            </w:r>
            <w:r>
              <w:t>en fairen Wettbewerb zu untergraben. Um die Bemühungen der Mitgliedstaaten zur Bewältigung des bestehenden und künftigen Arbeitskräftemangels besser zu unterstützen, sollte der EU-Talentpool auf spezifische Berufe aller Qualifikationsniveaus ausgerichtet s</w:t>
            </w:r>
            <w:r>
              <w:t>ein; Grundlage hierfür sollten die im Anhang dieser Verordnung aufgeführten Berufe, in denen in der Union am häufigsten ein Mangel besteht, und die Berufe, die einen direkten Beitrag zum ökologischen und digitalen Wandel leisten, sein. Um die offenen Stell</w:t>
            </w:r>
            <w:r>
              <w:t xml:space="preserve">en an die spezifischen </w:t>
            </w:r>
            <w:r>
              <w:lastRenderedPageBreak/>
              <w:t>Bedürfnisse der nationalen Arbeitsmärkte anzupassen, können die teilnehmenden Mitgliedstaaten ausgehend von der im Anhang enthaltenen Liste der EU-weiten Mangelberufe dem Sekretariat des EU-Talentpools die Hinzufügung oder Streichung</w:t>
            </w:r>
            <w:r>
              <w:t xml:space="preserve"> bestimmter Mangelberufe melden. Diese Meldungen sollten sich nur auf die Übereinstimmungen für Stellenangebote auswirken, die von dem jeweiligen Mitgliedstaat eingereicht werden. Weder die Liste der EU-weiten Mangelberufe noch die Meldungen der Mitgliedst</w:t>
            </w:r>
            <w:r>
              <w:t>aaten sollten den Grundsatz der Bevorzugung von Unionsbürgern beeinträchtigen.</w:t>
            </w:r>
          </w:p>
        </w:tc>
        <w:tc>
          <w:tcPr>
            <w:tcW w:w="4876" w:type="dxa"/>
            <w:tcBorders>
              <w:top w:val="nil"/>
              <w:left w:val="nil"/>
              <w:bottom w:val="nil"/>
              <w:right w:val="nil"/>
            </w:tcBorders>
          </w:tcPr>
          <w:p w:rsidR="00BC254A" w:rsidRDefault="007914A5">
            <w:pPr>
              <w:pStyle w:val="Normal6a"/>
            </w:pPr>
            <w:r>
              <w:lastRenderedPageBreak/>
              <w:t>(25)</w:t>
            </w:r>
            <w:r>
              <w:tab/>
              <w:t>Die Plattform des EU-Talentpools sollte dem festgestellten Bedarf auf dem Arbeitsmarkt entsprechen und nicht als Mittel dienen, um vorhandene Arbeitskräfte zu verdrängen od</w:t>
            </w:r>
            <w:r>
              <w:t>er negativ zu beeinflussen oder auf andere Weise menschenwürdige Arbeit oder den fairen Wettbewerb zu untergraben. Um die Bemühungen der Mitgliedstaaten zur Bewältigung des bestehenden und künftigen Arbeitskräftemangels besser zu unterstützen, sollte der E</w:t>
            </w:r>
            <w:r>
              <w:t>U-Talentpool auf spezifische Berufe aller Qualifikationsniveaus ausgerichtet sein; Grundlage hierfür sollten die im Anhang dieser Verordnung aufgeführten Berufe, in denen in der Union am häufigsten ein Mangel besteht, und die Berufe, die einen direkten Bei</w:t>
            </w:r>
            <w:r>
              <w:t xml:space="preserve">trag zum ökologischen und digitalen Wandel leisten, sein. Um die offenen Stellen an die spezifischen </w:t>
            </w:r>
            <w:r>
              <w:lastRenderedPageBreak/>
              <w:t>Bedürfnisse der nationalen Arbeitsmärkte anzupassen, können die teilnehmenden Mitgliedstaaten ausgehend von der im Anhang enthaltenen Liste der EU-weiten M</w:t>
            </w:r>
            <w:r>
              <w:t>angelberufe dem Sekretariat des EU-Talentpools die Hinzufügung oder Streichung bestimmter Mangelberufe melden. Diese Meldungen sollten sich nur auf die Übereinstimmungen für Stellenangebote auswirken, die von dem jeweiligen Mitgliedstaat eingereicht werden</w:t>
            </w:r>
            <w:r>
              <w:t xml:space="preserve">. </w:t>
            </w:r>
            <w:r>
              <w:rPr>
                <w:b/>
                <w:i/>
              </w:rPr>
              <w:t>Da die Liste der Mangelberufe auf generellen Mangelberufen auf nationaler Ebene beruht, sollten die Mitgliedstaaten bei der Erteilung von Aufenthaltstiteln und Arbeitserlaubnissen für Arbeitsuchende aus Drittstaaten, die für eine auf der Plattform des EU</w:t>
            </w:r>
            <w:r>
              <w:rPr>
                <w:b/>
                <w:i/>
              </w:rPr>
              <w:t>-Talentpools veröffentlichte freie Stelle ausgewählt wurden, keine Arbeitsmarktprüfung durchführen.</w:t>
            </w:r>
            <w:r>
              <w:t xml:space="preserve"> Weder die Liste der EU-weiten Mangelberufe noch die Meldungen der Mitgliedstaaten sollten den Grundsatz der Bevorzugung von Unionsbürgern beeinträchtigen.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261</w:t>
      </w:r>
      <w:r>
        <w:rPr>
          <w:rStyle w:val="HideTWBExt"/>
        </w:rPr>
        <w:t>&lt;/NumAmB&gt;</w:t>
      </w:r>
    </w:p>
    <w:p w:rsidR="00BC254A" w:rsidRDefault="007914A5">
      <w:pPr>
        <w:pStyle w:val="NormalBold"/>
      </w:pPr>
      <w:r>
        <w:rPr>
          <w:rStyle w:val="HideTWBExt"/>
          <w:b w:val="0"/>
        </w:rPr>
        <w:t>&lt;RepeatBlock-By&gt;&lt;Members&gt;</w:t>
      </w:r>
      <w:r>
        <w:t>Petra Steger, Jaroslav Bžoch, Fabrice Leggeri, António Tânger Corrêa, Jorge Buxadé Villalba, Marieke Ehlers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(25)</w:t>
            </w:r>
            <w:r>
              <w:tab/>
            </w:r>
            <w:r>
              <w:t>Die Plattform des EU-Talentpools sollte dem festgestellten Bedarf auf dem Arbeitsmarkt entsprechen und nicht als Mittel dienen, um vorhandene Arbeitskräfte zu verdrängen oder negativ zu beeinflussen oder auf andere Weise menschenwürdige Arbeit oder den fai</w:t>
            </w:r>
            <w:r>
              <w:t xml:space="preserve">ren Wettbewerb zu untergraben. Um die Bemühungen der Mitgliedstaaten zur </w:t>
            </w:r>
            <w:r>
              <w:lastRenderedPageBreak/>
              <w:t xml:space="preserve">Bewältigung des bestehenden und künftigen Arbeitskräftemangels besser zu unterstützen, sollte der EU-Talentpool auf spezifische Berufe </w:t>
            </w:r>
            <w:r>
              <w:rPr>
                <w:b/>
                <w:i/>
              </w:rPr>
              <w:t>aller Qualifikationsniveaus</w:t>
            </w:r>
            <w:r>
              <w:t xml:space="preserve"> ausgerichtet sein</w:t>
            </w:r>
            <w:r>
              <w:rPr>
                <w:b/>
                <w:i/>
              </w:rPr>
              <w:t>;</w:t>
            </w:r>
            <w:r>
              <w:t xml:space="preserve"> </w:t>
            </w:r>
            <w:r>
              <w:rPr>
                <w:b/>
                <w:i/>
              </w:rPr>
              <w:t>G</w:t>
            </w:r>
            <w:r>
              <w:rPr>
                <w:b/>
                <w:i/>
              </w:rPr>
              <w:t>rundlage hierfür sollten die im Anhang dieser Verordnung aufgeführten Berufe, in denen in der Union am häufigsten ein Mangel besteht, und die Berufe, die einen direkten Beitrag zum ökologischen und digitalen Wandel leisten, sein</w:t>
            </w:r>
            <w:r>
              <w:t xml:space="preserve">. Um die offenen Stellen an </w:t>
            </w:r>
            <w:r>
              <w:t xml:space="preserve">die spezifischen Bedürfnisse der nationalen Arbeitsmärkte anzupassen, können die teilnehmenden Mitgliedstaaten </w:t>
            </w:r>
            <w:r>
              <w:rPr>
                <w:b/>
                <w:i/>
              </w:rPr>
              <w:t>ausgehend von der im Anhang enthaltenen Liste der EU-weiten Mangelberufe</w:t>
            </w:r>
            <w:r>
              <w:t xml:space="preserve"> dem Sekretariat des EU-Talentpools die Hinzufügung oder Streichung besti</w:t>
            </w:r>
            <w:r>
              <w:t xml:space="preserve">mmter Mangelberufe melden. Diese Meldungen sollten sich nur auf die Übereinstimmungen für Stellenangebote auswirken, die von dem jeweiligen Mitgliedstaat eingereicht werden. </w:t>
            </w:r>
            <w:r>
              <w:rPr>
                <w:b/>
                <w:i/>
              </w:rPr>
              <w:t xml:space="preserve">Weder die Liste der EU-weiten Mangelberufe noch die Meldungen der Mitgliedstaaten </w:t>
            </w:r>
            <w:r>
              <w:rPr>
                <w:b/>
                <w:i/>
              </w:rPr>
              <w:t>sollten den Grundsatz der Bevorzugung von Unionsbürgern beeinträchtigen</w:t>
            </w:r>
            <w:r>
              <w:t>.</w:t>
            </w:r>
          </w:p>
        </w:tc>
        <w:tc>
          <w:tcPr>
            <w:tcW w:w="4876" w:type="dxa"/>
            <w:tcBorders>
              <w:top w:val="nil"/>
              <w:left w:val="nil"/>
              <w:bottom w:val="nil"/>
              <w:right w:val="nil"/>
            </w:tcBorders>
          </w:tcPr>
          <w:p w:rsidR="00BC254A" w:rsidRDefault="007914A5">
            <w:pPr>
              <w:pStyle w:val="Normal6a"/>
            </w:pPr>
            <w:r>
              <w:lastRenderedPageBreak/>
              <w:t>(25)</w:t>
            </w:r>
            <w:r>
              <w:tab/>
              <w:t xml:space="preserve">Die Plattform des EU-Talentpools sollte dem festgestellten Bedarf auf dem Arbeitsmarkt entsprechen und nicht als Mittel dienen, um vorhandene Arbeitskräfte zu verdrängen oder </w:t>
            </w:r>
            <w:r>
              <w:t xml:space="preserve">negativ zu beeinflussen oder auf andere Weise menschenwürdige Arbeit oder den fairen Wettbewerb zu untergraben. Um die Bemühungen der Mitgliedstaaten zur </w:t>
            </w:r>
            <w:r>
              <w:lastRenderedPageBreak/>
              <w:t>Bewältigung des bestehenden und künftigen Arbeitskräftemangels besser zu unterstützen, sollte der EU-T</w:t>
            </w:r>
            <w:r>
              <w:t>alentpool auf spezifische Berufe ausgerichtet sein</w:t>
            </w:r>
            <w:r>
              <w:rPr>
                <w:b/>
                <w:i/>
              </w:rPr>
              <w:t>, um die die Mitgliedstaaten in den Anhängen zu dieser Verordnung ersucht haben</w:t>
            </w:r>
            <w:r>
              <w:t>. Um die offenen Stellen an die spezifischen Bedürfnisse der nationalen Arbeitsmärkte anzupassen, können die teilnehmenden Mitg</w:t>
            </w:r>
            <w:r>
              <w:t>liedstaaten dem Sekretariat des EU-Talentpools die Hinzufügung oder Streichung bestimmter Mangelberufe melden. Diese Meldungen sollten sich nur auf die Übereinstimmungen für Stellenangebote auswirken, die von dem jeweiligen Mitgliedstaat eingereicht werden</w:t>
            </w:r>
            <w:r>
              <w:t xml:space="preserve">. </w:t>
            </w:r>
            <w:r>
              <w:rPr>
                <w:b/>
                <w:i/>
              </w:rPr>
              <w:t>Der EU-Talentpool sollte den Grundsatz der Bevorzugung von Unionsbürgern nicht beeinträchtigen und nicht dazu beitragen, die Einwanderung in die Union unverhältnismäßig zu erhöhen</w:t>
            </w:r>
            <w:r>
              <w:t>.</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w:t>
      </w:r>
      <w:r>
        <w:rPr>
          <w:rStyle w:val="HideTWBExt"/>
        </w:rPr>
        <w:t>mB&gt;</w:t>
      </w:r>
      <w:r>
        <w:t>262</w:t>
      </w:r>
      <w:r>
        <w:rPr>
          <w:rStyle w:val="HideTWBExt"/>
        </w:rPr>
        <w:t>&lt;/NumAmB&gt;</w:t>
      </w:r>
    </w:p>
    <w:p w:rsidR="00BC254A" w:rsidRDefault="007914A5">
      <w:pPr>
        <w:pStyle w:val="NormalBold"/>
      </w:pPr>
      <w:r>
        <w:rPr>
          <w:rStyle w:val="HideTWBExt"/>
          <w:b w:val="0"/>
        </w:rPr>
        <w:t>&lt;RepeatBlock-By&gt;&lt;Members&gt;</w:t>
      </w:r>
      <w:r>
        <w:t>Sebastian Tynkkynen</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(25)</w:t>
            </w:r>
            <w:r>
              <w:tab/>
              <w:t xml:space="preserve">Die Plattform des EU-Talentpools </w:t>
            </w:r>
            <w:r>
              <w:t xml:space="preserve">sollte dem festgestellten Bedarf auf dem Arbeitsmarkt entsprechen und nicht als Mittel dienen, um vorhandene Arbeitskräfte zu verdrängen oder negativ zu beeinflussen oder auf andere Weise menschenwürdige Arbeit oder den fairen </w:t>
            </w:r>
            <w:r>
              <w:lastRenderedPageBreak/>
              <w:t>Wettbewerb zu untergraben. Um</w:t>
            </w:r>
            <w:r>
              <w:t xml:space="preserve"> die Bemühungen der Mitgliedstaaten zur Bewältigung des bestehenden und künftigen Arbeitskräftemangels besser zu unterstützen</w:t>
            </w:r>
            <w:r>
              <w:rPr>
                <w:b/>
                <w:i/>
              </w:rPr>
              <w:t>, sollte der EU-Talentpool auf spezifische Berufe aller Qualifikationsniveaus ausgerichtet sein;</w:t>
            </w:r>
            <w:r>
              <w:t xml:space="preserve"> </w:t>
            </w:r>
            <w:r>
              <w:rPr>
                <w:b/>
                <w:i/>
              </w:rPr>
              <w:t>Grundlage hierfür sollten die im A</w:t>
            </w:r>
            <w:r>
              <w:rPr>
                <w:b/>
                <w:i/>
              </w:rPr>
              <w:t>nhang dieser Verordnung aufgeführten Berufe</w:t>
            </w:r>
            <w:r>
              <w:t xml:space="preserve">, in denen </w:t>
            </w:r>
            <w:r>
              <w:rPr>
                <w:b/>
                <w:i/>
              </w:rPr>
              <w:t>in der Union am häufigsten ein Mangel besteht, und die Berufe, die einen direkten Beitrag zum ökologischen und digitalen Wandel leisten, sein</w:t>
            </w:r>
            <w:r>
              <w:t xml:space="preserve">. Um die offenen Stellen an die spezifischen Bedürfnisse der </w:t>
            </w:r>
            <w:r>
              <w:t xml:space="preserve">nationalen Arbeitsmärkte anzupassen, können die teilnehmenden Mitgliedstaaten ausgehend von der </w:t>
            </w:r>
            <w:r>
              <w:rPr>
                <w:b/>
                <w:i/>
              </w:rPr>
              <w:t>im Anhang enthaltenen</w:t>
            </w:r>
            <w:r>
              <w:t xml:space="preserve"> Liste der EU-weiten Mangelberufe dem Sekretariat des EU-Talentpools die Hinzufügung oder Streichung bestimmter Mangelberufe melden. Diese </w:t>
            </w:r>
            <w:r>
              <w:t>Meldungen sollten sich nur auf die Übereinstimmungen für Stellenangebote auswirken, die von dem jeweiligen Mitgliedstaat eingereicht werden. Weder die Liste der EU-weiten Mangelberufe noch die Meldungen der Mitgliedstaaten sollten den Grundsatz der Bevorzu</w:t>
            </w:r>
            <w:r>
              <w:t>gung von Unionsbürgern beeinträchtigen.</w:t>
            </w:r>
          </w:p>
        </w:tc>
        <w:tc>
          <w:tcPr>
            <w:tcW w:w="4876" w:type="dxa"/>
            <w:tcBorders>
              <w:top w:val="nil"/>
              <w:left w:val="nil"/>
              <w:bottom w:val="nil"/>
              <w:right w:val="nil"/>
            </w:tcBorders>
          </w:tcPr>
          <w:p w:rsidR="00BC254A" w:rsidRDefault="007914A5">
            <w:pPr>
              <w:pStyle w:val="Normal6a"/>
            </w:pPr>
            <w:r>
              <w:lastRenderedPageBreak/>
              <w:t>(25)</w:t>
            </w:r>
            <w:r>
              <w:tab/>
              <w:t>Die Plattform des EU-Talentpools sollte dem festgestellten Bedarf auf dem Arbeitsmarkt entsprechen und nicht als Mittel dienen, um vorhandene Arbeitskräfte zu verdrängen oder negativ zu beeinflussen oder auf and</w:t>
            </w:r>
            <w:r>
              <w:t xml:space="preserve">ere Weise menschenwürdige Arbeit oder den fairen </w:t>
            </w:r>
            <w:r>
              <w:lastRenderedPageBreak/>
              <w:t xml:space="preserve">Wettbewerb zu untergraben. Um die Bemühungen der Mitgliedstaaten zur Bewältigung des bestehenden und künftigen Arbeitskräftemangels besser zu unterstützen </w:t>
            </w:r>
            <w:r>
              <w:rPr>
                <w:b/>
                <w:i/>
              </w:rPr>
              <w:t>und sicherzustellen, dass die Arbeitsmigration der V</w:t>
            </w:r>
            <w:r>
              <w:rPr>
                <w:b/>
                <w:i/>
              </w:rPr>
              <w:t>olkswirtschaft einen wirtschaftlichen Nettonutzen bringt, sollte der EU-Talentpool auf Berufe mit besonders hohem Qualifikationsniveau ausgerichtet sein</w:t>
            </w:r>
            <w:r>
              <w:t xml:space="preserve">, in denen </w:t>
            </w:r>
            <w:r>
              <w:rPr>
                <w:b/>
                <w:i/>
              </w:rPr>
              <w:t>ein Arbeitskräftemangel herrscht</w:t>
            </w:r>
            <w:r>
              <w:t xml:space="preserve">. Um die offenen Stellen an die spezifischen Bedürfnisse der </w:t>
            </w:r>
            <w:r>
              <w:t>nationalen Arbeitsmärkte anzupassen, können die teilnehmenden Mitgliedstaaten ausgehend von der Liste der EU-weiten Mangelberufe dem Sekretariat des EU-Talentpools die Hinzufügung oder Streichung bestimmter Mangelberufe melden. Diese Meldungen sollten sich</w:t>
            </w:r>
            <w:r>
              <w:t xml:space="preserve"> nur auf die Übereinstimmungen für Stellenangebote auswirken, die von dem jeweiligen Mitgliedstaat eingereicht werden. Weder die Liste der EU-weiten Mangelberufe noch die Meldungen der Mitgliedstaaten sollten den Grundsatz der Bevorzugung von Unionsbürgern</w:t>
            </w:r>
            <w:r>
              <w:t xml:space="preserve"> beeinträchtigen.</w:t>
            </w:r>
          </w:p>
        </w:tc>
      </w:tr>
    </w:tbl>
    <w:p w:rsidR="00BC254A" w:rsidRDefault="007914A5">
      <w:pPr>
        <w:pStyle w:val="AmOrLang"/>
      </w:pPr>
      <w:r>
        <w:lastRenderedPageBreak/>
        <w:t xml:space="preserve">Or. </w:t>
      </w:r>
      <w:r>
        <w:rPr>
          <w:rStyle w:val="HideTWBExt"/>
        </w:rPr>
        <w:t>&lt;Original&gt;</w:t>
      </w:r>
      <w:r>
        <w:rPr>
          <w:rStyle w:val="HideTWBInt"/>
        </w:rPr>
        <w:t>{FI}</w:t>
      </w:r>
      <w:r>
        <w:t>fi</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263</w:t>
      </w:r>
      <w:r>
        <w:rPr>
          <w:rStyle w:val="HideTWBExt"/>
        </w:rPr>
        <w:t>&lt;/NumAmB&gt;</w:t>
      </w:r>
    </w:p>
    <w:p w:rsidR="00BC254A" w:rsidRDefault="007914A5">
      <w:pPr>
        <w:pStyle w:val="NormalBold"/>
      </w:pPr>
      <w:r>
        <w:rPr>
          <w:rStyle w:val="HideTWBExt"/>
          <w:b w:val="0"/>
        </w:rPr>
        <w:t>&lt;RepeatBlock-By&gt;&lt;Members&gt;</w:t>
      </w:r>
      <w:r>
        <w:t>Jan-Christoph Oetjen, Abir Al-Sahlani, Hilde Vautmans, Irena Joveva,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(25)</w:t>
            </w:r>
            <w:r>
              <w:tab/>
            </w:r>
            <w:r>
              <w:t xml:space="preserve">Die Plattform des EU-Talentpools sollte dem festgestellten Bedarf auf dem Arbeitsmarkt entsprechen und nicht als Mittel dienen, um vorhandene </w:t>
            </w:r>
            <w:r>
              <w:lastRenderedPageBreak/>
              <w:t>Arbeitskräfte zu verdrängen oder negativ zu beeinflussen oder auf andere Weise menschenwürdige Arbeit oder den fai</w:t>
            </w:r>
            <w:r>
              <w:t xml:space="preserve">ren Wettbewerb zu untergraben. Um die Bemühungen der Mitgliedstaaten zur Bewältigung des bestehenden und künftigen Arbeitskräftemangels besser zu unterstützen, sollte der EU-Talentpool auf </w:t>
            </w:r>
            <w:r>
              <w:rPr>
                <w:b/>
                <w:i/>
              </w:rPr>
              <w:t>spezifische Berufe aller</w:t>
            </w:r>
            <w:r>
              <w:t xml:space="preserve"> Qualifikationsniveaus ausgerichtet sein</w:t>
            </w:r>
            <w:r>
              <w:rPr>
                <w:b/>
                <w:i/>
              </w:rPr>
              <w:t>;</w:t>
            </w:r>
            <w:r>
              <w:t xml:space="preserve"> </w:t>
            </w:r>
            <w:r>
              <w:rPr>
                <w:b/>
                <w:i/>
              </w:rPr>
              <w:t>G</w:t>
            </w:r>
            <w:r>
              <w:rPr>
                <w:b/>
                <w:i/>
              </w:rPr>
              <w:t>rundlage</w:t>
            </w:r>
            <w:r>
              <w:t xml:space="preserve"> hierfür sollten die im Anhang dieser Verordnung aufgeführten Berufe, in denen in der Union am häufigsten ein Mangel besteht, und die Berufe, die einen direkten Beitrag zum ökologischen und digitalen Wandel leisten, </w:t>
            </w:r>
            <w:r>
              <w:rPr>
                <w:b/>
                <w:i/>
              </w:rPr>
              <w:t>sein.</w:t>
            </w:r>
            <w:r>
              <w:t xml:space="preserve"> </w:t>
            </w:r>
            <w:r>
              <w:rPr>
                <w:b/>
                <w:i/>
              </w:rPr>
              <w:t xml:space="preserve">Um die offenen Stellen an </w:t>
            </w:r>
            <w:r>
              <w:rPr>
                <w:b/>
                <w:i/>
              </w:rPr>
              <w:t>die spezifischen Bedürfnisse der nationalen Arbeitsmärkte anzupassen, können die teilnehmenden Mitgliedstaaten ausgehend von der im Anhang enthaltenen Liste der EU-weiten Mangelberufe dem Sekretariat des EU-Talentpools die Hinzufügung oder Streichung besti</w:t>
            </w:r>
            <w:r>
              <w:rPr>
                <w:b/>
                <w:i/>
              </w:rPr>
              <w:t>mmter Mangelberufe melden.</w:t>
            </w:r>
            <w:r>
              <w:t xml:space="preserve"> </w:t>
            </w:r>
            <w:r>
              <w:rPr>
                <w:b/>
                <w:i/>
              </w:rPr>
              <w:t>Diese Meldungen sollten sich nur auf die Übereinstimmungen für Stellenangebote auswirken, die von dem jeweiligen Mitgliedstaat eingereicht werden</w:t>
            </w:r>
            <w:r>
              <w:t xml:space="preserve">. Weder die Liste der EU-weiten Mangelberufe noch die </w:t>
            </w:r>
            <w:r>
              <w:rPr>
                <w:b/>
                <w:i/>
              </w:rPr>
              <w:t>Meldungen</w:t>
            </w:r>
            <w:r>
              <w:t xml:space="preserve"> der Mitgliedstaaten </w:t>
            </w:r>
            <w:r>
              <w:t>sollten den Grundsatz der Bevorzugung von Unionsbürgern beeinträchtigen.</w:t>
            </w:r>
          </w:p>
        </w:tc>
        <w:tc>
          <w:tcPr>
            <w:tcW w:w="4876" w:type="dxa"/>
            <w:tcBorders>
              <w:top w:val="nil"/>
              <w:left w:val="nil"/>
              <w:bottom w:val="nil"/>
              <w:right w:val="nil"/>
            </w:tcBorders>
          </w:tcPr>
          <w:p w:rsidR="00BC254A" w:rsidRDefault="007914A5">
            <w:pPr>
              <w:pStyle w:val="Normal6a"/>
            </w:pPr>
            <w:r>
              <w:lastRenderedPageBreak/>
              <w:t>(25)</w:t>
            </w:r>
            <w:r>
              <w:tab/>
              <w:t xml:space="preserve">Die Plattform des EU-Talentpools sollte dem festgestellten Bedarf auf dem Arbeitsmarkt entsprechen und nicht als Mittel dienen, um vorhandene </w:t>
            </w:r>
            <w:r>
              <w:lastRenderedPageBreak/>
              <w:t>Arbeitskräfte zu verdrängen oder neg</w:t>
            </w:r>
            <w:r>
              <w:t>ativ zu beeinflussen oder auf andere Weise menschenwürdige Arbeit oder den fairen Wettbewerb zu untergraben. Um die Bemühungen der Mitgliedstaaten zur Bewältigung des bestehenden und künftigen Arbeitskräftemangels besser zu unterstützen, sollte der EU-Tale</w:t>
            </w:r>
            <w:r>
              <w:t xml:space="preserve">ntpool auf </w:t>
            </w:r>
            <w:r>
              <w:rPr>
                <w:b/>
                <w:i/>
              </w:rPr>
              <w:t>alle</w:t>
            </w:r>
            <w:r>
              <w:t xml:space="preserve"> Qualifikationsniveaus ausgerichtet sein</w:t>
            </w:r>
            <w:r>
              <w:rPr>
                <w:b/>
                <w:i/>
              </w:rPr>
              <w:t>.</w:t>
            </w:r>
            <w:r>
              <w:t xml:space="preserve"> Hierfür sollten </w:t>
            </w:r>
            <w:r>
              <w:rPr>
                <w:b/>
                <w:i/>
              </w:rPr>
              <w:t>unter anderem</w:t>
            </w:r>
            <w:r>
              <w:t xml:space="preserve"> die im Anhang dieser Verordnung aufgeführten Berufe, in denen in der Union am häufigsten ein Mangel besteht, und die Berufe, die einen direkten Beitrag zum ökologischen </w:t>
            </w:r>
            <w:r>
              <w:t xml:space="preserve">und </w:t>
            </w:r>
            <w:r>
              <w:rPr>
                <w:b/>
                <w:i/>
              </w:rPr>
              <w:t>zum</w:t>
            </w:r>
            <w:r>
              <w:t xml:space="preserve"> digitalen Wandel leisten, </w:t>
            </w:r>
            <w:r>
              <w:rPr>
                <w:b/>
                <w:i/>
              </w:rPr>
              <w:t>berücksichtigt werden.</w:t>
            </w:r>
            <w:r>
              <w:t xml:space="preserve"> </w:t>
            </w:r>
            <w:r>
              <w:rPr>
                <w:b/>
                <w:i/>
              </w:rPr>
              <w:t xml:space="preserve">Ohne Anspruch auf Ausschließlichkeit oder Vollständigkeit zu erheben, sollte die Liste der EU-weiten Mangelberufe Drittstaatsangehörigen als Anhaltspunkt für die am stärksten nachgefragten Berufe in </w:t>
            </w:r>
            <w:r>
              <w:rPr>
                <w:b/>
                <w:i/>
              </w:rPr>
              <w:t>der EU dienen.</w:t>
            </w:r>
            <w:r>
              <w:t xml:space="preserve"> </w:t>
            </w:r>
            <w:r>
              <w:rPr>
                <w:b/>
                <w:i/>
              </w:rPr>
              <w:t>Um die spezifischen Bedürfnisse der nationalen Arbeitsmärkte bekannt zu machen, können die teilnehmenden Mitgliedstaaten ausgehend von der im Anhang enthaltenen Liste der EU-weiten Mangelberufe nationale Listen der Mangelberufe veröffentlich</w:t>
            </w:r>
            <w:r>
              <w:rPr>
                <w:b/>
                <w:i/>
              </w:rPr>
              <w:t>en</w:t>
            </w:r>
            <w:r>
              <w:t xml:space="preserve">. Weder die Liste der EU-weiten Mangelberufe noch die </w:t>
            </w:r>
            <w:r>
              <w:rPr>
                <w:b/>
                <w:i/>
              </w:rPr>
              <w:t>Listen</w:t>
            </w:r>
            <w:r>
              <w:t xml:space="preserve"> der Mitgliedstaaten sollten den Grundsatz der Bevorzugung von Unionsbürgern beeinträchtigen.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264</w:t>
      </w:r>
      <w:r>
        <w:rPr>
          <w:rStyle w:val="HideTWBExt"/>
        </w:rPr>
        <w:t>&lt;/NumAmB&gt;</w:t>
      </w:r>
    </w:p>
    <w:p w:rsidR="00BC254A" w:rsidRDefault="007914A5">
      <w:pPr>
        <w:pStyle w:val="NormalBold"/>
      </w:pPr>
      <w:r>
        <w:rPr>
          <w:rStyle w:val="HideTWBExt"/>
          <w:b w:val="0"/>
        </w:rPr>
        <w:t>&lt;RepeatBloc</w:t>
      </w:r>
      <w:r>
        <w:rPr>
          <w:rStyle w:val="HideTWBExt"/>
          <w:b w:val="0"/>
        </w:rPr>
        <w:t>k-By&gt;&lt;Members&gt;</w:t>
      </w:r>
      <w:r>
        <w:t>Lena Düpont, Tomas Tobé</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(25)</w:t>
            </w:r>
            <w:r>
              <w:tab/>
              <w:t xml:space="preserve">Die Plattform des EU-Talentpools sollte dem festgestellten </w:t>
            </w:r>
            <w:r>
              <w:t xml:space="preserve">Bedarf auf dem </w:t>
            </w:r>
            <w:r>
              <w:lastRenderedPageBreak/>
              <w:t>Arbeitsmarkt entsprechen und nicht als Mittel dienen, um vorhandene Arbeitskräfte zu verdrängen oder negativ zu beeinflussen oder auf andere Weise menschenwürdige Arbeit oder den fairen Wettbewerb zu untergraben. Um die Bemühungen der Mitgli</w:t>
            </w:r>
            <w:r>
              <w:t>edstaaten zur Bewältigung des bestehenden und künftigen Arbeitskräftemangels besser zu unterstützen, sollte der EU-Talentpool auf spezifische Berufe aller Qualifikationsniveaus ausgerichtet sein; Grundlage hierfür sollten die im Anhang dieser Verordnung au</w:t>
            </w:r>
            <w:r>
              <w:t>fgeführten Berufe, in denen in der Union am häufigsten ein Mangel besteht, und die Berufe, die einen direkten Beitrag zum ökologischen und digitalen Wandel leisten, sein. Um die offenen Stellen an die spezifischen Bedürfnisse der nationalen Arbeitsmärkte a</w:t>
            </w:r>
            <w:r>
              <w:t>nzupassen, können die teilnehmenden Mitgliedstaaten ausgehend von der im Anhang enthaltenen Liste der EU-weiten Mangelberufe dem Sekretariat des EU-Talentpools die Hinzufügung oder Streichung bestimmter Mangelberufe melden. Diese Meldungen sollten sich nur</w:t>
            </w:r>
            <w:r>
              <w:t xml:space="preserve"> auf die Übereinstimmungen für Stellenangebote auswirken, die von dem jeweiligen Mitgliedstaat eingereicht werden. Weder die Liste der EU-weiten Mangelberufe noch die Meldungen der Mitgliedstaaten sollten den Grundsatz der Bevorzugung von Unionsbürgern bee</w:t>
            </w:r>
            <w:r>
              <w:t>inträchtigen.</w:t>
            </w:r>
          </w:p>
        </w:tc>
        <w:tc>
          <w:tcPr>
            <w:tcW w:w="4876" w:type="dxa"/>
            <w:tcBorders>
              <w:top w:val="nil"/>
              <w:left w:val="nil"/>
              <w:bottom w:val="nil"/>
              <w:right w:val="nil"/>
            </w:tcBorders>
          </w:tcPr>
          <w:p w:rsidR="00BC254A" w:rsidRDefault="007914A5">
            <w:pPr>
              <w:pStyle w:val="Normal6a"/>
            </w:pPr>
            <w:r>
              <w:lastRenderedPageBreak/>
              <w:t>(25)</w:t>
            </w:r>
            <w:r>
              <w:tab/>
            </w:r>
            <w:r>
              <w:t xml:space="preserve">Die Plattform des EU-Talentpools sollte dem festgestellten Bedarf auf dem </w:t>
            </w:r>
            <w:r>
              <w:lastRenderedPageBreak/>
              <w:t>Arbeitsmarkt entsprechen und nicht als Mittel dienen, um vorhandene Arbeitskräfte zu verdrängen oder negativ zu beeinflussen oder auf andere Weise menschenwürdige Arbeit oder den fai</w:t>
            </w:r>
            <w:r>
              <w:t xml:space="preserve">ren Wettbewerb zu untergraben. Um die Bemühungen der Mitgliedstaaten zur Bewältigung des bestehenden und künftigen Arbeitskräftemangels </w:t>
            </w:r>
            <w:r>
              <w:rPr>
                <w:b/>
                <w:i/>
              </w:rPr>
              <w:t>und zur Stärkung der Wettbewerbsfähigkeit</w:t>
            </w:r>
            <w:r>
              <w:t xml:space="preserve"> besser zu unterstützen, sollte der EU-Talentpool auf spezifische Berufe aller </w:t>
            </w:r>
            <w:r>
              <w:t>Qualifikationsniveaus ausgerichtet sein; Grundlage hierfür sollten die im Anhang dieser Verordnung aufgeführten Berufe, in denen in der Union am häufigsten ein Mangel besteht, und die Berufe, die einen direkten Beitrag zum ökologischen und digitalen Wandel</w:t>
            </w:r>
            <w:r>
              <w:t xml:space="preserve"> leisten, sein. Um die offenen Stellen an die spezifischen Bedürfnisse der nationalen Arbeitsmärkte anzupassen, können die teilnehmenden Mitgliedstaaten ausgehend von der im Anhang enthaltenen Liste der EU-weiten Mangelberufe dem Sekretariat des EU-Talentp</w:t>
            </w:r>
            <w:r>
              <w:t>ools die Hinzufügung oder Streichung bestimmter Mangelberufe melden. Diese Meldungen sollten sich nur auf die Übereinstimmungen für Stellenangebote auswirken, die von dem jeweiligen Mitgliedstaat eingereicht werden. Weder die Liste der EU-weiten Mangelberu</w:t>
            </w:r>
            <w:r>
              <w:t>fe noch die Meldungen der Mitgliedstaaten sollten den Grundsatz der Bevorzugung von Unionsbürgern beeinträchtigen.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265</w:t>
      </w:r>
      <w:r>
        <w:rPr>
          <w:rStyle w:val="HideTWBExt"/>
        </w:rPr>
        <w:t>&lt;/NumAmB&gt;</w:t>
      </w:r>
    </w:p>
    <w:p w:rsidR="00BC254A" w:rsidRDefault="007914A5">
      <w:pPr>
        <w:pStyle w:val="NormalBold"/>
      </w:pPr>
      <w:r>
        <w:rPr>
          <w:rStyle w:val="HideTWBExt"/>
          <w:b w:val="0"/>
        </w:rPr>
        <w:t>&lt;RepeatBlock-By&gt;&lt;Members&gt;</w:t>
      </w:r>
      <w:r>
        <w:t>Alice Teodorescu Måwe</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lastRenderedPageBreak/>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(25)</w:t>
            </w:r>
            <w:r>
              <w:tab/>
              <w:t xml:space="preserve">Die Plattform des EU-Talentpools sollte dem festgestellten Bedarf auf dem Arbeitsmarkt </w:t>
            </w:r>
            <w:r>
              <w:t>entsprechen und nicht als Mittel dienen, um vorhandene Arbeitskräfte zu verdrängen oder negativ zu beeinflussen oder auf andere Weise menschenwürdige Arbeit oder den fairen Wettbewerb zu untergraben. Um die Bemühungen der Mitgliedstaaten zur Bewältigung de</w:t>
            </w:r>
            <w:r>
              <w:t xml:space="preserve">s bestehenden und künftigen Arbeitskräftemangels besser zu unterstützen, sollte der EU-Talentpool auf spezifische Berufe aller Qualifikationsniveaus ausgerichtet sein; Grundlage hierfür sollten die im Anhang dieser Verordnung aufgeführten Berufe, in denen </w:t>
            </w:r>
            <w:r>
              <w:t>in der Union am häufigsten ein Mangel besteht, und die Berufe, die einen direkten Beitrag zum ökologischen und digitalen Wandel leisten, sein. Um die offenen Stellen an die spezifischen Bedürfnisse der nationalen Arbeitsmärkte anzupassen, können die teilne</w:t>
            </w:r>
            <w:r>
              <w:t>hmenden Mitgliedstaaten ausgehend von der im Anhang enthaltenen Liste der EU-weiten Mangelberufe dem Sekretariat des EU-Talentpools die Hinzufügung oder Streichung bestimmter Mangelberufe melden. Diese Meldungen sollten sich nur auf die Übereinstimmungen f</w:t>
            </w:r>
            <w:r>
              <w:t>ür Stellenangebote auswirken, die von dem jeweiligen Mitgliedstaat eingereicht werden. Weder die Liste der EU-weiten Mangelberufe noch die Meldungen der Mitgliedstaaten sollten den Grundsatz der Bevorzugung von Unionsbürgern beeinträchtigen.</w:t>
            </w:r>
          </w:p>
        </w:tc>
        <w:tc>
          <w:tcPr>
            <w:tcW w:w="4876" w:type="dxa"/>
            <w:tcBorders>
              <w:top w:val="nil"/>
              <w:left w:val="nil"/>
              <w:bottom w:val="nil"/>
              <w:right w:val="nil"/>
            </w:tcBorders>
          </w:tcPr>
          <w:p w:rsidR="00BC254A" w:rsidRDefault="007914A5">
            <w:pPr>
              <w:pStyle w:val="Normal6a"/>
            </w:pPr>
            <w:r>
              <w:t>(25)</w:t>
            </w:r>
            <w:r>
              <w:tab/>
              <w:t>Die Platt</w:t>
            </w:r>
            <w:r>
              <w:t>form des EU-Talentpools sollte dem festgestellten Bedarf auf dem Arbeitsmarkt entsprechen und nicht als Mittel dienen, um vorhandene Arbeitskräfte zu verdrängen oder negativ zu beeinflussen oder auf andere Weise menschenwürdige Arbeit oder den fairen Wettb</w:t>
            </w:r>
            <w:r>
              <w:t xml:space="preserve">ewerb zu untergraben. Um die Bemühungen der Mitgliedstaaten zur Bewältigung des bestehenden und künftigen Arbeitskräftemangels </w:t>
            </w:r>
            <w:r>
              <w:rPr>
                <w:b/>
                <w:i/>
              </w:rPr>
              <w:t>und zur Verbesserung der Wettbewerbsfähigkeit</w:t>
            </w:r>
            <w:r>
              <w:t xml:space="preserve"> besser zu unterstützen, sollte der EU-Talentpool auf spezifische Berufe aller Quali</w:t>
            </w:r>
            <w:r>
              <w:t>fikationsniveaus ausgerichtet sein; Grundlage hierfür sollten die im Anhang dieser Verordnung aufgeführten Berufe, in denen in der Union am häufigsten ein Mangel besteht, und die Berufe, die einen direkten Beitrag zum ökologischen und digitalen Wandel leis</w:t>
            </w:r>
            <w:r>
              <w:t xml:space="preserve">ten, sein. Um die offenen Stellen an die spezifischen Bedürfnisse der nationalen Arbeitsmärkte anzupassen, können die teilnehmenden Mitgliedstaaten ausgehend von der im Anhang enthaltenen Liste der EU-weiten Mangelberufe dem Sekretariat des EU-Talentpools </w:t>
            </w:r>
            <w:r>
              <w:t>die Hinzufügung oder Streichung bestimmter Mangelberufe melden. Diese Meldungen sollten sich nur auf die Übereinstimmungen für Stellenangebote auswirken, die von dem jeweiligen Mitgliedstaat eingereicht werden. Weder die Liste der EU-weiten Mangelberufe no</w:t>
            </w:r>
            <w:r>
              <w:t>ch die Meldungen der Mitgliedstaaten sollten den Grundsatz der Bevorzugung von Unionsbürgern beeinträchtigen.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266</w:t>
      </w:r>
      <w:r>
        <w:rPr>
          <w:rStyle w:val="HideTWBExt"/>
        </w:rPr>
        <w:t>&lt;/NumAmB&gt;</w:t>
      </w:r>
    </w:p>
    <w:p w:rsidR="00BC254A" w:rsidRDefault="007914A5">
      <w:pPr>
        <w:pStyle w:val="NormalBold"/>
      </w:pPr>
      <w:r>
        <w:rPr>
          <w:rStyle w:val="HideTWBExt"/>
          <w:b w:val="0"/>
        </w:rPr>
        <w:t>&lt;RepeatBlock-By&gt;&lt;Members&gt;</w:t>
      </w:r>
      <w:r>
        <w:t>Nadine Morano</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lastRenderedPageBreak/>
        <w:t>&lt;DocAmend&gt;</w:t>
      </w:r>
      <w:r>
        <w:t>Vorschlag für eine Verordnung</w:t>
      </w:r>
      <w:r>
        <w:rPr>
          <w:rStyle w:val="HideTWBExt"/>
        </w:rPr>
        <w:t>&lt;/DocAmend&gt;</w:t>
      </w:r>
    </w:p>
    <w:p w:rsidR="00BC254A" w:rsidRDefault="007914A5">
      <w:pPr>
        <w:pStyle w:val="NormalBold"/>
      </w:pPr>
      <w:r>
        <w:rPr>
          <w:rStyle w:val="HideTWBExt"/>
        </w:rPr>
        <w:t>&lt;Article&gt;</w:t>
      </w:r>
      <w:r>
        <w:t>Erwägung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(25)</w:t>
            </w:r>
            <w:r>
              <w:tab/>
              <w:t xml:space="preserve">Die Plattform des EU-Talentpools sollte dem festgestellten Bedarf auf dem Arbeitsmarkt entsprechen und </w:t>
            </w:r>
            <w:r>
              <w:t>nicht als Mittel dienen, um vorhandene Arbeitskräfte zu verdrängen oder negativ zu beeinflussen oder auf andere Weise menschenwürdige Arbeit oder den fairen Wettbewerb zu untergraben. Um die Bemühungen der Mitgliedstaaten zur Bewältigung des bestehenden un</w:t>
            </w:r>
            <w:r>
              <w:t xml:space="preserve">d künftigen Arbeitskräftemangels besser zu unterstützen, sollte der EU-Talentpool auf spezifische Berufe aller Qualifikationsniveaus ausgerichtet sein; Grundlage hierfür sollten die im Anhang dieser Verordnung aufgeführten Berufe, in denen in der Union am </w:t>
            </w:r>
            <w:r>
              <w:t>häufigsten ein Mangel besteht</w:t>
            </w:r>
            <w:r>
              <w:rPr>
                <w:b/>
                <w:i/>
              </w:rPr>
              <w:t>, und die Berufe, die einen direkten Beitrag zum ökologischen und digitalen Wandel leisten</w:t>
            </w:r>
            <w:r>
              <w:t>, sein. Um die offenen Stellen an die spezifischen Bedürfnisse der nationalen Arbeitsmärkte anzupassen, können die teilnehmenden Mitglied</w:t>
            </w:r>
            <w:r>
              <w:t>staaten ausgehend von der im Anhang enthaltenen Liste der EU-weiten Mangelberufe dem Sekretariat des EU-Talentpools die Hinzufügung oder Streichung bestimmter Mangelberufe melden. Diese Meldungen sollten sich nur auf die Übereinstimmungen für Stellenangebo</w:t>
            </w:r>
            <w:r>
              <w:t>te auswirken, die von dem jeweiligen Mitgliedstaat eingereicht werden. Weder die Liste der EU-weiten Mangelberufe noch die Meldungen der Mitgliedstaaten sollten den Grundsatz der Bevorzugung von Unionsbürgern beeinträchtigen.</w:t>
            </w:r>
          </w:p>
        </w:tc>
        <w:tc>
          <w:tcPr>
            <w:tcW w:w="4876" w:type="dxa"/>
            <w:tcBorders>
              <w:top w:val="nil"/>
              <w:left w:val="nil"/>
              <w:bottom w:val="nil"/>
              <w:right w:val="nil"/>
            </w:tcBorders>
          </w:tcPr>
          <w:p w:rsidR="00BC254A" w:rsidRDefault="007914A5">
            <w:pPr>
              <w:pStyle w:val="Normal6a"/>
            </w:pPr>
            <w:r>
              <w:t>(25)</w:t>
            </w:r>
            <w:r>
              <w:tab/>
              <w:t>Die Plattform des EU-Tale</w:t>
            </w:r>
            <w:r>
              <w:t>ntpools sollte dem festgestellten Bedarf auf dem Arbeitsmarkt entsprechen und nicht als Mittel dienen, um vorhandene Arbeitskräfte zu verdrängen oder negativ zu beeinflussen oder auf andere Weise menschenwürdige Arbeit oder den fairen Wettbewerb zu untergr</w:t>
            </w:r>
            <w:r>
              <w:t xml:space="preserve">aben </w:t>
            </w:r>
            <w:r>
              <w:rPr>
                <w:b/>
                <w:i/>
              </w:rPr>
              <w:t>oder eine Abwanderung von Fachkräften aus Drittländern zu begünstigen</w:t>
            </w:r>
            <w:r>
              <w:t>. Um die Bemühungen der Mitgliedstaaten zur Bewältigung des bestehenden und künftigen Arbeitskräftemangels besser zu unterstützen, sollte der EU-Talentpool auf spezifische Berufe all</w:t>
            </w:r>
            <w:r>
              <w:t>er Qualifikationsniveaus ausgerichtet sein; Grundlage hierfür sollten die im Anhang dieser Verordnung aufgeführten Berufe, in denen in der Union am häufigsten ein Mangel besteht, sein. Um die offenen Stellen an die spezifischen Bedürfnisse der nationalen A</w:t>
            </w:r>
            <w:r>
              <w:t>rbeitsmärkte anzupassen, können die teilnehmenden Mitgliedstaaten ausgehend von der im Anhang enthaltenen Liste der EU-weiten Mangelberufe dem Sekretariat des EU-Talentpools die Hinzufügung oder Streichung bestimmter Mangelberufe melden. Diese Meldungen so</w:t>
            </w:r>
            <w:r>
              <w:t>llten sich nur auf die Übereinstimmungen für Stellenangebote auswirken, die von dem jeweiligen Mitgliedstaat eingereicht werden. Weder die Liste der EU-weiten Mangelberufe noch die Meldungen der Mitgliedstaaten sollten den Grundsatz der Bevorzugung von Uni</w:t>
            </w:r>
            <w:r>
              <w:t>onsbürgern beeinträchtigen.</w:t>
            </w:r>
          </w:p>
        </w:tc>
      </w:tr>
    </w:tbl>
    <w:p w:rsidR="00BC254A" w:rsidRDefault="007914A5">
      <w:pPr>
        <w:pStyle w:val="AmOrLang"/>
      </w:pPr>
      <w:r>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267</w:t>
      </w:r>
      <w:r>
        <w:rPr>
          <w:rStyle w:val="HideTWBExt"/>
        </w:rPr>
        <w:t>&lt;/NumAmB&gt;</w:t>
      </w:r>
    </w:p>
    <w:p w:rsidR="00BC254A" w:rsidRDefault="007914A5">
      <w:pPr>
        <w:pStyle w:val="NormalBold"/>
      </w:pPr>
      <w:r>
        <w:rPr>
          <w:rStyle w:val="HideTWBExt"/>
          <w:b w:val="0"/>
        </w:rPr>
        <w:lastRenderedPageBreak/>
        <w:t>&lt;RepeatBlock-By&gt;&lt;Members&gt;</w:t>
      </w:r>
      <w:r>
        <w:t>Jan-Christoph Oetjen, Hilde Vautmans, Veronika Cifrová Ostrihoňová</w:t>
      </w:r>
      <w:r>
        <w:rPr>
          <w:rStyle w:val="HideTWBExt"/>
          <w:b w:val="0"/>
        </w:rPr>
        <w:t>&lt;/Members&gt;</w:t>
      </w:r>
    </w:p>
    <w:p w:rsidR="00BC254A" w:rsidRDefault="007914A5">
      <w:r>
        <w:rPr>
          <w:rStyle w:val="HideTWBExt"/>
        </w:rPr>
        <w:t>&lt;AuNomDe&gt;</w:t>
      </w:r>
      <w:r>
        <w:rPr>
          <w:rStyle w:val="HideTWBInt"/>
        </w:rPr>
        <w:t>{LIBE}</w:t>
      </w:r>
      <w:r>
        <w:t xml:space="preserve">im Namen des </w:t>
      </w:r>
      <w:r>
        <w:t>Ausschusses für bürgerliche Freiheiten, Justiz und Inneres</w:t>
      </w:r>
      <w:r>
        <w:rPr>
          <w:rStyle w:val="HideTWBExt"/>
        </w:rPr>
        <w:t>&lt;/AuNomDe&gt;</w:t>
      </w:r>
    </w:p>
    <w:p w:rsidR="00BC254A" w:rsidRDefault="007914A5">
      <w:pPr>
        <w:pStyle w:val="NormalBold"/>
      </w:pPr>
      <w:r>
        <w:rPr>
          <w:rStyle w:val="HideTWBExt"/>
          <w:b w:val="0"/>
        </w:rPr>
        <w:t>&lt;Members&gt;</w:t>
      </w:r>
      <w:r>
        <w:t>Sophie Wilmès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(25a)</w:t>
            </w:r>
            <w:r>
              <w:tab/>
            </w:r>
            <w:r>
              <w:rPr>
                <w:b/>
                <w:i/>
              </w:rPr>
              <w:t>Bislang haben nicht alle Mitgliedstaaten eine solche Liste erstellt oder eine klare Methode zur Ermittlung von Mangelberufen festgelegt.</w:t>
            </w:r>
            <w:r>
              <w:t xml:space="preserve"> </w:t>
            </w:r>
            <w:r>
              <w:rPr>
                <w:b/>
                <w:i/>
              </w:rPr>
              <w:t>Darüber hinaus werden diese Listen nicht in allen Mitgliedstaaten mit derselben Konsequenz und Häufigkeit aktuali</w:t>
            </w:r>
            <w:r>
              <w:rPr>
                <w:b/>
                <w:i/>
              </w:rPr>
              <w:t>siert.</w:t>
            </w:r>
            <w:r>
              <w:t xml:space="preserve"> </w:t>
            </w:r>
            <w:r>
              <w:rPr>
                <w:b/>
                <w:i/>
              </w:rPr>
              <w:t>Die Kommission sollte diese Bestrebungen daher durch den Austausch bewährter Verfahren fördern, um sicherzustellen, dass diese Listen, sei es auf Unionsebene oder auf nationaler Ebene, die Realität des Arbeitsmarkts in den betreffenden Mitgliedstaat</w:t>
            </w:r>
            <w:r>
              <w:rPr>
                <w:b/>
                <w:i/>
              </w:rPr>
              <w:t>en widerspiegeln.</w:t>
            </w:r>
            <w:r>
              <w:t xml:space="preserve"> </w:t>
            </w:r>
            <w:r>
              <w:rPr>
                <w:b/>
                <w:i/>
              </w:rPr>
              <w:t>Darüber hinaus muss berücksichtigt werden, dass die Erstellung solcher Listen nicht immer in die nationale Zuständigkeit des Mitgliedstaats fällt.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268</w:t>
      </w:r>
      <w:r>
        <w:rPr>
          <w:rStyle w:val="HideTWBExt"/>
        </w:rPr>
        <w:t>&lt;/NumAmB&gt;</w:t>
      </w:r>
    </w:p>
    <w:p w:rsidR="00BC254A" w:rsidRDefault="007914A5">
      <w:pPr>
        <w:pStyle w:val="NormalBold"/>
      </w:pPr>
      <w:r>
        <w:rPr>
          <w:rStyle w:val="HideTWBExt"/>
          <w:b w:val="0"/>
        </w:rPr>
        <w:t>&lt;R</w:t>
      </w:r>
      <w:r>
        <w:rPr>
          <w:rStyle w:val="HideTWBExt"/>
          <w:b w:val="0"/>
        </w:rPr>
        <w:t>epeatBlock-By&gt;&lt;Members&gt;</w:t>
      </w:r>
      <w:r>
        <w:t>Ioan-Rareş Bogdan</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(26)</w:t>
            </w:r>
            <w:r>
              <w:tab/>
              <w:t xml:space="preserve">Die teilnehmenden Mitgliedstaaten sollten </w:t>
            </w:r>
            <w:r>
              <w:rPr>
                <w:b/>
                <w:i/>
              </w:rPr>
              <w:t>Arbeitsuchenden</w:t>
            </w:r>
            <w:r>
              <w:t xml:space="preserve"> aus Drittstaaten und </w:t>
            </w:r>
            <w:r>
              <w:rPr>
                <w:b/>
                <w:i/>
              </w:rPr>
              <w:t>Arbeitgebern</w:t>
            </w:r>
            <w:r>
              <w:t xml:space="preserve"> Informationen über den EU-Talentpool und dessen Funktionsweise </w:t>
            </w:r>
            <w:r>
              <w:rPr>
                <w:b/>
                <w:i/>
              </w:rPr>
              <w:t>leicht zugänglich machen</w:t>
            </w:r>
            <w:r>
              <w:t xml:space="preserve">, insbesondere Informationen über die zuständigen Behörden in den teilnehmenden </w:t>
            </w:r>
            <w:r>
              <w:lastRenderedPageBreak/>
              <w:t xml:space="preserve">Mitgliedstaaten. </w:t>
            </w:r>
            <w:r>
              <w:rPr>
                <w:b/>
                <w:i/>
              </w:rPr>
              <w:t>Außerdem</w:t>
            </w:r>
            <w:r>
              <w:t xml:space="preserve"> sollten </w:t>
            </w:r>
            <w:r>
              <w:rPr>
                <w:b/>
                <w:i/>
              </w:rPr>
              <w:t>diese</w:t>
            </w:r>
            <w:r>
              <w:rPr>
                <w:b/>
                <w:i/>
              </w:rPr>
              <w:t xml:space="preserve"> Informationen die</w:t>
            </w:r>
            <w:r>
              <w:t xml:space="preserve"> Bedingungen </w:t>
            </w:r>
            <w:r>
              <w:rPr>
                <w:b/>
                <w:i/>
              </w:rPr>
              <w:t>und</w:t>
            </w:r>
            <w:r>
              <w:t xml:space="preserve"> Verfahren für die Teilnahme am EU-Talentpool umfassen.</w:t>
            </w:r>
          </w:p>
        </w:tc>
        <w:tc>
          <w:tcPr>
            <w:tcW w:w="4876" w:type="dxa"/>
            <w:tcBorders>
              <w:top w:val="nil"/>
              <w:left w:val="nil"/>
              <w:bottom w:val="nil"/>
              <w:right w:val="nil"/>
            </w:tcBorders>
          </w:tcPr>
          <w:p w:rsidR="00BC254A" w:rsidRDefault="007914A5">
            <w:pPr>
              <w:pStyle w:val="Normal6a"/>
            </w:pPr>
            <w:r>
              <w:lastRenderedPageBreak/>
              <w:t>(26)</w:t>
            </w:r>
            <w:r>
              <w:tab/>
              <w:t xml:space="preserve">Die teilnehmenden Mitgliedstaaten sollten </w:t>
            </w:r>
            <w:r>
              <w:rPr>
                <w:b/>
                <w:i/>
              </w:rPr>
              <w:t>sicherstellen, dass Arbeitsuchende</w:t>
            </w:r>
            <w:r>
              <w:t xml:space="preserve"> aus Drittstaaten und </w:t>
            </w:r>
            <w:r>
              <w:rPr>
                <w:b/>
                <w:i/>
              </w:rPr>
              <w:t>Arbeitgeber einfachen Zugang zu leicht verständlichen und benut</w:t>
            </w:r>
            <w:r>
              <w:rPr>
                <w:b/>
                <w:i/>
              </w:rPr>
              <w:t>zerfreundlichen</w:t>
            </w:r>
            <w:r>
              <w:t xml:space="preserve"> Informationen über den EU-Talentpool und dessen Funktionsweise </w:t>
            </w:r>
            <w:r>
              <w:rPr>
                <w:b/>
                <w:i/>
              </w:rPr>
              <w:t>haben</w:t>
            </w:r>
            <w:r>
              <w:t xml:space="preserve">, insbesondere </w:t>
            </w:r>
            <w:r>
              <w:rPr>
                <w:b/>
                <w:i/>
              </w:rPr>
              <w:t>zu</w:t>
            </w:r>
            <w:r>
              <w:t xml:space="preserve"> </w:t>
            </w:r>
            <w:r>
              <w:lastRenderedPageBreak/>
              <w:t xml:space="preserve">Informationen über die zuständigen Behörden in den teilnehmenden Mitgliedstaaten. </w:t>
            </w:r>
            <w:r>
              <w:rPr>
                <w:b/>
                <w:i/>
              </w:rPr>
              <w:t>Diese Informationen</w:t>
            </w:r>
            <w:r>
              <w:t xml:space="preserve"> sollten </w:t>
            </w:r>
            <w:r>
              <w:rPr>
                <w:b/>
                <w:i/>
              </w:rPr>
              <w:t>detaillierte Erläuterungen zu den</w:t>
            </w:r>
            <w:r>
              <w:t xml:space="preserve"> Bedingunge</w:t>
            </w:r>
            <w:r>
              <w:t>n</w:t>
            </w:r>
            <w:r>
              <w:rPr>
                <w:b/>
                <w:i/>
              </w:rPr>
              <w:t>, den Zulassungskriterien und den</w:t>
            </w:r>
            <w:r>
              <w:t xml:space="preserve"> Verfahren für die Teilnahme am EU-Talentpool umfassen.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269</w:t>
      </w:r>
      <w:r>
        <w:rPr>
          <w:rStyle w:val="HideTWBExt"/>
        </w:rPr>
        <w:t>&lt;/NumAmB&gt;</w:t>
      </w:r>
    </w:p>
    <w:p w:rsidR="00BC254A" w:rsidRDefault="007914A5">
      <w:pPr>
        <w:pStyle w:val="NormalBold"/>
      </w:pPr>
      <w:r>
        <w:rPr>
          <w:rStyle w:val="HideTWBExt"/>
          <w:b w:val="0"/>
        </w:rPr>
        <w:t>&lt;RepeatBlock-By&gt;&lt;Members&gt;</w:t>
      </w:r>
      <w:r>
        <w:t>Nadine Morano</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(26)</w:t>
            </w:r>
            <w:r>
              <w:tab/>
              <w:t xml:space="preserve">Die teilnehmenden Mitgliedstaaten sollten Arbeitsuchenden aus Drittstaaten und Arbeitgebern Informationen über den EU-Talentpool und </w:t>
            </w:r>
            <w:r>
              <w:t>dessen Funktionsweise leicht zugänglich machen, insbesondere Informationen über die zuständigen Behörden in den teilnehmenden Mitgliedstaaten. Außerdem sollten diese Informationen die Bedingungen und Verfahren für die Teilnahme am EU-Talentpool umfassen.</w:t>
            </w:r>
          </w:p>
        </w:tc>
        <w:tc>
          <w:tcPr>
            <w:tcW w:w="4876" w:type="dxa"/>
            <w:tcBorders>
              <w:top w:val="nil"/>
              <w:left w:val="nil"/>
              <w:bottom w:val="nil"/>
              <w:right w:val="nil"/>
            </w:tcBorders>
          </w:tcPr>
          <w:p w:rsidR="00BC254A" w:rsidRDefault="007914A5">
            <w:pPr>
              <w:pStyle w:val="Normal6a"/>
            </w:pPr>
            <w:r>
              <w:t>(</w:t>
            </w:r>
            <w:r>
              <w:t>26)</w:t>
            </w:r>
            <w:r>
              <w:tab/>
              <w:t>Die teilnehmenden Mitgliedstaaten sollten Arbeitsuchenden aus Drittstaaten und Arbeitgebern Informationen über den EU-Talentpool und dessen Funktionsweise leicht zugänglich machen, insbesondere Informationen über die zuständigen Behörden in den teilneh</w:t>
            </w:r>
            <w:r>
              <w:t xml:space="preserve">menden Mitgliedstaaten. Außerdem sollten diese Informationen die Bedingungen und Verfahren für die Teilnahme am EU-Talentpool </w:t>
            </w:r>
            <w:r>
              <w:rPr>
                <w:b/>
                <w:i/>
              </w:rPr>
              <w:t>sowie die zu erfüllenden Auflagen und die Überprüfungen, denen sich Arbeitsuchende unterziehen müssen,</w:t>
            </w:r>
            <w:r>
              <w:t xml:space="preserve"> umfassen.</w:t>
            </w:r>
          </w:p>
        </w:tc>
      </w:tr>
    </w:tbl>
    <w:p w:rsidR="00BC254A" w:rsidRDefault="007914A5">
      <w:pPr>
        <w:pStyle w:val="AmOrLang"/>
      </w:pPr>
      <w:r>
        <w:t xml:space="preserve">Or. </w:t>
      </w:r>
      <w:r>
        <w:rPr>
          <w:rStyle w:val="HideTWBExt"/>
        </w:rPr>
        <w:t>&lt;Original&gt;</w:t>
      </w:r>
      <w:r>
        <w:rPr>
          <w:rStyle w:val="HideTWBInt"/>
        </w:rPr>
        <w:t>{F</w:t>
      </w:r>
      <w:r>
        <w:rPr>
          <w:rStyle w:val="HideTWBInt"/>
        </w:rPr>
        <w:t>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270</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(26)</w:t>
            </w:r>
            <w:r>
              <w:tab/>
              <w:t xml:space="preserve">Die </w:t>
            </w:r>
            <w:r>
              <w:rPr>
                <w:b/>
                <w:i/>
              </w:rPr>
              <w:t>teilnehmenden</w:t>
            </w:r>
            <w:r>
              <w:t xml:space="preserve"> Mitgliedstaaten sollten Arbeitsuchenden aus Drittstaaten </w:t>
            </w:r>
            <w:r>
              <w:lastRenderedPageBreak/>
              <w:t>und Arbeitgebern Informationen über den EU-Talentpool und dessen Funktionsweise leicht zugänglich machen, insbesondere Informationen über die zuständigen Behör</w:t>
            </w:r>
            <w:r>
              <w:t xml:space="preserve">den in den </w:t>
            </w:r>
            <w:r>
              <w:rPr>
                <w:b/>
                <w:i/>
              </w:rPr>
              <w:t>teilnehmenden</w:t>
            </w:r>
            <w:r>
              <w:t xml:space="preserve"> Mitgliedstaaten. Außerdem sollten diese Informationen die Bedingungen und Verfahren für die Teilnahme am EU-Talentpool umfassen.</w:t>
            </w:r>
          </w:p>
        </w:tc>
        <w:tc>
          <w:tcPr>
            <w:tcW w:w="4876" w:type="dxa"/>
            <w:tcBorders>
              <w:top w:val="nil"/>
              <w:left w:val="nil"/>
              <w:bottom w:val="nil"/>
              <w:right w:val="nil"/>
            </w:tcBorders>
          </w:tcPr>
          <w:p w:rsidR="00BC254A" w:rsidRDefault="007914A5">
            <w:pPr>
              <w:pStyle w:val="Normal6a"/>
            </w:pPr>
            <w:r>
              <w:lastRenderedPageBreak/>
              <w:t>(26)</w:t>
            </w:r>
            <w:r>
              <w:tab/>
              <w:t xml:space="preserve">Die Mitgliedstaaten sollten Arbeitsuchenden aus Drittstaaten und </w:t>
            </w:r>
            <w:r>
              <w:lastRenderedPageBreak/>
              <w:t xml:space="preserve">Arbeitgebern Informationen über </w:t>
            </w:r>
            <w:r>
              <w:t>den EU-Talentpool und dessen Funktionsweise leicht zugänglich machen, insbesondere Informationen über die zuständigen Behörden in den Mitgliedstaaten. Außerdem sollten diese Informationen die Bedingungen und Verfahren für die Teilnahme am EU-Talentpool umf</w:t>
            </w:r>
            <w:r>
              <w:t>assen.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271</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(26a)</w:t>
            </w:r>
            <w:r>
              <w:tab/>
            </w:r>
            <w:r>
              <w:rPr>
                <w:b/>
                <w:i/>
              </w:rPr>
              <w:t xml:space="preserve">Im Interesse der wirksamen Förderung und Sichtbarkeit des EU-Talentpools bei Arbeitgebern in der EU und internationalen Arbeitsuchenden sollte auf EU-, nationaler und internationaler Ebene eine umfassende </w:t>
            </w:r>
            <w:r>
              <w:rPr>
                <w:b/>
                <w:i/>
              </w:rPr>
              <w:t>Online- und Offline-Kampagne durchgeführt werden.</w:t>
            </w:r>
            <w:r>
              <w:t xml:space="preserve"> </w:t>
            </w:r>
            <w:r>
              <w:rPr>
                <w:b/>
                <w:i/>
              </w:rPr>
              <w:t>Für die Koordinierung der Werbemaßnahmen sollten das Sekretariat des EU-Talentpools und die Mitgliedstaaten zuständig sein.</w:t>
            </w:r>
            <w:r>
              <w:t xml:space="preserve"> </w:t>
            </w:r>
            <w:r>
              <w:rPr>
                <w:b/>
                <w:i/>
              </w:rPr>
              <w:t>Gesonderte Initiativen sollten sich auch an Drittländer richten, und zwar unter an</w:t>
            </w:r>
            <w:r>
              <w:rPr>
                <w:b/>
                <w:i/>
              </w:rPr>
              <w:t>derem durch Partnerschaften mit Delegationen der Europäischen Union und mit nationalen Botschaften.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272</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(27)</w:t>
            </w:r>
            <w:r>
              <w:tab/>
              <w:t xml:space="preserve">Das Sekretariat des EU-Talentpools </w:t>
            </w:r>
            <w:r>
              <w:rPr>
                <w:b/>
                <w:i/>
              </w:rPr>
              <w:t>sollte</w:t>
            </w:r>
            <w:r>
              <w:t xml:space="preserve"> sicherstellen, dass auf der IT-Plattform des EU-Talentpools leicht zugängliche Informationen über </w:t>
            </w:r>
            <w:r>
              <w:rPr>
                <w:b/>
                <w:i/>
              </w:rPr>
              <w:t>Einwanderungsverfahren</w:t>
            </w:r>
            <w:r>
              <w:t>, die Anerkennung von Qualifikationen und die Validierung von Kompetenzen, die Rechte von Drittstaatsangehörigen, die Lebens- und Arbei</w:t>
            </w:r>
            <w:r>
              <w:t xml:space="preserve">tsbedingungen sowie die verfügbaren Rechtsbehelfsmechanismen für Fälle der Ausbeutung von </w:t>
            </w:r>
            <w:r>
              <w:rPr>
                <w:b/>
                <w:i/>
              </w:rPr>
              <w:t>Arbeitskraft und unlauteren</w:t>
            </w:r>
            <w:r>
              <w:t xml:space="preserve"> Einstellungsverfahren in den teilnehmenden Mitgliedstaaten </w:t>
            </w:r>
            <w:r>
              <w:rPr>
                <w:b/>
                <w:i/>
              </w:rPr>
              <w:t>verfügbar sind</w:t>
            </w:r>
            <w:r>
              <w:t>. Die nationalen Kontaktstellen des EU-Talentpools sollten dem Se</w:t>
            </w:r>
            <w:r>
              <w:t>kretariat des EU-Talentpools die betreffenden Informationen zur Verfügung stellen, damit sie auf der IT-Plattform des EU-Talentpools veröffentlicht werden können. Ferner sollten auf der IT-Plattform des EU-Talentpools Online-Informationen über die Unterstü</w:t>
            </w:r>
            <w:r>
              <w:t>tzung verfügbar sein, die Arbeitsuchende, die internationalen Schutz benötigen und sich in Drittstaaten aufhalten, in Anspruch nehmen können. Die von den Mitgliedstaaten ergriffenen Unterstützungsmaßnahmen können spezifische Informationskampagnen, Hilfe be</w:t>
            </w:r>
            <w:r>
              <w:t>i der Beschaffung eines Reisedokuments und Unterstützung bei der Integration nach der Ankunft umfassen.</w:t>
            </w:r>
          </w:p>
        </w:tc>
        <w:tc>
          <w:tcPr>
            <w:tcW w:w="4876" w:type="dxa"/>
            <w:tcBorders>
              <w:top w:val="nil"/>
              <w:left w:val="nil"/>
              <w:bottom w:val="nil"/>
              <w:right w:val="nil"/>
            </w:tcBorders>
          </w:tcPr>
          <w:p w:rsidR="00BC254A" w:rsidRDefault="007914A5">
            <w:pPr>
              <w:pStyle w:val="Normal6a"/>
            </w:pPr>
            <w:r>
              <w:t>(27)</w:t>
            </w:r>
            <w:r>
              <w:tab/>
            </w:r>
            <w:r>
              <w:rPr>
                <w:b/>
                <w:i/>
              </w:rPr>
              <w:t>Im Interesse fairer Einstellungsverfahren und der Stärkung der Transparenz für Drittstaatsangehörige sollte</w:t>
            </w:r>
            <w:r>
              <w:t xml:space="preserve"> das Sekretariat des EU-Talentpools </w:t>
            </w:r>
            <w:r>
              <w:rPr>
                <w:b/>
                <w:i/>
              </w:rPr>
              <w:t>in Z</w:t>
            </w:r>
            <w:r>
              <w:rPr>
                <w:b/>
                <w:i/>
              </w:rPr>
              <w:t>usammenarbeit mit den nationalen Kontaktstellen</w:t>
            </w:r>
            <w:r>
              <w:t xml:space="preserve"> sicherstellen, dass auf der IT-Plattform des EU-Talentpools leicht zugängliche Informationen über </w:t>
            </w:r>
            <w:r>
              <w:rPr>
                <w:b/>
                <w:i/>
              </w:rPr>
              <w:t>alle Mitgliedstaaten verfügbar sind.</w:t>
            </w:r>
            <w:r>
              <w:t xml:space="preserve"> </w:t>
            </w:r>
            <w:r>
              <w:rPr>
                <w:b/>
                <w:i/>
              </w:rPr>
              <w:t>Die Informationen sollten unter anderem Folgendes umfassen: Einstellungs-</w:t>
            </w:r>
            <w:r>
              <w:rPr>
                <w:b/>
                <w:i/>
              </w:rPr>
              <w:t>, Einwanderungs- und Verwaltungsverfahren</w:t>
            </w:r>
            <w:r>
              <w:t>, die Anerkennung von Qualifikationen und die Validierung von Kompetenzen, die Rechte von Drittstaatsangehörigen, die Lebens- und Arbeitsbedingungen</w:t>
            </w:r>
            <w:r>
              <w:rPr>
                <w:b/>
                <w:i/>
              </w:rPr>
              <w:t>, einschließlich Informationen zur Förderung der Integration von Dr</w:t>
            </w:r>
            <w:r>
              <w:rPr>
                <w:b/>
                <w:i/>
              </w:rPr>
              <w:t>ittstaatsangehörigen und ihren Familien wie etwa mit Blick auf Wohnraum, Schulen, Sprachkurse, Berufsausbildungen</w:t>
            </w:r>
            <w:r>
              <w:t xml:space="preserve"> sowie </w:t>
            </w:r>
            <w:r>
              <w:rPr>
                <w:b/>
                <w:i/>
              </w:rPr>
              <w:t>Umschulungs- und Weiterbildungsmöglichkeiten, zum Zugang zur Justiz und zu wirksamen Abhilfemaßnahmen, sowie Informationen über</w:t>
            </w:r>
            <w:r>
              <w:t xml:space="preserve"> die verf</w:t>
            </w:r>
            <w:r>
              <w:t xml:space="preserve">ügbaren Rechtsbehelfsmechanismen für Fälle der Ausbeutung von </w:t>
            </w:r>
            <w:r>
              <w:rPr>
                <w:b/>
                <w:i/>
              </w:rPr>
              <w:t>Arbeitskräften und unlauterer</w:t>
            </w:r>
            <w:r>
              <w:t xml:space="preserve"> Einstellungsverfahren in den teilnehmenden Mitgliedstaaten</w:t>
            </w:r>
            <w:r>
              <w:rPr>
                <w:b/>
                <w:i/>
              </w:rPr>
              <w:t>.</w:t>
            </w:r>
            <w:r>
              <w:t xml:space="preserve"> </w:t>
            </w:r>
            <w:r>
              <w:rPr>
                <w:b/>
                <w:i/>
              </w:rPr>
              <w:t>Ferner sollte registrierten Arbeitsuchenden und über den EU-Talentpool eingestellten Arbeitnehmern auf d</w:t>
            </w:r>
            <w:r>
              <w:rPr>
                <w:b/>
                <w:i/>
              </w:rPr>
              <w:t>er IT-Plattform des EU-Talentpools ein unmittelbar zugänglicher Beschwerdemechanismus zur Verfügung stehen, der bei rechtswidrigen und missbräuchlichen Beschäftigungspraktiken genutzt werden kann</w:t>
            </w:r>
            <w:r>
              <w:t>. Die nationalen Kontaktstellen des EU-Talentpools sollten de</w:t>
            </w:r>
            <w:r>
              <w:t xml:space="preserve">m Sekretariat des EU-Talentpools die betreffenden Informationen zur Verfügung stellen, damit sie auf der IT-Plattform des EU-Talentpools veröffentlicht werden können. </w:t>
            </w:r>
            <w:r>
              <w:lastRenderedPageBreak/>
              <w:t>Ferner sollten auf der IT-Plattform des EU-Talentpools Online-Informationen über die Unte</w:t>
            </w:r>
            <w:r>
              <w:t>rstützung verfügbar sein, die Arbeitsuchende, die internationalen Schutz benötigen und sich in Drittstaaten aufhalten, in Anspruch nehmen können. Die von den Mitgliedstaaten ergriffenen Unterstützungsmaßnahmen können spezifische Informationskampagnen, Hilf</w:t>
            </w:r>
            <w:r>
              <w:t>e bei der Beschaffung eines Reisedokuments und Unterstützung bei der Integration nach der Ankunft umfassen.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273</w:t>
      </w:r>
      <w:r>
        <w:rPr>
          <w:rStyle w:val="HideTWBExt"/>
        </w:rPr>
        <w:t>&lt;/NumAmB&gt;</w:t>
      </w:r>
    </w:p>
    <w:p w:rsidR="00BC254A" w:rsidRDefault="007914A5">
      <w:pPr>
        <w:pStyle w:val="NormalBold"/>
      </w:pPr>
      <w:r>
        <w:rPr>
          <w:rStyle w:val="HideTWBExt"/>
          <w:b w:val="0"/>
        </w:rPr>
        <w:t>&lt;RepeatBlock-By&gt;&lt;Members&gt;</w:t>
      </w:r>
      <w:r>
        <w:t>Alice Teodorescu Måwe</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(27)</w:t>
            </w:r>
            <w:r>
              <w:tab/>
              <w:t>Das Sekretariat des EU-Talentpools sollte sicherstellen, dass auf der IT-Plattform des EU-Talentpools leich</w:t>
            </w:r>
            <w:r>
              <w:t>t zugängliche Informationen über Einwanderungsverfahren, die Anerkennung von Qualifikationen und die Validierung von Kompetenzen, die Rechte von Drittstaatsangehörigen, die Lebens- und Arbeitsbedingungen sowie die verfügbaren Rechtsbehelfsmechanismen für F</w:t>
            </w:r>
            <w:r>
              <w:t xml:space="preserve">älle der Ausbeutung von Arbeitskraft und </w:t>
            </w:r>
            <w:r>
              <w:rPr>
                <w:b/>
                <w:i/>
              </w:rPr>
              <w:t>unlauteren</w:t>
            </w:r>
            <w:r>
              <w:t xml:space="preserve"> Einstellungsverfahren in den teilnehmenden Mitgliedstaaten verfügbar sind. Die nationalen Kontaktstellen des EU-Talentpools sollten dem Sekretariat des EU-Talentpools die betreffenden Informationen zur Ve</w:t>
            </w:r>
            <w:r>
              <w:t xml:space="preserve">rfügung stellen, damit sie auf der IT-Plattform des EU-Talentpools veröffentlicht werden können. </w:t>
            </w:r>
            <w:r>
              <w:rPr>
                <w:b/>
                <w:i/>
              </w:rPr>
              <w:t xml:space="preserve">Ferner sollten auf der IT-Plattform des EU-Talentpools Online-Informationen über die Unterstützung verfügbar sein, die Arbeitsuchende, die internationalen </w:t>
            </w:r>
            <w:r>
              <w:rPr>
                <w:b/>
                <w:i/>
              </w:rPr>
              <w:lastRenderedPageBreak/>
              <w:t>Schu</w:t>
            </w:r>
            <w:r>
              <w:rPr>
                <w:b/>
                <w:i/>
              </w:rPr>
              <w:t>tz benötigen und sich in Drittstaaten aufhalten, in Anspruch nehmen können.</w:t>
            </w:r>
            <w:r>
              <w:t xml:space="preserve"> </w:t>
            </w:r>
            <w:r>
              <w:rPr>
                <w:b/>
                <w:i/>
              </w:rPr>
              <w:t>Die von den Mitgliedstaaten ergriffenen Unterstützungsmaßnahmen können spezifische Informationskampagnen, Hilfe bei der Beschaffung eines Reisedokuments und Unterstützung bei der I</w:t>
            </w:r>
            <w:r>
              <w:rPr>
                <w:b/>
                <w:i/>
              </w:rPr>
              <w:t>ntegration nach der Ankunft umfassen.</w:t>
            </w:r>
          </w:p>
        </w:tc>
        <w:tc>
          <w:tcPr>
            <w:tcW w:w="4876" w:type="dxa"/>
            <w:tcBorders>
              <w:top w:val="nil"/>
              <w:left w:val="nil"/>
              <w:bottom w:val="nil"/>
              <w:right w:val="nil"/>
            </w:tcBorders>
          </w:tcPr>
          <w:p w:rsidR="00BC254A" w:rsidRDefault="007914A5">
            <w:pPr>
              <w:pStyle w:val="Normal6a"/>
            </w:pPr>
            <w:r>
              <w:lastRenderedPageBreak/>
              <w:t>(27)</w:t>
            </w:r>
            <w:r>
              <w:tab/>
            </w:r>
            <w:r>
              <w:t>Das Sekretariat des EU-Talentpools sollte sicherstellen, dass auf der IT-Plattform des EU-Talentpools leicht zugängliche Informationen über Einwanderungsverfahren, die Anerkennung von Qualifikationen und die Validierung von Kompetenzen, die Rechte von Drit</w:t>
            </w:r>
            <w:r>
              <w:t xml:space="preserve">tstaatsangehörigen, die Lebens- und Arbeitsbedingungen sowie die verfügbaren Rechtsbehelfsmechanismen für Fälle der Ausbeutung von Arbeitskraft und </w:t>
            </w:r>
            <w:r>
              <w:rPr>
                <w:b/>
                <w:i/>
              </w:rPr>
              <w:t>unlauterer</w:t>
            </w:r>
            <w:r>
              <w:t xml:space="preserve"> Einstellungsverfahren in den teilnehmenden Mitgliedstaaten verfügbar sind. Die nationalen Kontakt</w:t>
            </w:r>
            <w:r>
              <w:t>stellen des EU-Talentpools sollten dem Sekretariat des EU-Talentpools die betreffenden Informationen zur Verfügung stellen, damit sie auf der IT-Plattform des EU-Talentpools veröffentlicht werden können.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w:t>
      </w:r>
      <w:r>
        <w:t>nderungsantrag</w:t>
      </w:r>
      <w:r>
        <w:tab/>
      </w:r>
      <w:r>
        <w:tab/>
      </w:r>
      <w:r>
        <w:rPr>
          <w:rStyle w:val="HideTWBExt"/>
        </w:rPr>
        <w:t>&lt;NumAmB&gt;</w:t>
      </w:r>
      <w:r>
        <w:t>274</w:t>
      </w:r>
      <w:r>
        <w:rPr>
          <w:rStyle w:val="HideTWBExt"/>
        </w:rPr>
        <w:t>&lt;/NumAmB&gt;</w:t>
      </w:r>
    </w:p>
    <w:p w:rsidR="00BC254A" w:rsidRDefault="007914A5">
      <w:pPr>
        <w:pStyle w:val="NormalBold"/>
      </w:pPr>
      <w:r>
        <w:rPr>
          <w:rStyle w:val="HideTWBExt"/>
          <w:b w:val="0"/>
        </w:rPr>
        <w:t>&lt;RepeatBlock-By&gt;&lt;Members&gt;</w:t>
      </w:r>
      <w:r>
        <w:t>Lena Düpont, Tomas Tobé, Alice Teodorescu Måwe</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w:t>
            </w:r>
            <w:r>
              <w:t xml:space="preserve"> Text</w:t>
            </w:r>
          </w:p>
        </w:tc>
      </w:tr>
      <w:tr w:rsidR="00BC254A">
        <w:trPr>
          <w:jc w:val="center"/>
        </w:trPr>
        <w:tc>
          <w:tcPr>
            <w:tcW w:w="4876" w:type="dxa"/>
            <w:tcBorders>
              <w:top w:val="nil"/>
              <w:left w:val="nil"/>
              <w:bottom w:val="nil"/>
              <w:right w:val="nil"/>
            </w:tcBorders>
          </w:tcPr>
          <w:p w:rsidR="00BC254A" w:rsidRDefault="007914A5">
            <w:pPr>
              <w:pStyle w:val="Normal6a"/>
            </w:pPr>
            <w:r>
              <w:t>(27)</w:t>
            </w:r>
            <w:r>
              <w:tab/>
              <w:t>Das Sekretariat des EU-Talentpools sollte sicherstellen, dass auf der IT-Plattform des EU-Talentpools leicht zugängliche Informationen über Einwanderungsverfahren, die Anerkennung von Qualifikationen und die Validierung von Kompetenzen, die Rec</w:t>
            </w:r>
            <w:r>
              <w:t xml:space="preserve">hte von Drittstaatsangehörigen, die Lebens- und Arbeitsbedingungen sowie die verfügbaren Rechtsbehelfsmechanismen für Fälle der Ausbeutung von Arbeitskraft und </w:t>
            </w:r>
            <w:r>
              <w:rPr>
                <w:b/>
                <w:i/>
              </w:rPr>
              <w:t>unlauteren</w:t>
            </w:r>
            <w:r>
              <w:t xml:space="preserve"> Einstellungsverfahren in den teilnehmenden Mitgliedstaaten verfügbar sind. Die nation</w:t>
            </w:r>
            <w:r>
              <w:t xml:space="preserve">alen Kontaktstellen des EU-Talentpools sollten dem Sekretariat des EU-Talentpools die betreffenden Informationen zur Verfügung stellen, damit sie auf der IT-Plattform des EU-Talentpools veröffentlicht werden können. </w:t>
            </w:r>
            <w:r>
              <w:rPr>
                <w:b/>
                <w:i/>
              </w:rPr>
              <w:t xml:space="preserve">Ferner sollten auf der IT-Plattform des </w:t>
            </w:r>
            <w:r>
              <w:rPr>
                <w:b/>
                <w:i/>
              </w:rPr>
              <w:t>EU-Talentpools Online-Informationen über die Unterstützung verfügbar sein, die Arbeitsuchende, die internationalen Schutz benötigen und sich in Drittstaaten aufhalten, in Anspruch nehmen können.</w:t>
            </w:r>
            <w:r>
              <w:t xml:space="preserve"> </w:t>
            </w:r>
            <w:r>
              <w:rPr>
                <w:b/>
                <w:i/>
              </w:rPr>
              <w:lastRenderedPageBreak/>
              <w:t>Die von den Mitgliedstaaten ergriffenen Unterstützungsmaßnahm</w:t>
            </w:r>
            <w:r>
              <w:rPr>
                <w:b/>
                <w:i/>
              </w:rPr>
              <w:t>en können spezifische Informationskampagnen, Hilfe bei der Beschaffung eines Reisedokuments und Unterstützung bei der Integration nach der Ankunft umfassen.</w:t>
            </w:r>
          </w:p>
        </w:tc>
        <w:tc>
          <w:tcPr>
            <w:tcW w:w="4876" w:type="dxa"/>
            <w:tcBorders>
              <w:top w:val="nil"/>
              <w:left w:val="nil"/>
              <w:bottom w:val="nil"/>
              <w:right w:val="nil"/>
            </w:tcBorders>
          </w:tcPr>
          <w:p w:rsidR="00BC254A" w:rsidRDefault="007914A5">
            <w:pPr>
              <w:pStyle w:val="Normal6a"/>
            </w:pPr>
            <w:r>
              <w:lastRenderedPageBreak/>
              <w:t>(27)</w:t>
            </w:r>
            <w:r>
              <w:tab/>
              <w:t>Das Sekretariat des EU-Talentpools sollte sicherstellen, dass auf der IT-Plattform des EU-Tale</w:t>
            </w:r>
            <w:r>
              <w:t>ntpools leicht zugängliche Informationen über Einwanderungsverfahren, die Anerkennung von Qualifikationen und die Validierung von Kompetenzen, die Rechte von Drittstaatsangehörigen, die Lebens- und Arbeitsbedingungen sowie die verfügbaren Rechtsbehelfsmech</w:t>
            </w:r>
            <w:r>
              <w:t xml:space="preserve">anismen für Fälle der Ausbeutung von Arbeitskraft und </w:t>
            </w:r>
            <w:r>
              <w:rPr>
                <w:b/>
                <w:i/>
              </w:rPr>
              <w:t>unlauterer</w:t>
            </w:r>
            <w:r>
              <w:t xml:space="preserve"> Einstellungsverfahren in den teilnehmenden Mitgliedstaaten verfügbar sind. Die nationalen Kontaktstellen des EU-Talentpools sollten dem Sekretariat des EU-Talentpools die betreffenden Informa</w:t>
            </w:r>
            <w:r>
              <w:t>tionen zur Verfügung stellen, damit sie auf der IT-Plattform des EU-Talentpools veröffentlicht werden können.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275</w:t>
      </w:r>
      <w:r>
        <w:rPr>
          <w:rStyle w:val="HideTWBExt"/>
        </w:rPr>
        <w:t>&lt;/NumAmB&gt;</w:t>
      </w:r>
    </w:p>
    <w:p w:rsidR="00BC254A" w:rsidRDefault="007914A5">
      <w:pPr>
        <w:pStyle w:val="NormalBold"/>
      </w:pPr>
      <w:r>
        <w:rPr>
          <w:rStyle w:val="HideTWBExt"/>
          <w:b w:val="0"/>
        </w:rPr>
        <w:t>&lt;RepeatBlock-By&gt;&lt;Members&gt;</w:t>
      </w:r>
      <w:r>
        <w:t>Pernando Barrena Arza</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(27)</w:t>
            </w:r>
            <w:r>
              <w:tab/>
              <w:t xml:space="preserve">Das Sekretariat des EU-Talentpools sollte sicherstellen, dass auf der IT-Plattform des EU-Talentpools </w:t>
            </w:r>
            <w:r>
              <w:t>leicht zugängliche Informationen über Einwanderungsverfahren, die Anerkennung von Qualifikationen und die Validierung von Kompetenzen, die Rechte von Drittstaatsangehörigen</w:t>
            </w:r>
            <w:r>
              <w:rPr>
                <w:b/>
                <w:i/>
              </w:rPr>
              <w:t>, die Lebens- und Arbeitsbedingungen</w:t>
            </w:r>
            <w:r>
              <w:t xml:space="preserve"> sowie die verfügbaren Rechtsbehelfsmechanismen </w:t>
            </w:r>
            <w:r>
              <w:t xml:space="preserve">für Fälle der Ausbeutung von Arbeitskraft und </w:t>
            </w:r>
            <w:r>
              <w:rPr>
                <w:b/>
                <w:i/>
              </w:rPr>
              <w:t>unlauteren</w:t>
            </w:r>
            <w:r>
              <w:t xml:space="preserve"> Einstellungsverfahren in den teilnehmenden Mitgliedstaaten </w:t>
            </w:r>
            <w:r>
              <w:rPr>
                <w:b/>
                <w:i/>
              </w:rPr>
              <w:t>verfügbar sind</w:t>
            </w:r>
            <w:r>
              <w:t>. Die nationalen Kontaktstellen des EU-Talentpools sollten dem Sekretariat des EU-Talentpools die betreffenden Informationen z</w:t>
            </w:r>
            <w:r>
              <w:t>ur Verfügung stellen, damit sie auf der IT-Plattform des EU-Talentpools veröffentlicht werden können. Ferner sollten auf der IT-Plattform des EU-Talentpools Online-Informationen über die Unterstützung verfügbar sein, die Arbeitsuchende, die internationalen</w:t>
            </w:r>
            <w:r>
              <w:t xml:space="preserve"> Schutz benötigen und sich in Drittstaaten aufhalten, in Anspruch nehmen können. Die von den Mitgliedstaaten ergriffenen Unterstützungsmaßnahmen können spezifische Informationskampagnen, Hilfe </w:t>
            </w:r>
            <w:r>
              <w:lastRenderedPageBreak/>
              <w:t xml:space="preserve">bei der Beschaffung eines Reisedokuments und Unterstützung bei </w:t>
            </w:r>
            <w:r>
              <w:t>der Integration nach der Ankunft umfassen.</w:t>
            </w:r>
          </w:p>
        </w:tc>
        <w:tc>
          <w:tcPr>
            <w:tcW w:w="4876" w:type="dxa"/>
            <w:tcBorders>
              <w:top w:val="nil"/>
              <w:left w:val="nil"/>
              <w:bottom w:val="nil"/>
              <w:right w:val="nil"/>
            </w:tcBorders>
          </w:tcPr>
          <w:p w:rsidR="00BC254A" w:rsidRDefault="007914A5">
            <w:pPr>
              <w:pStyle w:val="Normal6a"/>
            </w:pPr>
            <w:r>
              <w:lastRenderedPageBreak/>
              <w:t>(27)</w:t>
            </w:r>
            <w:r>
              <w:tab/>
              <w:t xml:space="preserve">Das Sekretariat des EU-Talentpools sollte sicherstellen, dass </w:t>
            </w:r>
            <w:r>
              <w:rPr>
                <w:b/>
                <w:i/>
              </w:rPr>
              <w:t>Wanderarbeitnehmern</w:t>
            </w:r>
            <w:r>
              <w:t xml:space="preserve"> auf der IT-Plattform des EU-Talentpools leicht zugängliche</w:t>
            </w:r>
            <w:r>
              <w:rPr>
                <w:b/>
                <w:i/>
              </w:rPr>
              <w:t>, mehrsprachige Informationen über Arbeitnehmerrechte, Sozialversich</w:t>
            </w:r>
            <w:r>
              <w:rPr>
                <w:b/>
                <w:i/>
              </w:rPr>
              <w:t>erungsansprüche, Lebens- und Arbeitsbedingungen und gewerkschaftliche Vertretung in jedem teilnehmenden Mitgliedstaat zur Verfügung stehen.</w:t>
            </w:r>
            <w:r>
              <w:t xml:space="preserve"> </w:t>
            </w:r>
            <w:r>
              <w:rPr>
                <w:b/>
                <w:i/>
              </w:rPr>
              <w:t>Die Plattform des EU-Talentpools sollte außerdem detaillierte</w:t>
            </w:r>
            <w:r>
              <w:t xml:space="preserve"> Informationen über Einwanderungsverfahren, die Anerken</w:t>
            </w:r>
            <w:r>
              <w:t xml:space="preserve">nung von Qualifikationen und die Validierung von Kompetenzen, die Rechte von Drittstaatsangehörigen </w:t>
            </w:r>
            <w:r>
              <w:rPr>
                <w:b/>
                <w:i/>
              </w:rPr>
              <w:t>und die entsprechenden Gebühren</w:t>
            </w:r>
            <w:r>
              <w:t xml:space="preserve"> sowie die verfügbaren Rechtsbehelfsmechanismen für Fälle der Ausbeutung von Arbeitskraft und </w:t>
            </w:r>
            <w:r>
              <w:rPr>
                <w:b/>
                <w:i/>
              </w:rPr>
              <w:t>unlauterer</w:t>
            </w:r>
            <w:r>
              <w:t xml:space="preserve"> Einstellungsverfahre</w:t>
            </w:r>
            <w:r>
              <w:t xml:space="preserve">n in den teilnehmenden Mitgliedstaaten </w:t>
            </w:r>
            <w:r>
              <w:rPr>
                <w:b/>
                <w:i/>
              </w:rPr>
              <w:t>umfassen</w:t>
            </w:r>
            <w:r>
              <w:t>. Die nationalen Kontaktstellen des EU-Talentpools sollten dem Sekretariat des EU-Talentpools die betreffenden Informationen zur Verfügung stellen, damit sie auf der IT-Plattform des EU-Talentpools veröffentli</w:t>
            </w:r>
            <w:r>
              <w:t xml:space="preserve">cht werden können. </w:t>
            </w:r>
            <w:r>
              <w:lastRenderedPageBreak/>
              <w:t>Ferner sollten auf der IT-Plattform des EU-Talentpools Online-Informationen über die Unterstützung verfügbar sein, die Arbeitsuchende, die internationalen Schutz benötigen und sich in Drittstaaten aufhalten, in Anspruch nehmen können. Di</w:t>
            </w:r>
            <w:r>
              <w:t>e von den Mitgliedstaaten ergriffenen Unterstützungsmaßnahmen können spezifische Informationskampagnen, Hilfe bei der Beschaffung eines Reisedokuments und Unterstützung bei der Integration nach der Ankunft umfassen.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w:t>
      </w:r>
      <w:r>
        <w:rPr>
          <w:rStyle w:val="HideTWBExt"/>
        </w:rPr>
        <w:t>B&gt;</w:t>
      </w:r>
    </w:p>
    <w:p w:rsidR="00BC254A" w:rsidRDefault="007914A5">
      <w:pPr>
        <w:pStyle w:val="AmNumberTabs"/>
      </w:pPr>
      <w:r>
        <w:rPr>
          <w:rStyle w:val="HideTWBExt"/>
        </w:rPr>
        <w:t>&lt;AmendB&gt;</w:t>
      </w:r>
      <w:r>
        <w:t>Änderungsantrag</w:t>
      </w:r>
      <w:r>
        <w:tab/>
      </w:r>
      <w:r>
        <w:tab/>
      </w:r>
      <w:r>
        <w:rPr>
          <w:rStyle w:val="HideTWBExt"/>
        </w:rPr>
        <w:t>&lt;NumAmB&gt;</w:t>
      </w:r>
      <w:r>
        <w:t>276</w:t>
      </w:r>
      <w:r>
        <w:rPr>
          <w:rStyle w:val="HideTWBExt"/>
        </w:rPr>
        <w:t>&lt;/NumAmB&gt;</w:t>
      </w:r>
    </w:p>
    <w:p w:rsidR="00BC254A" w:rsidRDefault="007914A5">
      <w:pPr>
        <w:pStyle w:val="NormalBold"/>
      </w:pPr>
      <w:r>
        <w:rPr>
          <w:rStyle w:val="HideTWBExt"/>
          <w:b w:val="0"/>
        </w:rPr>
        <w:t>&lt;RepeatBlock-By&gt;&lt;Members&gt;</w:t>
      </w:r>
      <w:r>
        <w:t>Nadine Morano</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(27)</w:t>
            </w:r>
            <w:r>
              <w:tab/>
            </w:r>
            <w:r>
              <w:t>Das Sekretariat des EU-Talentpools sollte sicherstellen, dass auf der IT-Plattform des EU-Talentpools leicht zugängliche Informationen über Einwanderungsverfahren, die Anerkennung von Qualifikationen und die Validierung von Kompetenzen, die Rechte von Drit</w:t>
            </w:r>
            <w:r>
              <w:t>tstaatsangehörigen, die Lebens- und Arbeitsbedingungen sowie die verfügbaren Rechtsbehelfsmechanismen für Fälle der Ausbeutung von Arbeitskraft und unlauteren Einstellungsverfahren in den teilnehmenden Mitgliedstaaten verfügbar sind. Die nationalen Kontakt</w:t>
            </w:r>
            <w:r>
              <w:t xml:space="preserve">stellen des EU-Talentpools sollten dem Sekretariat des EU-Talentpools die betreffenden Informationen zur Verfügung stellen, damit sie auf der IT-Plattform des EU-Talentpools veröffentlicht werden </w:t>
            </w:r>
            <w:r>
              <w:rPr>
                <w:b/>
                <w:i/>
              </w:rPr>
              <w:t>können.</w:t>
            </w:r>
            <w:r>
              <w:t xml:space="preserve"> </w:t>
            </w:r>
            <w:r>
              <w:rPr>
                <w:b/>
                <w:i/>
              </w:rPr>
              <w:t>Ferner sollten auf der IT-Plattform des EU-Talentpoo</w:t>
            </w:r>
            <w:r>
              <w:rPr>
                <w:b/>
                <w:i/>
              </w:rPr>
              <w:t xml:space="preserve">ls Online-Informationen über die Unterstützung verfügbar sein, die Arbeitsuchende, die internationalen </w:t>
            </w:r>
            <w:r>
              <w:rPr>
                <w:b/>
                <w:i/>
              </w:rPr>
              <w:lastRenderedPageBreak/>
              <w:t>Schutz benötigen und sich in Drittstaaten aufhalten, in Anspruch nehmen</w:t>
            </w:r>
            <w:r>
              <w:t xml:space="preserve"> können. Die von den Mitgliedstaaten ergriffenen Unterstützungsmaßnahmen können sp</w:t>
            </w:r>
            <w:r>
              <w:t>ezifische Informationskampagnen, Hilfe bei der Beschaffung eines Reisedokuments und Unterstützung bei der Integration nach der Ankunft umfassen.</w:t>
            </w:r>
          </w:p>
        </w:tc>
        <w:tc>
          <w:tcPr>
            <w:tcW w:w="4876" w:type="dxa"/>
            <w:tcBorders>
              <w:top w:val="nil"/>
              <w:left w:val="nil"/>
              <w:bottom w:val="nil"/>
              <w:right w:val="nil"/>
            </w:tcBorders>
          </w:tcPr>
          <w:p w:rsidR="00BC254A" w:rsidRDefault="007914A5">
            <w:pPr>
              <w:pStyle w:val="Normal6a"/>
            </w:pPr>
            <w:r>
              <w:lastRenderedPageBreak/>
              <w:t>(27)</w:t>
            </w:r>
            <w:r>
              <w:tab/>
            </w:r>
            <w:r>
              <w:t xml:space="preserve">Das Sekretariat des EU-Talentpools sollte sicherstellen, dass auf der IT-Plattform des EU-Talentpools leicht zugängliche Informationen über Einwanderungsverfahren, die Anerkennung von Qualifikationen und die Validierung von Kompetenzen, die Rechte </w:t>
            </w:r>
            <w:r>
              <w:rPr>
                <w:b/>
                <w:i/>
              </w:rPr>
              <w:t>und Pfli</w:t>
            </w:r>
            <w:r>
              <w:rPr>
                <w:b/>
                <w:i/>
              </w:rPr>
              <w:t>chten</w:t>
            </w:r>
            <w:r>
              <w:t xml:space="preserve"> von Drittstaatsangehörigen, die Lebens-</w:t>
            </w:r>
            <w:r>
              <w:rPr>
                <w:b/>
                <w:i/>
              </w:rPr>
              <w:t>, Einreise-, Aufenthalts-</w:t>
            </w:r>
            <w:r>
              <w:t xml:space="preserve"> und Arbeitsbedingungen sowie die verfügbaren Rechtsbehelfsmechanismen für Fälle der Ausbeutung von Arbeitskraft und unlauteren Einstellungsverfahren in den teilnehmenden Mitgliedstaaten</w:t>
            </w:r>
            <w:r>
              <w:t xml:space="preserve"> verfügbar sind. Die nationalen Kontaktstellen des EU-Talentpools sollten dem Sekretariat des EU-Talentpools die betreffenden Informationen zur Verfügung stellen, damit sie auf der IT-Plattform des EU-Talentpools veröffentlicht werden können. Die von den M</w:t>
            </w:r>
            <w:r>
              <w:t xml:space="preserve">itgliedstaaten ergriffenen Unterstützungsmaßnahmen können spezifische Informationskampagnen, Hilfe </w:t>
            </w:r>
            <w:r>
              <w:lastRenderedPageBreak/>
              <w:t>bei der Beschaffung eines Reisedokuments und Unterstützung bei der Integration nach der Ankunft umfassen.</w:t>
            </w:r>
          </w:p>
        </w:tc>
      </w:tr>
    </w:tbl>
    <w:p w:rsidR="00BC254A" w:rsidRDefault="007914A5">
      <w:pPr>
        <w:pStyle w:val="AmOrLang"/>
      </w:pPr>
      <w:r>
        <w:lastRenderedPageBreak/>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277</w:t>
      </w:r>
      <w:r>
        <w:rPr>
          <w:rStyle w:val="HideTWBExt"/>
        </w:rPr>
        <w:t>&lt;/NumAmB&gt;</w:t>
      </w:r>
    </w:p>
    <w:p w:rsidR="00BC254A" w:rsidRDefault="007914A5">
      <w:pPr>
        <w:pStyle w:val="NormalBold"/>
      </w:pPr>
      <w:r>
        <w:rPr>
          <w:rStyle w:val="HideTWBExt"/>
          <w:b w:val="0"/>
        </w:rPr>
        <w:t>&lt;RepeatBlock-By&gt;&lt;Members&gt;</w:t>
      </w:r>
      <w:r>
        <w:t>Petra Steger, Jaroslav Bžoch, Fabrice Leggeri, António Tânger Corrêa, Jorge Buxadé Villalba, Marieke Ehlers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(27)</w:t>
            </w:r>
            <w:r>
              <w:tab/>
            </w:r>
            <w:r>
              <w:t>Das Sekretariat des EU-Talentpools sollte sicherstellen, dass auf der IT-Plattform des EU-Talentpools leicht zugängliche Informationen über Einwanderungsverfahren, die Anerkennung von Qualifikationen und die Validierung von Kompetenzen, die Rechte von Drit</w:t>
            </w:r>
            <w:r>
              <w:t xml:space="preserve">tstaatsangehörigen, die Lebens- und Arbeitsbedingungen sowie die verfügbaren Rechtsbehelfsmechanismen für Fälle der Ausbeutung von Arbeitskraft und </w:t>
            </w:r>
            <w:r>
              <w:rPr>
                <w:b/>
                <w:i/>
              </w:rPr>
              <w:t>unlauteren</w:t>
            </w:r>
            <w:r>
              <w:t xml:space="preserve"> Einstellungsverfahren in den teilnehmenden Mitgliedstaaten verfügbar sind. Die nationalen Kontakt</w:t>
            </w:r>
            <w:r>
              <w:t xml:space="preserve">stellen des EU-Talentpools sollten dem Sekretariat des EU-Talentpools die betreffenden Informationen zur Verfügung stellen, damit sie auf der IT-Plattform des EU-Talentpools veröffentlicht werden </w:t>
            </w:r>
            <w:r>
              <w:rPr>
                <w:b/>
                <w:i/>
              </w:rPr>
              <w:t>können.</w:t>
            </w:r>
            <w:r>
              <w:t xml:space="preserve"> </w:t>
            </w:r>
            <w:r>
              <w:rPr>
                <w:b/>
                <w:i/>
              </w:rPr>
              <w:t>Ferner sollten auf der IT-Plattform des EU-Talentpoo</w:t>
            </w:r>
            <w:r>
              <w:rPr>
                <w:b/>
                <w:i/>
              </w:rPr>
              <w:t>ls Online-Informationen über die Unterstützung verfügbar sein, die Arbeitsuchende, die internationalen Schutz benötigen und sich in Drittstaaten aufhalten, in Anspruch nehmen</w:t>
            </w:r>
            <w:r>
              <w:t xml:space="preserve"> können. Die von den Mitgliedstaaten ergriffenen </w:t>
            </w:r>
            <w:r>
              <w:lastRenderedPageBreak/>
              <w:t>Unterstützungsmaßnahmen können sp</w:t>
            </w:r>
            <w:r>
              <w:t>ezifische Informationskampagnen, Hilfe bei der Beschaffung eines Reisedokuments und Unterstützung bei der Integration nach der Ankunft umfassen.</w:t>
            </w:r>
          </w:p>
        </w:tc>
        <w:tc>
          <w:tcPr>
            <w:tcW w:w="4876" w:type="dxa"/>
            <w:tcBorders>
              <w:top w:val="nil"/>
              <w:left w:val="nil"/>
              <w:bottom w:val="nil"/>
              <w:right w:val="nil"/>
            </w:tcBorders>
          </w:tcPr>
          <w:p w:rsidR="00BC254A" w:rsidRDefault="007914A5">
            <w:pPr>
              <w:pStyle w:val="Normal6a"/>
            </w:pPr>
            <w:r>
              <w:lastRenderedPageBreak/>
              <w:t>(27)</w:t>
            </w:r>
            <w:r>
              <w:tab/>
              <w:t>Das Sekretariat des EU-Talentpools sollte sicherstellen, dass auf der IT-Plattform des EU-Talentpools leic</w:t>
            </w:r>
            <w:r>
              <w:t xml:space="preserve">ht zugängliche Informationen über Einwanderungsverfahren, die Anerkennung von Qualifikationen und die Validierung von Kompetenzen, die Rechte von Drittstaatsangehörigen, die Lebens- und Arbeitsbedingungen sowie die verfügbaren Rechtsbehelfsmechanismen für </w:t>
            </w:r>
            <w:r>
              <w:t xml:space="preserve">Fälle der Ausbeutung von Arbeitskraft und </w:t>
            </w:r>
            <w:r>
              <w:rPr>
                <w:b/>
                <w:i/>
              </w:rPr>
              <w:t>unlauterer</w:t>
            </w:r>
            <w:r>
              <w:t xml:space="preserve"> Einstellungsverfahren in den teilnehmenden Mitgliedstaaten verfügbar sind. Die nationalen Kontaktstellen des EU-Talentpools sollten dem Sekretariat des EU-Talentpools die betreffenden Informationen zur V</w:t>
            </w:r>
            <w:r>
              <w:t>erfügung stellen, damit sie auf der IT-Plattform des EU-Talentpools veröffentlicht werden können. Die von den Mitgliedstaaten ergriffenen Unterstützungsmaßnahmen können spezifische Informationskampagnen, Hilfe bei der Beschaffung eines Reisedokuments und U</w:t>
            </w:r>
            <w:r>
              <w:t>nterstützung bei der Integration nach der Ankunft umfassen.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278</w:t>
      </w:r>
      <w:r>
        <w:rPr>
          <w:rStyle w:val="HideTWBExt"/>
        </w:rPr>
        <w:t>&lt;/NumAmB&gt;</w:t>
      </w:r>
    </w:p>
    <w:p w:rsidR="00BC254A" w:rsidRDefault="007914A5">
      <w:pPr>
        <w:pStyle w:val="NormalBold"/>
      </w:pPr>
      <w:r>
        <w:rPr>
          <w:rStyle w:val="HideTWBExt"/>
          <w:b w:val="0"/>
        </w:rPr>
        <w:t>&lt;RepeatBlock-By&gt;&lt;Members&gt;</w:t>
      </w:r>
      <w:r>
        <w:t>Jan-Christoph Oetjen, Abir Al-Sahlani, Hilde Vautmans, Irena Joveva,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(28)</w:t>
            </w:r>
            <w:r>
              <w:tab/>
            </w:r>
            <w:r>
              <w:t xml:space="preserve">Die auf der IT-Plattform des EU-Talentpools bereitgestellten Informationen sollten mindestens in den Amtssprachen </w:t>
            </w:r>
            <w:r>
              <w:rPr>
                <w:b/>
                <w:i/>
              </w:rPr>
              <w:t>der</w:t>
            </w:r>
            <w:r>
              <w:t xml:space="preserve"> teilnehmenden </w:t>
            </w:r>
            <w:r>
              <w:rPr>
                <w:b/>
                <w:i/>
              </w:rPr>
              <w:t>Mitgliedstaaten</w:t>
            </w:r>
            <w:r>
              <w:t xml:space="preserve"> zur Verfügung gestellt werden.</w:t>
            </w:r>
          </w:p>
        </w:tc>
        <w:tc>
          <w:tcPr>
            <w:tcW w:w="4876" w:type="dxa"/>
            <w:tcBorders>
              <w:top w:val="nil"/>
              <w:left w:val="nil"/>
              <w:bottom w:val="nil"/>
              <w:right w:val="nil"/>
            </w:tcBorders>
          </w:tcPr>
          <w:p w:rsidR="00BC254A" w:rsidRDefault="007914A5">
            <w:pPr>
              <w:pStyle w:val="Normal6a"/>
            </w:pPr>
            <w:r>
              <w:t>(28)</w:t>
            </w:r>
            <w:r>
              <w:tab/>
              <w:t>Die auf der IT-Plattform des EU-Talentpools bereitgestellten Information</w:t>
            </w:r>
            <w:r>
              <w:t>en sollten</w:t>
            </w:r>
            <w:r>
              <w:rPr>
                <w:b/>
                <w:i/>
              </w:rPr>
              <w:t>, soweit technisch möglich,</w:t>
            </w:r>
            <w:r>
              <w:t xml:space="preserve"> mindestens in den Amtssprachen </w:t>
            </w:r>
            <w:r>
              <w:rPr>
                <w:b/>
                <w:i/>
              </w:rPr>
              <w:t>aller EU-Mitgliedstaaten, in den Amtssprachen der an den Fachkräftepartnerschaften</w:t>
            </w:r>
            <w:r>
              <w:t xml:space="preserve"> teilnehmenden </w:t>
            </w:r>
            <w:r>
              <w:rPr>
                <w:b/>
                <w:i/>
              </w:rPr>
              <w:t>Drittstaaten und in den Amtssprachen der zehn Nationalitäten</w:t>
            </w:r>
            <w:r>
              <w:t xml:space="preserve"> zur Verfügung gestellt werden</w:t>
            </w:r>
            <w:r>
              <w:rPr>
                <w:b/>
                <w:i/>
              </w:rPr>
              <w:t>, die in den vergangenen drei Jahren die meisten kombinierten Erlaubnisse in der EU erhalten haben</w:t>
            </w:r>
            <w:r>
              <w: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279</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(28)</w:t>
            </w:r>
            <w:r>
              <w:tab/>
            </w:r>
            <w:r>
              <w:t xml:space="preserve">Die auf der IT-Plattform des EU-Talentpools bereitgestellten Informationen sollten mindestens in den Amtssprachen der </w:t>
            </w:r>
            <w:r>
              <w:rPr>
                <w:b/>
                <w:i/>
              </w:rPr>
              <w:t>teilnehmenden</w:t>
            </w:r>
            <w:r>
              <w:t xml:space="preserve"> Mitgliedstaaten zur </w:t>
            </w:r>
            <w:r>
              <w:lastRenderedPageBreak/>
              <w:t>Verfügung gestellt werden.</w:t>
            </w:r>
          </w:p>
        </w:tc>
        <w:tc>
          <w:tcPr>
            <w:tcW w:w="4876" w:type="dxa"/>
            <w:tcBorders>
              <w:top w:val="nil"/>
              <w:left w:val="nil"/>
              <w:bottom w:val="nil"/>
              <w:right w:val="nil"/>
            </w:tcBorders>
          </w:tcPr>
          <w:p w:rsidR="00BC254A" w:rsidRDefault="007914A5">
            <w:pPr>
              <w:pStyle w:val="Normal6a"/>
            </w:pPr>
            <w:r>
              <w:lastRenderedPageBreak/>
              <w:t>(28)</w:t>
            </w:r>
            <w:r>
              <w:tab/>
              <w:t xml:space="preserve">Die auf der IT-Plattform des EU-Talentpools bereitgestellten </w:t>
            </w:r>
            <w:r>
              <w:t xml:space="preserve">Informationen sollten mindestens in den Amtssprachen der Mitgliedstaaten zur Verfügung gestellt </w:t>
            </w:r>
            <w:r>
              <w:lastRenderedPageBreak/>
              <w:t>werden.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280</w:t>
      </w:r>
      <w:r>
        <w:rPr>
          <w:rStyle w:val="HideTWBExt"/>
        </w:rPr>
        <w:t>&lt;/NumAmB&gt;</w:t>
      </w:r>
    </w:p>
    <w:p w:rsidR="00BC254A" w:rsidRDefault="007914A5">
      <w:pPr>
        <w:pStyle w:val="NormalBold"/>
      </w:pPr>
      <w:r>
        <w:rPr>
          <w:rStyle w:val="HideTWBExt"/>
          <w:b w:val="0"/>
        </w:rPr>
        <w:t>&lt;RepeatBlock-By&gt;&lt;Members&gt;</w:t>
      </w:r>
      <w:r>
        <w:t>Charlie Weimers</w:t>
      </w:r>
      <w:r>
        <w:rPr>
          <w:rStyle w:val="HideTWBExt"/>
          <w:b w:val="0"/>
        </w:rPr>
        <w:t>&lt;/Members&gt;</w:t>
      </w:r>
    </w:p>
    <w:p w:rsidR="00BC254A" w:rsidRDefault="007914A5">
      <w:pPr>
        <w:pStyle w:val="NormalBold"/>
      </w:pPr>
      <w:r>
        <w:rPr>
          <w:rStyle w:val="HideTWBExt"/>
          <w:b w:val="0"/>
        </w:rPr>
        <w:t>&lt;/RepeatBloc</w:t>
      </w:r>
      <w:r>
        <w:rPr>
          <w:rStyle w:val="HideTWBExt"/>
          <w:b w:val="0"/>
        </w:rPr>
        <w:t>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rPr>
                <w:b/>
                <w:i/>
              </w:rPr>
              <w:t>(29)</w:t>
            </w:r>
            <w:r>
              <w:tab/>
            </w:r>
            <w:r>
              <w:rPr>
                <w:b/>
                <w:i/>
              </w:rPr>
              <w:t xml:space="preserve">Die Delegationen der Europäischen Union sollten die Bereitstellung von Informationen über den EU-Talentpool und dessen </w:t>
            </w:r>
            <w:r>
              <w:rPr>
                <w:b/>
                <w:i/>
              </w:rPr>
              <w:t>Funktionsweise an Arbeitsuchende aus Drittstaaten sowie die teilnehmenden Mitgliedstaaten unterstützen.</w:t>
            </w:r>
          </w:p>
        </w:tc>
        <w:tc>
          <w:tcPr>
            <w:tcW w:w="4876" w:type="dxa"/>
            <w:tcBorders>
              <w:top w:val="nil"/>
              <w:left w:val="nil"/>
              <w:bottom w:val="nil"/>
              <w:right w:val="nil"/>
            </w:tcBorders>
          </w:tcPr>
          <w:p w:rsidR="00BC254A" w:rsidRDefault="007914A5">
            <w:pPr>
              <w:pStyle w:val="Normal6a"/>
            </w:pPr>
            <w:r>
              <w:rPr>
                <w:b/>
                <w:i/>
              </w:rPr>
              <w:t>entfällt</w:t>
            </w:r>
          </w:p>
        </w:tc>
      </w:tr>
    </w:tbl>
    <w:p w:rsidR="00BC254A" w:rsidRDefault="007914A5">
      <w:pPr>
        <w:pStyle w:val="AmOrLang"/>
      </w:pPr>
      <w:r>
        <w:t xml:space="preserve">Or. </w:t>
      </w:r>
      <w:r>
        <w:rPr>
          <w:rStyle w:val="HideTWBExt"/>
        </w:rPr>
        <w:t>&lt;Original&gt;</w:t>
      </w:r>
      <w:r>
        <w:rPr>
          <w:rStyle w:val="HideTWBInt"/>
        </w:rPr>
        <w:t>{SV}</w:t>
      </w:r>
      <w:r>
        <w:t>sv</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281</w:t>
      </w:r>
      <w:r>
        <w:rPr>
          <w:rStyle w:val="HideTWBExt"/>
        </w:rPr>
        <w:t>&lt;/NumAmB&gt;</w:t>
      </w:r>
    </w:p>
    <w:p w:rsidR="00BC254A" w:rsidRDefault="007914A5">
      <w:pPr>
        <w:pStyle w:val="NormalBold"/>
      </w:pPr>
      <w:r>
        <w:rPr>
          <w:rStyle w:val="HideTWBExt"/>
          <w:b w:val="0"/>
        </w:rPr>
        <w:t>&lt;RepeatBlock-By&gt;&lt;Members&gt;</w:t>
      </w:r>
      <w:r>
        <w:t xml:space="preserve">Jan-Christoph Oetjen, Abir </w:t>
      </w:r>
      <w:r>
        <w:t>Al-Sahlani,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(29)</w:t>
            </w:r>
            <w:r>
              <w:tab/>
            </w:r>
            <w:r>
              <w:t xml:space="preserve">Die Delegationen der Europäischen Union sollten die Bereitstellung von Informationen über den EU-Talentpool und dessen Funktionsweise </w:t>
            </w:r>
            <w:r>
              <w:rPr>
                <w:b/>
                <w:i/>
              </w:rPr>
              <w:t>an</w:t>
            </w:r>
            <w:r>
              <w:t xml:space="preserve"> Arbeitsuchende aus Drittstaaten sowie die teilnehmenden Mitgliedstaaten unterstützen.</w:t>
            </w:r>
          </w:p>
        </w:tc>
        <w:tc>
          <w:tcPr>
            <w:tcW w:w="4876" w:type="dxa"/>
            <w:tcBorders>
              <w:top w:val="nil"/>
              <w:left w:val="nil"/>
              <w:bottom w:val="nil"/>
              <w:right w:val="nil"/>
            </w:tcBorders>
          </w:tcPr>
          <w:p w:rsidR="00BC254A" w:rsidRDefault="007914A5">
            <w:pPr>
              <w:pStyle w:val="Normal6a"/>
            </w:pPr>
            <w:r>
              <w:t>(29)</w:t>
            </w:r>
            <w:r>
              <w:tab/>
              <w:t>Die Delegationen der Europäi</w:t>
            </w:r>
            <w:r>
              <w:t xml:space="preserve">schen Union sollten </w:t>
            </w:r>
            <w:r>
              <w:rPr>
                <w:b/>
                <w:i/>
              </w:rPr>
              <w:t>in Zusammenarbeit mit den Mitgliedstaaten eine aktive Rolle dabei spielen,</w:t>
            </w:r>
            <w:r>
              <w:t xml:space="preserve"> die Bereitstellung von Informationen über den EU-Talentpool und dessen Funktionsweise </w:t>
            </w:r>
            <w:r>
              <w:rPr>
                <w:b/>
                <w:i/>
              </w:rPr>
              <w:t>für</w:t>
            </w:r>
            <w:r>
              <w:t xml:space="preserve"> Arbeitsuchende aus Drittstaaten sowie </w:t>
            </w:r>
            <w:r>
              <w:rPr>
                <w:b/>
                <w:i/>
              </w:rPr>
              <w:t>für </w:t>
            </w:r>
            <w:r>
              <w:t xml:space="preserve">die teilnehmenden Mitgliedstaaten </w:t>
            </w:r>
            <w:r>
              <w:rPr>
                <w:b/>
                <w:i/>
              </w:rPr>
              <w:t>zu</w:t>
            </w:r>
            <w:r>
              <w:t xml:space="preserve"> unterstützen. </w:t>
            </w:r>
            <w:r>
              <w:rPr>
                <w:b/>
                <w:i/>
              </w:rPr>
              <w:t>Die Informationen der EU-Delegationen über die Funktionsweise des EU-Talentpools sollten in die Überwachung des EU-Talentpools einfließen.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lastRenderedPageBreak/>
        <w:t>&lt;/AmendB&gt;</w:t>
      </w:r>
    </w:p>
    <w:p w:rsidR="00BC254A" w:rsidRDefault="007914A5">
      <w:pPr>
        <w:pStyle w:val="AmNumberTabs"/>
      </w:pPr>
      <w:r>
        <w:rPr>
          <w:rStyle w:val="HideTWBExt"/>
        </w:rPr>
        <w:t>&lt;AmendB&gt;</w:t>
      </w:r>
      <w:r>
        <w:t>Änderungsantrag</w:t>
      </w:r>
      <w:r>
        <w:tab/>
      </w:r>
      <w:r>
        <w:tab/>
      </w:r>
      <w:r>
        <w:rPr>
          <w:rStyle w:val="HideTWBExt"/>
        </w:rPr>
        <w:t>&lt;NumAmB&gt;</w:t>
      </w:r>
      <w:r>
        <w:t>282</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(29)</w:t>
            </w:r>
            <w:r>
              <w:tab/>
            </w:r>
            <w:r>
              <w:t xml:space="preserve">Die Delegationen der Europäischen Union sollten die Bereitstellung von Informationen über den EU-Talentpool und dessen Funktionsweise </w:t>
            </w:r>
            <w:r>
              <w:rPr>
                <w:b/>
                <w:i/>
              </w:rPr>
              <w:t>an</w:t>
            </w:r>
            <w:r>
              <w:t xml:space="preserve"> Arbeitsuchende aus Drittstaaten </w:t>
            </w:r>
            <w:r>
              <w:rPr>
                <w:b/>
                <w:i/>
              </w:rPr>
              <w:t>sowie die teilnehmenden</w:t>
            </w:r>
            <w:r>
              <w:t xml:space="preserve"> Mitgliedstaaten unterstützen.</w:t>
            </w:r>
          </w:p>
        </w:tc>
        <w:tc>
          <w:tcPr>
            <w:tcW w:w="4876" w:type="dxa"/>
            <w:tcBorders>
              <w:top w:val="nil"/>
              <w:left w:val="nil"/>
              <w:bottom w:val="nil"/>
              <w:right w:val="nil"/>
            </w:tcBorders>
          </w:tcPr>
          <w:p w:rsidR="00BC254A" w:rsidRDefault="007914A5">
            <w:pPr>
              <w:pStyle w:val="Normal6a"/>
            </w:pPr>
            <w:r>
              <w:t>(29)</w:t>
            </w:r>
            <w:r>
              <w:tab/>
            </w:r>
            <w:r>
              <w:t xml:space="preserve">Die Delegationen der Europäischen Union sollten die Bereitstellung von Informationen über den EU-Talentpool und dessen Funktionsweise </w:t>
            </w:r>
            <w:r>
              <w:rPr>
                <w:b/>
                <w:i/>
              </w:rPr>
              <w:t>für</w:t>
            </w:r>
            <w:r>
              <w:t xml:space="preserve"> Arbeitsuchende aus Drittstaaten </w:t>
            </w:r>
            <w:r>
              <w:rPr>
                <w:b/>
                <w:i/>
              </w:rPr>
              <w:t>und für die</w:t>
            </w:r>
            <w:r>
              <w:t xml:space="preserve"> Mitgliedstaaten unterstützen.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w:t>
      </w:r>
      <w:r>
        <w:rPr>
          <w:rStyle w:val="HideTWBExt"/>
        </w:rPr>
        <w:t>AmendB&gt;</w:t>
      </w:r>
      <w:r>
        <w:t>Änderungsantrag</w:t>
      </w:r>
      <w:r>
        <w:tab/>
      </w:r>
      <w:r>
        <w:tab/>
      </w:r>
      <w:r>
        <w:rPr>
          <w:rStyle w:val="HideTWBExt"/>
        </w:rPr>
        <w:t>&lt;NumAmB&gt;</w:t>
      </w:r>
      <w:r>
        <w:t>283</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(30)</w:t>
            </w:r>
            <w:r>
              <w:tab/>
            </w:r>
            <w:r>
              <w:t xml:space="preserve">Auf Ersuchen von registrierten Arbeitsuchenden aus Drittstaaten und Arbeitgebern, die am EU-Talentpool teilnehmen, </w:t>
            </w:r>
            <w:r>
              <w:rPr>
                <w:b/>
                <w:i/>
              </w:rPr>
              <w:t>können</w:t>
            </w:r>
            <w:r>
              <w:t xml:space="preserve"> die nationalen Kontaktstellen des EU-Talentpools </w:t>
            </w:r>
            <w:r>
              <w:rPr>
                <w:b/>
                <w:i/>
              </w:rPr>
              <w:t>unter Umständen</w:t>
            </w:r>
            <w:r>
              <w:t xml:space="preserve"> zusätzliche Unterstützung leisten. Diese zusätzliche Unterstützung so</w:t>
            </w:r>
            <w:r>
              <w:t xml:space="preserve">llte maßgeschneiderte Informationen über einschlägige Visa und Aufenthaltstitel für Arbeitszwecke in dem </w:t>
            </w:r>
            <w:r>
              <w:rPr>
                <w:b/>
                <w:i/>
              </w:rPr>
              <w:t>teilnehmenden</w:t>
            </w:r>
            <w:r>
              <w:t xml:space="preserve"> Mitgliedstaat umfassen, auch mit Blick auf die Rechte und Pflichten von Drittstaatsangehörigen wie Zugang zu Sozialleistungen, Gesundheit</w:t>
            </w:r>
            <w:r>
              <w:t xml:space="preserve">sversorgung, Bildung und Wohnraum. Spezifische Anleitungen und Informationen können auch zu Verfahren zur Familienzusammenführung und zu den Rechten von Familienangehörigen sowie zu bestehenden Maßnahmen zur </w:t>
            </w:r>
            <w:r>
              <w:lastRenderedPageBreak/>
              <w:t>Erleichterung der Integration im Aufnahmemitglie</w:t>
            </w:r>
            <w:r>
              <w:t xml:space="preserve">dstaat wie Sprachkurse und Berufsausbildungen bereitgestellt werden. Des Weiteren sollten diese Informationen verfügbare Rechtsbehelfsmechanismen für Fälle von Ausbeutung der Arbeitskraft und </w:t>
            </w:r>
            <w:r>
              <w:rPr>
                <w:b/>
                <w:i/>
              </w:rPr>
              <w:t>unlauteren</w:t>
            </w:r>
            <w:r>
              <w:t xml:space="preserve"> Einstellungsverfahren in den </w:t>
            </w:r>
            <w:r>
              <w:rPr>
                <w:b/>
                <w:i/>
              </w:rPr>
              <w:t>teilnehmenden</w:t>
            </w:r>
            <w:r>
              <w:t xml:space="preserve"> Mitgliedstaaten umfassen. Die nationalen Kontaktstellen des EU-Talentpools sollten die am EU-Talentpool teilnehmenden Arbeitgeber über ihre Rechte und Pflichten in Bezug auf soziale Sicherheit, aktive Arbeitsmarktmaßnahmen, Steuern sowie Fragen im Zusamme</w:t>
            </w:r>
            <w:r>
              <w:t>nhang mit Arbeitsverträgen, Rentenansprüchen und Krankenversicherung informieren.</w:t>
            </w:r>
          </w:p>
        </w:tc>
        <w:tc>
          <w:tcPr>
            <w:tcW w:w="4876" w:type="dxa"/>
            <w:tcBorders>
              <w:top w:val="nil"/>
              <w:left w:val="nil"/>
              <w:bottom w:val="nil"/>
              <w:right w:val="nil"/>
            </w:tcBorders>
          </w:tcPr>
          <w:p w:rsidR="00BC254A" w:rsidRDefault="007914A5">
            <w:pPr>
              <w:pStyle w:val="Normal6a"/>
            </w:pPr>
            <w:r>
              <w:lastRenderedPageBreak/>
              <w:t>(30)</w:t>
            </w:r>
            <w:r>
              <w:tab/>
            </w:r>
            <w:r>
              <w:rPr>
                <w:b/>
                <w:i/>
              </w:rPr>
              <w:t>Damit Drittstaatsangehörige, die über den EU-Talentpool in die Union einreisen, erfolgreich dort gehalten und integriert werden, ist es von entscheidender Bedeutung, das</w:t>
            </w:r>
            <w:r>
              <w:rPr>
                <w:b/>
                <w:i/>
              </w:rPr>
              <w:t>s ihnen angemessene Unterstützung und Möglichkeiten geboten werden.</w:t>
            </w:r>
            <w:r>
              <w:t xml:space="preserve"> Auf Ersuchen von registrierten Arbeitsuchenden aus Drittstaaten und Arbeitgebern, die am EU-Talentpool teilnehmen, </w:t>
            </w:r>
            <w:r>
              <w:rPr>
                <w:b/>
                <w:i/>
              </w:rPr>
              <w:t>sollten</w:t>
            </w:r>
            <w:r>
              <w:t xml:space="preserve"> die nationalen Kontaktstellen des EU-Talentpools zusätzliche Unte</w:t>
            </w:r>
            <w:r>
              <w:t>rstützung leisten. Diese zusätzliche Unterstützung sollte maßgeschneiderte Informationen über einschlägige Visa und Aufenthaltstitel für Arbeitszwecke in dem Mitgliedstaat umfassen, auch mit Blick auf die Rechte und Pflichten von Drittstaatsangehörigen wie</w:t>
            </w:r>
            <w:r>
              <w:t xml:space="preserve"> Zugang zu Sozialleistungen, </w:t>
            </w:r>
            <w:r>
              <w:lastRenderedPageBreak/>
              <w:t>Gesundheitsversorgung, Bildung und Wohnraum. Spezifische Anleitungen und Informationen können auch zu Verfahren zur Familienzusammenführung und zu den Rechten von Familienangehörigen sowie zu bestehenden Maßnahmen zur Erleichte</w:t>
            </w:r>
            <w:r>
              <w:t xml:space="preserve">rung der Integration im Aufnahmemitgliedstaat wie Sprachkurse und Berufsausbildungen bereitgestellt werden. Des Weiteren sollten diese Informationen verfügbare Rechtsbehelfsmechanismen für Fälle von Ausbeutung der Arbeitskraft und </w:t>
            </w:r>
            <w:r>
              <w:rPr>
                <w:b/>
                <w:i/>
              </w:rPr>
              <w:t>unlauterer</w:t>
            </w:r>
            <w:r>
              <w:t xml:space="preserve"> Einstellungsve</w:t>
            </w:r>
            <w:r>
              <w:t>rfahren in den Mitgliedstaaten umfassen. Die nationalen Kontaktstellen des EU-Talentpools sollten die am EU-Talentpool teilnehmenden Arbeitgeber über ihre Rechte und Pflichten in Bezug auf soziale Sicherheit, aktive Arbeitsmarktmaßnahmen, Steuern sowie Fra</w:t>
            </w:r>
            <w:r>
              <w:t xml:space="preserve">gen im Zusammenhang mit Arbeitsverträgen, Rentenansprüchen und Krankenversicherung informieren. </w:t>
            </w:r>
            <w:r>
              <w:rPr>
                <w:b/>
                <w:i/>
              </w:rPr>
              <w:t xml:space="preserve">Arbeitsuchenden, denen eine Stelle angeboten wird, sollten automatisch konkrete Informationen über die Rechte und Pflichten von Drittstaatsangehörigen wie über </w:t>
            </w:r>
            <w:r>
              <w:rPr>
                <w:b/>
                <w:i/>
              </w:rPr>
              <w:t>den Zugang zu Sozialleistungen, Gesundheitsversorgung, Bildung und Wohnraum zur Verfügung gestellt werden.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284</w:t>
      </w:r>
      <w:r>
        <w:rPr>
          <w:rStyle w:val="HideTWBExt"/>
        </w:rPr>
        <w:t>&lt;/NumAmB&gt;</w:t>
      </w:r>
    </w:p>
    <w:p w:rsidR="00BC254A" w:rsidRDefault="007914A5">
      <w:pPr>
        <w:pStyle w:val="NormalBold"/>
      </w:pPr>
      <w:r>
        <w:rPr>
          <w:rStyle w:val="HideTWBExt"/>
          <w:b w:val="0"/>
        </w:rPr>
        <w:t>&lt;RepeatBlock-By&gt;&lt;Members&gt;</w:t>
      </w:r>
      <w:r>
        <w:t xml:space="preserve">Lena Düpont, Tomas Tobé, Alice </w:t>
      </w:r>
      <w:r>
        <w:t>Teodorescu Måwe</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(30)</w:t>
            </w:r>
            <w:r>
              <w:tab/>
            </w:r>
            <w:r>
              <w:t xml:space="preserve">Auf Ersuchen von registrierten Arbeitsuchenden aus Drittstaaten und Arbeitgebern, die am EU-Talentpool </w:t>
            </w:r>
            <w:r>
              <w:lastRenderedPageBreak/>
              <w:t>teilnehmen, können die nationalen Kontaktstellen des EU-Talentpools unter Umständen zusätzliche Unterstützung leisten. Diese zusätzliche Unterstützung so</w:t>
            </w:r>
            <w:r>
              <w:t xml:space="preserve">llte maßgeschneiderte Informationen über einschlägige Visa und Aufenthaltstitel für Arbeitszwecke in dem teilnehmenden Mitgliedstaat umfassen, auch mit Blick auf die Rechte und Pflichten von Drittstaatsangehörigen </w:t>
            </w:r>
            <w:r>
              <w:rPr>
                <w:b/>
                <w:i/>
              </w:rPr>
              <w:t>wie Zugang zu Sozialleistungen, Gesundheit</w:t>
            </w:r>
            <w:r>
              <w:rPr>
                <w:b/>
                <w:i/>
              </w:rPr>
              <w:t>sversorgung, Bildung und Wohnraum</w:t>
            </w:r>
            <w:r>
              <w:t xml:space="preserve">. Spezifische Anleitungen und Informationen können auch zu </w:t>
            </w:r>
            <w:r>
              <w:rPr>
                <w:b/>
                <w:i/>
              </w:rPr>
              <w:t>Verfahren zur Familienzusammenführung und zu den Rechten von Familienangehörigen sowie zu</w:t>
            </w:r>
            <w:r>
              <w:t xml:space="preserve"> bestehenden Maßnahmen zur Erleichterung der Integration im Aufnahmemitglie</w:t>
            </w:r>
            <w:r>
              <w:t xml:space="preserve">dstaat wie </w:t>
            </w:r>
            <w:r>
              <w:rPr>
                <w:b/>
                <w:i/>
              </w:rPr>
              <w:t>Sprachkurse</w:t>
            </w:r>
            <w:r>
              <w:t xml:space="preserve"> und Berufsausbildungen bereitgestellt werden. Des Weiteren sollten diese Informationen verfügbare Rechtsbehelfsmechanismen für Fälle von Ausbeutung der Arbeitskraft und </w:t>
            </w:r>
            <w:r>
              <w:rPr>
                <w:b/>
                <w:i/>
              </w:rPr>
              <w:t>unlauteren</w:t>
            </w:r>
            <w:r>
              <w:t xml:space="preserve"> Einstellungsverfahren in den teilnehmenden Mitgliedst</w:t>
            </w:r>
            <w:r>
              <w:t>aaten umfassen. Die nationalen Kontaktstellen des EU-Talentpools sollten die am EU-Talentpool teilnehmenden Arbeitgeber über ihre Rechte und Pflichten in Bezug auf soziale Sicherheit, aktive Arbeitsmarktmaßnahmen, Steuern sowie Fragen im Zusammenhang mit A</w:t>
            </w:r>
            <w:r>
              <w:t>rbeitsverträgen, Rentenansprüchen und Krankenversicherung informieren.</w:t>
            </w:r>
          </w:p>
        </w:tc>
        <w:tc>
          <w:tcPr>
            <w:tcW w:w="4876" w:type="dxa"/>
            <w:tcBorders>
              <w:top w:val="nil"/>
              <w:left w:val="nil"/>
              <w:bottom w:val="nil"/>
              <w:right w:val="nil"/>
            </w:tcBorders>
          </w:tcPr>
          <w:p w:rsidR="00BC254A" w:rsidRDefault="007914A5">
            <w:pPr>
              <w:pStyle w:val="Normal6a"/>
            </w:pPr>
            <w:r>
              <w:lastRenderedPageBreak/>
              <w:t>(30)</w:t>
            </w:r>
            <w:r>
              <w:tab/>
              <w:t xml:space="preserve">Auf Ersuchen von registrierten Arbeitsuchenden aus Drittstaaten und Arbeitgebern, die am EU-Talentpool </w:t>
            </w:r>
            <w:r>
              <w:lastRenderedPageBreak/>
              <w:t>teilnehmen, können die nationalen Kontaktstellen des EU-Talentpools unter Ums</w:t>
            </w:r>
            <w:r>
              <w:t>tänden zusätzliche Unterstützung leisten. Diese zusätzliche Unterstützung sollte maßgeschneiderte Informationen über einschlägige Visa und Aufenthaltstitel für Arbeitszwecke in dem teilnehmenden Mitgliedstaat umfassen, auch mit Blick auf die Rechte und Pfl</w:t>
            </w:r>
            <w:r>
              <w:t xml:space="preserve">ichten von Drittstaatsangehörigen. Spezifische Anleitungen und Informationen können auch zu bestehenden Maßnahmen zur Erleichterung der Integration im Aufnahmemitgliedstaat wie </w:t>
            </w:r>
            <w:r>
              <w:rPr>
                <w:b/>
                <w:i/>
              </w:rPr>
              <w:t>zu Sprachkursen und</w:t>
            </w:r>
            <w:r>
              <w:t xml:space="preserve"> und Berufsausbildungen bereitgestellt werden. Des Weiteren </w:t>
            </w:r>
            <w:r>
              <w:t xml:space="preserve">sollten diese Informationen verfügbare Rechtsbehelfsmechanismen für Fälle von Ausbeutung der Arbeitskraft und </w:t>
            </w:r>
            <w:r>
              <w:rPr>
                <w:b/>
                <w:i/>
              </w:rPr>
              <w:t>unlauterer</w:t>
            </w:r>
            <w:r>
              <w:t xml:space="preserve"> Einstellungsverfahren in den teilnehmenden Mitgliedstaaten umfassen. Die nationalen Kontaktstellen des EU-Talentpools sollten die am EU</w:t>
            </w:r>
            <w:r>
              <w:t>-Talentpool teilnehmenden Arbeitgeber über ihre Rechte und Pflichten in Bezug auf soziale Sicherheit, aktive Arbeitsmarktmaßnahmen, Steuern sowie Fragen im Zusammenhang mit Arbeitsverträgen, Rentenansprüchen und Krankenversicherung informieren.</w:t>
            </w:r>
          </w:p>
        </w:tc>
      </w:tr>
    </w:tbl>
    <w:p w:rsidR="00BC254A" w:rsidRDefault="007914A5">
      <w:pPr>
        <w:pStyle w:val="AmOrLang"/>
      </w:pPr>
      <w:r>
        <w:lastRenderedPageBreak/>
        <w:t xml:space="preserve">Or. </w:t>
      </w:r>
      <w:r>
        <w:rPr>
          <w:rStyle w:val="HideTWBExt"/>
        </w:rPr>
        <w:t>&lt;Origi</w:t>
      </w:r>
      <w:r>
        <w:rPr>
          <w:rStyle w:val="HideTWBExt"/>
        </w:rPr>
        <w:t>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285</w:t>
      </w:r>
      <w:r>
        <w:rPr>
          <w:rStyle w:val="HideTWBExt"/>
        </w:rPr>
        <w:t>&lt;/NumAmB&gt;</w:t>
      </w:r>
    </w:p>
    <w:p w:rsidR="00BC254A" w:rsidRDefault="007914A5">
      <w:pPr>
        <w:pStyle w:val="NormalBold"/>
      </w:pPr>
      <w:r>
        <w:rPr>
          <w:rStyle w:val="HideTWBExt"/>
          <w:b w:val="0"/>
        </w:rPr>
        <w:t>&lt;RepeatBlock-By&gt;&lt;Members&gt;</w:t>
      </w:r>
      <w:r>
        <w:t>Alice Teodorescu Måwe</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 xml:space="preserve">Vorschlag der </w:t>
            </w:r>
            <w:r>
              <w:t>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lastRenderedPageBreak/>
              <w:t>(30)</w:t>
            </w:r>
            <w:r>
              <w:tab/>
              <w:t>Auf Ersuchen von registrierten Arbeitsuchenden aus Drittstaaten und Arbeitgebern, die am EU-Talentpool teilnehmen, können die nationalen Kontaktstellen des EU-Talentpools unter Umständen zusätzliche Unterstützung leisten. D</w:t>
            </w:r>
            <w:r>
              <w:t xml:space="preserve">iese zusätzliche Unterstützung sollte maßgeschneiderte Informationen über einschlägige Visa und Aufenthaltstitel für Arbeitszwecke in dem teilnehmenden Mitgliedstaat umfassen, auch mit Blick auf die Rechte und Pflichten von Drittstaatsangehörigen </w:t>
            </w:r>
            <w:r>
              <w:rPr>
                <w:b/>
                <w:i/>
              </w:rPr>
              <w:t xml:space="preserve">wie </w:t>
            </w:r>
            <w:r>
              <w:rPr>
                <w:b/>
                <w:i/>
              </w:rPr>
              <w:t>Zugang zu Sozialleistungen, Gesundheitsversorgung, Bildung und Wohnraum</w:t>
            </w:r>
            <w:r>
              <w:t xml:space="preserve">. Spezifische Anleitungen und Informationen können auch zu </w:t>
            </w:r>
            <w:r>
              <w:rPr>
                <w:b/>
                <w:i/>
              </w:rPr>
              <w:t>Verfahren zur Familienzusammenführung und zu den Rechten von Familienangehörigen sowie zu</w:t>
            </w:r>
            <w:r>
              <w:t xml:space="preserve"> bestehenden Maßnahmen zur Erleichter</w:t>
            </w:r>
            <w:r>
              <w:t xml:space="preserve">ung der Integration im Aufnahmemitgliedstaat wie </w:t>
            </w:r>
            <w:r>
              <w:rPr>
                <w:b/>
                <w:i/>
              </w:rPr>
              <w:t>Sprachkurse</w:t>
            </w:r>
            <w:r>
              <w:t xml:space="preserve"> und Berufsausbildungen bereitgestellt werden. Des Weiteren sollten diese Informationen verfügbare Rechtsbehelfsmechanismen für Fälle von Ausbeutung der Arbeitskraft und </w:t>
            </w:r>
            <w:r>
              <w:rPr>
                <w:b/>
                <w:i/>
              </w:rPr>
              <w:t>unlauteren</w:t>
            </w:r>
            <w:r>
              <w:t xml:space="preserve"> Einstellungsver</w:t>
            </w:r>
            <w:r>
              <w:t>fahren in den teilnehmenden Mitgliedstaaten umfassen. Die nationalen Kontaktstellen des EU-Talentpools sollten die am EU-Talentpool teilnehmenden Arbeitgeber über ihre Rechte und Pflichten in Bezug auf soziale Sicherheit, aktive Arbeitsmarktmaßnahmen, Steu</w:t>
            </w:r>
            <w:r>
              <w:t>ern sowie Fragen im Zusammenhang mit Arbeitsverträgen, Rentenansprüchen und Krankenversicherung informieren.</w:t>
            </w:r>
          </w:p>
        </w:tc>
        <w:tc>
          <w:tcPr>
            <w:tcW w:w="4876" w:type="dxa"/>
            <w:tcBorders>
              <w:top w:val="nil"/>
              <w:left w:val="nil"/>
              <w:bottom w:val="nil"/>
              <w:right w:val="nil"/>
            </w:tcBorders>
          </w:tcPr>
          <w:p w:rsidR="00BC254A" w:rsidRDefault="007914A5">
            <w:pPr>
              <w:pStyle w:val="Normal6a"/>
            </w:pPr>
            <w:r>
              <w:t>(30)</w:t>
            </w:r>
            <w:r>
              <w:tab/>
            </w:r>
            <w:r>
              <w:t>Auf Ersuchen von registrierten Arbeitsuchenden aus Drittstaaten und Arbeitgebern, die am EU-Talentpool teilnehmen, können die nationalen Kontaktstellen des EU-Talentpools unter Umständen zusätzliche Unterstützung leisten. Diese zusätzliche Unterstützung so</w:t>
            </w:r>
            <w:r>
              <w:t>llte maßgeschneiderte Informationen über einschlägige Visa und Aufenthaltstitel für Arbeitszwecke in dem teilnehmenden Mitgliedstaat umfassen, auch mit Blick auf die Rechte und Pflichten von Drittstaatsangehörigen. Spezifische Anleitungen und Informationen</w:t>
            </w:r>
            <w:r>
              <w:t xml:space="preserve"> können auch zu bestehenden Maßnahmen zur Erleichterung der Integration im Aufnahmemitgliedstaat wie </w:t>
            </w:r>
            <w:r>
              <w:rPr>
                <w:b/>
                <w:i/>
              </w:rPr>
              <w:t>zu Sprachkursen und</w:t>
            </w:r>
            <w:r>
              <w:t xml:space="preserve"> und Berufsausbildungen bereitgestellt werden. Des Weiteren sollten diese Informationen verfügbare Rechtsbehelfsmechanismen für Fälle vo</w:t>
            </w:r>
            <w:r>
              <w:t xml:space="preserve">n Ausbeutung der Arbeitskraft und </w:t>
            </w:r>
            <w:r>
              <w:rPr>
                <w:b/>
                <w:i/>
              </w:rPr>
              <w:t>unlauterer</w:t>
            </w:r>
            <w:r>
              <w:t xml:space="preserve"> Einstellungsverfahren in den teilnehmenden Mitgliedstaaten umfassen. Die nationalen Kontaktstellen des EU-Talentpools sollten die am EU-Talentpool teilnehmenden Arbeitgeber über ihre Rechte und Pflichten in Bezu</w:t>
            </w:r>
            <w:r>
              <w:t>g auf soziale Sicherheit, aktive Arbeitsmarktmaßnahmen, Steuern sowie Fragen im Zusammenhang mit Arbeitsverträgen, Rentenansprüchen und Krankenversicherung informieren.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286</w:t>
      </w:r>
      <w:r>
        <w:rPr>
          <w:rStyle w:val="HideTWBExt"/>
        </w:rPr>
        <w:t>&lt;/NumAmB</w:t>
      </w:r>
      <w:r>
        <w:rPr>
          <w:rStyle w:val="HideTWBExt"/>
        </w:rPr>
        <w:t>&gt;</w:t>
      </w:r>
    </w:p>
    <w:p w:rsidR="00BC254A" w:rsidRDefault="007914A5">
      <w:pPr>
        <w:pStyle w:val="NormalBold"/>
      </w:pPr>
      <w:r>
        <w:rPr>
          <w:rStyle w:val="HideTWBExt"/>
          <w:b w:val="0"/>
        </w:rPr>
        <w:t>&lt;RepeatBlock-By&gt;&lt;Members&gt;</w:t>
      </w:r>
      <w:r>
        <w:t>François-Xavier Bellamy</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(30)</w:t>
            </w:r>
            <w:r>
              <w:tab/>
            </w:r>
            <w:r>
              <w:t>Auf Ersuchen von registrierten Arbeitsuchenden aus Drittstaaten und Arbeitgebern, die am EU-Talentpool teilnehmen, können die nationalen Kontaktstellen des EU-Talentpools unter Umständen zusätzliche Unterstützung leisten. Diese zusätzliche Unterstützung so</w:t>
            </w:r>
            <w:r>
              <w:t xml:space="preserve">llte maßgeschneiderte Informationen über einschlägige Visa und Aufenthaltstitel für Arbeitszwecke in dem teilnehmenden Mitgliedstaat umfassen, auch mit Blick auf die Rechte und Pflichten von Drittstaatsangehörigen </w:t>
            </w:r>
            <w:r>
              <w:rPr>
                <w:b/>
                <w:i/>
              </w:rPr>
              <w:t>wie Zugang zu Sozialleistungen, Gesundheit</w:t>
            </w:r>
            <w:r>
              <w:rPr>
                <w:b/>
                <w:i/>
              </w:rPr>
              <w:t>sversorgung, Bildung und Wohnraum</w:t>
            </w:r>
            <w:r>
              <w:t xml:space="preserve">. Spezifische Anleitungen und Informationen können auch </w:t>
            </w:r>
            <w:r>
              <w:rPr>
                <w:b/>
                <w:i/>
              </w:rPr>
              <w:t>zu Verfahren zur Familienzusammenführung und zu den Rechten von Familienangehörigen sowie</w:t>
            </w:r>
            <w:r>
              <w:t xml:space="preserve"> zu bestehenden Maßnahmen zur Erleichterung der Integration im Aufnahmemitglie</w:t>
            </w:r>
            <w:r>
              <w:t>dstaat wie Sprachkurse und Berufsausbildungen bereitgestellt werden. Des Weiteren sollten diese Informationen verfügbare Rechtsbehelfsmechanismen für Fälle von Ausbeutung der Arbeitskraft und unlauteren Einstellungsverfahren in den teilnehmenden Mitgliedst</w:t>
            </w:r>
            <w:r>
              <w:t>aaten umfassen. Die nationalen Kontaktstellen des EU-Talentpools sollten die am EU-Talentpool teilnehmenden Arbeitgeber über ihre Rechte und Pflichten in Bezug auf soziale Sicherheit, aktive Arbeitsmarktmaßnahmen, Steuern sowie Fragen im Zusammenhang mit A</w:t>
            </w:r>
            <w:r>
              <w:t>rbeitsverträgen, Rentenansprüchen und Krankenversicherung informieren.</w:t>
            </w:r>
          </w:p>
        </w:tc>
        <w:tc>
          <w:tcPr>
            <w:tcW w:w="4876" w:type="dxa"/>
            <w:tcBorders>
              <w:top w:val="nil"/>
              <w:left w:val="nil"/>
              <w:bottom w:val="nil"/>
              <w:right w:val="nil"/>
            </w:tcBorders>
          </w:tcPr>
          <w:p w:rsidR="00BC254A" w:rsidRDefault="007914A5">
            <w:pPr>
              <w:pStyle w:val="Normal6a"/>
            </w:pPr>
            <w:r>
              <w:t>(30)</w:t>
            </w:r>
            <w:r>
              <w:tab/>
              <w:t>Auf Ersuchen von registrierten Arbeitsuchenden aus Drittstaaten und Arbeitgebern, die am EU-Talentpool teilnehmen, können die nationalen Kontaktstellen des EU-Talentpools unter Ums</w:t>
            </w:r>
            <w:r>
              <w:t>tänden zusätzliche Unterstützung leisten. Diese zusätzliche Unterstützung sollte maßgeschneiderte Informationen über einschlägige Visa und Aufenthaltstitel für Arbeitszwecke in dem teilnehmenden Mitgliedstaat umfassen, auch mit Blick auf die Rechte und Pfl</w:t>
            </w:r>
            <w:r>
              <w:t xml:space="preserve">ichten von Drittstaatsangehörigen </w:t>
            </w:r>
            <w:r>
              <w:rPr>
                <w:b/>
                <w:i/>
              </w:rPr>
              <w:t>gemäß den geltenden nationalen Rechtsvorschriften</w:t>
            </w:r>
            <w:r>
              <w:t>. Spezifische Anleitungen und Informationen können auch zu bestehenden Maßnahmen zur Erleichterung der Integration im Aufnahmemitgliedstaat wie Sprachkurse und Berufsausbild</w:t>
            </w:r>
            <w:r>
              <w:t>ungen bereitgestellt werden. Des Weiteren sollten diese Informationen verfügbare Rechtsbehelfsmechanismen für Fälle von Ausbeutung der Arbeitskraft und unlauteren Einstellungsverfahren in den teilnehmenden Mitgliedstaaten umfassen. Die nationalen Kontaktst</w:t>
            </w:r>
            <w:r>
              <w:t>ellen des EU-Talentpools sollten die am EU-Talentpool teilnehmenden Arbeitgeber über ihre Rechte und Pflichten in Bezug auf soziale Sicherheit, aktive Arbeitsmarktmaßnahmen, Steuern sowie Fragen im Zusammenhang mit Arbeitsverträgen, Rentenansprüchen und Kr</w:t>
            </w:r>
            <w:r>
              <w:t>ankenversicherung informieren.</w:t>
            </w:r>
          </w:p>
        </w:tc>
      </w:tr>
    </w:tbl>
    <w:p w:rsidR="00BC254A" w:rsidRDefault="007914A5">
      <w:pPr>
        <w:pStyle w:val="AmOrLang"/>
      </w:pPr>
      <w:r>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287</w:t>
      </w:r>
      <w:r>
        <w:rPr>
          <w:rStyle w:val="HideTWBExt"/>
        </w:rPr>
        <w:t>&lt;/NumAmB&gt;</w:t>
      </w:r>
    </w:p>
    <w:p w:rsidR="00BC254A" w:rsidRDefault="007914A5">
      <w:pPr>
        <w:pStyle w:val="NormalBold"/>
      </w:pPr>
      <w:r>
        <w:rPr>
          <w:rStyle w:val="HideTWBExt"/>
          <w:b w:val="0"/>
        </w:rPr>
        <w:t>&lt;RepeatBlock-By&gt;&lt;Members&gt;</w:t>
      </w:r>
      <w:r>
        <w:t xml:space="preserve">Petra Steger, Jaroslav Bžoch, Fabrice Leggeri, António </w:t>
      </w:r>
      <w:r>
        <w:lastRenderedPageBreak/>
        <w:t>Tânger Corrêa, Jorge Buxadé Villalba, Marieke Ehlers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(30)</w:t>
            </w:r>
            <w:r>
              <w:tab/>
            </w:r>
            <w:r>
              <w:t>Auf Ersuchen von registrierten Arbeitsuchenden aus Drittstaaten und Arbeitgebern, die am EU-Talentpool teilnehmen, können die nationalen Kontaktstellen des EU-Talentpools unter Umständen zusätzliche Unterstützung leisten. Diese zusätzliche Unterstützung so</w:t>
            </w:r>
            <w:r>
              <w:t xml:space="preserve">llte maßgeschneiderte Informationen über einschlägige Visa und Aufenthaltstitel für Arbeitszwecke in dem teilnehmenden Mitgliedstaat umfassen, auch mit Blick auf die Rechte und Pflichten von Drittstaatsangehörigen </w:t>
            </w:r>
            <w:r>
              <w:rPr>
                <w:b/>
                <w:i/>
              </w:rPr>
              <w:t>wie Zugang zu Sozialleistungen, Gesundheit</w:t>
            </w:r>
            <w:r>
              <w:rPr>
                <w:b/>
                <w:i/>
              </w:rPr>
              <w:t>sversorgung, Bildung und Wohnraum.</w:t>
            </w:r>
            <w:r>
              <w:t xml:space="preserve"> </w:t>
            </w:r>
            <w:r>
              <w:rPr>
                <w:b/>
                <w:i/>
              </w:rPr>
              <w:t>Spezifische Anleitungen und</w:t>
            </w:r>
            <w:r>
              <w:t xml:space="preserve"> Informationen können auch zu Verfahren zur Familienzusammenführung und zu den Rechten von Familienangehörigen sowie zu bestehenden Maßnahmen zur Erleichterung der Integration im Aufnahmemitglie</w:t>
            </w:r>
            <w:r>
              <w:t xml:space="preserve">dstaat wie </w:t>
            </w:r>
            <w:r>
              <w:rPr>
                <w:b/>
                <w:i/>
              </w:rPr>
              <w:t>Sprachkurse</w:t>
            </w:r>
            <w:r>
              <w:t xml:space="preserve"> und Berufsausbildungen bereitgestellt werden. Des Weiteren sollten diese Informationen verfügbare Rechtsbehelfsmechanismen für Fälle von Ausbeutung der Arbeitskraft und </w:t>
            </w:r>
            <w:r>
              <w:rPr>
                <w:b/>
                <w:i/>
              </w:rPr>
              <w:t>unlauteren</w:t>
            </w:r>
            <w:r>
              <w:t xml:space="preserve"> Einstellungsverfahren in den teilnehmenden Mitgliedstaaten umfassen. Die nationalen Kontaktstellen des EU-Talentpools sollten die am EU-Talentpool teilnehmenden Arbeitgeber über ihre Rechte und Pflichten in Bezug auf soziale Sicherheit, aktive Arbeitsmark</w:t>
            </w:r>
            <w:r>
              <w:t>tmaßnahmen, Steuern sowie Fragen im Zusammenhang mit Arbeitsverträgen, Rentenansprüchen und Krankenversicherung informieren.</w:t>
            </w:r>
          </w:p>
        </w:tc>
        <w:tc>
          <w:tcPr>
            <w:tcW w:w="4876" w:type="dxa"/>
            <w:tcBorders>
              <w:top w:val="nil"/>
              <w:left w:val="nil"/>
              <w:bottom w:val="nil"/>
              <w:right w:val="nil"/>
            </w:tcBorders>
          </w:tcPr>
          <w:p w:rsidR="00BC254A" w:rsidRDefault="007914A5">
            <w:pPr>
              <w:pStyle w:val="Normal6a"/>
            </w:pPr>
            <w:r>
              <w:t>(30)</w:t>
            </w:r>
            <w:r>
              <w:tab/>
              <w:t xml:space="preserve">Auf Ersuchen von registrierten Arbeitsuchenden aus Drittstaaten und Arbeitgebern, die am EU-Talentpool teilnehmen, können die </w:t>
            </w:r>
            <w:r>
              <w:t>nationalen Kontaktstellen des EU-Talentpools unter Umständen zusätzliche Unterstützung leisten. Diese zusätzliche Unterstützung sollte maßgeschneiderte Informationen über einschlägige Visa und Aufenthaltstitel für Arbeitszwecke in dem teilnehmenden Mitglie</w:t>
            </w:r>
            <w:r>
              <w:t>dstaat umfassen, auch mit Blick auf die Rechte und Pflichten von Drittstaatsangehörigen</w:t>
            </w:r>
            <w:r>
              <w:rPr>
                <w:b/>
                <w:i/>
              </w:rPr>
              <w:t>.</w:t>
            </w:r>
            <w:r>
              <w:t xml:space="preserve"> Informationen können auch zu Verfahren zur Familienzusammenführung und zu den Rechten von Familienangehörigen sowie zu bestehenden Maßnahmen zur Erleichterung der Inte</w:t>
            </w:r>
            <w:r>
              <w:t xml:space="preserve">gration im Aufnahmemitgliedstaat wie </w:t>
            </w:r>
            <w:r>
              <w:rPr>
                <w:b/>
                <w:i/>
              </w:rPr>
              <w:t>zu Sprachkursen</w:t>
            </w:r>
            <w:r>
              <w:t xml:space="preserve"> und Berufsausbildungen bereitgestellt werden. Des Weiteren sollten diese Informationen verfügbare Rechtsbehelfsmechanismen für Fälle von Ausbeutung der Arbeitskraft und </w:t>
            </w:r>
            <w:r>
              <w:rPr>
                <w:b/>
                <w:i/>
              </w:rPr>
              <w:t>unlauterer</w:t>
            </w:r>
            <w:r>
              <w:t xml:space="preserve"> Einstellungsverfahren i</w:t>
            </w:r>
            <w:r>
              <w:t>n den teilnehmenden Mitgliedstaaten umfassen. Die nationalen Kontaktstellen des EU-Talentpools sollten die am EU-Talentpool teilnehmenden Arbeitgeber über ihre Rechte und Pflichten in Bezug auf soziale Sicherheit, aktive Arbeitsmarktmaßnahmen, Steuern sowi</w:t>
            </w:r>
            <w:r>
              <w:t>e Fragen im Zusammenhang mit Arbeitsverträgen, Rentenansprüchen und Krankenversicherung informieren.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lastRenderedPageBreak/>
        <w:t>&lt;/AmendB&gt;</w:t>
      </w:r>
    </w:p>
    <w:p w:rsidR="00BC254A" w:rsidRDefault="007914A5">
      <w:pPr>
        <w:pStyle w:val="AmNumberTabs"/>
      </w:pPr>
      <w:r>
        <w:rPr>
          <w:rStyle w:val="HideTWBExt"/>
        </w:rPr>
        <w:t>&lt;AmendB&gt;</w:t>
      </w:r>
      <w:r>
        <w:t>Änderungsantrag</w:t>
      </w:r>
      <w:r>
        <w:tab/>
      </w:r>
      <w:r>
        <w:tab/>
      </w:r>
      <w:r>
        <w:rPr>
          <w:rStyle w:val="HideTWBExt"/>
        </w:rPr>
        <w:t>&lt;NumAmB&gt;</w:t>
      </w:r>
      <w:r>
        <w:t>288</w:t>
      </w:r>
      <w:r>
        <w:rPr>
          <w:rStyle w:val="HideTWBExt"/>
        </w:rPr>
        <w:t>&lt;/NumAmB&gt;</w:t>
      </w:r>
    </w:p>
    <w:p w:rsidR="00BC254A" w:rsidRDefault="007914A5">
      <w:pPr>
        <w:pStyle w:val="NormalBold"/>
      </w:pPr>
      <w:r>
        <w:rPr>
          <w:rStyle w:val="HideTWBExt"/>
          <w:b w:val="0"/>
        </w:rPr>
        <w:t>&lt;RepeatBlock-By&gt;&lt;Members&gt;</w:t>
      </w:r>
      <w:r>
        <w:t>Nadine Morano</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(30)</w:t>
            </w:r>
            <w:r>
              <w:tab/>
              <w:t>Auf Ersuchen von registrierten Arbeitsuchenden aus Drittstaaten und Arbeitgebern, die am EU-Talentpool teilnehmen, können di</w:t>
            </w:r>
            <w:r>
              <w:t>e nationalen Kontaktstellen des EU-Talentpools unter Umständen zusätzliche Unterstützung leisten. Diese zusätzliche Unterstützung sollte maßgeschneiderte Informationen über einschlägige Visa und Aufenthaltstitel für Arbeitszwecke in dem teilnehmenden Mitgl</w:t>
            </w:r>
            <w:r>
              <w:t>iedstaat umfassen, auch mit Blick auf die Rechte und Pflichten von Drittstaatsangehörigen wie Zugang zu Sozialleistungen, Gesundheitsversorgung, Bildung und Wohnraum. Spezifische Anleitungen und Informationen können auch zu Verfahren zur Familienzusammenfü</w:t>
            </w:r>
            <w:r>
              <w:t>hrung und zu den Rechten von Familienangehörigen sowie zu bestehenden Maßnahmen zur Erleichterung der Integration im Aufnahmemitgliedstaat wie Sprachkurse und Berufsausbildungen bereitgestellt werden. Des Weiteren sollten diese Informationen verfügbare Rec</w:t>
            </w:r>
            <w:r>
              <w:t>htsbehelfsmechanismen für Fälle von Ausbeutung der Arbeitskraft und unlauteren Einstellungsverfahren in den teilnehmenden Mitgliedstaaten umfassen. Die nationalen Kontaktstellen des EU-Talentpools sollten die am EU-Talentpool teilnehmenden Arbeitgeber über</w:t>
            </w:r>
            <w:r>
              <w:t xml:space="preserve"> ihre Rechte und Pflichten in Bezug auf soziale Sicherheit, aktive Arbeitsmarktmaßnahmen, Steuern sowie Fragen im Zusammenhang mit Arbeitsverträgen, Rentenansprüchen und Krankenversicherung informieren.</w:t>
            </w:r>
          </w:p>
        </w:tc>
        <w:tc>
          <w:tcPr>
            <w:tcW w:w="4876" w:type="dxa"/>
            <w:tcBorders>
              <w:top w:val="nil"/>
              <w:left w:val="nil"/>
              <w:bottom w:val="nil"/>
              <w:right w:val="nil"/>
            </w:tcBorders>
          </w:tcPr>
          <w:p w:rsidR="00BC254A" w:rsidRDefault="007914A5">
            <w:pPr>
              <w:pStyle w:val="Normal6a"/>
            </w:pPr>
            <w:r>
              <w:t>(30)</w:t>
            </w:r>
            <w:r>
              <w:tab/>
            </w:r>
            <w:r>
              <w:t>Auf Ersuchen von registrierten Arbeitsuchenden aus Drittstaaten und Arbeitgebern, die am EU-Talentpool teilnehmen, können die nationalen Kontaktstellen des EU-Talentpools unter Umständen zusätzliche Unterstützung leisten. Diese zusätzliche Unterstützung so</w:t>
            </w:r>
            <w:r>
              <w:t>llte maßgeschneiderte Informationen über einschlägige Visa und Aufenthaltstitel für Arbeitszwecke in dem teilnehmenden Mitgliedstaat umfassen, auch mit Blick auf die Rechte und Pflichten von Drittstaatsangehörigen wie Zugang zu Sozialleistungen, Gesundheit</w:t>
            </w:r>
            <w:r>
              <w:t xml:space="preserve">sversorgung, Bildung und Wohnraum. Spezifische Anleitungen und Informationen können auch zu Verfahren zur Familienzusammenführung und zu den Rechten </w:t>
            </w:r>
            <w:r>
              <w:rPr>
                <w:b/>
                <w:i/>
              </w:rPr>
              <w:t>und Pflichten</w:t>
            </w:r>
            <w:r>
              <w:t xml:space="preserve"> von Familienangehörigen sowie zu bestehenden Maßnahmen zur Erleichterung der Integration im A</w:t>
            </w:r>
            <w:r>
              <w:t>ufnahmemitgliedstaat wie Sprachkurse und Berufsausbildungen bereitgestellt werden. Des Weiteren sollten diese Informationen verfügbare Rechtsbehelfsmechanismen für Fälle von Ausbeutung der Arbeitskraft und unlauteren Einstellungsverfahren in den teilnehmen</w:t>
            </w:r>
            <w:r>
              <w:t>den Mitgliedstaaten umfassen. Die nationalen Kontaktstellen des EU-Talentpools sollten die am EU-Talentpool teilnehmenden Arbeitgeber über ihre Rechte und Pflichten in Bezug auf soziale Sicherheit, aktive Arbeitsmarktmaßnahmen, Steuern sowie Fragen im Zusa</w:t>
            </w:r>
            <w:r>
              <w:t>mmenhang mit Arbeitsverträgen, Rentenansprüchen und Krankenversicherung informieren.</w:t>
            </w:r>
          </w:p>
        </w:tc>
      </w:tr>
    </w:tbl>
    <w:p w:rsidR="00BC254A" w:rsidRDefault="007914A5">
      <w:pPr>
        <w:pStyle w:val="AmOrLang"/>
      </w:pPr>
      <w:r>
        <w:lastRenderedPageBreak/>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289</w:t>
      </w:r>
      <w:r>
        <w:rPr>
          <w:rStyle w:val="HideTWBExt"/>
        </w:rPr>
        <w:t>&lt;/NumAmB&gt;</w:t>
      </w:r>
    </w:p>
    <w:p w:rsidR="00BC254A" w:rsidRDefault="007914A5">
      <w:pPr>
        <w:pStyle w:val="NormalBold"/>
      </w:pPr>
      <w:r>
        <w:rPr>
          <w:rStyle w:val="HideTWBExt"/>
          <w:b w:val="0"/>
        </w:rPr>
        <w:t>&lt;RepeatBlock-By&gt;&lt;Members&gt;</w:t>
      </w:r>
      <w:r>
        <w:t>Javier 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w:t>
      </w:r>
      <w:r>
        <w:rPr>
          <w:rStyle w:val="HideTWBExt"/>
        </w:rPr>
        <w:t>nd&gt;</w:t>
      </w:r>
      <w:r>
        <w:t>Vorschlag für eine Verordnung</w:t>
      </w:r>
      <w:r>
        <w:rPr>
          <w:rStyle w:val="HideTWBExt"/>
        </w:rPr>
        <w:t>&lt;/DocAmend&gt;</w:t>
      </w:r>
    </w:p>
    <w:p w:rsidR="00BC254A" w:rsidRDefault="007914A5">
      <w:pPr>
        <w:pStyle w:val="NormalBold"/>
      </w:pPr>
      <w:r>
        <w:rPr>
          <w:rStyle w:val="HideTWBExt"/>
        </w:rPr>
        <w:t>&lt;Article&gt;</w:t>
      </w:r>
      <w:r>
        <w:t>Erwägung 30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(30a)</w:t>
            </w:r>
            <w:r>
              <w:tab/>
            </w:r>
            <w:r>
              <w:rPr>
                <w:b/>
                <w:i/>
              </w:rPr>
              <w:t xml:space="preserve">Die Mitgliedstaaten sollten registrierten Arbeitsuchenden, die im EU-Talentpool für eine offene Stelle ausgewählt wurden, </w:t>
            </w:r>
            <w:r>
              <w:rPr>
                <w:b/>
                <w:i/>
              </w:rPr>
              <w:t>standardisierte konkrete Informationen bereitstellen, indem sie beispielsweise auf bestehende Quellen verweisen.</w:t>
            </w:r>
            <w:r>
              <w:t xml:space="preserve"> </w:t>
            </w:r>
            <w:r>
              <w:rPr>
                <w:b/>
                <w:i/>
              </w:rPr>
              <w:t>Zudem sollten die nationalen Kontaktstellen in der Lage sein, auf die geeigneten Informationsquellen und/oder die zuständigen Behörden zu verwe</w:t>
            </w:r>
            <w:r>
              <w:rPr>
                <w:b/>
                <w:i/>
              </w:rPr>
              <w:t>isen.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290</w:t>
      </w:r>
      <w:r>
        <w:rPr>
          <w:rStyle w:val="HideTWBExt"/>
        </w:rPr>
        <w:t>&lt;/NumAmB&gt;</w:t>
      </w:r>
    </w:p>
    <w:p w:rsidR="00BC254A" w:rsidRDefault="007914A5">
      <w:pPr>
        <w:pStyle w:val="NormalBold"/>
      </w:pPr>
      <w:r>
        <w:rPr>
          <w:rStyle w:val="HideTWBExt"/>
          <w:b w:val="0"/>
        </w:rPr>
        <w:t>&lt;RepeatBlock-By&gt;&lt;Members&gt;</w:t>
      </w:r>
      <w:r>
        <w:t>Pernando Barrena Arza</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(30a)</w:t>
            </w:r>
            <w:r>
              <w:tab/>
            </w:r>
            <w:r>
              <w:rPr>
                <w:b/>
                <w:i/>
              </w:rPr>
              <w:t>Gewerkschaftsnetzwerke mit Beratungsdiensten für Migranten und Wanderarbeitnehmer spielen eine Schlüsselrolle bei der Bereitstellung von Informationen und Beratung für Drittstaatsangehörige.</w:t>
            </w:r>
            <w:r>
              <w:t xml:space="preserve"> </w:t>
            </w:r>
            <w:r>
              <w:rPr>
                <w:b/>
                <w:i/>
              </w:rPr>
              <w:t>Solche Netzwerke sollten dauerhaft EU-Mittel in angemessener Höhe erhalten.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lastRenderedPageBreak/>
        <w:t>&lt;AmendB&gt;</w:t>
      </w:r>
      <w:r>
        <w:t>Änderungsantrag</w:t>
      </w:r>
      <w:r>
        <w:tab/>
      </w:r>
      <w:r>
        <w:tab/>
      </w:r>
      <w:r>
        <w:rPr>
          <w:rStyle w:val="HideTWBExt"/>
        </w:rPr>
        <w:t>&lt;NumAmB&gt;</w:t>
      </w:r>
      <w:r>
        <w:t>291</w:t>
      </w:r>
      <w:r>
        <w:rPr>
          <w:rStyle w:val="HideTWBExt"/>
        </w:rPr>
        <w:t>&lt;/NumAmB&gt;</w:t>
      </w:r>
    </w:p>
    <w:p w:rsidR="00BC254A" w:rsidRDefault="007914A5">
      <w:pPr>
        <w:pStyle w:val="NormalBold"/>
      </w:pPr>
      <w:r>
        <w:rPr>
          <w:rStyle w:val="HideTWBExt"/>
          <w:b w:val="0"/>
        </w:rPr>
        <w:t>&lt;RepeatBlock-By&gt;&lt;Members&gt;</w:t>
      </w:r>
      <w:r>
        <w:t>Charlie Weimers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 xml:space="preserve">Vorschlag </w:t>
      </w:r>
      <w:r>
        <w:t>für eine Verordnung</w:t>
      </w:r>
      <w:r>
        <w:rPr>
          <w:rStyle w:val="HideTWBExt"/>
        </w:rPr>
        <w:t>&lt;/DocAmend&gt;</w:t>
      </w:r>
    </w:p>
    <w:p w:rsidR="00BC254A" w:rsidRDefault="007914A5">
      <w:pPr>
        <w:pStyle w:val="NormalBold"/>
      </w:pPr>
      <w:r>
        <w:rPr>
          <w:rStyle w:val="HideTWBExt"/>
        </w:rPr>
        <w:t>&lt;Article&gt;</w:t>
      </w:r>
      <w:r>
        <w:t>Erwägung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rPr>
                <w:b/>
                <w:i/>
              </w:rPr>
              <w:t>(31)</w:t>
            </w:r>
            <w:r>
              <w:tab/>
            </w:r>
            <w:r>
              <w:rPr>
                <w:b/>
                <w:i/>
              </w:rPr>
              <w:t>Damit das Ziel dieser Verordnung erreicht wird, sollte die wirksame Umsetzung des EU-Besitzstands im Bereich der legalen Migration sichergestellt</w:t>
            </w:r>
            <w:r>
              <w:rPr>
                <w:b/>
                <w:i/>
              </w:rPr>
              <w:t xml:space="preserve"> werden.</w:t>
            </w:r>
            <w:r>
              <w:t xml:space="preserve"> </w:t>
            </w:r>
            <w:r>
              <w:rPr>
                <w:b/>
                <w:i/>
              </w:rPr>
              <w:t>Um die Einstellung von Arbeitsuchenden aus Drittstaaten mit Wohnsitz außerhalb der Union für Arbeitgeber zu erleichtern und zu beschleunigen, können die teilnehmenden Mitgliedstaaten zudem beschleunigte Einwanderungsverfahren einführen, insbesonde</w:t>
            </w:r>
            <w:r>
              <w:rPr>
                <w:b/>
                <w:i/>
              </w:rPr>
              <w:t>re in Bezug auf den Erhalt von Visa und Aufenthaltstiteln zu Arbeitszwecken und die Ausnahme vom Grundsatz der Bevorzugung von Unionsbürgern.</w:t>
            </w:r>
            <w:r>
              <w:t xml:space="preserve"> </w:t>
            </w:r>
            <w:r>
              <w:rPr>
                <w:b/>
                <w:i/>
              </w:rPr>
              <w:t>Die Umsetzung beschleunigter Einwanderungsverfahren könnte im Rahmen der Lenkungsgruppe für den EU-Talentpool erör</w:t>
            </w:r>
            <w:r>
              <w:rPr>
                <w:b/>
                <w:i/>
              </w:rPr>
              <w:t>tert werden, insbesondere mit Blick auf die Unterstützung des Austauschs bewährter Verfahren zwischen den Mitgliedstaaten.</w:t>
            </w:r>
          </w:p>
        </w:tc>
        <w:tc>
          <w:tcPr>
            <w:tcW w:w="4876" w:type="dxa"/>
            <w:tcBorders>
              <w:top w:val="nil"/>
              <w:left w:val="nil"/>
              <w:bottom w:val="nil"/>
              <w:right w:val="nil"/>
            </w:tcBorders>
          </w:tcPr>
          <w:p w:rsidR="00BC254A" w:rsidRDefault="007914A5">
            <w:pPr>
              <w:pStyle w:val="Normal6a"/>
            </w:pPr>
            <w:r>
              <w:rPr>
                <w:b/>
                <w:i/>
              </w:rPr>
              <w:t>entfällt</w:t>
            </w:r>
          </w:p>
        </w:tc>
      </w:tr>
    </w:tbl>
    <w:p w:rsidR="00BC254A" w:rsidRDefault="007914A5">
      <w:pPr>
        <w:pStyle w:val="AmOrLang"/>
      </w:pPr>
      <w:r>
        <w:t xml:space="preserve">Or. </w:t>
      </w:r>
      <w:r>
        <w:rPr>
          <w:rStyle w:val="HideTWBExt"/>
        </w:rPr>
        <w:t>&lt;Original&gt;</w:t>
      </w:r>
      <w:r>
        <w:rPr>
          <w:rStyle w:val="HideTWBInt"/>
        </w:rPr>
        <w:t>{SV}</w:t>
      </w:r>
      <w:r>
        <w:t>sv</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292</w:t>
      </w:r>
      <w:r>
        <w:rPr>
          <w:rStyle w:val="HideTWBExt"/>
        </w:rPr>
        <w:t>&lt;/NumAmB&gt;</w:t>
      </w:r>
    </w:p>
    <w:p w:rsidR="00BC254A" w:rsidRDefault="007914A5">
      <w:pPr>
        <w:pStyle w:val="NormalBold"/>
      </w:pPr>
      <w:r>
        <w:rPr>
          <w:rStyle w:val="HideTWBExt"/>
          <w:b w:val="0"/>
        </w:rPr>
        <w:t>&lt;RepeatBlock-By&gt;&lt;Members&gt;</w:t>
      </w:r>
      <w:r>
        <w:t xml:space="preserve">Javier </w:t>
      </w:r>
      <w:r>
        <w:t>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(31)</w:t>
            </w:r>
            <w:r>
              <w:tab/>
            </w:r>
            <w:r>
              <w:t xml:space="preserve">Damit das Ziel dieser Verordnung erreicht wird, sollte die wirksame Umsetzung des EU-Besitzstands im Bereich der legalen Migration sichergestellt werden. Um die Einstellung von Arbeitsuchenden aus Drittstaaten mit </w:t>
            </w:r>
            <w:r>
              <w:lastRenderedPageBreak/>
              <w:t>Wohnsitz außerhalb der Union für Arbeitgeb</w:t>
            </w:r>
            <w:r>
              <w:t xml:space="preserve">er zu erleichtern und zu beschleunigen, </w:t>
            </w:r>
            <w:r>
              <w:rPr>
                <w:b/>
                <w:i/>
              </w:rPr>
              <w:t>können</w:t>
            </w:r>
            <w:r>
              <w:t xml:space="preserve"> die teilnehmenden Mitgliedstaaten </w:t>
            </w:r>
            <w:r>
              <w:rPr>
                <w:b/>
                <w:i/>
              </w:rPr>
              <w:t>zudem</w:t>
            </w:r>
            <w:r>
              <w:t xml:space="preserve"> beschleunigte Einwanderungsverfahren </w:t>
            </w:r>
            <w:r>
              <w:rPr>
                <w:b/>
                <w:i/>
              </w:rPr>
              <w:t>einführen</w:t>
            </w:r>
            <w:r>
              <w:t xml:space="preserve">, insbesondere </w:t>
            </w:r>
            <w:r>
              <w:rPr>
                <w:b/>
                <w:i/>
              </w:rPr>
              <w:t>in Bezug auf</w:t>
            </w:r>
            <w:r>
              <w:t xml:space="preserve"> den Erhalt von Visa und Aufenthaltstiteln zu Arbeitszwecken und die </w:t>
            </w:r>
            <w:r>
              <w:rPr>
                <w:b/>
                <w:i/>
              </w:rPr>
              <w:t>Ausnahme</w:t>
            </w:r>
            <w:r>
              <w:t xml:space="preserve"> vom Grundsatz der </w:t>
            </w:r>
            <w:r>
              <w:t xml:space="preserve">Bevorzugung von Unionsbürgern. Die Umsetzung beschleunigter Einwanderungsverfahren </w:t>
            </w:r>
            <w:r>
              <w:rPr>
                <w:b/>
                <w:i/>
              </w:rPr>
              <w:t>könnte</w:t>
            </w:r>
            <w:r>
              <w:t xml:space="preserve"> im Rahmen der Lenkungsgruppe für den EU-Talentpool erörtert werden, insbesondere mit Blick auf die Unterstützung des Austauschs bewährter Verfahren zwischen den Mitgl</w:t>
            </w:r>
            <w:r>
              <w:t>iedstaaten.</w:t>
            </w:r>
          </w:p>
        </w:tc>
        <w:tc>
          <w:tcPr>
            <w:tcW w:w="4876" w:type="dxa"/>
            <w:tcBorders>
              <w:top w:val="nil"/>
              <w:left w:val="nil"/>
              <w:bottom w:val="nil"/>
              <w:right w:val="nil"/>
            </w:tcBorders>
          </w:tcPr>
          <w:p w:rsidR="00BC254A" w:rsidRDefault="007914A5">
            <w:pPr>
              <w:pStyle w:val="Normal6a"/>
            </w:pPr>
            <w:r>
              <w:lastRenderedPageBreak/>
              <w:t>(31)</w:t>
            </w:r>
            <w:r>
              <w:tab/>
              <w:t xml:space="preserve">Damit das Ziel dieser Verordnung erreicht wird, sollte die wirksame Umsetzung des EU-Besitzstands im Bereich der legalen Migration sichergestellt werden. Um die Einstellung von Arbeitsuchenden aus Drittstaaten mit </w:t>
            </w:r>
            <w:r>
              <w:lastRenderedPageBreak/>
              <w:t>Wohnsitz außerhalb der Un</w:t>
            </w:r>
            <w:r>
              <w:t xml:space="preserve">ion für Arbeitgeber </w:t>
            </w:r>
            <w:r>
              <w:rPr>
                <w:b/>
                <w:i/>
              </w:rPr>
              <w:t>und für die Arbeitsuchenden selbst</w:t>
            </w:r>
            <w:r>
              <w:t xml:space="preserve"> zu erleichtern und zu beschleunigen, </w:t>
            </w:r>
            <w:r>
              <w:rPr>
                <w:b/>
                <w:i/>
              </w:rPr>
              <w:t>sollten</w:t>
            </w:r>
            <w:r>
              <w:t xml:space="preserve"> die teilnehmenden Mitgliedstaaten </w:t>
            </w:r>
            <w:r>
              <w:rPr>
                <w:b/>
                <w:i/>
              </w:rPr>
              <w:t>darüber hinaus Bestimmungen einführen, die</w:t>
            </w:r>
            <w:r>
              <w:t xml:space="preserve"> beschleunigte Einwanderungsverfahren </w:t>
            </w:r>
            <w:r>
              <w:rPr>
                <w:b/>
                <w:i/>
              </w:rPr>
              <w:t>ermöglichen</w:t>
            </w:r>
            <w:r>
              <w:t xml:space="preserve">, </w:t>
            </w:r>
            <w:r>
              <w:rPr>
                <w:b/>
                <w:i/>
              </w:rPr>
              <w:t>und zwar</w:t>
            </w:r>
            <w:r>
              <w:t xml:space="preserve"> insbesondere </w:t>
            </w:r>
            <w:r>
              <w:rPr>
                <w:b/>
                <w:i/>
              </w:rPr>
              <w:t>im Hinb</w:t>
            </w:r>
            <w:r>
              <w:rPr>
                <w:b/>
                <w:i/>
              </w:rPr>
              <w:t>lick auf die Nichtanwendung von Arbeitsmarkttests und die Anerkennung von Qualifikationen und Kompetenzen, die im Rahmen einer EU-Fachkräftepartnerschaft oder eines nationalen Rahmens entwickelt oder validiert und mit einem „Fachkräftepartnerschaftspass“ b</w:t>
            </w:r>
            <w:r>
              <w:rPr>
                <w:b/>
                <w:i/>
              </w:rPr>
              <w:t>escheinigt wurden.</w:t>
            </w:r>
            <w:r>
              <w:t xml:space="preserve"> </w:t>
            </w:r>
            <w:r>
              <w:rPr>
                <w:b/>
                <w:i/>
              </w:rPr>
              <w:t>Die Mitgliedstaaten können außerdem Bestimmungen erlassen, die</w:t>
            </w:r>
            <w:r>
              <w:t xml:space="preserve"> den Erhalt von Visa und Aufenthaltstiteln zu Arbeitszwecken und die </w:t>
            </w:r>
            <w:r>
              <w:rPr>
                <w:b/>
                <w:i/>
              </w:rPr>
              <w:t>Befreiung</w:t>
            </w:r>
            <w:r>
              <w:t xml:space="preserve"> vom Grundsatz der Bevorzugung von Unionsbürgern </w:t>
            </w:r>
            <w:r>
              <w:rPr>
                <w:b/>
                <w:i/>
              </w:rPr>
              <w:t>erleichtern</w:t>
            </w:r>
            <w:r>
              <w:t>. Die Umsetzung beschleunigter Einwan</w:t>
            </w:r>
            <w:r>
              <w:t xml:space="preserve">derungsverfahren </w:t>
            </w:r>
            <w:r>
              <w:rPr>
                <w:b/>
                <w:i/>
              </w:rPr>
              <w:t>sollte</w:t>
            </w:r>
            <w:r>
              <w:t xml:space="preserve"> im Rahmen der Lenkungsgruppe für den EU-Talentpool erörtert werden, insbesondere mit Blick auf die Unterstützung des Austauschs bewährter Verfahren zwischen den Mitgliedstaaten.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293</w:t>
      </w:r>
      <w:r>
        <w:rPr>
          <w:rStyle w:val="HideTWBExt"/>
        </w:rPr>
        <w:t>&lt;/NumAmB&gt;</w:t>
      </w:r>
    </w:p>
    <w:p w:rsidR="00BC254A" w:rsidRDefault="007914A5">
      <w:pPr>
        <w:pStyle w:val="NormalBold"/>
      </w:pPr>
      <w:r>
        <w:rPr>
          <w:rStyle w:val="HideTWBExt"/>
          <w:b w:val="0"/>
        </w:rPr>
        <w:t>&lt;RepeatBlock-By&gt;&lt;Members&gt;</w:t>
      </w:r>
      <w:r>
        <w:t>Nikolaos Anadiotis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(31)</w:t>
            </w:r>
            <w:r>
              <w:tab/>
            </w:r>
            <w:r>
              <w:t xml:space="preserve">Damit das Ziel dieser Verordnung erreicht wird, </w:t>
            </w:r>
            <w:r>
              <w:rPr>
                <w:b/>
                <w:i/>
              </w:rPr>
              <w:t>sollte die wirksame Umsetzung des EU-Besitzstands im Bereich der legalen Migration sichergestellt werden.</w:t>
            </w:r>
            <w:r>
              <w:t xml:space="preserve"> </w:t>
            </w:r>
            <w:r>
              <w:rPr>
                <w:b/>
                <w:i/>
              </w:rPr>
              <w:t xml:space="preserve">Um die Einstellung von Arbeitsuchenden aus Drittstaaten mit Wohnsitz außerhalb der Union für </w:t>
            </w:r>
            <w:r>
              <w:rPr>
                <w:b/>
                <w:i/>
              </w:rPr>
              <w:lastRenderedPageBreak/>
              <w:t>Arbeitgeb</w:t>
            </w:r>
            <w:r>
              <w:rPr>
                <w:b/>
                <w:i/>
              </w:rPr>
              <w:t>er zu erleichtern und zu beschleunigen,</w:t>
            </w:r>
            <w:r>
              <w:t xml:space="preserve"> können die teilnehmenden Mitgliedstaaten </w:t>
            </w:r>
            <w:r>
              <w:rPr>
                <w:b/>
                <w:i/>
              </w:rPr>
              <w:t xml:space="preserve">zudem beschleunigte Einwanderungsverfahren einführen, insbesondere in Bezug auf den Erhalt von Visa und Aufenthaltstiteln zu Arbeitszwecken und die Ausnahme vom Grundsatz der </w:t>
            </w:r>
            <w:r>
              <w:rPr>
                <w:b/>
                <w:i/>
              </w:rPr>
              <w:t>Bevorzugung von Unionsbürgern.</w:t>
            </w:r>
            <w:r>
              <w:t xml:space="preserve"> </w:t>
            </w:r>
            <w:r>
              <w:rPr>
                <w:b/>
                <w:i/>
              </w:rPr>
              <w:t>Die Umsetzung beschleunigter Einwanderungsverfahren könnte im Rahmen der Lenkungsgruppe für den EU-Talentpool erörtert werden, insbesondere mit Blick auf die Unterstützung des Austauschs bewährter Verfahren zwischen den Mitgl</w:t>
            </w:r>
            <w:r>
              <w:rPr>
                <w:b/>
                <w:i/>
              </w:rPr>
              <w:t>iedstaaten</w:t>
            </w:r>
            <w:r>
              <w:t>.</w:t>
            </w:r>
          </w:p>
        </w:tc>
        <w:tc>
          <w:tcPr>
            <w:tcW w:w="4876" w:type="dxa"/>
            <w:tcBorders>
              <w:top w:val="nil"/>
              <w:left w:val="nil"/>
              <w:bottom w:val="nil"/>
              <w:right w:val="nil"/>
            </w:tcBorders>
          </w:tcPr>
          <w:p w:rsidR="00BC254A" w:rsidRDefault="007914A5">
            <w:pPr>
              <w:pStyle w:val="Normal6a"/>
            </w:pPr>
            <w:r>
              <w:lastRenderedPageBreak/>
              <w:t>(31)</w:t>
            </w:r>
            <w:r>
              <w:tab/>
              <w:t xml:space="preserve">Damit das Ziel dieser Verordnung erreicht wird, können die teilnehmenden Mitgliedstaaten </w:t>
            </w:r>
            <w:r>
              <w:rPr>
                <w:b/>
                <w:i/>
              </w:rPr>
              <w:t>die von jedem Mitgliedstaat im Einklang mit seinen spezifischen sozialen, wirtschaftlichen und beschäftigungspolitischen Bedürfnissen und Besonderheit</w:t>
            </w:r>
            <w:r>
              <w:rPr>
                <w:b/>
                <w:i/>
              </w:rPr>
              <w:t xml:space="preserve">en </w:t>
            </w:r>
            <w:r>
              <w:rPr>
                <w:b/>
                <w:i/>
              </w:rPr>
              <w:lastRenderedPageBreak/>
              <w:t>festgelegten Maßnahmen ergreifen</w:t>
            </w:r>
            <w:r>
              <w:t>.</w:t>
            </w:r>
          </w:p>
        </w:tc>
      </w:tr>
    </w:tbl>
    <w:p w:rsidR="00BC254A" w:rsidRDefault="007914A5">
      <w:pPr>
        <w:pStyle w:val="AmOrLang"/>
      </w:pPr>
      <w:r>
        <w:lastRenderedPageBreak/>
        <w:t xml:space="preserve">Or. </w:t>
      </w:r>
      <w:r>
        <w:rPr>
          <w:rStyle w:val="HideTWBExt"/>
        </w:rPr>
        <w:t>&lt;Original&gt;</w:t>
      </w:r>
      <w:r>
        <w:rPr>
          <w:rStyle w:val="HideTWBInt"/>
        </w:rPr>
        <w:t>{EL}</w:t>
      </w:r>
      <w:r>
        <w:t>el</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294</w:t>
      </w:r>
      <w:r>
        <w:rPr>
          <w:rStyle w:val="HideTWBExt"/>
        </w:rPr>
        <w:t>&lt;/NumAmB&gt;</w:t>
      </w:r>
    </w:p>
    <w:p w:rsidR="00BC254A" w:rsidRDefault="007914A5">
      <w:pPr>
        <w:pStyle w:val="NormalBold"/>
      </w:pPr>
      <w:r>
        <w:rPr>
          <w:rStyle w:val="HideTWBExt"/>
          <w:b w:val="0"/>
        </w:rPr>
        <w:t>&lt;RepeatBlock-By&gt;&lt;Members&gt;</w:t>
      </w:r>
      <w:r>
        <w:t>Lena Düpont, Tomas Tobé, Alice Teodorescu Måwe</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 xml:space="preserve">Vorschlag für eine </w:t>
      </w:r>
      <w:r>
        <w:t>Verordnung</w:t>
      </w:r>
      <w:r>
        <w:rPr>
          <w:rStyle w:val="HideTWBExt"/>
        </w:rPr>
        <w:t>&lt;/DocAmend&gt;</w:t>
      </w:r>
    </w:p>
    <w:p w:rsidR="00BC254A" w:rsidRDefault="007914A5">
      <w:pPr>
        <w:pStyle w:val="NormalBold"/>
      </w:pPr>
      <w:r>
        <w:rPr>
          <w:rStyle w:val="HideTWBExt"/>
        </w:rPr>
        <w:t>&lt;Article&gt;</w:t>
      </w:r>
      <w:r>
        <w:t>Erwägung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(31)</w:t>
            </w:r>
            <w:r>
              <w:tab/>
              <w:t xml:space="preserve">Damit das Ziel dieser Verordnung erreicht wird, sollte die wirksame Umsetzung des EU-Besitzstands im Bereich der legalen Migration sichergestellt werden. </w:t>
            </w:r>
            <w:r>
              <w:rPr>
                <w:b/>
                <w:i/>
              </w:rPr>
              <w:t>Um die Einstellung von Arbeitsuchenden aus Drittstaaten mit Wohnsitz außerhalb der Union für Arbeitgeber zu erleichtern und zu beschleunigen, können die teilnehmenden</w:t>
            </w:r>
            <w:r>
              <w:t xml:space="preserve"> Mitgliedstaaten </w:t>
            </w:r>
            <w:r>
              <w:rPr>
                <w:b/>
                <w:i/>
              </w:rPr>
              <w:t>zudem beschleunigte Einwanderungsverfahren einführen, insbesondere in Bez</w:t>
            </w:r>
            <w:r>
              <w:rPr>
                <w:b/>
                <w:i/>
              </w:rPr>
              <w:t>ug auf den Erhalt von Visa und Aufenthaltstiteln zu Arbeitszwecken und die Ausnahme vom Grundsatz der Bevorzugung von Unionsbürgern.</w:t>
            </w:r>
            <w:r>
              <w:t xml:space="preserve"> </w:t>
            </w:r>
            <w:r>
              <w:rPr>
                <w:b/>
                <w:i/>
              </w:rPr>
              <w:t>Die Umsetzung beschleunigter Einwanderungsverfahren könnte im Rahmen der Lenkungsgruppe für den EU-Talentpool erörtert werd</w:t>
            </w:r>
            <w:r>
              <w:rPr>
                <w:b/>
                <w:i/>
              </w:rPr>
              <w:t xml:space="preserve">en, </w:t>
            </w:r>
            <w:r>
              <w:rPr>
                <w:b/>
                <w:i/>
              </w:rPr>
              <w:lastRenderedPageBreak/>
              <w:t>insbesondere mit Blick auf die Unterstützung des Austauschs bewährter Verfahren zwischen den Mitgliedstaaten</w:t>
            </w:r>
            <w:r>
              <w:t>.</w:t>
            </w:r>
          </w:p>
        </w:tc>
        <w:tc>
          <w:tcPr>
            <w:tcW w:w="4876" w:type="dxa"/>
            <w:tcBorders>
              <w:top w:val="nil"/>
              <w:left w:val="nil"/>
              <w:bottom w:val="nil"/>
              <w:right w:val="nil"/>
            </w:tcBorders>
          </w:tcPr>
          <w:p w:rsidR="00BC254A" w:rsidRDefault="007914A5">
            <w:pPr>
              <w:pStyle w:val="Normal6a"/>
            </w:pPr>
            <w:r>
              <w:lastRenderedPageBreak/>
              <w:t>(31)</w:t>
            </w:r>
            <w:r>
              <w:tab/>
            </w:r>
            <w:r>
              <w:t xml:space="preserve">Damit das Ziel dieser Verordnung erreicht wird, sollte die wirksame Umsetzung des EU-Besitzstands im Bereich der legalen Migration sichergestellt werden. </w:t>
            </w:r>
            <w:r>
              <w:rPr>
                <w:b/>
                <w:i/>
              </w:rPr>
              <w:t>Die Verordnung stellt keinen neuen Weg der legalen Migration dar, und die</w:t>
            </w:r>
            <w:r>
              <w:t xml:space="preserve"> Mitgliedstaaten </w:t>
            </w:r>
            <w:r>
              <w:rPr>
                <w:b/>
                <w:i/>
              </w:rPr>
              <w:t xml:space="preserve">werden auch </w:t>
            </w:r>
            <w:r>
              <w:rPr>
                <w:b/>
                <w:i/>
              </w:rPr>
              <w:t>weiterhin das Recht haben, selbst festzulegen, wie viele Drittstaatsangehörige sie in ihrem Hoheitsgebiet aufnehmen</w:t>
            </w:r>
            <w:r>
              <w: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295</w:t>
      </w:r>
      <w:r>
        <w:rPr>
          <w:rStyle w:val="HideTWBExt"/>
        </w:rPr>
        <w:t>&lt;/NumAmB&gt;</w:t>
      </w:r>
    </w:p>
    <w:p w:rsidR="00BC254A" w:rsidRDefault="007914A5">
      <w:pPr>
        <w:pStyle w:val="NormalBold"/>
      </w:pPr>
      <w:r>
        <w:rPr>
          <w:rStyle w:val="HideTWBExt"/>
          <w:b w:val="0"/>
        </w:rPr>
        <w:t>&lt;RepeatBlock-By&gt;&lt;Members&gt;</w:t>
      </w:r>
      <w:r>
        <w:t>Alice Teodorescu Måwe</w:t>
      </w:r>
      <w:r>
        <w:rPr>
          <w:rStyle w:val="HideTWBExt"/>
          <w:b w:val="0"/>
        </w:rPr>
        <w:t>&lt;/Me</w:t>
      </w:r>
      <w:r>
        <w:rPr>
          <w:rStyle w:val="HideTWBExt"/>
          <w:b w:val="0"/>
        </w:rPr>
        <w:t>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(31)</w:t>
            </w:r>
            <w:r>
              <w:tab/>
            </w:r>
            <w:r>
              <w:t xml:space="preserve">Damit das Ziel dieser Verordnung erreicht wird, sollte die wirksame Umsetzung des EU-Besitzstands im Bereich der legalen Migration sichergestellt werden. </w:t>
            </w:r>
            <w:r>
              <w:rPr>
                <w:b/>
                <w:i/>
              </w:rPr>
              <w:t>Um die Einstellung von Arbeitsuchenden aus Drittstaaten mit Wohnsitz außerhalb der Union für Arbeitgeb</w:t>
            </w:r>
            <w:r>
              <w:rPr>
                <w:b/>
                <w:i/>
              </w:rPr>
              <w:t>er zu erleichtern und zu beschleunigen, können die teilnehmenden</w:t>
            </w:r>
            <w:r>
              <w:t xml:space="preserve"> Mitgliedstaaten </w:t>
            </w:r>
            <w:r>
              <w:rPr>
                <w:b/>
                <w:i/>
              </w:rPr>
              <w:t xml:space="preserve">zudem beschleunigte Einwanderungsverfahren einführen, insbesondere in Bezug auf den Erhalt von Visa und Aufenthaltstiteln zu Arbeitszwecken und die Ausnahme vom Grundsatz der </w:t>
            </w:r>
            <w:r>
              <w:rPr>
                <w:b/>
                <w:i/>
              </w:rPr>
              <w:t>Bevorzugung von Unionsbürgern.</w:t>
            </w:r>
            <w:r>
              <w:t xml:space="preserve"> </w:t>
            </w:r>
            <w:r>
              <w:rPr>
                <w:b/>
                <w:i/>
              </w:rPr>
              <w:t>Die Umsetzung beschleunigter Einwanderungsverfahren könnte im Rahmen der Lenkungsgruppe für den EU-Talentpool erörtert werden, insbesondere mit Blick auf die Unterstützung des Austauschs bewährter Verfahren zwischen den Mitgl</w:t>
            </w:r>
            <w:r>
              <w:rPr>
                <w:b/>
                <w:i/>
              </w:rPr>
              <w:t>iedstaaten</w:t>
            </w:r>
            <w:r>
              <w:t>.</w:t>
            </w:r>
          </w:p>
        </w:tc>
        <w:tc>
          <w:tcPr>
            <w:tcW w:w="4876" w:type="dxa"/>
            <w:tcBorders>
              <w:top w:val="nil"/>
              <w:left w:val="nil"/>
              <w:bottom w:val="nil"/>
              <w:right w:val="nil"/>
            </w:tcBorders>
          </w:tcPr>
          <w:p w:rsidR="00BC254A" w:rsidRDefault="007914A5">
            <w:pPr>
              <w:pStyle w:val="Normal6a"/>
            </w:pPr>
            <w:r>
              <w:t>(31)</w:t>
            </w:r>
            <w:r>
              <w:tab/>
              <w:t xml:space="preserve">Damit das Ziel dieser Verordnung erreicht wird, sollte die wirksame Umsetzung des EU-Besitzstands im Bereich der legalen Migration sichergestellt werden. </w:t>
            </w:r>
            <w:r>
              <w:rPr>
                <w:b/>
                <w:i/>
              </w:rPr>
              <w:t>Die Verordnung stellt keinen neuen Weg der legalen Migration dar, und die </w:t>
            </w:r>
            <w:r>
              <w:t>Mitgliedsta</w:t>
            </w:r>
            <w:r>
              <w:t>aten </w:t>
            </w:r>
            <w:r>
              <w:rPr>
                <w:b/>
                <w:i/>
              </w:rPr>
              <w:t>werden somit auch weiterhin das Recht haben, selbst festzulegen, wie viele Drittstaatsangehörige sie in ihren Hoheitsgebieten aufnehmen</w:t>
            </w:r>
            <w:r>
              <w: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296</w:t>
      </w:r>
      <w:r>
        <w:rPr>
          <w:rStyle w:val="HideTWBExt"/>
        </w:rPr>
        <w:t>&lt;/NumAmB&gt;</w:t>
      </w:r>
    </w:p>
    <w:p w:rsidR="00BC254A" w:rsidRDefault="007914A5">
      <w:pPr>
        <w:pStyle w:val="NormalBold"/>
      </w:pPr>
      <w:r>
        <w:rPr>
          <w:rStyle w:val="HideTWBExt"/>
          <w:b w:val="0"/>
        </w:rPr>
        <w:t>&lt;RepeatBlock-By&gt;&lt;Members&gt;</w:t>
      </w:r>
      <w:r>
        <w:t>Petra Steger, Jaroslav Bžoch, Fabrice Leggeri, António Tânger Corrêa, Jorge Buxadé Villalba, Marieke Ehlers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 xml:space="preserve">Geänderter </w:t>
            </w:r>
            <w:r>
              <w:t>Text</w:t>
            </w:r>
          </w:p>
        </w:tc>
      </w:tr>
      <w:tr w:rsidR="00BC254A">
        <w:trPr>
          <w:jc w:val="center"/>
        </w:trPr>
        <w:tc>
          <w:tcPr>
            <w:tcW w:w="4876" w:type="dxa"/>
            <w:tcBorders>
              <w:top w:val="nil"/>
              <w:left w:val="nil"/>
              <w:bottom w:val="nil"/>
              <w:right w:val="nil"/>
            </w:tcBorders>
          </w:tcPr>
          <w:p w:rsidR="00BC254A" w:rsidRDefault="007914A5">
            <w:pPr>
              <w:pStyle w:val="Normal6a"/>
            </w:pPr>
            <w:r>
              <w:t>(31)</w:t>
            </w:r>
            <w:r>
              <w:tab/>
              <w:t xml:space="preserve">Damit das Ziel dieser Verordnung erreicht wird, sollte die wirksame Umsetzung des EU-Besitzstands im Bereich der legalen Migration sichergestellt werden. Um </w:t>
            </w:r>
            <w:r>
              <w:rPr>
                <w:b/>
                <w:i/>
              </w:rPr>
              <w:t>die Einstellung von Arbeitsuchenden aus Drittstaaten mit Wohnsitz außerhalb der Union fü</w:t>
            </w:r>
            <w:r>
              <w:rPr>
                <w:b/>
                <w:i/>
              </w:rPr>
              <w:t>r Arbeitgeber zu erleichtern und zu beschleunigen, können die teilnehmenden</w:t>
            </w:r>
            <w:r>
              <w:t xml:space="preserve"> Mitgliedstaaten </w:t>
            </w:r>
            <w:r>
              <w:rPr>
                <w:b/>
                <w:i/>
              </w:rPr>
              <w:t>zudem beschleunigte Einwanderungsverfahren einführen, insbesondere in Bezug auf den Erhalt von Visa und Aufenthaltstiteln zu Arbeitszwecken und die Ausnahme vom Gru</w:t>
            </w:r>
            <w:r>
              <w:rPr>
                <w:b/>
                <w:i/>
              </w:rPr>
              <w:t>ndsatz der Bevorzugung von Unionsbürgern.</w:t>
            </w:r>
            <w:r>
              <w:t xml:space="preserve"> </w:t>
            </w:r>
            <w:r>
              <w:rPr>
                <w:b/>
                <w:i/>
              </w:rPr>
              <w:t>Die Umsetzung beschleunigter Einwanderungsverfahren könnte im Rahmen der Lenkungsgruppe für den EU-Talentpool erörtert werden, insbesondere mit Blick auf die Unterstützung des Austauschs bewährter Verfahren zwische</w:t>
            </w:r>
            <w:r>
              <w:rPr>
                <w:b/>
                <w:i/>
              </w:rPr>
              <w:t>n den Mitgliedstaaten</w:t>
            </w:r>
            <w:r>
              <w:t>.</w:t>
            </w:r>
          </w:p>
        </w:tc>
        <w:tc>
          <w:tcPr>
            <w:tcW w:w="4876" w:type="dxa"/>
            <w:tcBorders>
              <w:top w:val="nil"/>
              <w:left w:val="nil"/>
              <w:bottom w:val="nil"/>
              <w:right w:val="nil"/>
            </w:tcBorders>
          </w:tcPr>
          <w:p w:rsidR="00BC254A" w:rsidRDefault="007914A5">
            <w:pPr>
              <w:pStyle w:val="Normal6a"/>
            </w:pPr>
            <w:r>
              <w:t>(31)</w:t>
            </w:r>
            <w:r>
              <w:tab/>
              <w:t xml:space="preserve">Damit das Ziel dieser Verordnung erreicht wird, sollte die wirksame Umsetzung des EU-Besitzstands im Bereich der legalen Migration sichergestellt werden. Um </w:t>
            </w:r>
            <w:r>
              <w:rPr>
                <w:b/>
                <w:i/>
              </w:rPr>
              <w:t>Sicherheitsrisiken zu vermeiden, sollten die</w:t>
            </w:r>
            <w:r>
              <w:t xml:space="preserve"> Mitgliedstaaten </w:t>
            </w:r>
            <w:r>
              <w:rPr>
                <w:b/>
                <w:i/>
              </w:rPr>
              <w:t>darüber hi</w:t>
            </w:r>
            <w:r>
              <w:rPr>
                <w:b/>
                <w:i/>
              </w:rPr>
              <w:t>naus die erforderlichen Sicherheitskontrollen nach nationalem Recht durchführen, einschließlich der Kontrollen von EU-Datenbanken wie dem Schengener Informationssystem</w:t>
            </w:r>
            <w:r>
              <w: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297</w:t>
      </w:r>
      <w:r>
        <w:rPr>
          <w:rStyle w:val="HideTWBExt"/>
        </w:rPr>
        <w:t>&lt;/NumAmB</w:t>
      </w:r>
      <w:r>
        <w:rPr>
          <w:rStyle w:val="HideTWBExt"/>
        </w:rPr>
        <w:t>&gt;</w:t>
      </w:r>
    </w:p>
    <w:p w:rsidR="00BC254A" w:rsidRDefault="007914A5">
      <w:pPr>
        <w:pStyle w:val="NormalBold"/>
      </w:pPr>
      <w:r>
        <w:rPr>
          <w:rStyle w:val="HideTWBExt"/>
          <w:b w:val="0"/>
        </w:rPr>
        <w:t>&lt;RepeatBlock-By&gt;&lt;Members&gt;</w:t>
      </w:r>
      <w:r>
        <w:t>Jan-Christoph Oetjen, Abir Al-Sahlani, Hilde Vautmans, Irena Joveva,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 xml:space="preserve">Geänderter </w:t>
            </w:r>
            <w:r>
              <w:t>Text</w:t>
            </w:r>
          </w:p>
        </w:tc>
      </w:tr>
      <w:tr w:rsidR="00BC254A">
        <w:trPr>
          <w:jc w:val="center"/>
        </w:trPr>
        <w:tc>
          <w:tcPr>
            <w:tcW w:w="4876" w:type="dxa"/>
            <w:tcBorders>
              <w:top w:val="nil"/>
              <w:left w:val="nil"/>
              <w:bottom w:val="nil"/>
              <w:right w:val="nil"/>
            </w:tcBorders>
          </w:tcPr>
          <w:p w:rsidR="00BC254A" w:rsidRDefault="007914A5">
            <w:pPr>
              <w:pStyle w:val="Normal6a"/>
            </w:pPr>
            <w:r>
              <w:t>(31)</w:t>
            </w:r>
            <w:r>
              <w:tab/>
              <w:t>Damit das Ziel dieser Verordnung erreicht wird, sollte die wirksame Umsetzung des EU-Besitzstands im Bereich der legalen Migration sichergestellt werden. Um die Einstellung von Arbeitsuchenden aus Drittstaaten mit Wohnsitz außerhalb der Union fü</w:t>
            </w:r>
            <w:r>
              <w:t xml:space="preserve">r Arbeitgeber zu erleichtern und zu beschleunigen, </w:t>
            </w:r>
            <w:r>
              <w:rPr>
                <w:b/>
                <w:i/>
              </w:rPr>
              <w:t>können</w:t>
            </w:r>
            <w:r>
              <w:t xml:space="preserve"> die teilnehmenden Mitgliedstaaten zudem beschleunigte </w:t>
            </w:r>
            <w:r>
              <w:lastRenderedPageBreak/>
              <w:t xml:space="preserve">Einwanderungsverfahren einführen, insbesondere in Bezug auf den Erhalt von Visa und Aufenthaltstiteln zu Arbeitszwecken und die </w:t>
            </w:r>
            <w:r>
              <w:rPr>
                <w:b/>
                <w:i/>
              </w:rPr>
              <w:t>Ausnahme</w:t>
            </w:r>
            <w:r>
              <w:t xml:space="preserve"> vom Gru</w:t>
            </w:r>
            <w:r>
              <w:t>ndsatz der Bevorzugung von Unionsbürgern. Die Umsetzung beschleunigter Einwanderungsverfahren könnte im Rahmen der Lenkungsgruppe für den EU-Talentpool erörtert werden, insbesondere mit Blick auf die Unterstützung des Austauschs bewährter Verfahren zwische</w:t>
            </w:r>
            <w:r>
              <w:t>n den Mitgliedstaaten.</w:t>
            </w:r>
          </w:p>
        </w:tc>
        <w:tc>
          <w:tcPr>
            <w:tcW w:w="4876" w:type="dxa"/>
            <w:tcBorders>
              <w:top w:val="nil"/>
              <w:left w:val="nil"/>
              <w:bottom w:val="nil"/>
              <w:right w:val="nil"/>
            </w:tcBorders>
          </w:tcPr>
          <w:p w:rsidR="00BC254A" w:rsidRDefault="007914A5">
            <w:pPr>
              <w:pStyle w:val="Normal6a"/>
            </w:pPr>
            <w:r>
              <w:lastRenderedPageBreak/>
              <w:t>(31)</w:t>
            </w:r>
            <w:r>
              <w:tab/>
            </w:r>
            <w:r>
              <w:t>Damit das Ziel dieser Verordnung erreicht wird, sollte die wirksame Umsetzung des EU-Besitzstands im Bereich der legalen Migration sichergestellt werden. Um die Einstellung von Arbeitsuchenden aus Drittstaaten mit Wohnsitz außerhalb der Union für Arbeitgeb</w:t>
            </w:r>
            <w:r>
              <w:t xml:space="preserve">er zu erleichtern und zu beschleunigen, </w:t>
            </w:r>
            <w:r>
              <w:rPr>
                <w:b/>
                <w:i/>
              </w:rPr>
              <w:t>sollten</w:t>
            </w:r>
            <w:r>
              <w:t xml:space="preserve"> die teilnehmenden Mitgliedstaaten zudem beschleunigte </w:t>
            </w:r>
            <w:r>
              <w:lastRenderedPageBreak/>
              <w:t xml:space="preserve">Einwanderungsverfahren einführen, insbesondere in Bezug auf den Erhalt von Visa und Aufenthaltstiteln zu Arbeitszwecken und die </w:t>
            </w:r>
            <w:r>
              <w:rPr>
                <w:b/>
                <w:i/>
              </w:rPr>
              <w:t>Befreiung</w:t>
            </w:r>
            <w:r>
              <w:t xml:space="preserve"> vom Grundsatz de</w:t>
            </w:r>
            <w:r>
              <w:t>r Bevorzugung von Unionsbürgern</w:t>
            </w:r>
            <w:r>
              <w:rPr>
                <w:b/>
                <w:i/>
              </w:rPr>
              <w:t>.</w:t>
            </w:r>
            <w:r>
              <w:t xml:space="preserve"> </w:t>
            </w:r>
            <w:r>
              <w:rPr>
                <w:b/>
                <w:i/>
              </w:rPr>
              <w:t>Die Mitgliedstaaten sollten vorzugsweise Arbeitserlaubnisse und Aufenthaltstitel gemäß der Richtlinie (EU) 2024/1233</w:t>
            </w:r>
            <w:r>
              <w:rPr>
                <w:b/>
                <w:i/>
                <w:vertAlign w:val="superscript"/>
              </w:rPr>
              <w:t>18a</w:t>
            </w:r>
            <w:r>
              <w:t xml:space="preserve"> </w:t>
            </w:r>
            <w:r>
              <w:rPr>
                <w:b/>
                <w:i/>
              </w:rPr>
              <w:t xml:space="preserve">ausstellen, um ein reibungsloses und harmonisiertes Einwanderungsverfahren zu gewährleisten, die </w:t>
            </w:r>
            <w:r>
              <w:rPr>
                <w:b/>
                <w:i/>
              </w:rPr>
              <w:t>Flexibilität auf dem europäischen Arbeitsmarkt zu erhöhen und ein Sicherheitsnetz für Arbeitnehmer im Falle der Beendigung eines Beschäftigungsverhältnisses oder des Übergangs zwischen Beschäftigungsverhältnissen aufzuspannen</w:t>
            </w:r>
            <w:r>
              <w:t xml:space="preserve">. Die Umsetzung beschleunigter </w:t>
            </w:r>
            <w:r>
              <w:t>Einwanderungsverfahren könnte im Rahmen der Lenkungsgruppe für den EU-Talentpool erörtert werden, insbesondere mit Blick auf die Unterstützung des Austauschs bewährter Verfahren zwischen den Mitgliedstaaten.</w:t>
            </w:r>
          </w:p>
        </w:tc>
      </w:tr>
      <w:tr w:rsidR="00BC254A">
        <w:trPr>
          <w:jc w:val="center"/>
        </w:trPr>
        <w:tc>
          <w:tcPr>
            <w:tcW w:w="4876" w:type="dxa"/>
            <w:tcBorders>
              <w:top w:val="nil"/>
              <w:left w:val="nil"/>
              <w:bottom w:val="nil"/>
              <w:right w:val="nil"/>
            </w:tcBorders>
          </w:tcPr>
          <w:p w:rsidR="00BC254A" w:rsidRDefault="00BC254A"/>
        </w:tc>
        <w:tc>
          <w:tcPr>
            <w:tcW w:w="4876" w:type="dxa"/>
            <w:tcBorders>
              <w:top w:val="nil"/>
              <w:left w:val="nil"/>
              <w:bottom w:val="nil"/>
              <w:right w:val="nil"/>
            </w:tcBorders>
          </w:tcPr>
          <w:p w:rsidR="00BC254A" w:rsidRDefault="007914A5">
            <w:pPr>
              <w:pStyle w:val="Normal6a"/>
            </w:pPr>
            <w:r>
              <w:rPr>
                <w:b/>
                <w:i/>
              </w:rPr>
              <w:t>_________________</w:t>
            </w:r>
          </w:p>
        </w:tc>
      </w:tr>
      <w:tr w:rsidR="00BC254A">
        <w:trPr>
          <w:jc w:val="center"/>
        </w:trPr>
        <w:tc>
          <w:tcPr>
            <w:tcW w:w="4876" w:type="dxa"/>
            <w:tcBorders>
              <w:top w:val="nil"/>
              <w:left w:val="nil"/>
              <w:bottom w:val="nil"/>
              <w:right w:val="nil"/>
            </w:tcBorders>
          </w:tcPr>
          <w:p w:rsidR="00BC254A" w:rsidRDefault="00BC254A"/>
        </w:tc>
        <w:tc>
          <w:tcPr>
            <w:tcW w:w="4876" w:type="dxa"/>
            <w:tcBorders>
              <w:top w:val="nil"/>
              <w:left w:val="nil"/>
              <w:bottom w:val="nil"/>
              <w:right w:val="nil"/>
            </w:tcBorders>
          </w:tcPr>
          <w:p w:rsidR="00BC254A" w:rsidRDefault="007914A5">
            <w:pPr>
              <w:pStyle w:val="Normal6a"/>
            </w:pPr>
            <w:r>
              <w:rPr>
                <w:b/>
                <w:i/>
                <w:vertAlign w:val="superscript"/>
              </w:rPr>
              <w:t>18a</w:t>
            </w:r>
            <w:r>
              <w:t xml:space="preserve"> </w:t>
            </w:r>
            <w:r>
              <w:rPr>
                <w:b/>
                <w:i/>
              </w:rPr>
              <w:t>Richtlinie (EU) 2024/1</w:t>
            </w:r>
            <w:r>
              <w:rPr>
                <w:b/>
                <w:i/>
              </w:rPr>
              <w:t>233 des Europäischen Parlaments und des Rates vom 24. April 2024 über ein einheitliches Verfahren zur Beantragung einer kombinierten Erlaubnis für Drittstaatsangehörige, sich im Hoheitsgebiet eines Mitgliedstaats aufzuhalten und zu arbeiten, sowie über ein</w:t>
            </w:r>
            <w:r>
              <w:rPr>
                <w:b/>
                <w:i/>
              </w:rPr>
              <w:t xml:space="preserve"> gemeinsames Bündel von Rechten für Drittstaatsarbeitnehmer, die sich rechtmäßig in einem Mitgliedstaat aufhalten (Neufassung)</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298</w:t>
      </w:r>
      <w:r>
        <w:rPr>
          <w:rStyle w:val="HideTWBExt"/>
        </w:rPr>
        <w:t>&lt;/NumAmB&gt;</w:t>
      </w:r>
    </w:p>
    <w:p w:rsidR="00BC254A" w:rsidRDefault="007914A5">
      <w:pPr>
        <w:pStyle w:val="NormalBold"/>
      </w:pPr>
      <w:r>
        <w:rPr>
          <w:rStyle w:val="HideTWBExt"/>
          <w:b w:val="0"/>
        </w:rPr>
        <w:t>&lt;RepeatBlock-By&gt;&lt;Members&gt;</w:t>
      </w:r>
      <w:r>
        <w:t>Sebastian Tynkk</w:t>
      </w:r>
      <w:r>
        <w:t>ynen</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lastRenderedPageBreak/>
        <w:t>&lt;Article&gt;</w:t>
      </w:r>
      <w:r>
        <w:t>Erwägung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(31)</w:t>
            </w:r>
            <w:r>
              <w:tab/>
            </w:r>
            <w:r>
              <w:t>Damit das Ziel dieser Verordnung erreicht wird, sollte die wirksame Umsetzung des EU-Besitzstands im Bereich der legalen Migration sichergestellt werden. Um die Einstellung von Arbeitsuchenden aus Drittstaaten mit Wohnsitz außerhalb der Union für Arbeitgeb</w:t>
            </w:r>
            <w:r>
              <w:t xml:space="preserve">er zu erleichtern und zu beschleunigen, können die teilnehmenden Mitgliedstaaten zudem beschleunigte Einwanderungsverfahren einführen, insbesondere in Bezug auf den Erhalt von Visa und Aufenthaltstiteln zu Arbeitszwecken </w:t>
            </w:r>
            <w:r>
              <w:rPr>
                <w:b/>
                <w:i/>
              </w:rPr>
              <w:t xml:space="preserve">und die Ausnahme vom Grundsatz der </w:t>
            </w:r>
            <w:r>
              <w:rPr>
                <w:b/>
                <w:i/>
              </w:rPr>
              <w:t>Bevorzugung von Unionsbürgern.</w:t>
            </w:r>
            <w:r>
              <w:t xml:space="preserve"> </w:t>
            </w:r>
            <w:r>
              <w:rPr>
                <w:b/>
                <w:i/>
              </w:rPr>
              <w:t>Die Umsetzung beschleunigter Einwanderungsverfahren könnte im Rahmen der Lenkungsgruppe für den EU-Talentpool erörtert werden, insbesondere mit Blick auf die Unterstützung des Austauschs bewährter Verfahren zwischen den Mitgl</w:t>
            </w:r>
            <w:r>
              <w:rPr>
                <w:b/>
                <w:i/>
              </w:rPr>
              <w:t>iedstaaten</w:t>
            </w:r>
            <w:r>
              <w:t>.</w:t>
            </w:r>
          </w:p>
        </w:tc>
        <w:tc>
          <w:tcPr>
            <w:tcW w:w="4876" w:type="dxa"/>
            <w:tcBorders>
              <w:top w:val="nil"/>
              <w:left w:val="nil"/>
              <w:bottom w:val="nil"/>
              <w:right w:val="nil"/>
            </w:tcBorders>
          </w:tcPr>
          <w:p w:rsidR="00BC254A" w:rsidRDefault="007914A5">
            <w:pPr>
              <w:pStyle w:val="Normal6a"/>
            </w:pPr>
            <w:r>
              <w:t>(31)</w:t>
            </w:r>
            <w:r>
              <w:tab/>
              <w:t>Damit das Ziel dieser Verordnung erreicht wird, sollte die wirksame Umsetzung des EU-Besitzstands im Bereich der legalen Migration sichergestellt werden. Um die Einstellung von Arbeitsuchenden aus Drittstaaten mit Wohnsitz außerhalb der Un</w:t>
            </w:r>
            <w:r>
              <w:t>ion für Arbeitgeber zu erleichtern und zu beschleunigen, können die teilnehmenden Mitgliedstaaten zudem beschleunigte Einwanderungsverfahren einführen, insbesondere in Bezug auf den Erhalt von Visa und Aufenthaltstiteln zu Arbeitszwecken.</w:t>
            </w:r>
          </w:p>
        </w:tc>
      </w:tr>
    </w:tbl>
    <w:p w:rsidR="00BC254A" w:rsidRDefault="007914A5">
      <w:pPr>
        <w:pStyle w:val="AmOrLang"/>
      </w:pPr>
      <w:r>
        <w:t xml:space="preserve">Or. </w:t>
      </w:r>
      <w:r>
        <w:rPr>
          <w:rStyle w:val="HideTWBExt"/>
        </w:rPr>
        <w:t>&lt;Original&gt;</w:t>
      </w:r>
      <w:r>
        <w:rPr>
          <w:rStyle w:val="HideTWBInt"/>
        </w:rPr>
        <w:t>{FI}</w:t>
      </w:r>
      <w:r>
        <w:t>fi</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299</w:t>
      </w:r>
      <w:r>
        <w:rPr>
          <w:rStyle w:val="HideTWBExt"/>
        </w:rPr>
        <w:t>&lt;/NumAmB&gt;</w:t>
      </w:r>
    </w:p>
    <w:p w:rsidR="00BC254A" w:rsidRDefault="007914A5">
      <w:pPr>
        <w:pStyle w:val="NormalBold"/>
      </w:pPr>
      <w:r>
        <w:rPr>
          <w:rStyle w:val="HideTWBExt"/>
          <w:b w:val="0"/>
        </w:rPr>
        <w:t>&lt;RepeatBlock-By&gt;&lt;Members&gt;</w:t>
      </w:r>
      <w:r>
        <w:t>Nadine Morano</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(31)</w:t>
            </w:r>
            <w:r>
              <w:tab/>
              <w:t>Damit das Ziel dieser Verordnung erreicht wird, sollte die wirksame Umsetzung des EU-Besitzstands im Bereich der legalen Migration sichergestellt werden. Um die Einstellung von Arbeitsuchenden aus Drittstaaten mit Wohnsitz außerhalb d</w:t>
            </w:r>
            <w:r>
              <w:t xml:space="preserve">er Union für Arbeitgeber zu erleichtern und zu beschleunigen, können die teilnehmenden Mitgliedstaaten zudem beschleunigte </w:t>
            </w:r>
            <w:r>
              <w:lastRenderedPageBreak/>
              <w:t xml:space="preserve">Einwanderungsverfahren einführen, insbesondere in Bezug auf den Erhalt von Visa und Aufenthaltstiteln zu Arbeitszwecken </w:t>
            </w:r>
            <w:r>
              <w:rPr>
                <w:b/>
                <w:i/>
              </w:rPr>
              <w:t>und die Ausna</w:t>
            </w:r>
            <w:r>
              <w:rPr>
                <w:b/>
                <w:i/>
              </w:rPr>
              <w:t>hme vom Grundsatz der Bevorzugung von Unionsbürgern</w:t>
            </w:r>
            <w:r>
              <w:t>. Die Umsetzung beschleunigter Einwanderungsverfahren könnte im Rahmen der Lenkungsgruppe für den EU-Talentpool erörtert werden, insbesondere mit Blick auf die Unterstützung des Austauschs bewährter Verfah</w:t>
            </w:r>
            <w:r>
              <w:t>ren zwischen den Mitgliedstaaten.</w:t>
            </w:r>
          </w:p>
        </w:tc>
        <w:tc>
          <w:tcPr>
            <w:tcW w:w="4876" w:type="dxa"/>
            <w:tcBorders>
              <w:top w:val="nil"/>
              <w:left w:val="nil"/>
              <w:bottom w:val="nil"/>
              <w:right w:val="nil"/>
            </w:tcBorders>
          </w:tcPr>
          <w:p w:rsidR="00BC254A" w:rsidRDefault="007914A5">
            <w:pPr>
              <w:pStyle w:val="Normal6a"/>
            </w:pPr>
            <w:r>
              <w:lastRenderedPageBreak/>
              <w:t>(31)</w:t>
            </w:r>
            <w:r>
              <w:tab/>
              <w:t>Damit das Ziel dieser Verordnung erreicht wird, sollte die wirksame Umsetzung des EU-Besitzstands im Bereich der legalen Migration sichergestellt werden. Um die Einstellung von Arbeitsuchenden aus Drittstaaten mit Woh</w:t>
            </w:r>
            <w:r>
              <w:t xml:space="preserve">nsitz außerhalb der Union für Arbeitgeber zu erleichtern und zu beschleunigen, können die teilnehmenden Mitgliedstaaten zudem beschleunigte </w:t>
            </w:r>
            <w:r>
              <w:lastRenderedPageBreak/>
              <w:t>Einwanderungsverfahren einführen, insbesondere in Bezug auf den Erhalt von Visa und Aufenthaltstiteln zu Arbeitszwec</w:t>
            </w:r>
            <w:r>
              <w:t>ken. Die Umsetzung beschleunigter Einwanderungsverfahren könnte im Rahmen der Lenkungsgruppe für den EU-Talentpool erörtert werden, insbesondere mit Blick auf die Unterstützung des Austauschs bewährter Verfahren zwischen den Mitgliedstaaten.</w:t>
            </w:r>
          </w:p>
        </w:tc>
      </w:tr>
    </w:tbl>
    <w:p w:rsidR="00BC254A" w:rsidRDefault="007914A5">
      <w:pPr>
        <w:pStyle w:val="AmOrLang"/>
      </w:pPr>
      <w:r>
        <w:lastRenderedPageBreak/>
        <w:t xml:space="preserve">Or. </w:t>
      </w:r>
      <w:r>
        <w:rPr>
          <w:rStyle w:val="HideTWBExt"/>
        </w:rPr>
        <w:t>&lt;Original</w:t>
      </w:r>
      <w:r>
        <w:rPr>
          <w:rStyle w:val="HideTWBExt"/>
        </w:rPr>
        <w:t>&gt;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300</w:t>
      </w:r>
      <w:r>
        <w:rPr>
          <w:rStyle w:val="HideTWBExt"/>
        </w:rPr>
        <w:t>&lt;/NumAmB&gt;</w:t>
      </w:r>
    </w:p>
    <w:p w:rsidR="00BC254A" w:rsidRDefault="007914A5">
      <w:pPr>
        <w:pStyle w:val="NormalBold"/>
      </w:pPr>
      <w:r>
        <w:rPr>
          <w:rStyle w:val="HideTWBExt"/>
          <w:b w:val="0"/>
        </w:rPr>
        <w:t>&lt;RepeatBlock-By&gt;&lt;Members&gt;</w:t>
      </w:r>
      <w:r>
        <w:t>François-Xavier Bellamy</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 xml:space="preserve">Vorschlag der </w:t>
            </w:r>
            <w:r>
              <w:t>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(31)</w:t>
            </w:r>
            <w:r>
              <w:tab/>
              <w:t xml:space="preserve">Damit das Ziel dieser Verordnung erreicht wird, sollte die wirksame Umsetzung des EU-Besitzstands im Bereich der legalen Migration sichergestellt werden. Um die Einstellung von Arbeitsuchenden aus Drittstaaten mit Wohnsitz </w:t>
            </w:r>
            <w:r>
              <w:t xml:space="preserve">außerhalb der Union für Arbeitgeber zu erleichtern und zu beschleunigen, können die teilnehmenden Mitgliedstaaten zudem beschleunigte Einwanderungsverfahren einführen, insbesondere in Bezug auf den Erhalt von Visa und Aufenthaltstiteln zu Arbeitszwecken </w:t>
            </w:r>
            <w:r>
              <w:rPr>
                <w:b/>
                <w:i/>
              </w:rPr>
              <w:t>un</w:t>
            </w:r>
            <w:r>
              <w:rPr>
                <w:b/>
                <w:i/>
              </w:rPr>
              <w:t>d die Ausnahme vom Grundsatz der Bevorzugung von Unionsbürgern</w:t>
            </w:r>
            <w:r>
              <w:t>. Die Umsetzung beschleunigter Einwanderungsverfahren könnte im Rahmen der Lenkungsgruppe für den EU-Talentpool erörtert werden, insbesondere mit Blick auf die Unterstützung des Austauschs bewäh</w:t>
            </w:r>
            <w:r>
              <w:t>rter Verfahren zwischen den Mitgliedstaaten.</w:t>
            </w:r>
          </w:p>
        </w:tc>
        <w:tc>
          <w:tcPr>
            <w:tcW w:w="4876" w:type="dxa"/>
            <w:tcBorders>
              <w:top w:val="nil"/>
              <w:left w:val="nil"/>
              <w:bottom w:val="nil"/>
              <w:right w:val="nil"/>
            </w:tcBorders>
          </w:tcPr>
          <w:p w:rsidR="00BC254A" w:rsidRDefault="007914A5">
            <w:pPr>
              <w:pStyle w:val="Normal6a"/>
            </w:pPr>
            <w:r>
              <w:t>(31)</w:t>
            </w:r>
            <w:r>
              <w:tab/>
            </w:r>
            <w:r>
              <w:t>Damit das Ziel dieser Verordnung erreicht wird, sollte die wirksame Umsetzung des EU-Besitzstands im Bereich der legalen Migration sichergestellt werden. Um die Einstellung von Arbeitsuchenden aus Drittstaaten mit Wohnsitz außerhalb der Union für Arbeitgeb</w:t>
            </w:r>
            <w:r>
              <w:t xml:space="preserve">er zu erleichtern und zu beschleunigen, können die teilnehmenden Mitgliedstaaten zudem </w:t>
            </w:r>
            <w:r>
              <w:rPr>
                <w:b/>
                <w:i/>
              </w:rPr>
              <w:t>im Einklang mit den nationalen Rechtsvorschriften</w:t>
            </w:r>
            <w:r>
              <w:t xml:space="preserve"> beschleunigte Einwanderungsverfahren einführen, insbesondere in Bezug auf den Erhalt von Visa und Aufenthaltstiteln zu </w:t>
            </w:r>
            <w:r>
              <w:t>Arbeitszwecken. Die Umsetzung beschleunigter Einwanderungsverfahren könnte im Rahmen der Lenkungsgruppe für den EU-Talentpool erörtert werden, insbesondere mit Blick auf die Unterstützung des Austauschs bewährter Verfahren zwischen den Mitgliedstaaten</w:t>
            </w:r>
            <w:r>
              <w:rPr>
                <w:b/>
                <w:i/>
              </w:rPr>
              <w:t>, wob</w:t>
            </w:r>
            <w:r>
              <w:rPr>
                <w:b/>
                <w:i/>
              </w:rPr>
              <w:t>ei die Zuständigkeiten der Mitgliedstaaten nicht berührt werden</w:t>
            </w:r>
            <w:r>
              <w:t>.</w:t>
            </w:r>
          </w:p>
        </w:tc>
      </w:tr>
    </w:tbl>
    <w:p w:rsidR="00BC254A" w:rsidRDefault="007914A5">
      <w:pPr>
        <w:pStyle w:val="AmOrLang"/>
      </w:pPr>
      <w:r>
        <w:lastRenderedPageBreak/>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301</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w:t>
      </w:r>
      <w:r>
        <w:t>ordnung</w:t>
      </w:r>
      <w:r>
        <w:rPr>
          <w:rStyle w:val="HideTWBExt"/>
        </w:rPr>
        <w:t>&lt;/DocAmend&gt;</w:t>
      </w:r>
    </w:p>
    <w:p w:rsidR="00BC254A" w:rsidRDefault="007914A5">
      <w:pPr>
        <w:pStyle w:val="NormalBold"/>
      </w:pPr>
      <w:r>
        <w:rPr>
          <w:rStyle w:val="HideTWBExt"/>
        </w:rPr>
        <w:t>&lt;Article&gt;</w:t>
      </w:r>
      <w:r>
        <w:t>Erwägung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(31)</w:t>
            </w:r>
            <w:r>
              <w:tab/>
            </w:r>
            <w:r>
              <w:t>Damit das Ziel dieser Verordnung erreicht wird, sollte die wirksame Umsetzung des EU-Besitzstands im Bereich der legalen Migration sichergestellt werden. Um die Einstellung von Arbeitsuchenden aus Drittstaaten mit Wohnsitz außerhalb der Union für Arbeitgeb</w:t>
            </w:r>
            <w:r>
              <w:t xml:space="preserve">er zu erleichtern und zu beschleunigen, </w:t>
            </w:r>
            <w:r>
              <w:rPr>
                <w:b/>
                <w:i/>
              </w:rPr>
              <w:t>können die teilnehmenden</w:t>
            </w:r>
            <w:r>
              <w:t xml:space="preserve"> Mitgliedstaaten zudem </w:t>
            </w:r>
            <w:r>
              <w:rPr>
                <w:b/>
                <w:i/>
              </w:rPr>
              <w:t>beschleunigte</w:t>
            </w:r>
            <w:r>
              <w:t xml:space="preserve"> Einwanderungsverfahren </w:t>
            </w:r>
            <w:r>
              <w:rPr>
                <w:b/>
                <w:i/>
              </w:rPr>
              <w:t>einführen</w:t>
            </w:r>
            <w:r>
              <w:t xml:space="preserve">, insbesondere in Bezug auf den Erhalt von Visa und Aufenthaltstiteln zu Arbeitszwecken und die </w:t>
            </w:r>
            <w:r>
              <w:rPr>
                <w:b/>
                <w:i/>
              </w:rPr>
              <w:t>Ausnahme</w:t>
            </w:r>
            <w:r>
              <w:t xml:space="preserve"> vom Grundsatz der </w:t>
            </w:r>
            <w:r>
              <w:t>Bevorzugung von Unionsbürgern. Die Umsetzung beschleunigter Einwanderungsverfahren könnte im Rahmen der Lenkungsgruppe für den EU-Talentpool erörtert werden, insbesondere mit Blick auf die Unterstützung des Austauschs bewährter Verfahren zwischen den Mitgl</w:t>
            </w:r>
            <w:r>
              <w:t>iedstaaten.</w:t>
            </w:r>
          </w:p>
        </w:tc>
        <w:tc>
          <w:tcPr>
            <w:tcW w:w="4876" w:type="dxa"/>
            <w:tcBorders>
              <w:top w:val="nil"/>
              <w:left w:val="nil"/>
              <w:bottom w:val="nil"/>
              <w:right w:val="nil"/>
            </w:tcBorders>
          </w:tcPr>
          <w:p w:rsidR="00BC254A" w:rsidRDefault="007914A5">
            <w:pPr>
              <w:pStyle w:val="Normal6a"/>
            </w:pPr>
            <w:r>
              <w:t>(31)</w:t>
            </w:r>
            <w:r>
              <w:tab/>
              <w:t>Damit das Ziel dieser Verordnung erreicht wird, sollte die wirksame Umsetzung des EU-Besitzstands im Bereich der legalen Migration sichergestellt werden. Um die Einstellung von Arbeitsuchenden aus Drittstaaten mit Wohnsitz außerhalb der Un</w:t>
            </w:r>
            <w:r>
              <w:t xml:space="preserve">ion für Arbeitgeber zu erleichtern und zu beschleunigen, </w:t>
            </w:r>
            <w:r>
              <w:rPr>
                <w:b/>
                <w:i/>
              </w:rPr>
              <w:t>sollten die</w:t>
            </w:r>
            <w:r>
              <w:t xml:space="preserve"> Mitgliedstaaten zudem </w:t>
            </w:r>
            <w:r>
              <w:rPr>
                <w:b/>
                <w:i/>
              </w:rPr>
              <w:t>die Einführung von beschleunigten</w:t>
            </w:r>
            <w:r>
              <w:t xml:space="preserve"> Einwanderungsverfahren </w:t>
            </w:r>
            <w:r>
              <w:rPr>
                <w:b/>
                <w:i/>
              </w:rPr>
              <w:t>in Erwägung ziehen</w:t>
            </w:r>
            <w:r>
              <w:t>, insbesondere in Bezug auf den Erhalt von Visa und Aufenthaltstiteln zu Arbeitszwecken un</w:t>
            </w:r>
            <w:r>
              <w:t xml:space="preserve">d die </w:t>
            </w:r>
            <w:r>
              <w:rPr>
                <w:b/>
                <w:i/>
              </w:rPr>
              <w:t>Befreiung</w:t>
            </w:r>
            <w:r>
              <w:t xml:space="preserve"> vom Grundsatz der Bevorzugung von Unionsbürgern. Die Umsetzung beschleunigter Einwanderungsverfahren könnte im Rahmen der Lenkungsgruppe für den EU-Talentpool erörtert werden, insbesondere mit Blick auf die Unterstützung des Austauschs bewä</w:t>
            </w:r>
            <w:r>
              <w:t>hrter Verfahren zwischen den Mitgliedstaaten.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302</w:t>
      </w:r>
      <w:r>
        <w:rPr>
          <w:rStyle w:val="HideTWBExt"/>
        </w:rPr>
        <w:t>&lt;/NumAmB&gt;</w:t>
      </w:r>
    </w:p>
    <w:p w:rsidR="00BC254A" w:rsidRDefault="007914A5">
      <w:pPr>
        <w:pStyle w:val="NormalBold"/>
      </w:pPr>
      <w:r>
        <w:rPr>
          <w:rStyle w:val="HideTWBExt"/>
          <w:b w:val="0"/>
        </w:rPr>
        <w:t>&lt;RepeatBlock-By&gt;&lt;Members&gt;</w:t>
      </w:r>
      <w:r>
        <w:t>Charlie Weimers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rPr>
                <w:b/>
                <w:i/>
              </w:rPr>
              <w:t>(32)</w:t>
            </w:r>
            <w:r>
              <w:tab/>
            </w:r>
            <w:r>
              <w:rPr>
                <w:b/>
                <w:i/>
              </w:rPr>
              <w:t xml:space="preserve">Da die Ziele dieser Verordnung, </w:t>
            </w:r>
            <w:r>
              <w:rPr>
                <w:b/>
                <w:i/>
              </w:rPr>
              <w:lastRenderedPageBreak/>
              <w:t xml:space="preserve">nämlich die Einrichtung einer unionsweiten Plattform zur Behebung des Arbeitskräftemangels auf Unionsebene durch Erleichterung der Einstellung </w:t>
            </w:r>
            <w:r>
              <w:rPr>
                <w:b/>
                <w:i/>
              </w:rPr>
              <w:t>von Drittstaatsangehörigen für EU-weite Mangelberufe, auf Ebene der Mitgliedstaaten aufgrund des Mangels an wirksamen Kanälen und der begrenzten Sichtbarkeit auf globaler Ebene nicht ausreichend verwirklicht werden können, sondern vielmehr wegen des Umfang</w:t>
            </w:r>
            <w:r>
              <w:rPr>
                <w:b/>
                <w:i/>
              </w:rPr>
              <w:t>s der Maßnahmen auf Unionsebene besser zu verwirklichen sind, kann die Union im Einklang mit dem in Artikel 5 des Vertrags über die Europäische Union verankerten Subsidiaritätsprinzip tätig werden.</w:t>
            </w:r>
            <w:r>
              <w:t xml:space="preserve"> </w:t>
            </w:r>
            <w:r>
              <w:rPr>
                <w:b/>
                <w:i/>
              </w:rPr>
              <w:t xml:space="preserve">Entsprechend dem in demselben Artikel genannten Grundsatz </w:t>
            </w:r>
            <w:r>
              <w:rPr>
                <w:b/>
                <w:i/>
              </w:rPr>
              <w:t>der Verhältnismäßigkeit geht diese Verordnung nicht über das für die Verwirklichung dieser Ziele erforderliche Maß hinaus.</w:t>
            </w:r>
          </w:p>
        </w:tc>
        <w:tc>
          <w:tcPr>
            <w:tcW w:w="4876" w:type="dxa"/>
            <w:tcBorders>
              <w:top w:val="nil"/>
              <w:left w:val="nil"/>
              <w:bottom w:val="nil"/>
              <w:right w:val="nil"/>
            </w:tcBorders>
          </w:tcPr>
          <w:p w:rsidR="00BC254A" w:rsidRDefault="007914A5">
            <w:pPr>
              <w:pStyle w:val="Normal6a"/>
            </w:pPr>
            <w:r>
              <w:rPr>
                <w:b/>
                <w:i/>
              </w:rPr>
              <w:lastRenderedPageBreak/>
              <w:t>entfällt</w:t>
            </w:r>
          </w:p>
        </w:tc>
      </w:tr>
    </w:tbl>
    <w:p w:rsidR="00BC254A" w:rsidRDefault="007914A5">
      <w:pPr>
        <w:pStyle w:val="AmOrLang"/>
      </w:pPr>
      <w:r>
        <w:t xml:space="preserve">Or. </w:t>
      </w:r>
      <w:r>
        <w:rPr>
          <w:rStyle w:val="HideTWBExt"/>
        </w:rPr>
        <w:t>&lt;Original&gt;</w:t>
      </w:r>
      <w:r>
        <w:rPr>
          <w:rStyle w:val="HideTWBInt"/>
        </w:rPr>
        <w:t>{SV}</w:t>
      </w:r>
      <w:r>
        <w:t>sv</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303</w:t>
      </w:r>
      <w:r>
        <w:rPr>
          <w:rStyle w:val="HideTWBExt"/>
        </w:rPr>
        <w:t>&lt;/NumAmB&gt;</w:t>
      </w:r>
    </w:p>
    <w:p w:rsidR="00BC254A" w:rsidRDefault="007914A5">
      <w:pPr>
        <w:pStyle w:val="NormalBold"/>
      </w:pPr>
      <w:r>
        <w:rPr>
          <w:rStyle w:val="HideTWBExt"/>
          <w:b w:val="0"/>
        </w:rPr>
        <w:t>&lt;RepeatBlock-By&gt;&lt;Members&gt;</w:t>
      </w:r>
      <w:r>
        <w:t>Anna Strol</w:t>
      </w:r>
      <w:r>
        <w:t>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(32)</w:t>
            </w:r>
            <w:r>
              <w:tab/>
            </w:r>
            <w:r>
              <w:t xml:space="preserve">Da die Ziele dieser Verordnung, nämlich die Einrichtung einer unionsweiten Plattform zur Behebung des Arbeitskräftemangels auf Unionsebene durch Erleichterung der Einstellung von Drittstaatsangehörigen </w:t>
            </w:r>
            <w:r>
              <w:rPr>
                <w:b/>
                <w:i/>
              </w:rPr>
              <w:t>für EU-weite Mangelberufe</w:t>
            </w:r>
            <w:r>
              <w:t>, auf Ebene der Mitgliedstaat</w:t>
            </w:r>
            <w:r>
              <w:t xml:space="preserve">en aufgrund des Mangels an wirksamen Kanälen und der begrenzten Sichtbarkeit auf globaler Ebene nicht ausreichend verwirklicht werden können, sondern vielmehr wegen des Umfangs der Maßnahmen auf Unionsebene besser zu </w:t>
            </w:r>
            <w:r>
              <w:lastRenderedPageBreak/>
              <w:t>verwirklichen sind, kann die Union im E</w:t>
            </w:r>
            <w:r>
              <w:t>inklang mit dem in Artikel 5 des Vertrags über die Europäische Union verankerten Subsidiaritätsprinzip tätig werden. Entsprechend dem in demselben Artikel genannten Grundsatz der Verhältnismäßigkeit geht diese Verordnung nicht über das für die Verwirklichu</w:t>
            </w:r>
            <w:r>
              <w:t>ng dieser Ziele erforderliche Maß hinaus.</w:t>
            </w:r>
          </w:p>
        </w:tc>
        <w:tc>
          <w:tcPr>
            <w:tcW w:w="4876" w:type="dxa"/>
            <w:tcBorders>
              <w:top w:val="nil"/>
              <w:left w:val="nil"/>
              <w:bottom w:val="nil"/>
              <w:right w:val="nil"/>
            </w:tcBorders>
          </w:tcPr>
          <w:p w:rsidR="00BC254A" w:rsidRDefault="007914A5">
            <w:pPr>
              <w:pStyle w:val="Normal6a"/>
            </w:pPr>
            <w:r>
              <w:lastRenderedPageBreak/>
              <w:t>(32)</w:t>
            </w:r>
            <w:r>
              <w:tab/>
              <w:t xml:space="preserve">Da die Ziele dieser Verordnung, nämlich die Einrichtung einer unionsweiten Plattform zur Behebung des Arbeitskräftemangels auf Unionsebene durch </w:t>
            </w:r>
            <w:r>
              <w:rPr>
                <w:b/>
                <w:i/>
              </w:rPr>
              <w:t>die</w:t>
            </w:r>
            <w:r>
              <w:t xml:space="preserve"> Erleichterung der Einstellung von Drittstaatsangehörigen </w:t>
            </w:r>
            <w:r>
              <w:rPr>
                <w:b/>
                <w:i/>
              </w:rPr>
              <w:t xml:space="preserve">in </w:t>
            </w:r>
            <w:r>
              <w:rPr>
                <w:b/>
                <w:i/>
              </w:rPr>
              <w:t>der EU</w:t>
            </w:r>
            <w:r>
              <w:t>, auf Ebene der Mitgliedstaaten aufgrund des Mangels an wirksamen Kanälen und der begrenzten Sichtbarkeit auf globaler Ebene nicht ausreichend verwirklicht werden können, sondern vielmehr wegen des Umfangs der Maßnahmen auf Unionsebene besser zu verw</w:t>
            </w:r>
            <w:r>
              <w:t xml:space="preserve">irklichen sind, kann die </w:t>
            </w:r>
            <w:r>
              <w:lastRenderedPageBreak/>
              <w:t xml:space="preserve">Union im Einklang mit dem in Artikel 5 des Vertrags über die Europäische Union verankerten Subsidiaritätsprinzip tätig werden. Entsprechend dem in demselben Artikel genannten Grundsatz der Verhältnismäßigkeit geht diese Verordnung </w:t>
            </w:r>
            <w:r>
              <w:t>nicht über das für die Verwirklichung dieser Ziele erforderliche Maß hinaus.</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304</w:t>
      </w:r>
      <w:r>
        <w:rPr>
          <w:rStyle w:val="HideTWBExt"/>
        </w:rPr>
        <w:t>&lt;/NumAmB&gt;</w:t>
      </w:r>
    </w:p>
    <w:p w:rsidR="00BC254A" w:rsidRDefault="007914A5">
      <w:pPr>
        <w:pStyle w:val="NormalBold"/>
      </w:pPr>
      <w:r>
        <w:rPr>
          <w:rStyle w:val="HideTWBExt"/>
          <w:b w:val="0"/>
        </w:rPr>
        <w:t>&lt;RepeatBlock-By&gt;&lt;Members&gt;</w:t>
      </w:r>
      <w:r>
        <w:t>Sebastian Tynkkynen</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rPr>
                <w:b/>
                <w:i/>
              </w:rPr>
              <w:t>(33)</w:t>
            </w:r>
            <w:r>
              <w:tab/>
            </w:r>
            <w:r>
              <w:rPr>
                <w:b/>
                <w:i/>
              </w:rPr>
              <w:t xml:space="preserve">Um die Ziele dieser Verordnung bezüglich der Erleichterung der internationalen Anwerbung von Arbeitskräften zu erreichen, sollte der </w:t>
            </w:r>
            <w:r>
              <w:rPr>
                <w:b/>
                <w:i/>
              </w:rPr>
              <w:t>Kommission die Befugnis übertragen werden, gemäß Artikel 290 des Vertrags über die Arbeitsweise der Europäischen Union Rechtsakte zur Änderung des Anhangs dieser Verordnung zu erlassen, der die Liste der EU-weiten Mangelberufe enthält.</w:t>
            </w:r>
            <w:r>
              <w:t xml:space="preserve"> </w:t>
            </w:r>
            <w:r>
              <w:rPr>
                <w:b/>
                <w:i/>
              </w:rPr>
              <w:t>Es ist von besondere</w:t>
            </w:r>
            <w:r>
              <w:rPr>
                <w:b/>
                <w:i/>
              </w:rPr>
              <w:t>r Bedeutung, dass die Kommission im Zuge ihrer Vorbereitungsarbeit angemessene Konsultationen, auch auf der Ebene von Sachverständigen, durchführt, die mit den Grundsätzen in Einklang stehen, die in der Interinstitutionellen Vereinbarung vom 13. April 2016</w:t>
            </w:r>
            <w:r>
              <w:rPr>
                <w:b/>
                <w:i/>
              </w:rPr>
              <w:t xml:space="preserve"> über bessere Rechtsetzung</w:t>
            </w:r>
            <w:r>
              <w:rPr>
                <w:b/>
                <w:i/>
                <w:vertAlign w:val="superscript"/>
              </w:rPr>
              <w:t>19</w:t>
            </w:r>
            <w:r>
              <w:rPr>
                <w:b/>
                <w:i/>
              </w:rPr>
              <w:t>niedergelegt wurden.</w:t>
            </w:r>
            <w:r>
              <w:t xml:space="preserve"> </w:t>
            </w:r>
            <w:r>
              <w:rPr>
                <w:b/>
                <w:i/>
              </w:rPr>
              <w:t>Um insbesondere für eine gleichberechtigte Beteiligung an der Vorbereitung delegierter Rechtsakte zu sorgen, erhalten das Europäische Parlament und der Rat alle Dokumente zur gleichen Zeit wie die Sachverstä</w:t>
            </w:r>
            <w:r>
              <w:rPr>
                <w:b/>
                <w:i/>
              </w:rPr>
              <w:t xml:space="preserve">ndigen der Mitgliedstaaten, </w:t>
            </w:r>
            <w:r>
              <w:rPr>
                <w:b/>
                <w:i/>
              </w:rPr>
              <w:lastRenderedPageBreak/>
              <w:t>und ihre Sachverständigen haben systematisch Zugang zu den Sitzungen der Sachverständigengruppen der Kommission, die mit der Vorbereitung der delegierten Rechtsakte befasst sind.</w:t>
            </w:r>
          </w:p>
        </w:tc>
        <w:tc>
          <w:tcPr>
            <w:tcW w:w="4876" w:type="dxa"/>
            <w:tcBorders>
              <w:top w:val="nil"/>
              <w:left w:val="nil"/>
              <w:bottom w:val="nil"/>
              <w:right w:val="nil"/>
            </w:tcBorders>
          </w:tcPr>
          <w:p w:rsidR="00BC254A" w:rsidRDefault="007914A5">
            <w:pPr>
              <w:pStyle w:val="Normal6a"/>
            </w:pPr>
            <w:r>
              <w:rPr>
                <w:b/>
                <w:i/>
              </w:rPr>
              <w:lastRenderedPageBreak/>
              <w:t>entfällt</w:t>
            </w:r>
          </w:p>
        </w:tc>
      </w:tr>
      <w:tr w:rsidR="00BC254A">
        <w:trPr>
          <w:jc w:val="center"/>
        </w:trPr>
        <w:tc>
          <w:tcPr>
            <w:tcW w:w="4876" w:type="dxa"/>
            <w:tcBorders>
              <w:top w:val="nil"/>
              <w:left w:val="nil"/>
              <w:bottom w:val="nil"/>
              <w:right w:val="nil"/>
            </w:tcBorders>
          </w:tcPr>
          <w:p w:rsidR="00BC254A" w:rsidRDefault="007914A5">
            <w:pPr>
              <w:pStyle w:val="Normal6a"/>
            </w:pPr>
            <w:r>
              <w:rPr>
                <w:b/>
                <w:i/>
              </w:rPr>
              <w:t>_________________</w:t>
            </w:r>
          </w:p>
        </w:tc>
        <w:tc>
          <w:tcPr>
            <w:tcW w:w="4876" w:type="dxa"/>
            <w:tcBorders>
              <w:top w:val="nil"/>
              <w:left w:val="nil"/>
              <w:bottom w:val="nil"/>
              <w:right w:val="nil"/>
            </w:tcBorders>
          </w:tcPr>
          <w:p w:rsidR="00BC254A" w:rsidRDefault="00BC254A"/>
        </w:tc>
      </w:tr>
      <w:tr w:rsidR="00BC254A">
        <w:trPr>
          <w:jc w:val="center"/>
        </w:trPr>
        <w:tc>
          <w:tcPr>
            <w:tcW w:w="4876" w:type="dxa"/>
            <w:tcBorders>
              <w:top w:val="nil"/>
              <w:left w:val="nil"/>
              <w:bottom w:val="nil"/>
              <w:right w:val="nil"/>
            </w:tcBorders>
          </w:tcPr>
          <w:p w:rsidR="00BC254A" w:rsidRDefault="007914A5">
            <w:pPr>
              <w:pStyle w:val="Normal6a"/>
            </w:pPr>
            <w:r>
              <w:rPr>
                <w:b/>
                <w:i/>
                <w:vertAlign w:val="superscript"/>
              </w:rPr>
              <w:t>19</w:t>
            </w:r>
            <w:r>
              <w:t xml:space="preserve"> </w:t>
            </w:r>
            <w:r>
              <w:rPr>
                <w:b/>
                <w:i/>
              </w:rPr>
              <w:t>Interinstitutionelle Vereinbarung zwischen dem Europäischen Parlament, dem Rat der Europäischen Union und der Europäischen Kommission über bessere Rechtsetzung (ABl.</w:t>
            </w:r>
            <w:r>
              <w:t xml:space="preserve"> </w:t>
            </w:r>
            <w:r>
              <w:rPr>
                <w:b/>
                <w:i/>
              </w:rPr>
              <w:t>L 123 vom 12.5.2016, S.</w:t>
            </w:r>
            <w:r>
              <w:t xml:space="preserve"> </w:t>
            </w:r>
            <w:r>
              <w:rPr>
                <w:b/>
                <w:i/>
              </w:rPr>
              <w:t>1, ELI: http://data.europa.eu/eli/agree_interinstit/2016/512/oj).</w:t>
            </w:r>
          </w:p>
        </w:tc>
        <w:tc>
          <w:tcPr>
            <w:tcW w:w="4876" w:type="dxa"/>
            <w:tcBorders>
              <w:top w:val="nil"/>
              <w:left w:val="nil"/>
              <w:bottom w:val="nil"/>
              <w:right w:val="nil"/>
            </w:tcBorders>
          </w:tcPr>
          <w:p w:rsidR="00BC254A" w:rsidRDefault="00BC254A"/>
        </w:tc>
      </w:tr>
    </w:tbl>
    <w:p w:rsidR="00BC254A" w:rsidRDefault="007914A5">
      <w:pPr>
        <w:pStyle w:val="AmOrLang"/>
      </w:pPr>
      <w:r>
        <w:t xml:space="preserve">Or. </w:t>
      </w:r>
      <w:r>
        <w:rPr>
          <w:rStyle w:val="HideTWBExt"/>
        </w:rPr>
        <w:t>&lt;Original&gt;</w:t>
      </w:r>
      <w:r>
        <w:rPr>
          <w:rStyle w:val="HideTWBInt"/>
        </w:rPr>
        <w:t>{FI}</w:t>
      </w:r>
      <w:r>
        <w:t>fi</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305</w:t>
      </w:r>
      <w:r>
        <w:rPr>
          <w:rStyle w:val="HideTWBExt"/>
        </w:rPr>
        <w:t>&lt;/NumAmB&gt;</w:t>
      </w:r>
    </w:p>
    <w:p w:rsidR="00BC254A" w:rsidRDefault="007914A5">
      <w:pPr>
        <w:pStyle w:val="NormalBold"/>
      </w:pPr>
      <w:r>
        <w:rPr>
          <w:rStyle w:val="HideTWBExt"/>
          <w:b w:val="0"/>
        </w:rPr>
        <w:t>&lt;RepeatBlock-By&gt;&lt;Members&gt;</w:t>
      </w:r>
      <w:r>
        <w:t>Petra Steger, Jaroslav Bžoch, Fabrice Leggeri, António Tânger Corrêa, Jorge Buxadé Villalba, Marieke Ehlers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w:t>
      </w:r>
      <w:r>
        <w:rPr>
          <w:rStyle w:val="HideTWBExt"/>
        </w:rPr>
        <w:t>mend&gt;</w:t>
      </w:r>
      <w:r>
        <w:t>Vorschlag für eine Verordnung</w:t>
      </w:r>
      <w:r>
        <w:rPr>
          <w:rStyle w:val="HideTWBExt"/>
        </w:rPr>
        <w:t>&lt;/DocAmend&gt;</w:t>
      </w:r>
    </w:p>
    <w:p w:rsidR="00BC254A" w:rsidRDefault="007914A5">
      <w:pPr>
        <w:pStyle w:val="NormalBold"/>
      </w:pPr>
      <w:r>
        <w:rPr>
          <w:rStyle w:val="HideTWBExt"/>
        </w:rPr>
        <w:t>&lt;Article&gt;</w:t>
      </w:r>
      <w:r>
        <w:t>Erwägung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rPr>
                <w:b/>
                <w:i/>
              </w:rPr>
              <w:t>(33)</w:t>
            </w:r>
            <w:r>
              <w:tab/>
            </w:r>
            <w:r>
              <w:rPr>
                <w:b/>
                <w:i/>
              </w:rPr>
              <w:t xml:space="preserve">Um die Ziele dieser Verordnung bezüglich der Erleichterung der internationalen Anwerbung von Arbeitskräften zu erreichen, sollte </w:t>
            </w:r>
            <w:r>
              <w:rPr>
                <w:b/>
                <w:i/>
              </w:rPr>
              <w:t>der Kommission die Befugnis übertragen werden, gemäß Artikel 290 des Vertrags über die Arbeitsweise der Europäischen Union Rechtsakte zur Änderung des Anhangs dieser Verordnung zu erlassen, der die Liste der EU-weiten Mangelberufe enthält.</w:t>
            </w:r>
            <w:r>
              <w:t xml:space="preserve"> </w:t>
            </w:r>
            <w:r>
              <w:rPr>
                <w:b/>
                <w:i/>
              </w:rPr>
              <w:t>Es ist von beson</w:t>
            </w:r>
            <w:r>
              <w:rPr>
                <w:b/>
                <w:i/>
              </w:rPr>
              <w:t xml:space="preserve">derer Bedeutung, dass die Kommission im Zuge ihrer Vorbereitungsarbeit angemessene Konsultationen, auch auf der Ebene von Sachverständigen, durchführt, die mit den Grundsätzen in Einklang stehen, die in der Interinstitutionellen Vereinbarung vom 13. April </w:t>
            </w:r>
            <w:r>
              <w:rPr>
                <w:b/>
                <w:i/>
              </w:rPr>
              <w:t>2016 über bessere Rechtsetzung</w:t>
            </w:r>
            <w:r>
              <w:rPr>
                <w:b/>
                <w:i/>
                <w:vertAlign w:val="superscript"/>
              </w:rPr>
              <w:t>19</w:t>
            </w:r>
            <w:r>
              <w:rPr>
                <w:b/>
                <w:i/>
              </w:rPr>
              <w:t>niedergelegt wurden.</w:t>
            </w:r>
            <w:r>
              <w:t xml:space="preserve"> </w:t>
            </w:r>
            <w:r>
              <w:rPr>
                <w:b/>
                <w:i/>
              </w:rPr>
              <w:t xml:space="preserve">Um </w:t>
            </w:r>
            <w:r>
              <w:rPr>
                <w:b/>
                <w:i/>
              </w:rPr>
              <w:lastRenderedPageBreak/>
              <w:t>insbesondere für eine gleichberechtigte Beteiligung an der Vorbereitung delegierter Rechtsakte zu sorgen, erhalten das Europäische Parlament und der Rat alle Dokumente zur gleichen Zeit wie die Sachve</w:t>
            </w:r>
            <w:r>
              <w:rPr>
                <w:b/>
                <w:i/>
              </w:rPr>
              <w:t>rständigen der Mitgliedstaaten, und ihre Sachverständigen haben systematisch Zugang zu den Sitzungen der Sachverständigengruppen der Kommission, die mit der Vorbereitung der delegierten Rechtsakte befasst sind.</w:t>
            </w:r>
          </w:p>
        </w:tc>
        <w:tc>
          <w:tcPr>
            <w:tcW w:w="4876" w:type="dxa"/>
            <w:tcBorders>
              <w:top w:val="nil"/>
              <w:left w:val="nil"/>
              <w:bottom w:val="nil"/>
              <w:right w:val="nil"/>
            </w:tcBorders>
          </w:tcPr>
          <w:p w:rsidR="00BC254A" w:rsidRDefault="007914A5">
            <w:pPr>
              <w:pStyle w:val="Normal6a"/>
            </w:pPr>
            <w:r>
              <w:rPr>
                <w:b/>
                <w:i/>
              </w:rPr>
              <w:lastRenderedPageBreak/>
              <w:t>entfällt</w:t>
            </w:r>
          </w:p>
        </w:tc>
      </w:tr>
      <w:tr w:rsidR="00BC254A">
        <w:trPr>
          <w:jc w:val="center"/>
        </w:trPr>
        <w:tc>
          <w:tcPr>
            <w:tcW w:w="4876" w:type="dxa"/>
            <w:tcBorders>
              <w:top w:val="nil"/>
              <w:left w:val="nil"/>
              <w:bottom w:val="nil"/>
              <w:right w:val="nil"/>
            </w:tcBorders>
          </w:tcPr>
          <w:p w:rsidR="00BC254A" w:rsidRDefault="007914A5">
            <w:pPr>
              <w:pStyle w:val="Normal6a"/>
            </w:pPr>
            <w:r>
              <w:rPr>
                <w:b/>
                <w:i/>
              </w:rPr>
              <w:t>_________________</w:t>
            </w:r>
          </w:p>
        </w:tc>
        <w:tc>
          <w:tcPr>
            <w:tcW w:w="4876" w:type="dxa"/>
            <w:tcBorders>
              <w:top w:val="nil"/>
              <w:left w:val="nil"/>
              <w:bottom w:val="nil"/>
              <w:right w:val="nil"/>
            </w:tcBorders>
          </w:tcPr>
          <w:p w:rsidR="00BC254A" w:rsidRDefault="00BC254A"/>
        </w:tc>
      </w:tr>
      <w:tr w:rsidR="00BC254A">
        <w:trPr>
          <w:jc w:val="center"/>
        </w:trPr>
        <w:tc>
          <w:tcPr>
            <w:tcW w:w="4876" w:type="dxa"/>
            <w:tcBorders>
              <w:top w:val="nil"/>
              <w:left w:val="nil"/>
              <w:bottom w:val="nil"/>
              <w:right w:val="nil"/>
            </w:tcBorders>
          </w:tcPr>
          <w:p w:rsidR="00BC254A" w:rsidRDefault="007914A5">
            <w:pPr>
              <w:pStyle w:val="Normal6a"/>
            </w:pPr>
            <w:r>
              <w:rPr>
                <w:b/>
                <w:i/>
                <w:vertAlign w:val="superscript"/>
              </w:rPr>
              <w:t>19</w:t>
            </w:r>
            <w:r>
              <w:t xml:space="preserve"> </w:t>
            </w:r>
            <w:r>
              <w:rPr>
                <w:b/>
                <w:i/>
              </w:rPr>
              <w:t>Interinstitutionelle Vereinbarung zwischen dem Europäischen Parlament, dem Rat der Europäischen Union und der Europäischen Kommission über bessere Rechtsetzung (ABl.</w:t>
            </w:r>
            <w:r>
              <w:t xml:space="preserve"> </w:t>
            </w:r>
            <w:r>
              <w:rPr>
                <w:b/>
                <w:i/>
              </w:rPr>
              <w:t>L 123 vom 12.5.2016, S.</w:t>
            </w:r>
            <w:r>
              <w:t xml:space="preserve"> </w:t>
            </w:r>
            <w:r>
              <w:rPr>
                <w:b/>
                <w:i/>
              </w:rPr>
              <w:t>1, ELI: http://data.europa.eu/eli/agree_interinstit/2016/512/oj).</w:t>
            </w:r>
          </w:p>
        </w:tc>
        <w:tc>
          <w:tcPr>
            <w:tcW w:w="4876" w:type="dxa"/>
            <w:tcBorders>
              <w:top w:val="nil"/>
              <w:left w:val="nil"/>
              <w:bottom w:val="nil"/>
              <w:right w:val="nil"/>
            </w:tcBorders>
          </w:tcPr>
          <w:p w:rsidR="00BC254A" w:rsidRDefault="00BC254A"/>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306</w:t>
      </w:r>
      <w:r>
        <w:rPr>
          <w:rStyle w:val="HideTWBExt"/>
        </w:rPr>
        <w:t>&lt;/NumAmB&gt;</w:t>
      </w:r>
    </w:p>
    <w:p w:rsidR="00BC254A" w:rsidRDefault="007914A5">
      <w:pPr>
        <w:pStyle w:val="NormalBold"/>
      </w:pPr>
      <w:r>
        <w:rPr>
          <w:rStyle w:val="HideTWBExt"/>
          <w:b w:val="0"/>
        </w:rPr>
        <w:t>&lt;RepeatBlock-By&gt;&lt;Members&gt;</w:t>
      </w:r>
      <w:r>
        <w:t>Charlie Weimers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w:t>
            </w:r>
            <w:r>
              <w:t xml:space="preserve">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rPr>
                <w:b/>
                <w:i/>
              </w:rPr>
              <w:t>(33)</w:t>
            </w:r>
            <w:r>
              <w:tab/>
            </w:r>
            <w:r>
              <w:rPr>
                <w:b/>
                <w:i/>
              </w:rPr>
              <w:t>Um die Ziele dieser Verordnung bezüglich der Erleichterung der internationalen Anwerbung von Arbeitskräften zu erreichen, sollte der Kommission die Befugnis übertragen werden, gemäß Artikel 290 des Vertrags über die Arbeit</w:t>
            </w:r>
            <w:r>
              <w:rPr>
                <w:b/>
                <w:i/>
              </w:rPr>
              <w:t>sweise der Europäischen Union Rechtsakte zur Änderung des Anhangs dieser Verordnung zu erlassen, der die Liste der EU-weiten Mangelberufe enthält.</w:t>
            </w:r>
            <w:r>
              <w:t xml:space="preserve"> </w:t>
            </w:r>
            <w:r>
              <w:rPr>
                <w:b/>
                <w:i/>
              </w:rPr>
              <w:t>Es ist von besonderer Bedeutung, dass die Kommission im Zuge ihrer Vorbereitungsarbeit angemessene Konsultati</w:t>
            </w:r>
            <w:r>
              <w:rPr>
                <w:b/>
                <w:i/>
              </w:rPr>
              <w:t xml:space="preserve">onen, auch auf der Ebene von </w:t>
            </w:r>
            <w:r>
              <w:rPr>
                <w:b/>
                <w:i/>
              </w:rPr>
              <w:lastRenderedPageBreak/>
              <w:t>Sachverständigen, durchführt, die mit den Grundsätzen in Einklang stehen, die in der Interinstitutionellen Vereinbarung vom 13. April 2016 über bessere Rechtsetzung</w:t>
            </w:r>
            <w:r>
              <w:rPr>
                <w:b/>
                <w:i/>
                <w:vertAlign w:val="superscript"/>
              </w:rPr>
              <w:t>19</w:t>
            </w:r>
            <w:r>
              <w:rPr>
                <w:b/>
                <w:i/>
              </w:rPr>
              <w:t>niedergelegt wurden.</w:t>
            </w:r>
            <w:r>
              <w:t xml:space="preserve"> </w:t>
            </w:r>
            <w:r>
              <w:rPr>
                <w:b/>
                <w:i/>
              </w:rPr>
              <w:t>Um insbesondere für eine gleichberechtig</w:t>
            </w:r>
            <w:r>
              <w:rPr>
                <w:b/>
                <w:i/>
              </w:rPr>
              <w:t>te Beteiligung an der Vorbereitung delegierter Rechtsakte zu sorgen, erhalten das Europäische Parlament und der Rat alle Dokumente zur gleichen Zeit wie die Sachverständigen der Mitgliedstaaten, und ihre Sachverständigen haben systematisch Zugang zu den Si</w:t>
            </w:r>
            <w:r>
              <w:rPr>
                <w:b/>
                <w:i/>
              </w:rPr>
              <w:t>tzungen der Sachverständigengruppen der Kommission, die mit der Vorbereitung der delegierten Rechtsakte befasst sind.</w:t>
            </w:r>
          </w:p>
        </w:tc>
        <w:tc>
          <w:tcPr>
            <w:tcW w:w="4876" w:type="dxa"/>
            <w:tcBorders>
              <w:top w:val="nil"/>
              <w:left w:val="nil"/>
              <w:bottom w:val="nil"/>
              <w:right w:val="nil"/>
            </w:tcBorders>
          </w:tcPr>
          <w:p w:rsidR="00BC254A" w:rsidRDefault="007914A5">
            <w:pPr>
              <w:pStyle w:val="Normal6a"/>
            </w:pPr>
            <w:r>
              <w:rPr>
                <w:b/>
                <w:i/>
              </w:rPr>
              <w:lastRenderedPageBreak/>
              <w:t>entfällt</w:t>
            </w:r>
          </w:p>
        </w:tc>
      </w:tr>
      <w:tr w:rsidR="00BC254A">
        <w:trPr>
          <w:jc w:val="center"/>
        </w:trPr>
        <w:tc>
          <w:tcPr>
            <w:tcW w:w="4876" w:type="dxa"/>
            <w:tcBorders>
              <w:top w:val="nil"/>
              <w:left w:val="nil"/>
              <w:bottom w:val="nil"/>
              <w:right w:val="nil"/>
            </w:tcBorders>
          </w:tcPr>
          <w:p w:rsidR="00BC254A" w:rsidRDefault="007914A5">
            <w:pPr>
              <w:pStyle w:val="Normal6a"/>
            </w:pPr>
            <w:r>
              <w:rPr>
                <w:b/>
                <w:i/>
              </w:rPr>
              <w:t>_________________</w:t>
            </w:r>
          </w:p>
        </w:tc>
        <w:tc>
          <w:tcPr>
            <w:tcW w:w="4876" w:type="dxa"/>
            <w:tcBorders>
              <w:top w:val="nil"/>
              <w:left w:val="nil"/>
              <w:bottom w:val="nil"/>
              <w:right w:val="nil"/>
            </w:tcBorders>
          </w:tcPr>
          <w:p w:rsidR="00BC254A" w:rsidRDefault="00BC254A"/>
        </w:tc>
      </w:tr>
      <w:tr w:rsidR="00BC254A">
        <w:trPr>
          <w:jc w:val="center"/>
        </w:trPr>
        <w:tc>
          <w:tcPr>
            <w:tcW w:w="4876" w:type="dxa"/>
            <w:tcBorders>
              <w:top w:val="nil"/>
              <w:left w:val="nil"/>
              <w:bottom w:val="nil"/>
              <w:right w:val="nil"/>
            </w:tcBorders>
          </w:tcPr>
          <w:p w:rsidR="00BC254A" w:rsidRDefault="007914A5">
            <w:pPr>
              <w:pStyle w:val="Normal6a"/>
            </w:pPr>
            <w:r>
              <w:rPr>
                <w:b/>
                <w:i/>
                <w:vertAlign w:val="superscript"/>
              </w:rPr>
              <w:t>19</w:t>
            </w:r>
            <w:r>
              <w:t xml:space="preserve"> </w:t>
            </w:r>
            <w:r>
              <w:rPr>
                <w:b/>
                <w:i/>
              </w:rPr>
              <w:t>Interinstitutionelle Vereinbarung zwischen dem Europäischen Parlament, dem Rat der Europäischen Union und</w:t>
            </w:r>
            <w:r>
              <w:rPr>
                <w:b/>
                <w:i/>
              </w:rPr>
              <w:t xml:space="preserve"> der Europäischen Kommission über bessere Rechtsetzung (ABl.</w:t>
            </w:r>
            <w:r>
              <w:t xml:space="preserve"> </w:t>
            </w:r>
            <w:r>
              <w:rPr>
                <w:b/>
                <w:i/>
              </w:rPr>
              <w:t>L 123 vom 12.5.2016, S.</w:t>
            </w:r>
            <w:r>
              <w:t xml:space="preserve"> </w:t>
            </w:r>
            <w:r>
              <w:rPr>
                <w:b/>
                <w:i/>
              </w:rPr>
              <w:t>1, ELI: http://data.europa.eu/eli/agree_interinstit/2016/512/oj).</w:t>
            </w:r>
          </w:p>
        </w:tc>
        <w:tc>
          <w:tcPr>
            <w:tcW w:w="4876" w:type="dxa"/>
            <w:tcBorders>
              <w:top w:val="nil"/>
              <w:left w:val="nil"/>
              <w:bottom w:val="nil"/>
              <w:right w:val="nil"/>
            </w:tcBorders>
          </w:tcPr>
          <w:p w:rsidR="00BC254A" w:rsidRDefault="00BC254A"/>
        </w:tc>
      </w:tr>
    </w:tbl>
    <w:p w:rsidR="00BC254A" w:rsidRDefault="007914A5">
      <w:pPr>
        <w:pStyle w:val="AmOrLang"/>
      </w:pPr>
      <w:r>
        <w:t xml:space="preserve">Or. </w:t>
      </w:r>
      <w:r>
        <w:rPr>
          <w:rStyle w:val="HideTWBExt"/>
        </w:rPr>
        <w:t>&lt;Original&gt;</w:t>
      </w:r>
      <w:r>
        <w:rPr>
          <w:rStyle w:val="HideTWBInt"/>
        </w:rPr>
        <w:t>{SV}</w:t>
      </w:r>
      <w:r>
        <w:t>sv</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307</w:t>
      </w:r>
      <w:r>
        <w:rPr>
          <w:rStyle w:val="HideTWBExt"/>
        </w:rPr>
        <w:t>&lt;/NumAmB&gt;</w:t>
      </w:r>
    </w:p>
    <w:p w:rsidR="00BC254A" w:rsidRDefault="007914A5">
      <w:pPr>
        <w:pStyle w:val="NormalBold"/>
      </w:pPr>
      <w:r>
        <w:rPr>
          <w:rStyle w:val="HideTWBExt"/>
          <w:b w:val="0"/>
        </w:rPr>
        <w:t>&lt;RepeatBlock-By</w:t>
      </w:r>
      <w:r>
        <w:rPr>
          <w:rStyle w:val="HideTWBExt"/>
          <w:b w:val="0"/>
        </w:rPr>
        <w:t>&gt;&lt;Members&gt;</w:t>
      </w:r>
      <w:r>
        <w:t>Charlie Weimers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rPr>
                <w:b/>
                <w:i/>
              </w:rPr>
              <w:t>(34)</w:t>
            </w:r>
            <w:r>
              <w:tab/>
            </w:r>
            <w:r>
              <w:rPr>
                <w:b/>
                <w:i/>
              </w:rPr>
              <w:t xml:space="preserve">Zur Gewährleistung einheitlicher Bedingungen für die Durchführung </w:t>
            </w:r>
            <w:r>
              <w:rPr>
                <w:b/>
                <w:i/>
              </w:rPr>
              <w:t>dieser Verordnung sollten der Kommission Durchführungsbefugnisse übertragen werden.</w:t>
            </w:r>
            <w:r>
              <w:t xml:space="preserve"> </w:t>
            </w:r>
            <w:r>
              <w:rPr>
                <w:b/>
                <w:i/>
              </w:rPr>
              <w:t>Diese Befugnisse sollten im Einklang mit der Verordnung (EU) Nr. 182/2011 des Europäischen Parlaments und des Rates</w:t>
            </w:r>
            <w:r>
              <w:rPr>
                <w:b/>
                <w:i/>
                <w:vertAlign w:val="superscript"/>
              </w:rPr>
              <w:t>20</w:t>
            </w:r>
            <w:r>
              <w:rPr>
                <w:b/>
                <w:i/>
              </w:rPr>
              <w:t>ausgeübt werden.</w:t>
            </w:r>
          </w:p>
        </w:tc>
        <w:tc>
          <w:tcPr>
            <w:tcW w:w="4876" w:type="dxa"/>
            <w:tcBorders>
              <w:top w:val="nil"/>
              <w:left w:val="nil"/>
              <w:bottom w:val="nil"/>
              <w:right w:val="nil"/>
            </w:tcBorders>
          </w:tcPr>
          <w:p w:rsidR="00BC254A" w:rsidRDefault="007914A5">
            <w:pPr>
              <w:pStyle w:val="Normal6a"/>
            </w:pPr>
            <w:r>
              <w:rPr>
                <w:b/>
                <w:i/>
              </w:rPr>
              <w:t>entfällt</w:t>
            </w:r>
          </w:p>
        </w:tc>
      </w:tr>
      <w:tr w:rsidR="00BC254A">
        <w:trPr>
          <w:jc w:val="center"/>
        </w:trPr>
        <w:tc>
          <w:tcPr>
            <w:tcW w:w="4876" w:type="dxa"/>
            <w:tcBorders>
              <w:top w:val="nil"/>
              <w:left w:val="nil"/>
              <w:bottom w:val="nil"/>
              <w:right w:val="nil"/>
            </w:tcBorders>
          </w:tcPr>
          <w:p w:rsidR="00BC254A" w:rsidRDefault="007914A5">
            <w:pPr>
              <w:pStyle w:val="Normal6a"/>
            </w:pPr>
            <w:r>
              <w:rPr>
                <w:b/>
                <w:i/>
              </w:rPr>
              <w:lastRenderedPageBreak/>
              <w:t>_________________</w:t>
            </w:r>
          </w:p>
        </w:tc>
        <w:tc>
          <w:tcPr>
            <w:tcW w:w="4876" w:type="dxa"/>
            <w:tcBorders>
              <w:top w:val="nil"/>
              <w:left w:val="nil"/>
              <w:bottom w:val="nil"/>
              <w:right w:val="nil"/>
            </w:tcBorders>
          </w:tcPr>
          <w:p w:rsidR="00BC254A" w:rsidRDefault="00BC254A"/>
        </w:tc>
      </w:tr>
      <w:tr w:rsidR="00BC254A">
        <w:trPr>
          <w:jc w:val="center"/>
        </w:trPr>
        <w:tc>
          <w:tcPr>
            <w:tcW w:w="4876" w:type="dxa"/>
            <w:tcBorders>
              <w:top w:val="nil"/>
              <w:left w:val="nil"/>
              <w:bottom w:val="nil"/>
              <w:right w:val="nil"/>
            </w:tcBorders>
          </w:tcPr>
          <w:p w:rsidR="00BC254A" w:rsidRDefault="007914A5">
            <w:pPr>
              <w:pStyle w:val="Normal6a"/>
            </w:pPr>
            <w:r>
              <w:rPr>
                <w:b/>
                <w:i/>
                <w:vertAlign w:val="superscript"/>
              </w:rPr>
              <w:t>20</w:t>
            </w:r>
            <w:r>
              <w:t xml:space="preserve"> </w:t>
            </w:r>
            <w:r>
              <w:rPr>
                <w:b/>
                <w:i/>
              </w:rPr>
              <w:t xml:space="preserve">Verordnung (EU) Nr. 182/2011 des Europäischen Parlaments und des Rates vom 16. Februar 2011 zur Festlegung der allgemeinen Regeln und Grundsätze, nach denen die Mitgliedstaaten die Wahrnehmung der Durchführungsbefugnisse durch die Kommission kontrollieren </w:t>
            </w:r>
            <w:r>
              <w:rPr>
                <w:b/>
                <w:i/>
              </w:rPr>
              <w:t>(ABl.</w:t>
            </w:r>
            <w:r>
              <w:t xml:space="preserve"> </w:t>
            </w:r>
            <w:r>
              <w:rPr>
                <w:b/>
                <w:i/>
              </w:rPr>
              <w:t>L 55 vom 28.2.2011, S.</w:t>
            </w:r>
            <w:r>
              <w:t xml:space="preserve"> </w:t>
            </w:r>
            <w:r>
              <w:rPr>
                <w:b/>
                <w:i/>
              </w:rPr>
              <w:t>13, ELI: http://data.europa.eu/eli/reg/2011/182/oj).</w:t>
            </w:r>
          </w:p>
        </w:tc>
        <w:tc>
          <w:tcPr>
            <w:tcW w:w="4876" w:type="dxa"/>
            <w:tcBorders>
              <w:top w:val="nil"/>
              <w:left w:val="nil"/>
              <w:bottom w:val="nil"/>
              <w:right w:val="nil"/>
            </w:tcBorders>
          </w:tcPr>
          <w:p w:rsidR="00BC254A" w:rsidRDefault="00BC254A"/>
        </w:tc>
      </w:tr>
    </w:tbl>
    <w:p w:rsidR="00BC254A" w:rsidRDefault="007914A5">
      <w:pPr>
        <w:pStyle w:val="AmOrLang"/>
      </w:pPr>
      <w:r>
        <w:t xml:space="preserve">Or. </w:t>
      </w:r>
      <w:r>
        <w:rPr>
          <w:rStyle w:val="HideTWBExt"/>
        </w:rPr>
        <w:t>&lt;Original&gt;</w:t>
      </w:r>
      <w:r>
        <w:rPr>
          <w:rStyle w:val="HideTWBInt"/>
        </w:rPr>
        <w:t>{SV}</w:t>
      </w:r>
      <w:r>
        <w:t>sv</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308</w:t>
      </w:r>
      <w:r>
        <w:rPr>
          <w:rStyle w:val="HideTWBExt"/>
        </w:rPr>
        <w:t>&lt;/NumAmB&gt;</w:t>
      </w:r>
    </w:p>
    <w:p w:rsidR="00BC254A" w:rsidRDefault="007914A5">
      <w:pPr>
        <w:pStyle w:val="NormalBold"/>
      </w:pPr>
      <w:r>
        <w:rPr>
          <w:rStyle w:val="HideTWBExt"/>
          <w:b w:val="0"/>
        </w:rPr>
        <w:t>&lt;RepeatBlock-By&gt;&lt;Members&gt;</w:t>
      </w:r>
      <w:r>
        <w:t>Javier 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w:t>
      </w:r>
      <w:r>
        <w:rPr>
          <w:rStyle w:val="HideTWBExt"/>
        </w:rPr>
        <w:t>&gt;</w:t>
      </w:r>
      <w:r>
        <w:t>Vorschlag für eine Verordnung</w:t>
      </w:r>
      <w:r>
        <w:rPr>
          <w:rStyle w:val="HideTWBExt"/>
        </w:rPr>
        <w:t>&lt;/DocAmend&gt;</w:t>
      </w:r>
    </w:p>
    <w:p w:rsidR="00BC254A" w:rsidRDefault="007914A5">
      <w:pPr>
        <w:pStyle w:val="NormalBold"/>
      </w:pPr>
      <w:r>
        <w:rPr>
          <w:rStyle w:val="HideTWBExt"/>
        </w:rPr>
        <w:t>&lt;Article&gt;</w:t>
      </w:r>
      <w:r>
        <w:t>Erwägung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(35)</w:t>
            </w:r>
            <w:r>
              <w:tab/>
            </w:r>
            <w:r>
              <w:t>Das Beratungsverfahren sollte für den Erlass der Muster für das Format des „EU-Fachkräftepartnerschaftspasses“ angewendet werden. Das Prüfverfahren sollte für den Erlass und die Aktualisierung der technischen Standards für den Datenaustausch, der Datenform</w:t>
            </w:r>
            <w:r>
              <w:t xml:space="preserve">ate sowie der Formate der Stellenangebote und der Profile für Arbeitsuchende aus Drittländern angewendet werden. </w:t>
            </w:r>
            <w:r>
              <w:rPr>
                <w:b/>
                <w:i/>
              </w:rPr>
              <w:t>Das Prüfverfahren sollte ebenfalls für den Erlass technischer</w:t>
            </w:r>
            <w:r>
              <w:t xml:space="preserve"> Standards für die </w:t>
            </w:r>
            <w:r>
              <w:rPr>
                <w:b/>
                <w:i/>
              </w:rPr>
              <w:t>Festlegung der</w:t>
            </w:r>
            <w:r>
              <w:t xml:space="preserve"> Unterkategorien der zu verarbeitenden personenbe</w:t>
            </w:r>
            <w:r>
              <w:t xml:space="preserve">zogenen Daten, </w:t>
            </w:r>
            <w:r>
              <w:rPr>
                <w:b/>
                <w:i/>
              </w:rPr>
              <w:t>der</w:t>
            </w:r>
            <w:r>
              <w:t xml:space="preserve"> Zuständigkeiten der Verantwortlichen, einschließlich Vorschriften über die mögliche Heranziehung eines oder mehrerer Auftragsverarbeiter, sowie </w:t>
            </w:r>
            <w:r>
              <w:rPr>
                <w:b/>
                <w:i/>
              </w:rPr>
              <w:t>der</w:t>
            </w:r>
            <w:r>
              <w:t xml:space="preserve"> Bedingungen für den Zugang zu personenbezogenen Daten und </w:t>
            </w:r>
            <w:r>
              <w:rPr>
                <w:b/>
                <w:i/>
              </w:rPr>
              <w:t>der</w:t>
            </w:r>
            <w:r>
              <w:t xml:space="preserve"> Möglichkeit für registriert</w:t>
            </w:r>
            <w:r>
              <w:t xml:space="preserve">e Arbeitsuchende, den Zugang zu ihren personenbezogenen Daten auf der IT-Plattform des EU-Talentpools </w:t>
            </w:r>
            <w:r>
              <w:lastRenderedPageBreak/>
              <w:t>einzuschränken.</w:t>
            </w:r>
          </w:p>
        </w:tc>
        <w:tc>
          <w:tcPr>
            <w:tcW w:w="4876" w:type="dxa"/>
            <w:tcBorders>
              <w:top w:val="nil"/>
              <w:left w:val="nil"/>
              <w:bottom w:val="nil"/>
              <w:right w:val="nil"/>
            </w:tcBorders>
          </w:tcPr>
          <w:p w:rsidR="00BC254A" w:rsidRDefault="007914A5">
            <w:pPr>
              <w:pStyle w:val="Normal6a"/>
            </w:pPr>
            <w:r>
              <w:lastRenderedPageBreak/>
              <w:t>(35)</w:t>
            </w:r>
            <w:r>
              <w:tab/>
              <w:t>Das Beratungsverfahren sollte für den Erlass der Muster für das Format des „EU-Fachkräftepartnerschaftspasses“ angewendet werden. Das</w:t>
            </w:r>
            <w:r>
              <w:t xml:space="preserve"> Prüfverfahren sollte für den Erlass und die Aktualisierung der technischen Standards für den Datenaustausch, der Datenformate sowie der Formate der Stellenangebote und der Profile für Arbeitsuchende aus Drittländern angewendet werden. </w:t>
            </w:r>
            <w:r>
              <w:rPr>
                <w:b/>
                <w:i/>
              </w:rPr>
              <w:t>Die technischen</w:t>
            </w:r>
            <w:r>
              <w:t xml:space="preserve"> Stan</w:t>
            </w:r>
            <w:r>
              <w:t xml:space="preserve">dards für die Unterkategorien der zu verarbeitenden personenbezogenen Daten, </w:t>
            </w:r>
            <w:r>
              <w:rPr>
                <w:b/>
                <w:i/>
              </w:rPr>
              <w:t>die</w:t>
            </w:r>
            <w:r>
              <w:t xml:space="preserve"> Zuständigkeiten der Verantwortlichen, einschließlich Vorschriften über die mögliche Heranziehung eines oder mehrerer Auftragsverarbeiter, sowie </w:t>
            </w:r>
            <w:r>
              <w:rPr>
                <w:b/>
                <w:i/>
              </w:rPr>
              <w:t>die</w:t>
            </w:r>
            <w:r>
              <w:t xml:space="preserve"> Bedingungen für den Zugang </w:t>
            </w:r>
            <w:r>
              <w:t xml:space="preserve">zu personenbezogenen Daten und </w:t>
            </w:r>
            <w:r>
              <w:rPr>
                <w:b/>
                <w:i/>
              </w:rPr>
              <w:t>die</w:t>
            </w:r>
            <w:r>
              <w:t xml:space="preserve"> Möglichkeit für registrierte Arbeitsuchende, den Zugang zu ihren personenbezogenen Daten auf der IT-Plattform des EU-Talentpools einzuschränken</w:t>
            </w:r>
            <w:r>
              <w:rPr>
                <w:b/>
                <w:i/>
              </w:rPr>
              <w:t xml:space="preserve">, sollten im Wege von delegierten Rechtsakten festgelegt </w:t>
            </w:r>
            <w:r>
              <w:rPr>
                <w:b/>
                <w:i/>
              </w:rPr>
              <w:lastRenderedPageBreak/>
              <w:t>werden</w:t>
            </w:r>
            <w:r>
              <w:t>.</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309</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 xml:space="preserve">Vorschlag der </w:t>
            </w:r>
            <w:r>
              <w:t>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(37)</w:t>
            </w:r>
            <w:r>
              <w:tab/>
              <w:t xml:space="preserve">Die </w:t>
            </w:r>
            <w:r>
              <w:rPr>
                <w:b/>
                <w:i/>
              </w:rPr>
              <w:t>teilnehmenden</w:t>
            </w:r>
            <w:r>
              <w:t xml:space="preserve"> Mitgliedstaaten sollten diese Verordnung in voller Übereinstimmung mit allen Verpflichtungen aus der Charta der Grundrechte der Europäischen Union und insbesondere ohne Diskriminierung aufgrund des Geschle</w:t>
            </w:r>
            <w:r>
              <w:t xml:space="preserve">chts, der Hautfarbe, der ethnischen oder sozialen Herkunft, der genetischen Merkmale, der Sprache, der Religion oder Weltanschauung, der politischen oder sonstigen Überzeugungen, der Zugehörigkeit zu einer nationalen Minderheit, des Vermögens, der Geburt, </w:t>
            </w:r>
            <w:r>
              <w:t xml:space="preserve">einer Behinderung, des Alters oder der sexuellen Ausrichtung umsetzen. Die Achtung fairer und angemessener Arbeitsbedingungen </w:t>
            </w:r>
            <w:r>
              <w:rPr>
                <w:b/>
                <w:i/>
              </w:rPr>
              <w:t>und</w:t>
            </w:r>
            <w:r>
              <w:t xml:space="preserve"> der Schutz junger Menschen am Arbeitsplatz sollten sichergestellt werden.</w:t>
            </w:r>
          </w:p>
        </w:tc>
        <w:tc>
          <w:tcPr>
            <w:tcW w:w="4876" w:type="dxa"/>
            <w:tcBorders>
              <w:top w:val="nil"/>
              <w:left w:val="nil"/>
              <w:bottom w:val="nil"/>
              <w:right w:val="nil"/>
            </w:tcBorders>
          </w:tcPr>
          <w:p w:rsidR="00BC254A" w:rsidRDefault="007914A5">
            <w:pPr>
              <w:pStyle w:val="Normal6a"/>
            </w:pPr>
            <w:r>
              <w:t>(37)</w:t>
            </w:r>
            <w:r>
              <w:tab/>
              <w:t>Die Mitgliedstaaten sollten diese Verordnung in</w:t>
            </w:r>
            <w:r>
              <w:t xml:space="preserve"> voller Übereinstimmung mit allen Verpflichtungen aus der Charta der Grundrechte der Europäischen Union und insbesondere ohne Diskriminierung aufgrund des Geschlechts, der Hautfarbe, der ethnischen oder sozialen Herkunft, der genetischen Merkmale, der Spra</w:t>
            </w:r>
            <w:r>
              <w:t xml:space="preserve">che, der Religion oder Weltanschauung, der politischen oder sonstigen Überzeugungen, der Zugehörigkeit zu einer nationalen Minderheit, des Vermögens, der Geburt, einer Behinderung, des Alters oder der sexuellen Ausrichtung umsetzen. Die Achtung fairer und </w:t>
            </w:r>
            <w:r>
              <w:t xml:space="preserve">angemessener Arbeitsbedingungen </w:t>
            </w:r>
            <w:r>
              <w:rPr>
                <w:b/>
                <w:i/>
              </w:rPr>
              <w:t>sowie</w:t>
            </w:r>
            <w:r>
              <w:t xml:space="preserve"> der Schutz junger Menschen </w:t>
            </w:r>
            <w:r>
              <w:rPr>
                <w:b/>
                <w:i/>
              </w:rPr>
              <w:t>und die Gleichstellung der Geschlechter</w:t>
            </w:r>
            <w:r>
              <w:t xml:space="preserve"> am Arbeitsplatz sollten sichergestellt werden.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310</w:t>
      </w:r>
      <w:r>
        <w:rPr>
          <w:rStyle w:val="HideTWBExt"/>
        </w:rPr>
        <w:t>&lt;/NumAmB&gt;</w:t>
      </w:r>
    </w:p>
    <w:p w:rsidR="00BC254A" w:rsidRDefault="007914A5">
      <w:pPr>
        <w:pStyle w:val="NormalBold"/>
      </w:pPr>
      <w:r>
        <w:rPr>
          <w:rStyle w:val="HideTWBExt"/>
          <w:b w:val="0"/>
        </w:rPr>
        <w:t>&lt;RepeatBlock-By</w:t>
      </w:r>
      <w:r>
        <w:rPr>
          <w:rStyle w:val="HideTWBExt"/>
          <w:b w:val="0"/>
        </w:rPr>
        <w:t>&gt;&lt;Members&gt;</w:t>
      </w:r>
      <w:r>
        <w:t>Jan-Christoph Oetjen, Abir Al-Sahlani,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Erwägung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(37)</w:t>
            </w:r>
            <w:r>
              <w:tab/>
              <w:t xml:space="preserve">Die </w:t>
            </w:r>
            <w:r>
              <w:rPr>
                <w:b/>
                <w:i/>
              </w:rPr>
              <w:t>teilnehmenden</w:t>
            </w:r>
            <w:r>
              <w:t xml:space="preserve"> Mitgliedstaaten sollten diese Verordnung in voller Übereinstimmung mit allen </w:t>
            </w:r>
            <w:r>
              <w:lastRenderedPageBreak/>
              <w:t xml:space="preserve">Verpflichtungen aus der Charta der Grundrechte der Europäischen Union und insbesondere ohne Diskriminierung aufgrund des Geschlechts, der Hautfarbe, der ethnischen oder sozialen </w:t>
            </w:r>
            <w:r>
              <w:t>Herkunft, der genetischen Merkmale, der Sprache, der Religion oder Weltanschauung, der politischen oder sonstigen Überzeugungen, der Zugehörigkeit zu einer nationalen Minderheit, des Vermögens, der Geburt, einer Behinderung, des Alters oder der sexuellen A</w:t>
            </w:r>
            <w:r>
              <w:t>usrichtung umsetzen. Die Achtung fairer und angemessener Arbeitsbedingungen und der Schutz junger Menschen am Arbeitsplatz sollten sichergestellt werden.</w:t>
            </w:r>
          </w:p>
        </w:tc>
        <w:tc>
          <w:tcPr>
            <w:tcW w:w="4876" w:type="dxa"/>
            <w:tcBorders>
              <w:top w:val="nil"/>
              <w:left w:val="nil"/>
              <w:bottom w:val="nil"/>
              <w:right w:val="nil"/>
            </w:tcBorders>
          </w:tcPr>
          <w:p w:rsidR="00BC254A" w:rsidRDefault="007914A5">
            <w:pPr>
              <w:pStyle w:val="Normal6a"/>
            </w:pPr>
            <w:r>
              <w:lastRenderedPageBreak/>
              <w:t>(37)</w:t>
            </w:r>
            <w:r>
              <w:tab/>
              <w:t xml:space="preserve">Die Mitgliedstaaten sollten diese Verordnung in voller Übereinstimmung mit allen Verpflichtungen </w:t>
            </w:r>
            <w:r>
              <w:t xml:space="preserve">aus der Charta </w:t>
            </w:r>
            <w:r>
              <w:lastRenderedPageBreak/>
              <w:t>der Grundrechte der Europäischen Union und insbesondere ohne Diskriminierung aufgrund des Geschlechts, der Hautfarbe, der ethnischen oder sozialen Herkunft, der genetischen Merkmale, der Sprache, der Religion oder Weltanschauung, der politis</w:t>
            </w:r>
            <w:r>
              <w:t>chen oder sonstigen Überzeugungen, der Zugehörigkeit zu einer nationalen Minderheit, des Vermögens, der Geburt, einer Behinderung, des Alters oder der sexuellen Ausrichtung umsetzen. Die Achtung fairer und angemessener Arbeitsbedingungen und der Schutz jun</w:t>
            </w:r>
            <w:r>
              <w:t>ger Menschen am Arbeitsplatz sollten sichergestellt werden.</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311</w:t>
      </w:r>
      <w:r>
        <w:rPr>
          <w:rStyle w:val="HideTWBExt"/>
        </w:rPr>
        <w:t>&lt;/NumAmB&gt;</w:t>
      </w:r>
    </w:p>
    <w:p w:rsidR="00BC254A" w:rsidRDefault="007914A5">
      <w:pPr>
        <w:pStyle w:val="NormalBold"/>
      </w:pPr>
      <w:r>
        <w:rPr>
          <w:rStyle w:val="HideTWBExt"/>
          <w:b w:val="0"/>
        </w:rPr>
        <w:t>&lt;RepeatBlock-By&gt;&lt;Members&gt;</w:t>
      </w:r>
      <w:r>
        <w:t>François-Xavier Bellamy</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w:t>
      </w:r>
      <w:r>
        <w:t>erordnung</w:t>
      </w:r>
      <w:r>
        <w:rPr>
          <w:rStyle w:val="HideTWBExt"/>
        </w:rPr>
        <w:t>&lt;/DocAmend&gt;</w:t>
      </w:r>
    </w:p>
    <w:p w:rsidR="00BC254A" w:rsidRDefault="007914A5">
      <w:pPr>
        <w:pStyle w:val="NormalBold"/>
      </w:pPr>
      <w:r>
        <w:rPr>
          <w:rStyle w:val="HideTWBExt"/>
        </w:rPr>
        <w:t>&lt;Article&gt;</w:t>
      </w:r>
      <w:r>
        <w:t>Artikel 1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w:t>
            </w:r>
            <w:r>
              <w:tab/>
              <w:t xml:space="preserve">Mit dieser Verordnung wird ein EU-Talentpool eingerichtet, der allen Mitgliedstaaten zur Verfügung steht </w:t>
            </w:r>
            <w:r>
              <w:rPr>
                <w:b/>
                <w:i/>
              </w:rPr>
              <w:t>und</w:t>
            </w:r>
            <w:r>
              <w:t xml:space="preserve"> die Einstellung von Arbeitsuchenden aus Drittstaaten mit Wohnsitz außerhalb der Union </w:t>
            </w:r>
            <w:r>
              <w:rPr>
                <w:b/>
                <w:i/>
              </w:rPr>
              <w:t>erleichtern soll</w:t>
            </w:r>
            <w:r>
              <w:t>.</w:t>
            </w:r>
          </w:p>
        </w:tc>
        <w:tc>
          <w:tcPr>
            <w:tcW w:w="4876" w:type="dxa"/>
            <w:tcBorders>
              <w:top w:val="nil"/>
              <w:left w:val="nil"/>
              <w:bottom w:val="nil"/>
              <w:right w:val="nil"/>
            </w:tcBorders>
          </w:tcPr>
          <w:p w:rsidR="00BC254A" w:rsidRDefault="007914A5">
            <w:pPr>
              <w:pStyle w:val="Normal6a"/>
            </w:pPr>
            <w:r>
              <w:t>(1)</w:t>
            </w:r>
            <w:r>
              <w:tab/>
              <w:t>Mit dieser Verordnung wird ein EU-Talentpool eingerichtet, der allen Mitgliedstaaten zur Verfügung steht</w:t>
            </w:r>
            <w:r>
              <w:rPr>
                <w:b/>
                <w:i/>
              </w:rPr>
              <w:t>, um</w:t>
            </w:r>
            <w:r>
              <w:t xml:space="preserve"> die Einstellung von Arbeitsuchenden au</w:t>
            </w:r>
            <w:r>
              <w:t>s Drittstaaten mit Wohnsitz außerhalb der Union</w:t>
            </w:r>
            <w:r>
              <w:rPr>
                <w:b/>
                <w:i/>
              </w:rPr>
              <w:t>, die über spezialisierte Kompetenzen und gezieltes Fachwissen verfügen, zu unterstützen, und zwar nur für jene Mitgliedstaaten, die diese Möglichkeit in Anspruch nehmen möchten.</w:t>
            </w:r>
            <w:r>
              <w:t xml:space="preserve"> </w:t>
            </w:r>
            <w:r>
              <w:rPr>
                <w:b/>
                <w:i/>
              </w:rPr>
              <w:t>Diese Möglichkeit darf ledigli</w:t>
            </w:r>
            <w:r>
              <w:rPr>
                <w:b/>
                <w:i/>
              </w:rPr>
              <w:t>ch als optionale und temporäre Lösung angesehen werden, um den Anforderungen des sich ständig verändernden Arbeitsmarktes nachzukommen.</w:t>
            </w:r>
            <w:r>
              <w:t xml:space="preserve"> </w:t>
            </w:r>
            <w:r>
              <w:rPr>
                <w:b/>
                <w:i/>
              </w:rPr>
              <w:t>Der EU-Talentpool verschafft den Mitgliedstaaten in dieser Hinsicht die erforderliche Zeit, um ihre eigenen Staatsbürger</w:t>
            </w:r>
            <w:r>
              <w:rPr>
                <w:b/>
                <w:i/>
              </w:rPr>
              <w:t xml:space="preserve"> auszubilden und die </w:t>
            </w:r>
            <w:r>
              <w:rPr>
                <w:b/>
                <w:i/>
              </w:rPr>
              <w:lastRenderedPageBreak/>
              <w:t>notwendigen Maßnahmen zu ergreifen, um Vollbeschäftigung auf nationaler Ebene zu unterstützen</w:t>
            </w:r>
            <w:r>
              <w:t>.</w:t>
            </w:r>
          </w:p>
        </w:tc>
      </w:tr>
    </w:tbl>
    <w:p w:rsidR="00BC254A" w:rsidRDefault="007914A5">
      <w:pPr>
        <w:pStyle w:val="AmOrLang"/>
      </w:pPr>
      <w:r>
        <w:lastRenderedPageBreak/>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312</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r>
        <w:rPr>
          <w:rStyle w:val="HideTWBExt"/>
        </w:rPr>
        <w:t>&lt;AuNomDe&gt;</w:t>
      </w:r>
      <w:r>
        <w:rPr>
          <w:rStyle w:val="HideTWBInt"/>
        </w:rPr>
        <w:t>{Greens/EFA}</w:t>
      </w:r>
      <w:r>
        <w:t>im Namen der Verts/ALE-Fraktion</w:t>
      </w:r>
      <w:r>
        <w:rPr>
          <w:rStyle w:val="HideTWBExt"/>
        </w:rPr>
        <w:t>&lt;/AuNomDe&gt;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1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w:t>
            </w:r>
            <w:r>
              <w:tab/>
            </w:r>
            <w:r>
              <w:t xml:space="preserve">Mit dieser Verordnung wird ein EU-Talentpool eingerichtet, der allen Mitgliedstaaten zur Verfügung steht und die </w:t>
            </w:r>
            <w:r>
              <w:rPr>
                <w:b/>
                <w:i/>
              </w:rPr>
              <w:t>Einstellung von Arbeitsuchenden</w:t>
            </w:r>
            <w:r>
              <w:t xml:space="preserve"> aus Drittstaaten </w:t>
            </w:r>
            <w:r>
              <w:rPr>
                <w:b/>
                <w:i/>
              </w:rPr>
              <w:t>mit Wohnsitz außerhalb der Union erleichtern soll</w:t>
            </w:r>
            <w:r>
              <w:t>.</w:t>
            </w:r>
          </w:p>
        </w:tc>
        <w:tc>
          <w:tcPr>
            <w:tcW w:w="4876" w:type="dxa"/>
            <w:tcBorders>
              <w:top w:val="nil"/>
              <w:left w:val="nil"/>
              <w:bottom w:val="nil"/>
              <w:right w:val="nil"/>
            </w:tcBorders>
          </w:tcPr>
          <w:p w:rsidR="00BC254A" w:rsidRDefault="007914A5">
            <w:pPr>
              <w:pStyle w:val="Normal6a"/>
            </w:pPr>
            <w:r>
              <w:t>(1)</w:t>
            </w:r>
            <w:r>
              <w:tab/>
              <w:t>Mit dieser Verordnung wird ein EU-Talen</w:t>
            </w:r>
            <w:r>
              <w:t xml:space="preserve">tpool eingerichtet, der allen Mitgliedstaaten </w:t>
            </w:r>
            <w:r>
              <w:rPr>
                <w:b/>
                <w:i/>
              </w:rPr>
              <w:t>als zentrale Anlaufstelle</w:t>
            </w:r>
            <w:r>
              <w:t xml:space="preserve"> zur Verfügung steht</w:t>
            </w:r>
            <w:r>
              <w:rPr>
                <w:b/>
                <w:i/>
              </w:rPr>
              <w:t>, um die Attraktivität der Union</w:t>
            </w:r>
            <w:r>
              <w:t xml:space="preserve"> und die </w:t>
            </w:r>
            <w:r>
              <w:rPr>
                <w:b/>
                <w:i/>
              </w:rPr>
              <w:t>Arbeitskräftemobilität von Fachkräften</w:t>
            </w:r>
            <w:r>
              <w:t xml:space="preserve"> aus Drittstaaten </w:t>
            </w:r>
            <w:r>
              <w:rPr>
                <w:b/>
                <w:i/>
              </w:rPr>
              <w:t>zu erhöhen, den bestehenden Arbeitskräftemangel zu beheben und den g</w:t>
            </w:r>
            <w:r>
              <w:rPr>
                <w:b/>
                <w:i/>
              </w:rPr>
              <w:t>rünen und den digitalen Wandel voranzubringen, indem der Prozess des Abgleichs zwischen Arbeitgebern und Arbeitsuchenden aus Drittstaaten erleichtert wird</w:t>
            </w:r>
            <w:r>
              <w: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313</w:t>
      </w:r>
      <w:r>
        <w:rPr>
          <w:rStyle w:val="HideTWBExt"/>
        </w:rPr>
        <w:t>&lt;/NumAmB&gt;</w:t>
      </w:r>
    </w:p>
    <w:p w:rsidR="00BC254A" w:rsidRDefault="007914A5">
      <w:pPr>
        <w:pStyle w:val="NormalBold"/>
      </w:pPr>
      <w:r>
        <w:rPr>
          <w:rStyle w:val="HideTWBExt"/>
          <w:b w:val="0"/>
        </w:rPr>
        <w:t>&lt;RepeatBloc</w:t>
      </w:r>
      <w:r>
        <w:rPr>
          <w:rStyle w:val="HideTWBExt"/>
          <w:b w:val="0"/>
        </w:rPr>
        <w:t>k-By&gt;&lt;Members&gt;</w:t>
      </w:r>
      <w:r>
        <w:t>Nikolaos Anadiotis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1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w:t>
            </w:r>
            <w:r>
              <w:tab/>
            </w:r>
            <w:r>
              <w:t xml:space="preserve">Mit dieser Verordnung wird ein EU-Talentpool eingerichtet, der </w:t>
            </w:r>
            <w:r>
              <w:rPr>
                <w:b/>
                <w:i/>
              </w:rPr>
              <w:t>allen</w:t>
            </w:r>
            <w:r>
              <w:t xml:space="preserve"> Mitgliedstaaten zur Verfügung steht und die Einstellung von Arbeitsuchenden aus Drittstaaten mit Wohnsitz außerhalb der </w:t>
            </w:r>
            <w:r>
              <w:lastRenderedPageBreak/>
              <w:t>Union erleichtern soll.</w:t>
            </w:r>
          </w:p>
        </w:tc>
        <w:tc>
          <w:tcPr>
            <w:tcW w:w="4876" w:type="dxa"/>
            <w:tcBorders>
              <w:top w:val="nil"/>
              <w:left w:val="nil"/>
              <w:bottom w:val="nil"/>
              <w:right w:val="nil"/>
            </w:tcBorders>
          </w:tcPr>
          <w:p w:rsidR="00BC254A" w:rsidRDefault="007914A5">
            <w:pPr>
              <w:pStyle w:val="Normal6a"/>
            </w:pPr>
            <w:r>
              <w:lastRenderedPageBreak/>
              <w:t>(1)</w:t>
            </w:r>
            <w:r>
              <w:tab/>
            </w:r>
            <w:r>
              <w:t xml:space="preserve">Mit dieser Verordnung wird ein EU-Talentpool eingerichtet, der </w:t>
            </w:r>
            <w:r>
              <w:rPr>
                <w:b/>
                <w:i/>
              </w:rPr>
              <w:t>den freiwillig teilnehmenden</w:t>
            </w:r>
            <w:r>
              <w:t xml:space="preserve"> Mitgliedstaaten zur Verfügung steht und die Einstellung von Arbeitsuchenden aus Drittstaaten mit Wohnsitz außerhalb der Union </w:t>
            </w:r>
            <w:r>
              <w:rPr>
                <w:b/>
                <w:i/>
              </w:rPr>
              <w:t xml:space="preserve">in </w:t>
            </w:r>
            <w:r>
              <w:rPr>
                <w:b/>
                <w:i/>
              </w:rPr>
              <w:lastRenderedPageBreak/>
              <w:t>bestimmten Branchen und entsprechen</w:t>
            </w:r>
            <w:r>
              <w:rPr>
                <w:b/>
                <w:i/>
              </w:rPr>
              <w:t>d ihrem Qualifikationsniveau</w:t>
            </w:r>
            <w:r>
              <w:t xml:space="preserve"> erleichtern soll.</w:t>
            </w:r>
          </w:p>
        </w:tc>
      </w:tr>
    </w:tbl>
    <w:p w:rsidR="00BC254A" w:rsidRDefault="007914A5">
      <w:pPr>
        <w:pStyle w:val="AmOrLang"/>
      </w:pPr>
      <w:r>
        <w:lastRenderedPageBreak/>
        <w:t xml:space="preserve">Or. </w:t>
      </w:r>
      <w:r>
        <w:rPr>
          <w:rStyle w:val="HideTWBExt"/>
        </w:rPr>
        <w:t>&lt;Original&gt;</w:t>
      </w:r>
      <w:r>
        <w:rPr>
          <w:rStyle w:val="HideTWBInt"/>
        </w:rPr>
        <w:t>{EL}</w:t>
      </w:r>
      <w:r>
        <w:t>el</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314</w:t>
      </w:r>
      <w:r>
        <w:rPr>
          <w:rStyle w:val="HideTWBExt"/>
        </w:rPr>
        <w:t>&lt;/NumAmB&gt;</w:t>
      </w:r>
    </w:p>
    <w:p w:rsidR="00BC254A" w:rsidRDefault="007914A5">
      <w:pPr>
        <w:pStyle w:val="NormalBold"/>
      </w:pPr>
      <w:r>
        <w:rPr>
          <w:rStyle w:val="HideTWBExt"/>
          <w:b w:val="0"/>
        </w:rPr>
        <w:t>&lt;RepeatBlock-By&gt;&lt;Members&gt;</w:t>
      </w:r>
      <w:r>
        <w:t>Tom Vandendriessche, Petra Steger, Jaroslav Bžoch, Fabrice Leggeri, António Tânger Corrêa, Jorg</w:t>
      </w:r>
      <w:r>
        <w:t>e Buxadé Villalba, Marieke Ehlers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1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w:t>
            </w:r>
            <w:r>
              <w:tab/>
              <w:t xml:space="preserve">Mit dieser Verordnung wird ein EU-Talentpool </w:t>
            </w:r>
            <w:r>
              <w:t>eingerichtet, der allen Mitgliedstaaten zur Verfügung steht und die Einstellung von Arbeitsuchenden aus Drittstaaten mit Wohnsitz außerhalb der Union erleichtern soll.</w:t>
            </w:r>
          </w:p>
        </w:tc>
        <w:tc>
          <w:tcPr>
            <w:tcW w:w="4876" w:type="dxa"/>
            <w:tcBorders>
              <w:top w:val="nil"/>
              <w:left w:val="nil"/>
              <w:bottom w:val="nil"/>
              <w:right w:val="nil"/>
            </w:tcBorders>
          </w:tcPr>
          <w:p w:rsidR="00BC254A" w:rsidRDefault="007914A5">
            <w:pPr>
              <w:pStyle w:val="Normal6a"/>
            </w:pPr>
            <w:r>
              <w:t>(1)</w:t>
            </w:r>
            <w:r>
              <w:tab/>
              <w:t xml:space="preserve">Mit dieser Verordnung wird ein </w:t>
            </w:r>
            <w:r>
              <w:rPr>
                <w:b/>
                <w:i/>
              </w:rPr>
              <w:t>befristeter</w:t>
            </w:r>
            <w:r>
              <w:t xml:space="preserve"> EU-Talentpool eingerichtet, der allen Mit</w:t>
            </w:r>
            <w:r>
              <w:t xml:space="preserve">gliedstaaten zur Verfügung steht und die Einstellung von </w:t>
            </w:r>
            <w:r>
              <w:rPr>
                <w:b/>
                <w:i/>
              </w:rPr>
              <w:t>hoch qualifizierten</w:t>
            </w:r>
            <w:r>
              <w:t xml:space="preserve"> Arbeitsuchenden aus Drittstaaten mit Wohnsitz außerhalb der Union erleichtern soll.</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315</w:t>
      </w:r>
      <w:r>
        <w:rPr>
          <w:rStyle w:val="HideTWBExt"/>
        </w:rPr>
        <w:t>&lt;/NumAmB&gt;</w:t>
      </w:r>
    </w:p>
    <w:p w:rsidR="00BC254A" w:rsidRDefault="007914A5">
      <w:pPr>
        <w:pStyle w:val="NormalBold"/>
      </w:pPr>
      <w:r>
        <w:rPr>
          <w:rStyle w:val="HideTWBExt"/>
          <w:b w:val="0"/>
        </w:rPr>
        <w:t>&lt;RepeatBlock-By&gt;&lt;Members&gt;</w:t>
      </w:r>
      <w:r>
        <w:t>Javier 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1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w:t>
            </w:r>
            <w:r>
              <w:tab/>
            </w:r>
            <w:r>
              <w:t xml:space="preserve">Mit dieser Verordnung wird ein EU-Talentpool eingerichtet, der allen Mitgliedstaaten zur Verfügung steht und die Einstellung von Arbeitsuchenden aus Drittstaaten mit </w:t>
            </w:r>
            <w:r>
              <w:rPr>
                <w:b/>
                <w:i/>
              </w:rPr>
              <w:t>Wohnsitz außerhalb der Union</w:t>
            </w:r>
            <w:r>
              <w:t xml:space="preserve"> erleichtern soll.</w:t>
            </w:r>
          </w:p>
        </w:tc>
        <w:tc>
          <w:tcPr>
            <w:tcW w:w="4876" w:type="dxa"/>
            <w:tcBorders>
              <w:top w:val="nil"/>
              <w:left w:val="nil"/>
              <w:bottom w:val="nil"/>
              <w:right w:val="nil"/>
            </w:tcBorders>
          </w:tcPr>
          <w:p w:rsidR="00BC254A" w:rsidRDefault="007914A5">
            <w:pPr>
              <w:pStyle w:val="Normal6a"/>
            </w:pPr>
            <w:r>
              <w:t>(1)</w:t>
            </w:r>
            <w:r>
              <w:tab/>
              <w:t>Mit dieser Verordnung wird ein EU-Talen</w:t>
            </w:r>
            <w:r>
              <w:t xml:space="preserve">tpool eingerichtet, der allen Mitgliedstaaten zur Verfügung steht und die Einstellung von Arbeitsuchenden aus Drittstaaten mit </w:t>
            </w:r>
            <w:r>
              <w:rPr>
                <w:b/>
                <w:i/>
              </w:rPr>
              <w:t>den unterschiedlichsten Kompetenzen und Qualifikationen</w:t>
            </w:r>
            <w:r>
              <w:t xml:space="preserve"> erleichtern soll.</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lastRenderedPageBreak/>
        <w:t>&lt;AmendB&gt;</w:t>
      </w:r>
      <w:r>
        <w:t>Änderungsantrag</w:t>
      </w:r>
      <w:r>
        <w:tab/>
      </w:r>
      <w:r>
        <w:tab/>
      </w:r>
      <w:r>
        <w:rPr>
          <w:rStyle w:val="HideTWBExt"/>
        </w:rPr>
        <w:t>&lt;NumAmB&gt;</w:t>
      </w:r>
      <w:r>
        <w:t>316</w:t>
      </w:r>
      <w:r>
        <w:rPr>
          <w:rStyle w:val="HideTWBExt"/>
        </w:rPr>
        <w:t>&lt;/NumAmB&gt;</w:t>
      </w:r>
    </w:p>
    <w:p w:rsidR="00BC254A" w:rsidRDefault="007914A5">
      <w:pPr>
        <w:pStyle w:val="NormalBold"/>
      </w:pPr>
      <w:r>
        <w:rPr>
          <w:rStyle w:val="HideTWBExt"/>
          <w:b w:val="0"/>
        </w:rPr>
        <w:t>&lt;RepeatBlock-By&gt;&lt;Members&gt;</w:t>
      </w:r>
      <w:r>
        <w:t>Nadine Morano</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1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w:t>
            </w:r>
            <w:r>
              <w:tab/>
              <w:t xml:space="preserve">Mit dieser </w:t>
            </w:r>
            <w:r>
              <w:t>Verordnung wird ein EU-Talentpool eingerichtet, der allen Mitgliedstaaten zur Verfügung steht und die Einstellung von Arbeitsuchenden aus Drittstaaten mit Wohnsitz außerhalb der Union erleichtern soll.</w:t>
            </w:r>
          </w:p>
        </w:tc>
        <w:tc>
          <w:tcPr>
            <w:tcW w:w="4876" w:type="dxa"/>
            <w:tcBorders>
              <w:top w:val="nil"/>
              <w:left w:val="nil"/>
              <w:bottom w:val="nil"/>
              <w:right w:val="nil"/>
            </w:tcBorders>
          </w:tcPr>
          <w:p w:rsidR="00BC254A" w:rsidRDefault="007914A5">
            <w:pPr>
              <w:pStyle w:val="Normal6a"/>
            </w:pPr>
            <w:r>
              <w:t>(1)</w:t>
            </w:r>
            <w:r>
              <w:tab/>
            </w:r>
            <w:r>
              <w:t xml:space="preserve">Mit dieser Verordnung wird ein EU-Talentpool eingerichtet, der </w:t>
            </w:r>
            <w:r>
              <w:rPr>
                <w:b/>
                <w:i/>
              </w:rPr>
              <w:t>als optionales Instrument</w:t>
            </w:r>
            <w:r>
              <w:t xml:space="preserve"> allen Mitgliedstaaten zur Verfügung steht und die Einstellung von Arbeitsuchenden aus Drittstaaten mit Wohnsitz außerhalb der Union erleichtern soll.</w:t>
            </w:r>
          </w:p>
        </w:tc>
      </w:tr>
    </w:tbl>
    <w:p w:rsidR="00BC254A" w:rsidRDefault="007914A5">
      <w:pPr>
        <w:pStyle w:val="AmOrLang"/>
      </w:pPr>
      <w:r>
        <w:t xml:space="preserve">Or. </w:t>
      </w:r>
      <w:r>
        <w:rPr>
          <w:rStyle w:val="HideTWBExt"/>
        </w:rPr>
        <w:t>&lt;Original&gt;</w:t>
      </w:r>
      <w:r>
        <w:rPr>
          <w:rStyle w:val="HideTWBInt"/>
        </w:rPr>
        <w:t>{F</w:t>
      </w:r>
      <w:r>
        <w:rPr>
          <w:rStyle w:val="HideTWBInt"/>
        </w:rPr>
        <w:t>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317</w:t>
      </w:r>
      <w:r>
        <w:rPr>
          <w:rStyle w:val="HideTWBExt"/>
        </w:rPr>
        <w:t>&lt;/NumAmB&gt;</w:t>
      </w:r>
    </w:p>
    <w:p w:rsidR="00BC254A" w:rsidRDefault="007914A5">
      <w:pPr>
        <w:pStyle w:val="NormalBold"/>
      </w:pPr>
      <w:r>
        <w:rPr>
          <w:rStyle w:val="HideTWBExt"/>
          <w:b w:val="0"/>
        </w:rPr>
        <w:t>&lt;RepeatBlock-By&gt;&lt;Members&gt;</w:t>
      </w:r>
      <w:r>
        <w:t>Tom Vandendriessche, Petra Steger, Jaroslav Bžoch, Fabrice Leggeri, António Tânger Corrêa, Jorge Buxadé Villalba, Marieke Ehlers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w:t>
      </w:r>
      <w:r>
        <w:rPr>
          <w:rStyle w:val="HideTWBExt"/>
        </w:rPr>
        <w:t>ocAmend&gt;</w:t>
      </w:r>
      <w:r>
        <w:t>Vorschlag für eine Verordnung</w:t>
      </w:r>
      <w:r>
        <w:rPr>
          <w:rStyle w:val="HideTWBExt"/>
        </w:rPr>
        <w:t>&lt;/DocAmend&gt;</w:t>
      </w:r>
    </w:p>
    <w:p w:rsidR="00BC254A" w:rsidRDefault="007914A5">
      <w:pPr>
        <w:pStyle w:val="NormalBold"/>
      </w:pPr>
      <w:r>
        <w:rPr>
          <w:rStyle w:val="HideTWBExt"/>
        </w:rPr>
        <w:t>&lt;Article&gt;</w:t>
      </w:r>
      <w:r>
        <w:t>Artikel 1 – Absatz 2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c)</w:t>
            </w:r>
            <w:r>
              <w:tab/>
              <w:t xml:space="preserve">die Bedingungen und Verfahren für die Teilnahme von Arbeitsuchenden aus Drittstaaten und Arbeitgebern am </w:t>
            </w:r>
            <w:r>
              <w:t>EU-Talentpool;</w:t>
            </w:r>
          </w:p>
        </w:tc>
        <w:tc>
          <w:tcPr>
            <w:tcW w:w="4876" w:type="dxa"/>
            <w:tcBorders>
              <w:top w:val="nil"/>
              <w:left w:val="nil"/>
              <w:bottom w:val="nil"/>
              <w:right w:val="nil"/>
            </w:tcBorders>
          </w:tcPr>
          <w:p w:rsidR="00BC254A" w:rsidRDefault="007914A5">
            <w:pPr>
              <w:pStyle w:val="Normal6a"/>
            </w:pPr>
            <w:r>
              <w:t>c)</w:t>
            </w:r>
            <w:r>
              <w:tab/>
              <w:t xml:space="preserve">die Bedingungen und Verfahren für die Teilnahme von </w:t>
            </w:r>
            <w:r>
              <w:rPr>
                <w:b/>
                <w:i/>
              </w:rPr>
              <w:t>hoch qualifizierten</w:t>
            </w:r>
            <w:r>
              <w:t xml:space="preserve"> Arbeitsuchenden aus Drittstaaten und Arbeitgebern am EU-Talentpool;</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318</w:t>
      </w:r>
      <w:r>
        <w:rPr>
          <w:rStyle w:val="HideTWBExt"/>
        </w:rPr>
        <w:t>&lt;/NumAmB&gt;</w:t>
      </w:r>
    </w:p>
    <w:p w:rsidR="00BC254A" w:rsidRDefault="007914A5">
      <w:pPr>
        <w:pStyle w:val="NormalBold"/>
      </w:pPr>
      <w:r>
        <w:rPr>
          <w:rStyle w:val="HideTWBExt"/>
          <w:b w:val="0"/>
        </w:rPr>
        <w:t>&lt;RepeatBlock-By&gt;&lt;Members&gt;</w:t>
      </w:r>
      <w:r>
        <w:t>Charlie Weimers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1 – Absatz 2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rPr>
                <w:b/>
                <w:i/>
              </w:rPr>
              <w:t>d)</w:t>
            </w:r>
            <w:r>
              <w:tab/>
            </w:r>
            <w:r>
              <w:rPr>
                <w:b/>
                <w:i/>
              </w:rPr>
              <w:t xml:space="preserve">die Erleichterung der Einstellung </w:t>
            </w:r>
            <w:r>
              <w:rPr>
                <w:b/>
                <w:i/>
              </w:rPr>
              <w:t xml:space="preserve">von Arbeitsuchenden aus Drittstaaten, die von einer Fachkräftepartnerschaft </w:t>
            </w:r>
            <w:r>
              <w:rPr>
                <w:b/>
                <w:i/>
              </w:rPr>
              <w:lastRenderedPageBreak/>
              <w:t>profitieren.</w:t>
            </w:r>
          </w:p>
        </w:tc>
        <w:tc>
          <w:tcPr>
            <w:tcW w:w="4876" w:type="dxa"/>
            <w:tcBorders>
              <w:top w:val="nil"/>
              <w:left w:val="nil"/>
              <w:bottom w:val="nil"/>
              <w:right w:val="nil"/>
            </w:tcBorders>
          </w:tcPr>
          <w:p w:rsidR="00BC254A" w:rsidRDefault="007914A5">
            <w:pPr>
              <w:pStyle w:val="Normal6a"/>
            </w:pPr>
            <w:r>
              <w:rPr>
                <w:b/>
                <w:i/>
              </w:rPr>
              <w:lastRenderedPageBreak/>
              <w:t>entfällt</w:t>
            </w:r>
          </w:p>
        </w:tc>
      </w:tr>
    </w:tbl>
    <w:p w:rsidR="00BC254A" w:rsidRDefault="007914A5">
      <w:pPr>
        <w:pStyle w:val="AmOrLang"/>
      </w:pPr>
      <w:r>
        <w:t xml:space="preserve">Or. </w:t>
      </w:r>
      <w:r>
        <w:rPr>
          <w:rStyle w:val="HideTWBExt"/>
        </w:rPr>
        <w:t>&lt;Original&gt;</w:t>
      </w:r>
      <w:r>
        <w:rPr>
          <w:rStyle w:val="HideTWBInt"/>
        </w:rPr>
        <w:t>{SV}</w:t>
      </w:r>
      <w:r>
        <w:t>sv</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319</w:t>
      </w:r>
      <w:r>
        <w:rPr>
          <w:rStyle w:val="HideTWBExt"/>
        </w:rPr>
        <w:t>&lt;/NumAmB&gt;</w:t>
      </w:r>
    </w:p>
    <w:p w:rsidR="00BC254A" w:rsidRDefault="007914A5">
      <w:pPr>
        <w:pStyle w:val="NormalBold"/>
      </w:pPr>
      <w:r>
        <w:rPr>
          <w:rStyle w:val="HideTWBExt"/>
          <w:b w:val="0"/>
        </w:rPr>
        <w:t>&lt;RepeatBlock-By&gt;&lt;Members&gt;</w:t>
      </w:r>
      <w:r>
        <w:t>Javier 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1 – Absatz 2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d)</w:t>
            </w:r>
            <w:r>
              <w:tab/>
              <w:t xml:space="preserve">die Erleichterung der Einstellung von Arbeitsuchenden aus Drittstaaten, die von einer </w:t>
            </w:r>
            <w:r>
              <w:t>Fachkräftepartnerschaft profitieren.</w:t>
            </w:r>
          </w:p>
        </w:tc>
        <w:tc>
          <w:tcPr>
            <w:tcW w:w="4876" w:type="dxa"/>
            <w:tcBorders>
              <w:top w:val="nil"/>
              <w:left w:val="nil"/>
              <w:bottom w:val="nil"/>
              <w:right w:val="nil"/>
            </w:tcBorders>
          </w:tcPr>
          <w:p w:rsidR="00BC254A" w:rsidRDefault="007914A5">
            <w:pPr>
              <w:pStyle w:val="Normal6a"/>
            </w:pPr>
            <w:r>
              <w:t>d)</w:t>
            </w:r>
            <w:r>
              <w:tab/>
              <w:t xml:space="preserve">die Erleichterung der Einstellung von Arbeitsuchenden aus Drittstaaten, die von einer Fachkräftepartnerschaft </w:t>
            </w:r>
            <w:r>
              <w:rPr>
                <w:b/>
                <w:i/>
              </w:rPr>
              <w:t>oder einem nationalen Rahmen für die Entwicklung und Validierung von Kompetenzen in einem Drittland</w:t>
            </w:r>
            <w:r>
              <w:t xml:space="preserve"> profitieren.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320</w:t>
      </w:r>
      <w:r>
        <w:rPr>
          <w:rStyle w:val="HideTWBExt"/>
        </w:rPr>
        <w:t>&lt;/NumAmB&gt;</w:t>
      </w:r>
    </w:p>
    <w:p w:rsidR="00BC254A" w:rsidRDefault="007914A5">
      <w:pPr>
        <w:pStyle w:val="NormalBold"/>
      </w:pPr>
      <w:r>
        <w:rPr>
          <w:rStyle w:val="HideTWBExt"/>
          <w:b w:val="0"/>
        </w:rPr>
        <w:t>&lt;RepeatBlock-By&gt;&lt;Members&gt;</w:t>
      </w:r>
      <w:r>
        <w:t>Tom Vandendriessche, Petra Steger, Jaroslav Bžoch, Fabrice Leggeri, António Tânger Corrêa, Jorge Buxadé Villalba, Marieke Ehlers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1 – Absatz 2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d)</w:t>
            </w:r>
            <w:r>
              <w:tab/>
              <w:t>die Erleichterung der Einstellung von Arbeitsuchenden aus Drittstaaten, die</w:t>
            </w:r>
            <w:r>
              <w:t xml:space="preserve"> von einer Fachkräftepartnerschaft profitieren.</w:t>
            </w:r>
          </w:p>
        </w:tc>
        <w:tc>
          <w:tcPr>
            <w:tcW w:w="4876" w:type="dxa"/>
            <w:tcBorders>
              <w:top w:val="nil"/>
              <w:left w:val="nil"/>
              <w:bottom w:val="nil"/>
              <w:right w:val="nil"/>
            </w:tcBorders>
          </w:tcPr>
          <w:p w:rsidR="00BC254A" w:rsidRDefault="007914A5">
            <w:pPr>
              <w:pStyle w:val="Normal6a"/>
            </w:pPr>
            <w:r>
              <w:t>d)</w:t>
            </w:r>
            <w:r>
              <w:tab/>
              <w:t xml:space="preserve">die Erleichterung der Einstellung von </w:t>
            </w:r>
            <w:r>
              <w:rPr>
                <w:b/>
                <w:i/>
              </w:rPr>
              <w:t>hoch qualifizierten</w:t>
            </w:r>
            <w:r>
              <w:t xml:space="preserve"> Arbeitsuchenden aus Drittstaaten, die von einer Fachkräftepartnerschaft profitieren.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321</w:t>
      </w:r>
      <w:r>
        <w:rPr>
          <w:rStyle w:val="HideTWBExt"/>
        </w:rPr>
        <w:t>&lt;/NumAmB&gt;</w:t>
      </w:r>
    </w:p>
    <w:p w:rsidR="00BC254A" w:rsidRDefault="007914A5">
      <w:pPr>
        <w:pStyle w:val="NormalBold"/>
      </w:pPr>
      <w:r>
        <w:rPr>
          <w:rStyle w:val="HideTWBExt"/>
          <w:b w:val="0"/>
        </w:rPr>
        <w:t>&lt;RepeatBlock-By&gt;&lt;Members&gt;</w:t>
      </w:r>
      <w:r>
        <w:t>Pernando Barrena Arza</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1 – Absatz 2 – Buchstabe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da)</w:t>
            </w:r>
            <w:r>
              <w:tab/>
            </w:r>
            <w:r>
              <w:rPr>
                <w:b/>
                <w:i/>
              </w:rPr>
              <w:t>die Anwendung des Grundsatzes der Gleichbehandlung und der Schutz der Rechte von Arbeitsuchenden, die den EU-Talentpool nutzen, genutzt haben oder über ihn eingestellt worden sind.</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w:t>
      </w:r>
      <w:r>
        <w:t>derungsantrag</w:t>
      </w:r>
      <w:r>
        <w:tab/>
      </w:r>
      <w:r>
        <w:tab/>
      </w:r>
      <w:r>
        <w:rPr>
          <w:rStyle w:val="HideTWBExt"/>
        </w:rPr>
        <w:t>&lt;NumAmB&gt;</w:t>
      </w:r>
      <w:r>
        <w:t>322</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1 – Absatz 2 – Buchstabe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w:t>
            </w:r>
            <w:r>
              <w:t xml:space="preserve">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da)</w:t>
            </w:r>
            <w:r>
              <w:tab/>
            </w:r>
            <w:r>
              <w:rPr>
                <w:b/>
                <w:i/>
              </w:rPr>
              <w:t>der Schutz von Arbeitsuchenden und Arbeitnehmern, die über den EU-Talentpool eingestellt worden sind, und die Anwendung des Grundsatzes der Gleichbehandlung.</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323</w:t>
      </w:r>
      <w:r>
        <w:rPr>
          <w:rStyle w:val="HideTWBExt"/>
        </w:rPr>
        <w:t>&lt;/NumAmB&gt;</w:t>
      </w:r>
    </w:p>
    <w:p w:rsidR="00BC254A" w:rsidRDefault="007914A5">
      <w:pPr>
        <w:pStyle w:val="NormalBold"/>
      </w:pPr>
      <w:r>
        <w:rPr>
          <w:rStyle w:val="HideTWBExt"/>
          <w:b w:val="0"/>
        </w:rPr>
        <w:t>&lt;RepeatBlock-By&gt;&lt;Members&gt;</w:t>
      </w:r>
      <w:r>
        <w:t>Javier 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1 – Absatz 2 – Buchstabe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da)</w:t>
            </w:r>
            <w:r>
              <w:tab/>
            </w:r>
            <w:r>
              <w:rPr>
                <w:b/>
                <w:i/>
              </w:rPr>
              <w:t xml:space="preserve">die </w:t>
            </w:r>
            <w:r>
              <w:rPr>
                <w:b/>
                <w:i/>
              </w:rPr>
              <w:t>Anwendung des Grundsatzes der Gleichbehandlung und der Schutz der Rechte von Arbeitsuchenden, die den EU-Talentpool nutzen oder genutzt haben.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324</w:t>
      </w:r>
      <w:r>
        <w:rPr>
          <w:rStyle w:val="HideTWBExt"/>
        </w:rPr>
        <w:t>&lt;/NumAmB&gt;</w:t>
      </w:r>
    </w:p>
    <w:p w:rsidR="00BC254A" w:rsidRDefault="007914A5">
      <w:pPr>
        <w:pStyle w:val="NormalBold"/>
      </w:pPr>
      <w:r>
        <w:rPr>
          <w:rStyle w:val="HideTWBExt"/>
          <w:b w:val="0"/>
        </w:rPr>
        <w:lastRenderedPageBreak/>
        <w:t>&lt;RepeatBlock-By&gt;</w:t>
      </w:r>
      <w:r>
        <w:rPr>
          <w:rStyle w:val="HideTWBExt"/>
          <w:b w:val="0"/>
        </w:rPr>
        <w: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1 – Absatz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(2a)</w:t>
            </w:r>
            <w:r>
              <w:tab/>
            </w:r>
            <w:r>
              <w:rPr>
                <w:b/>
                <w:i/>
              </w:rPr>
              <w:t xml:space="preserve">Mit dieser Verordnung wird die Rechtsgrundlage für </w:t>
            </w:r>
            <w:r>
              <w:rPr>
                <w:b/>
                <w:i/>
              </w:rPr>
              <w:t>eine benutzerfreundliche Plattform geschaffen, die eine kontinuierliche technische Verbesserung ermöglicht, um die Zusammenarbeit zu fördern und Vertrauen zwischen den Mitgliedstaaten aufzubauen.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w:t>
      </w:r>
      <w:r>
        <w:t>antrag</w:t>
      </w:r>
      <w:r>
        <w:tab/>
      </w:r>
      <w:r>
        <w:tab/>
      </w:r>
      <w:r>
        <w:rPr>
          <w:rStyle w:val="HideTWBExt"/>
        </w:rPr>
        <w:t>&lt;NumAmB&gt;</w:t>
      </w:r>
      <w:r>
        <w:t>325</w:t>
      </w:r>
      <w:r>
        <w:rPr>
          <w:rStyle w:val="HideTWBExt"/>
        </w:rPr>
        <w:t>&lt;/NumAmB&gt;</w:t>
      </w:r>
    </w:p>
    <w:p w:rsidR="00BC254A" w:rsidRDefault="007914A5">
      <w:pPr>
        <w:pStyle w:val="NormalBold"/>
      </w:pPr>
      <w:r>
        <w:rPr>
          <w:rStyle w:val="HideTWBExt"/>
          <w:b w:val="0"/>
        </w:rPr>
        <w:t>&lt;RepeatBlock-By&gt;&lt;Members&gt;</w:t>
      </w:r>
      <w:r>
        <w:t>Johan Danielsson, Evin Incir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2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w:t>
            </w:r>
            <w:r>
              <w:tab/>
            </w:r>
            <w:r>
              <w:t xml:space="preserve">Diese Verordnung gilt für Arbeitsuchende aus Drittstaaten mit Wohnsitz außerhalb der Union und für Arbeitgeber </w:t>
            </w:r>
            <w:r>
              <w:rPr>
                <w:b/>
                <w:i/>
              </w:rPr>
              <w:t>mit</w:t>
            </w:r>
            <w:r>
              <w:t xml:space="preserve"> Sitz in den teilnehmenden Mitgliedstaaten.</w:t>
            </w:r>
          </w:p>
        </w:tc>
        <w:tc>
          <w:tcPr>
            <w:tcW w:w="4876" w:type="dxa"/>
            <w:tcBorders>
              <w:top w:val="nil"/>
              <w:left w:val="nil"/>
              <w:bottom w:val="nil"/>
              <w:right w:val="nil"/>
            </w:tcBorders>
          </w:tcPr>
          <w:p w:rsidR="00BC254A" w:rsidRDefault="007914A5">
            <w:pPr>
              <w:pStyle w:val="Normal6a"/>
            </w:pPr>
            <w:r>
              <w:t>(1)</w:t>
            </w:r>
            <w:r>
              <w:tab/>
              <w:t>Diese Verordnung gilt für Arbeitsuchende aus Drittstaaten mit Wohnsitz außerhalb der Union und</w:t>
            </w:r>
            <w:r>
              <w:t xml:space="preserve"> für Arbeitgeber</w:t>
            </w:r>
            <w:r>
              <w:rPr>
                <w:b/>
                <w:i/>
              </w:rPr>
              <w:t>, die ihren</w:t>
            </w:r>
            <w:r>
              <w:t xml:space="preserve"> Sitz in den teilnehmenden Mitgliedstaaten </w:t>
            </w:r>
            <w:r>
              <w:rPr>
                <w:b/>
                <w:i/>
              </w:rPr>
              <w:t>haben und in erheblichem Umfang Geschäftstätigkeiten in diesem Mitgliedstaat ausüben.</w:t>
            </w:r>
            <w:r>
              <w:t xml:space="preserve"> </w:t>
            </w:r>
            <w:r>
              <w:rPr>
                <w:b/>
                <w:i/>
              </w:rPr>
              <w:t xml:space="preserve">Der EU-Talentpool wird nur dann für Stellenangebote und Einstellungen genutzt, wenn eine freie </w:t>
            </w:r>
            <w:r>
              <w:rPr>
                <w:b/>
                <w:i/>
              </w:rPr>
              <w:t>Stelle nicht über eine Einstellung in der Union mithilfe nationaler Arbeitsvermittlungsdienste oder des EURES-Portals besetzt werden kann</w:t>
            </w:r>
            <w:r>
              <w: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326</w:t>
      </w:r>
      <w:r>
        <w:rPr>
          <w:rStyle w:val="HideTWBExt"/>
        </w:rPr>
        <w:t>&lt;/NumAmB&gt;</w:t>
      </w:r>
    </w:p>
    <w:p w:rsidR="00BC254A" w:rsidRDefault="007914A5">
      <w:pPr>
        <w:pStyle w:val="NormalBold"/>
      </w:pPr>
      <w:r>
        <w:rPr>
          <w:rStyle w:val="HideTWBExt"/>
          <w:b w:val="0"/>
        </w:rPr>
        <w:lastRenderedPageBreak/>
        <w:t>&lt;RepeatBlock-By&gt;&lt;Members&gt;</w:t>
      </w:r>
      <w:r>
        <w:t>Ann</w:t>
      </w:r>
      <w:r>
        <w:t>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2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w:t>
            </w:r>
            <w:r>
              <w:tab/>
              <w:t xml:space="preserve">Diese Verordnung gilt für Arbeitsuchende aus Drittstaaten </w:t>
            </w:r>
            <w:r>
              <w:rPr>
                <w:b/>
                <w:i/>
              </w:rPr>
              <w:t xml:space="preserve">mit Wohnsitz </w:t>
            </w:r>
            <w:r>
              <w:rPr>
                <w:b/>
                <w:i/>
              </w:rPr>
              <w:t>außerhalb</w:t>
            </w:r>
            <w:r>
              <w:t xml:space="preserve"> der Union </w:t>
            </w:r>
            <w:r>
              <w:rPr>
                <w:b/>
                <w:i/>
              </w:rPr>
              <w:t>und für Arbeitgeber mit Sitz in den teilnehmenden Mitgliedstaaten</w:t>
            </w:r>
            <w:r>
              <w:t>.</w:t>
            </w:r>
          </w:p>
        </w:tc>
        <w:tc>
          <w:tcPr>
            <w:tcW w:w="4876" w:type="dxa"/>
            <w:tcBorders>
              <w:top w:val="nil"/>
              <w:left w:val="nil"/>
              <w:bottom w:val="nil"/>
              <w:right w:val="nil"/>
            </w:tcBorders>
          </w:tcPr>
          <w:p w:rsidR="00BC254A" w:rsidRDefault="007914A5">
            <w:pPr>
              <w:pStyle w:val="Normal6a"/>
            </w:pPr>
            <w:r>
              <w:t>(1)</w:t>
            </w:r>
            <w:r>
              <w:tab/>
              <w:t xml:space="preserve">Diese Verordnung gilt für </w:t>
            </w:r>
            <w:r>
              <w:rPr>
                <w:b/>
                <w:i/>
              </w:rPr>
              <w:t>alle Mitgliedstaaten,</w:t>
            </w:r>
            <w:r>
              <w:t xml:space="preserve"> Arbeitsuchende aus Drittstaaten</w:t>
            </w:r>
            <w:r>
              <w:rPr>
                <w:b/>
                <w:i/>
              </w:rPr>
              <w:t>, Arbeitgeber und Vermittler mit Sitz in</w:t>
            </w:r>
            <w:r>
              <w:t xml:space="preserve"> der Union </w:t>
            </w:r>
            <w:r>
              <w:rPr>
                <w:b/>
                <w:i/>
              </w:rPr>
              <w:t>sowie für Plattformen Dritter für d</w:t>
            </w:r>
            <w:r>
              <w:rPr>
                <w:b/>
                <w:i/>
              </w:rPr>
              <w:t>ie Stellenvermittlung, die auf der Plattform betriebene automatische Abgleichalgorithmen anbieten</w:t>
            </w:r>
            <w:r>
              <w: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327</w:t>
      </w:r>
      <w:r>
        <w:rPr>
          <w:rStyle w:val="HideTWBExt"/>
        </w:rPr>
        <w:t>&lt;/NumAmB&gt;</w:t>
      </w:r>
    </w:p>
    <w:p w:rsidR="00BC254A" w:rsidRDefault="007914A5">
      <w:pPr>
        <w:pStyle w:val="NormalBold"/>
      </w:pPr>
      <w:r>
        <w:rPr>
          <w:rStyle w:val="HideTWBExt"/>
          <w:b w:val="0"/>
        </w:rPr>
        <w:t>&lt;RepeatBlock-By&gt;&lt;Members&gt;</w:t>
      </w:r>
      <w:r>
        <w:t xml:space="preserve">Jan-Christoph Oetjen, Abir Al-Sahlani, </w:t>
      </w:r>
      <w:r>
        <w:t>Hilde Vautmans, Irena Joveva,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2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w:t>
            </w:r>
            <w:r>
              <w:tab/>
              <w:t xml:space="preserve">Diese Verordnung gilt für Arbeitsuchende aus </w:t>
            </w:r>
            <w:r>
              <w:t>Drittstaaten mit Wohnsitz außerhalb der Union und für Arbeitgeber mit Sitz in den teilnehmenden Mitgliedstaaten.</w:t>
            </w:r>
          </w:p>
        </w:tc>
        <w:tc>
          <w:tcPr>
            <w:tcW w:w="4876" w:type="dxa"/>
            <w:tcBorders>
              <w:top w:val="nil"/>
              <w:left w:val="nil"/>
              <w:bottom w:val="nil"/>
              <w:right w:val="nil"/>
            </w:tcBorders>
          </w:tcPr>
          <w:p w:rsidR="00BC254A" w:rsidRDefault="007914A5">
            <w:pPr>
              <w:pStyle w:val="Normal6a"/>
            </w:pPr>
            <w:r>
              <w:t>(1)</w:t>
            </w:r>
            <w:r>
              <w:tab/>
              <w:t>Diese Verordnung gilt für Arbeitsuchende aus Drittstaaten mit Wohnsitz außerhalb der Union</w:t>
            </w:r>
            <w:r>
              <w:rPr>
                <w:b/>
                <w:i/>
              </w:rPr>
              <w:t>, und zwar unabhängig von ihrem Qualifikationsniv</w:t>
            </w:r>
            <w:r>
              <w:rPr>
                <w:b/>
                <w:i/>
              </w:rPr>
              <w:t>eau,</w:t>
            </w:r>
            <w:r>
              <w:t xml:space="preserve"> und für Arbeitgeber mit Sitz in den teilnehmenden Mitgliedstaaten.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328</w:t>
      </w:r>
      <w:r>
        <w:rPr>
          <w:rStyle w:val="HideTWBExt"/>
        </w:rPr>
        <w:t>&lt;/NumAmB&gt;</w:t>
      </w:r>
    </w:p>
    <w:p w:rsidR="00BC254A" w:rsidRDefault="007914A5">
      <w:pPr>
        <w:pStyle w:val="NormalBold"/>
      </w:pPr>
      <w:r>
        <w:rPr>
          <w:rStyle w:val="HideTWBExt"/>
          <w:b w:val="0"/>
        </w:rPr>
        <w:t>&lt;RepeatBlock-By&gt;&lt;Members&gt;</w:t>
      </w:r>
      <w:r>
        <w:t>Assita Kanko</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 xml:space="preserve">Vorschlag für eine </w:t>
      </w:r>
      <w:r>
        <w:t>Verordnung</w:t>
      </w:r>
      <w:r>
        <w:rPr>
          <w:rStyle w:val="HideTWBExt"/>
        </w:rPr>
        <w:t>&lt;/DocAmend&gt;</w:t>
      </w:r>
    </w:p>
    <w:p w:rsidR="00BC254A" w:rsidRDefault="007914A5">
      <w:pPr>
        <w:pStyle w:val="NormalBold"/>
      </w:pPr>
      <w:r>
        <w:rPr>
          <w:rStyle w:val="HideTWBExt"/>
        </w:rPr>
        <w:t>&lt;Article&gt;</w:t>
      </w:r>
      <w:r>
        <w:t>Artikel 2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lastRenderedPageBreak/>
              <w:t>(1)</w:t>
            </w:r>
            <w:r>
              <w:tab/>
              <w:t>Diese Verordnung gilt für Arbeitsuchende aus Drittstaaten mit Wohnsitz außerhalb der Union und für Arbeitgeber mit Sitz in den teilnehmenden Mitgl</w:t>
            </w:r>
            <w:r>
              <w:t>iedstaaten.</w:t>
            </w:r>
          </w:p>
        </w:tc>
        <w:tc>
          <w:tcPr>
            <w:tcW w:w="4876" w:type="dxa"/>
            <w:tcBorders>
              <w:top w:val="nil"/>
              <w:left w:val="nil"/>
              <w:bottom w:val="nil"/>
              <w:right w:val="nil"/>
            </w:tcBorders>
          </w:tcPr>
          <w:p w:rsidR="00BC254A" w:rsidRDefault="007914A5">
            <w:pPr>
              <w:pStyle w:val="Normal6a"/>
            </w:pPr>
            <w:r>
              <w:t>(1)</w:t>
            </w:r>
            <w:r>
              <w:tab/>
              <w:t xml:space="preserve">Diese Verordnung gilt für Arbeitsuchende aus Drittstaaten mit Wohnsitz außerhalb der Union und für Arbeitgeber mit Sitz in den teilnehmenden Mitgliedstaaten </w:t>
            </w:r>
            <w:r>
              <w:rPr>
                <w:b/>
                <w:i/>
              </w:rPr>
              <w:t>für deren EU-weite Stellenangebote</w:t>
            </w:r>
            <w:r>
              <w: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329</w:t>
      </w:r>
      <w:r>
        <w:rPr>
          <w:rStyle w:val="HideTWBExt"/>
        </w:rPr>
        <w:t>&lt;/NumAmB&gt;</w:t>
      </w:r>
    </w:p>
    <w:p w:rsidR="00BC254A" w:rsidRDefault="007914A5">
      <w:pPr>
        <w:pStyle w:val="NormalBold"/>
      </w:pPr>
      <w:r>
        <w:rPr>
          <w:rStyle w:val="HideTWBExt"/>
          <w:b w:val="0"/>
        </w:rPr>
        <w:t>&lt;RepeatBlock-By&gt;&lt;Members&gt;</w:t>
      </w:r>
      <w:r>
        <w:t>Javier 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2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w:t>
            </w:r>
            <w:r>
              <w:tab/>
              <w:t xml:space="preserve">Diese Verordnung gilt für Arbeitsuchende aus Drittstaaten mit </w:t>
            </w:r>
            <w:r>
              <w:rPr>
                <w:b/>
                <w:i/>
              </w:rPr>
              <w:t>Wohnsitz außerhalb der Union</w:t>
            </w:r>
            <w:r>
              <w:t xml:space="preserve"> und für Arbeitgeber mit Sitz in den teilnehmenden Mitgliedstaaten.</w:t>
            </w:r>
          </w:p>
        </w:tc>
        <w:tc>
          <w:tcPr>
            <w:tcW w:w="4876" w:type="dxa"/>
            <w:tcBorders>
              <w:top w:val="nil"/>
              <w:left w:val="nil"/>
              <w:bottom w:val="nil"/>
              <w:right w:val="nil"/>
            </w:tcBorders>
          </w:tcPr>
          <w:p w:rsidR="00BC254A" w:rsidRDefault="007914A5">
            <w:pPr>
              <w:pStyle w:val="Normal6a"/>
            </w:pPr>
            <w:r>
              <w:t>(1)</w:t>
            </w:r>
            <w:r>
              <w:tab/>
              <w:t xml:space="preserve">Diese Verordnung gilt für Arbeitsuchende aus Drittstaaten mit </w:t>
            </w:r>
            <w:r>
              <w:rPr>
                <w:b/>
                <w:i/>
              </w:rPr>
              <w:t>den unterschiedlichsten Komp</w:t>
            </w:r>
            <w:r>
              <w:rPr>
                <w:b/>
                <w:i/>
              </w:rPr>
              <w:t>etenzen und Qualifikationen</w:t>
            </w:r>
            <w:r>
              <w:t xml:space="preserve"> und für Arbeitgeber mit Sitz in den teilnehmenden Mitgliedstaaten.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330</w:t>
      </w:r>
      <w:r>
        <w:rPr>
          <w:rStyle w:val="HideTWBExt"/>
        </w:rPr>
        <w:t>&lt;/NumAmB&gt;</w:t>
      </w:r>
    </w:p>
    <w:p w:rsidR="00BC254A" w:rsidRDefault="007914A5">
      <w:pPr>
        <w:pStyle w:val="NormalBold"/>
      </w:pPr>
      <w:r>
        <w:rPr>
          <w:rStyle w:val="HideTWBExt"/>
          <w:b w:val="0"/>
        </w:rPr>
        <w:t>&lt;RepeatBlock-By&gt;&lt;Members&gt;</w:t>
      </w:r>
      <w:r>
        <w:t xml:space="preserve">Tom Vandendriessche, Petra Steger, Jaroslav </w:t>
      </w:r>
      <w:r>
        <w:t>Bžoch, Fabrice Leggeri, António Tânger Corrêa, Jorge Buxadé Villalba, Marieke Ehlers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2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w:t>
            </w:r>
            <w:r>
              <w:tab/>
            </w:r>
            <w:r>
              <w:t>Diese Verordnung gilt für Arbeitsuchende aus Drittstaaten mit Wohnsitz außerhalb der Union und für Arbeitgeber mit Sitz in den teilnehmenden Mitgliedstaaten.</w:t>
            </w:r>
          </w:p>
        </w:tc>
        <w:tc>
          <w:tcPr>
            <w:tcW w:w="4876" w:type="dxa"/>
            <w:tcBorders>
              <w:top w:val="nil"/>
              <w:left w:val="nil"/>
              <w:bottom w:val="nil"/>
              <w:right w:val="nil"/>
            </w:tcBorders>
          </w:tcPr>
          <w:p w:rsidR="00BC254A" w:rsidRDefault="007914A5">
            <w:pPr>
              <w:pStyle w:val="Normal6a"/>
            </w:pPr>
            <w:r>
              <w:t>(1)</w:t>
            </w:r>
            <w:r>
              <w:tab/>
              <w:t xml:space="preserve">Diese Verordnung gilt für </w:t>
            </w:r>
            <w:r>
              <w:rPr>
                <w:b/>
                <w:i/>
              </w:rPr>
              <w:t>hoch qualifizierte</w:t>
            </w:r>
            <w:r>
              <w:t xml:space="preserve"> Arbeitsuchende aus Drittstaaten mit Wohnsitz auße</w:t>
            </w:r>
            <w:r>
              <w:t>rhalb der Union und für Arbeitgeber mit Sitz in den teilnehmenden Mitgliedstaaten.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331</w:t>
      </w:r>
      <w:r>
        <w:rPr>
          <w:rStyle w:val="HideTWBExt"/>
        </w:rPr>
        <w:t>&lt;/NumAmB&gt;</w:t>
      </w:r>
    </w:p>
    <w:p w:rsidR="00BC254A" w:rsidRDefault="007914A5">
      <w:pPr>
        <w:pStyle w:val="NormalBold"/>
      </w:pPr>
      <w:r>
        <w:rPr>
          <w:rStyle w:val="HideTWBExt"/>
          <w:b w:val="0"/>
        </w:rPr>
        <w:lastRenderedPageBreak/>
        <w:t>&lt;RepeatBlock-By&gt;&lt;Members&gt;</w:t>
      </w:r>
      <w:r>
        <w:t>Jan-Christoph Oetjen, Abir Al-Sahlani,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jc w:val="center"/>
            </w:pPr>
            <w:r>
              <w:rPr>
                <w:b/>
                <w:i/>
              </w:rPr>
              <w:t>Artikel 3</w:t>
            </w:r>
            <w:r>
              <w:tab/>
            </w:r>
          </w:p>
        </w:tc>
        <w:tc>
          <w:tcPr>
            <w:tcW w:w="4876" w:type="dxa"/>
            <w:tcBorders>
              <w:top w:val="nil"/>
              <w:left w:val="nil"/>
              <w:bottom w:val="nil"/>
              <w:right w:val="nil"/>
            </w:tcBorders>
          </w:tcPr>
          <w:p w:rsidR="00BC254A" w:rsidRDefault="007914A5">
            <w:pPr>
              <w:pStyle w:val="Normal6a"/>
            </w:pPr>
            <w:r>
              <w:rPr>
                <w:b/>
                <w:i/>
              </w:rPr>
              <w:t>entfällt</w:t>
            </w:r>
          </w:p>
        </w:tc>
      </w:tr>
      <w:tr w:rsidR="00BC254A">
        <w:trPr>
          <w:jc w:val="center"/>
        </w:trPr>
        <w:tc>
          <w:tcPr>
            <w:tcW w:w="4876" w:type="dxa"/>
            <w:tcBorders>
              <w:top w:val="nil"/>
              <w:left w:val="nil"/>
              <w:bottom w:val="nil"/>
              <w:right w:val="nil"/>
            </w:tcBorders>
          </w:tcPr>
          <w:p w:rsidR="00BC254A" w:rsidRDefault="007914A5">
            <w:pPr>
              <w:pStyle w:val="Normal6a"/>
              <w:jc w:val="center"/>
            </w:pPr>
            <w:r>
              <w:rPr>
                <w:b/>
                <w:i/>
              </w:rPr>
              <w:t>Teilnahme</w:t>
            </w:r>
          </w:p>
        </w:tc>
        <w:tc>
          <w:tcPr>
            <w:tcW w:w="4876" w:type="dxa"/>
            <w:tcBorders>
              <w:top w:val="nil"/>
              <w:left w:val="nil"/>
              <w:bottom w:val="nil"/>
              <w:right w:val="nil"/>
            </w:tcBorders>
          </w:tcPr>
          <w:p w:rsidR="00BC254A" w:rsidRDefault="00BC254A">
            <w:pPr>
              <w:pStyle w:val="Normal6a"/>
            </w:pPr>
          </w:p>
        </w:tc>
      </w:tr>
      <w:tr w:rsidR="00BC254A">
        <w:trPr>
          <w:jc w:val="center"/>
        </w:trPr>
        <w:tc>
          <w:tcPr>
            <w:tcW w:w="4876" w:type="dxa"/>
            <w:tcBorders>
              <w:top w:val="nil"/>
              <w:left w:val="nil"/>
              <w:bottom w:val="nil"/>
              <w:right w:val="nil"/>
            </w:tcBorders>
          </w:tcPr>
          <w:p w:rsidR="00BC254A" w:rsidRDefault="007914A5">
            <w:pPr>
              <w:pStyle w:val="Normal6a"/>
            </w:pPr>
            <w:r>
              <w:rPr>
                <w:b/>
                <w:i/>
              </w:rPr>
              <w:t xml:space="preserve">(1) Jeder Mitgliedstaat kann sich jederzeit zu einer Teilnahme am EU-Talentpool </w:t>
            </w:r>
            <w:r>
              <w:rPr>
                <w:b/>
                <w:i/>
              </w:rPr>
              <w:t>entscheiden. Er teilt der Kommission seine Entscheidung spätestens neun Monate vor dem Tag mit, ab dem er eine Teilnahme beabsichtigt. Ab dem ersten Tag der Teilnahme können Stellenangebote von Arbeitgebern mit Sitz in dem betreffenden Mitgliedstaat an die</w:t>
            </w:r>
            <w:r>
              <w:rPr>
                <w:b/>
                <w:i/>
              </w:rPr>
              <w:t xml:space="preserve"> IT-Plattform des EU-Talentpools übermittelt werden.</w:t>
            </w:r>
          </w:p>
        </w:tc>
        <w:tc>
          <w:tcPr>
            <w:tcW w:w="4876" w:type="dxa"/>
            <w:tcBorders>
              <w:top w:val="nil"/>
              <w:left w:val="nil"/>
              <w:bottom w:val="nil"/>
              <w:right w:val="nil"/>
            </w:tcBorders>
          </w:tcPr>
          <w:p w:rsidR="00BC254A" w:rsidRDefault="00BC254A">
            <w:pPr>
              <w:pStyle w:val="Normal6a"/>
            </w:pPr>
          </w:p>
        </w:tc>
      </w:tr>
      <w:tr w:rsidR="00BC254A">
        <w:trPr>
          <w:jc w:val="center"/>
        </w:trPr>
        <w:tc>
          <w:tcPr>
            <w:tcW w:w="4876" w:type="dxa"/>
            <w:tcBorders>
              <w:top w:val="nil"/>
              <w:left w:val="nil"/>
              <w:bottom w:val="nil"/>
              <w:right w:val="nil"/>
            </w:tcBorders>
          </w:tcPr>
          <w:p w:rsidR="00BC254A" w:rsidRDefault="007914A5">
            <w:pPr>
              <w:pStyle w:val="Normal6a"/>
            </w:pPr>
            <w:r>
              <w:rPr>
                <w:b/>
                <w:i/>
              </w:rPr>
              <w:t>(2) Informationen über die teilnehmenden Mitgliedstaaten werden auf der IT-Plattform des EU-Talentpools öffentlich zugänglich gemacht.</w:t>
            </w:r>
          </w:p>
        </w:tc>
        <w:tc>
          <w:tcPr>
            <w:tcW w:w="4876" w:type="dxa"/>
            <w:tcBorders>
              <w:top w:val="nil"/>
              <w:left w:val="nil"/>
              <w:bottom w:val="nil"/>
              <w:right w:val="nil"/>
            </w:tcBorders>
          </w:tcPr>
          <w:p w:rsidR="00BC254A" w:rsidRDefault="00BC254A">
            <w:pPr>
              <w:pStyle w:val="Normal6a"/>
            </w:pP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w:t>
      </w:r>
      <w:r>
        <w:t>g</w:t>
      </w:r>
      <w:r>
        <w:tab/>
      </w:r>
      <w:r>
        <w:tab/>
      </w:r>
      <w:r>
        <w:rPr>
          <w:rStyle w:val="HideTWBExt"/>
        </w:rPr>
        <w:t>&lt;NumAmB&gt;</w:t>
      </w:r>
      <w:r>
        <w:t>332</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jc w:val="center"/>
            </w:pPr>
            <w:r>
              <w:rPr>
                <w:b/>
                <w:i/>
              </w:rPr>
              <w:t>Artikel 3</w:t>
            </w:r>
            <w:r>
              <w:tab/>
            </w:r>
          </w:p>
        </w:tc>
        <w:tc>
          <w:tcPr>
            <w:tcW w:w="4876" w:type="dxa"/>
            <w:tcBorders>
              <w:top w:val="nil"/>
              <w:left w:val="nil"/>
              <w:bottom w:val="nil"/>
              <w:right w:val="nil"/>
            </w:tcBorders>
          </w:tcPr>
          <w:p w:rsidR="00BC254A" w:rsidRDefault="007914A5">
            <w:pPr>
              <w:pStyle w:val="Normal6a"/>
            </w:pPr>
            <w:r>
              <w:rPr>
                <w:b/>
                <w:i/>
              </w:rPr>
              <w:t>entfällt</w:t>
            </w:r>
          </w:p>
        </w:tc>
      </w:tr>
      <w:tr w:rsidR="00BC254A">
        <w:trPr>
          <w:jc w:val="center"/>
        </w:trPr>
        <w:tc>
          <w:tcPr>
            <w:tcW w:w="4876" w:type="dxa"/>
            <w:tcBorders>
              <w:top w:val="nil"/>
              <w:left w:val="nil"/>
              <w:bottom w:val="nil"/>
              <w:right w:val="nil"/>
            </w:tcBorders>
          </w:tcPr>
          <w:p w:rsidR="00BC254A" w:rsidRDefault="007914A5">
            <w:pPr>
              <w:pStyle w:val="Normal6a"/>
              <w:jc w:val="center"/>
            </w:pPr>
            <w:r>
              <w:rPr>
                <w:b/>
                <w:i/>
              </w:rPr>
              <w:t>Teilnahme</w:t>
            </w:r>
          </w:p>
        </w:tc>
        <w:tc>
          <w:tcPr>
            <w:tcW w:w="4876" w:type="dxa"/>
            <w:tcBorders>
              <w:top w:val="nil"/>
              <w:left w:val="nil"/>
              <w:bottom w:val="nil"/>
              <w:right w:val="nil"/>
            </w:tcBorders>
          </w:tcPr>
          <w:p w:rsidR="00BC254A" w:rsidRDefault="00BC254A">
            <w:pPr>
              <w:pStyle w:val="Normal6a"/>
            </w:pPr>
          </w:p>
        </w:tc>
      </w:tr>
      <w:tr w:rsidR="00BC254A">
        <w:trPr>
          <w:jc w:val="center"/>
        </w:trPr>
        <w:tc>
          <w:tcPr>
            <w:tcW w:w="4876" w:type="dxa"/>
            <w:tcBorders>
              <w:top w:val="nil"/>
              <w:left w:val="nil"/>
              <w:bottom w:val="nil"/>
              <w:right w:val="nil"/>
            </w:tcBorders>
          </w:tcPr>
          <w:p w:rsidR="00BC254A" w:rsidRDefault="007914A5">
            <w:pPr>
              <w:pStyle w:val="Normal6a"/>
            </w:pPr>
            <w:r>
              <w:rPr>
                <w:b/>
                <w:i/>
              </w:rPr>
              <w:t xml:space="preserve">(1) </w:t>
            </w:r>
            <w:r>
              <w:rPr>
                <w:b/>
                <w:i/>
              </w:rPr>
              <w:t>Jeder Mitgliedstaat kann sich jederzeit zu einer Teilnahme am EU-Talentpool entscheiden. Er teilt der Kommission seine Entscheidung spätestens neun Monate vor dem Tag mit, ab dem er eine Teilnahme beabsichtigt. Ab dem ersten Tag der Teilnahme können Stelle</w:t>
            </w:r>
            <w:r>
              <w:rPr>
                <w:b/>
                <w:i/>
              </w:rPr>
              <w:t xml:space="preserve">nangebote von Arbeitgebern mit Sitz </w:t>
            </w:r>
            <w:r>
              <w:rPr>
                <w:b/>
                <w:i/>
              </w:rPr>
              <w:lastRenderedPageBreak/>
              <w:t>in dem betreffenden Mitgliedstaat an die IT-Plattform des EU-Talentpools übermittelt werden.</w:t>
            </w:r>
          </w:p>
        </w:tc>
        <w:tc>
          <w:tcPr>
            <w:tcW w:w="4876" w:type="dxa"/>
            <w:tcBorders>
              <w:top w:val="nil"/>
              <w:left w:val="nil"/>
              <w:bottom w:val="nil"/>
              <w:right w:val="nil"/>
            </w:tcBorders>
          </w:tcPr>
          <w:p w:rsidR="00BC254A" w:rsidRDefault="00BC254A">
            <w:pPr>
              <w:pStyle w:val="Normal6a"/>
            </w:pPr>
          </w:p>
        </w:tc>
      </w:tr>
      <w:tr w:rsidR="00BC254A">
        <w:trPr>
          <w:jc w:val="center"/>
        </w:trPr>
        <w:tc>
          <w:tcPr>
            <w:tcW w:w="4876" w:type="dxa"/>
            <w:tcBorders>
              <w:top w:val="nil"/>
              <w:left w:val="nil"/>
              <w:bottom w:val="nil"/>
              <w:right w:val="nil"/>
            </w:tcBorders>
          </w:tcPr>
          <w:p w:rsidR="00BC254A" w:rsidRDefault="007914A5">
            <w:pPr>
              <w:pStyle w:val="Normal6a"/>
            </w:pPr>
            <w:r>
              <w:rPr>
                <w:b/>
                <w:i/>
              </w:rPr>
              <w:t>(2) Informationen über die teilnehmenden Mitgliedstaaten werden auf der IT-Plattform des EU-Talentpools öffentlich zugänglich</w:t>
            </w:r>
            <w:r>
              <w:rPr>
                <w:b/>
                <w:i/>
              </w:rPr>
              <w:t xml:space="preserve"> gemacht.</w:t>
            </w:r>
          </w:p>
        </w:tc>
        <w:tc>
          <w:tcPr>
            <w:tcW w:w="4876" w:type="dxa"/>
            <w:tcBorders>
              <w:top w:val="nil"/>
              <w:left w:val="nil"/>
              <w:bottom w:val="nil"/>
              <w:right w:val="nil"/>
            </w:tcBorders>
          </w:tcPr>
          <w:p w:rsidR="00BC254A" w:rsidRDefault="00BC254A">
            <w:pPr>
              <w:pStyle w:val="Normal6a"/>
            </w:pP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333</w:t>
      </w:r>
      <w:r>
        <w:rPr>
          <w:rStyle w:val="HideTWBExt"/>
        </w:rPr>
        <w:t>&lt;/NumAmB&gt;</w:t>
      </w:r>
    </w:p>
    <w:p w:rsidR="00BC254A" w:rsidRDefault="007914A5">
      <w:pPr>
        <w:pStyle w:val="NormalBold"/>
      </w:pPr>
      <w:r>
        <w:rPr>
          <w:rStyle w:val="HideTWBExt"/>
          <w:b w:val="0"/>
        </w:rPr>
        <w:t>&lt;RepeatBlock-By&gt;&lt;Members&gt;</w:t>
      </w:r>
      <w:r>
        <w:t>Lena Düpont, Tomas Tobé, Alice Teodorescu Måwe</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3 – Überschrift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Teilnahme</w:t>
            </w:r>
          </w:p>
        </w:tc>
        <w:tc>
          <w:tcPr>
            <w:tcW w:w="4876" w:type="dxa"/>
            <w:tcBorders>
              <w:top w:val="nil"/>
              <w:left w:val="nil"/>
              <w:bottom w:val="nil"/>
              <w:right w:val="nil"/>
            </w:tcBorders>
          </w:tcPr>
          <w:p w:rsidR="00BC254A" w:rsidRDefault="007914A5">
            <w:pPr>
              <w:pStyle w:val="Normal6a"/>
            </w:pPr>
            <w:r>
              <w:t>Teilnahme</w:t>
            </w:r>
            <w:r>
              <w:rPr>
                <w:b/>
                <w:i/>
              </w:rPr>
              <w:t>, Beendigung und Einstellung</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334</w:t>
      </w:r>
      <w:r>
        <w:rPr>
          <w:rStyle w:val="HideTWBExt"/>
        </w:rPr>
        <w:t>&lt;/NumAmB&gt;</w:t>
      </w:r>
    </w:p>
    <w:p w:rsidR="00BC254A" w:rsidRDefault="007914A5">
      <w:pPr>
        <w:pStyle w:val="NormalBold"/>
      </w:pPr>
      <w:r>
        <w:rPr>
          <w:rStyle w:val="HideTWBExt"/>
          <w:b w:val="0"/>
        </w:rPr>
        <w:t>&lt;RepeatBlock-By&gt;&lt;Members&gt;</w:t>
      </w:r>
      <w:r>
        <w:t xml:space="preserve">Tomas </w:t>
      </w:r>
      <w:r>
        <w:t>Tobé</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3 – Überschrift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Teilnahme</w:t>
            </w:r>
          </w:p>
        </w:tc>
        <w:tc>
          <w:tcPr>
            <w:tcW w:w="4876" w:type="dxa"/>
            <w:tcBorders>
              <w:top w:val="nil"/>
              <w:left w:val="nil"/>
              <w:bottom w:val="nil"/>
              <w:right w:val="nil"/>
            </w:tcBorders>
          </w:tcPr>
          <w:p w:rsidR="00BC254A" w:rsidRDefault="007914A5">
            <w:pPr>
              <w:pStyle w:val="Normal6a"/>
            </w:pPr>
            <w:r>
              <w:t>Teilnahme</w:t>
            </w:r>
            <w:r>
              <w:rPr>
                <w:b/>
                <w:i/>
              </w:rPr>
              <w:t>, Beendigung und Einstellung</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335</w:t>
      </w:r>
      <w:r>
        <w:rPr>
          <w:rStyle w:val="HideTWBExt"/>
        </w:rPr>
        <w:t>&lt;/NumAmB&gt;</w:t>
      </w:r>
    </w:p>
    <w:p w:rsidR="00BC254A" w:rsidRDefault="007914A5">
      <w:pPr>
        <w:pStyle w:val="NormalBold"/>
      </w:pPr>
      <w:r>
        <w:rPr>
          <w:rStyle w:val="HideTWBExt"/>
          <w:b w:val="0"/>
        </w:rPr>
        <w:t>&lt;RepeatBlock-By&gt;&lt;Members&gt;</w:t>
      </w:r>
      <w:r>
        <w:t>Lena Düpont, Tomas Tobé, Alice Teodorescu Måwe</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3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lastRenderedPageBreak/>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w:t>
            </w:r>
            <w:r>
              <w:tab/>
              <w:t xml:space="preserve">Jeder Mitgliedstaat kann sich jederzeit zu einer Teilnahme am EU-Talentpool entscheiden. Er teilt der Kommission seine Entscheidung spätestens </w:t>
            </w:r>
            <w:r>
              <w:rPr>
                <w:b/>
                <w:i/>
              </w:rPr>
              <w:t>neun</w:t>
            </w:r>
            <w:r>
              <w:t xml:space="preserve"> Monate vor dem Tag mit, ab dem er eine Teilnahme beabsichtigt.</w:t>
            </w:r>
            <w:r>
              <w:t xml:space="preserve"> Ab dem ersten Tag der Teilnahme können Stellenangebote von Arbeitgebern mit Sitz in dem betreffenden Mitgliedstaat an die IT-Plattform des EU-Talentpools übermittelt werden.</w:t>
            </w:r>
          </w:p>
        </w:tc>
        <w:tc>
          <w:tcPr>
            <w:tcW w:w="4876" w:type="dxa"/>
            <w:tcBorders>
              <w:top w:val="nil"/>
              <w:left w:val="nil"/>
              <w:bottom w:val="nil"/>
              <w:right w:val="nil"/>
            </w:tcBorders>
          </w:tcPr>
          <w:p w:rsidR="00BC254A" w:rsidRDefault="007914A5">
            <w:pPr>
              <w:pStyle w:val="Normal6a"/>
            </w:pPr>
            <w:r>
              <w:t>(1)</w:t>
            </w:r>
            <w:r>
              <w:tab/>
            </w:r>
            <w:r>
              <w:t xml:space="preserve">Jeder Mitgliedstaat kann sich jederzeit zu einer Teilnahme am EU-Talentpool entscheiden. </w:t>
            </w:r>
            <w:r>
              <w:rPr>
                <w:b/>
                <w:i/>
              </w:rPr>
              <w:t>Die Teilnahme am Talentpool darf keine Verpflichtung zur Harmonisierung der nationalen Verfahren für die Arbeitskräftemigration oder zur Anerkennung bestimmter Berufsg</w:t>
            </w:r>
            <w:r>
              <w:rPr>
                <w:b/>
                <w:i/>
              </w:rPr>
              <w:t>ruppen nach sich ziehen.</w:t>
            </w:r>
            <w:r>
              <w:t xml:space="preserve"> Er teilt der Kommission seine Entscheidung spätestens </w:t>
            </w:r>
            <w:r>
              <w:rPr>
                <w:b/>
                <w:i/>
              </w:rPr>
              <w:t>sechs</w:t>
            </w:r>
            <w:r>
              <w:t xml:space="preserve"> Monate vor dem Tag mit, ab dem er eine Teilnahme beabsichtigt. Ab dem ersten Tag der Teilnahme können Stellenangebote von Arbeitgebern mit Sitz in dem betreffenden Mitglie</w:t>
            </w:r>
            <w:r>
              <w:t>dstaat an die IT-Plattform des EU-Talentpools übermittelt werden.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336</w:t>
      </w:r>
      <w:r>
        <w:rPr>
          <w:rStyle w:val="HideTWBExt"/>
        </w:rPr>
        <w:t>&lt;/NumAmB&gt;</w:t>
      </w:r>
    </w:p>
    <w:p w:rsidR="00BC254A" w:rsidRDefault="007914A5">
      <w:pPr>
        <w:pStyle w:val="NormalBold"/>
      </w:pPr>
      <w:r>
        <w:rPr>
          <w:rStyle w:val="HideTWBExt"/>
          <w:b w:val="0"/>
        </w:rPr>
        <w:t>&lt;RepeatBlock-By&gt;&lt;Members&gt;</w:t>
      </w:r>
      <w:r>
        <w:t>Charlie Weimers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w:t>
      </w:r>
      <w:r>
        <w:t>ordnung</w:t>
      </w:r>
      <w:r>
        <w:rPr>
          <w:rStyle w:val="HideTWBExt"/>
        </w:rPr>
        <w:t>&lt;/DocAmend&gt;</w:t>
      </w:r>
    </w:p>
    <w:p w:rsidR="00BC254A" w:rsidRDefault="007914A5">
      <w:pPr>
        <w:pStyle w:val="NormalBold"/>
      </w:pPr>
      <w:r>
        <w:rPr>
          <w:rStyle w:val="HideTWBExt"/>
        </w:rPr>
        <w:t>&lt;Article&gt;</w:t>
      </w:r>
      <w:r>
        <w:t>Artikel 3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w:t>
            </w:r>
            <w:r>
              <w:tab/>
              <w:t xml:space="preserve">Jeder Mitgliedstaat kann sich jederzeit zu einer Teilnahme am EU-Talentpool entscheiden. Er teilt der Kommission seine Entscheidung spätestens neun </w:t>
            </w:r>
            <w:r>
              <w:t>Monate vor dem Tag mit, ab dem er eine Teilnahme beabsichtigt. Ab dem ersten Tag der Teilnahme können Stellenangebote von Arbeitgebern mit Sitz in dem betreffenden Mitgliedstaat an die IT-Plattform des EU-Talentpools übermittelt werden.</w:t>
            </w:r>
          </w:p>
        </w:tc>
        <w:tc>
          <w:tcPr>
            <w:tcW w:w="4876" w:type="dxa"/>
            <w:tcBorders>
              <w:top w:val="nil"/>
              <w:left w:val="nil"/>
              <w:bottom w:val="nil"/>
              <w:right w:val="nil"/>
            </w:tcBorders>
          </w:tcPr>
          <w:p w:rsidR="00BC254A" w:rsidRDefault="007914A5">
            <w:pPr>
              <w:pStyle w:val="Normal6a"/>
            </w:pPr>
            <w:r>
              <w:t>(1)</w:t>
            </w:r>
            <w:r>
              <w:tab/>
              <w:t>Jeder Mitglieds</w:t>
            </w:r>
            <w:r>
              <w:t>taat kann sich jederzeit zu einer Teilnahme am EU-Talentpool entscheiden</w:t>
            </w:r>
            <w:r>
              <w:rPr>
                <w:b/>
                <w:i/>
              </w:rPr>
              <w:t>, wenn dieser Staat zu diesem Zweck ein Referendum organisiert hat und das Ergebnis positiv ausgefallen ist; das Referendum wird aus dem EU-Haushalt finanziert</w:t>
            </w:r>
            <w:r>
              <w:t>. Er teilt der Kommission</w:t>
            </w:r>
            <w:r>
              <w:t xml:space="preserve"> seine Entscheidung spätestens neun Monate vor dem Tag mit, ab dem er eine Teilnahme beabsichtigt. Ab dem ersten Tag der Teilnahme können Stellenangebote von Arbeitgebern mit Sitz in dem betreffenden Mitgliedstaat an die IT-Plattform des EU-Talentpools übe</w:t>
            </w:r>
            <w:r>
              <w:t>rmittelt werden.</w:t>
            </w:r>
          </w:p>
        </w:tc>
      </w:tr>
    </w:tbl>
    <w:p w:rsidR="00BC254A" w:rsidRDefault="007914A5">
      <w:pPr>
        <w:pStyle w:val="AmOrLang"/>
      </w:pPr>
      <w:r>
        <w:t xml:space="preserve">Or. </w:t>
      </w:r>
      <w:r>
        <w:rPr>
          <w:rStyle w:val="HideTWBExt"/>
        </w:rPr>
        <w:t>&lt;Original&gt;</w:t>
      </w:r>
      <w:r>
        <w:rPr>
          <w:rStyle w:val="HideTWBInt"/>
        </w:rPr>
        <w:t>{SV}</w:t>
      </w:r>
      <w:r>
        <w:t>sv</w:t>
      </w:r>
      <w:r>
        <w:rPr>
          <w:rStyle w:val="HideTWBExt"/>
        </w:rPr>
        <w:t>&lt;/Original&gt;</w:t>
      </w:r>
    </w:p>
    <w:p w:rsidR="00BC254A" w:rsidRDefault="007914A5">
      <w:r>
        <w:rPr>
          <w:rStyle w:val="HideTWBExt"/>
        </w:rPr>
        <w:lastRenderedPageBreak/>
        <w:t>&lt;/AmendB&gt;</w:t>
      </w:r>
    </w:p>
    <w:p w:rsidR="00BC254A" w:rsidRDefault="007914A5">
      <w:pPr>
        <w:pStyle w:val="AmNumberTabs"/>
      </w:pPr>
      <w:r>
        <w:rPr>
          <w:rStyle w:val="HideTWBExt"/>
        </w:rPr>
        <w:t>&lt;AmendB&gt;</w:t>
      </w:r>
      <w:r>
        <w:t>Änderungsantrag</w:t>
      </w:r>
      <w:r>
        <w:tab/>
      </w:r>
      <w:r>
        <w:tab/>
      </w:r>
      <w:r>
        <w:rPr>
          <w:rStyle w:val="HideTWBExt"/>
        </w:rPr>
        <w:t>&lt;NumAmB&gt;</w:t>
      </w:r>
      <w:r>
        <w:t>337</w:t>
      </w:r>
      <w:r>
        <w:rPr>
          <w:rStyle w:val="HideTWBExt"/>
        </w:rPr>
        <w:t>&lt;/NumAmB&gt;</w:t>
      </w:r>
    </w:p>
    <w:p w:rsidR="00BC254A" w:rsidRDefault="007914A5">
      <w:pPr>
        <w:pStyle w:val="NormalBold"/>
      </w:pPr>
      <w:r>
        <w:rPr>
          <w:rStyle w:val="HideTWBExt"/>
          <w:b w:val="0"/>
        </w:rPr>
        <w:t>&lt;RepeatBlock-By&gt;&lt;Members&gt;</w:t>
      </w:r>
      <w:r>
        <w:t>Pernando Barrena Arza</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 xml:space="preserve">Artikel 3 – </w:t>
      </w:r>
      <w:r>
        <w:t>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w:t>
            </w:r>
            <w:r>
              <w:tab/>
            </w:r>
            <w:r>
              <w:rPr>
                <w:b/>
                <w:i/>
              </w:rPr>
              <w:t>Jeder Mitgliedstaat kann sich jederzeit zu einer Teilnahme</w:t>
            </w:r>
            <w:r>
              <w:t xml:space="preserve"> am EU-Talentpool </w:t>
            </w:r>
            <w:r>
              <w:rPr>
                <w:b/>
                <w:i/>
              </w:rPr>
              <w:t>entscheiden.</w:t>
            </w:r>
            <w:r>
              <w:t xml:space="preserve"> </w:t>
            </w:r>
            <w:r>
              <w:rPr>
                <w:b/>
                <w:i/>
              </w:rPr>
              <w:t xml:space="preserve">Er teilt der Kommission seine Entscheidung spätestens neun Monate vor dem Tag mit, ab dem er eine </w:t>
            </w:r>
            <w:r>
              <w:rPr>
                <w:b/>
                <w:i/>
              </w:rPr>
              <w:t>Teilnahme beabsichtigt</w:t>
            </w:r>
            <w:r>
              <w:t xml:space="preserve">. Ab dem ersten Tag der Teilnahme </w:t>
            </w:r>
            <w:r>
              <w:rPr>
                <w:b/>
                <w:i/>
              </w:rPr>
              <w:t>können</w:t>
            </w:r>
            <w:r>
              <w:t xml:space="preserve"> Stellenangebote von Arbeitgebern mit Sitz in dem betreffenden Mitgliedstaat an die IT-Plattform des EU-Talentpools übermittelt </w:t>
            </w:r>
            <w:r>
              <w:rPr>
                <w:b/>
                <w:i/>
              </w:rPr>
              <w:t>werden</w:t>
            </w:r>
            <w:r>
              <w:t>.</w:t>
            </w:r>
          </w:p>
        </w:tc>
        <w:tc>
          <w:tcPr>
            <w:tcW w:w="4876" w:type="dxa"/>
            <w:tcBorders>
              <w:top w:val="nil"/>
              <w:left w:val="nil"/>
              <w:bottom w:val="nil"/>
              <w:right w:val="nil"/>
            </w:tcBorders>
          </w:tcPr>
          <w:p w:rsidR="00BC254A" w:rsidRDefault="007914A5">
            <w:pPr>
              <w:pStyle w:val="Normal6a"/>
            </w:pPr>
            <w:r>
              <w:t>(1)</w:t>
            </w:r>
            <w:r>
              <w:tab/>
            </w:r>
            <w:r>
              <w:rPr>
                <w:b/>
                <w:i/>
              </w:rPr>
              <w:t>Die Mitgliedstaaten nehmen</w:t>
            </w:r>
            <w:r>
              <w:t xml:space="preserve"> am EU-Talentpool </w:t>
            </w:r>
            <w:r>
              <w:rPr>
                <w:b/>
                <w:i/>
              </w:rPr>
              <w:t>teil</w:t>
            </w:r>
            <w:r>
              <w:t>. Ab d</w:t>
            </w:r>
            <w:r>
              <w:t xml:space="preserve">em ersten Tag der Teilnahme </w:t>
            </w:r>
            <w:r>
              <w:rPr>
                <w:b/>
                <w:i/>
              </w:rPr>
              <w:t>werden</w:t>
            </w:r>
            <w:r>
              <w:t xml:space="preserve"> Stellenangebote von Arbeitgebern mit Sitz in dem betreffenden Mitgliedstaat an die IT-Plattform des EU-Talentpools übermittelt.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338</w:t>
      </w:r>
      <w:r>
        <w:rPr>
          <w:rStyle w:val="HideTWBExt"/>
        </w:rPr>
        <w:t>&lt;/NumAmB&gt;</w:t>
      </w:r>
    </w:p>
    <w:p w:rsidR="00BC254A" w:rsidRDefault="007914A5">
      <w:pPr>
        <w:pStyle w:val="NormalBold"/>
      </w:pPr>
      <w:r>
        <w:rPr>
          <w:rStyle w:val="HideTWBExt"/>
          <w:b w:val="0"/>
        </w:rPr>
        <w:t>&lt;Rep</w:t>
      </w:r>
      <w:r>
        <w:rPr>
          <w:rStyle w:val="HideTWBExt"/>
          <w:b w:val="0"/>
        </w:rPr>
        <w:t>eatBlock-By&gt;&lt;Members&gt;</w:t>
      </w:r>
      <w:r>
        <w:t>Javier 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3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w:t>
            </w:r>
            <w:r>
              <w:tab/>
              <w:t xml:space="preserve">Jeder Mitgliedstaat kann sich jederzeit zu </w:t>
            </w:r>
            <w:r>
              <w:t xml:space="preserve">einer Teilnahme am EU-Talentpool entscheiden. Er teilt der Kommission seine Entscheidung spätestens neun Monate vor dem Tag mit, ab dem er eine Teilnahme beabsichtigt. Ab dem ersten Tag der Teilnahme können Stellenangebote von Arbeitgebern mit Sitz in dem </w:t>
            </w:r>
            <w:r>
              <w:t>betreffenden Mitgliedstaat an die IT-Plattform des EU-Talentpools übermittelt werden.</w:t>
            </w:r>
          </w:p>
        </w:tc>
        <w:tc>
          <w:tcPr>
            <w:tcW w:w="4876" w:type="dxa"/>
            <w:tcBorders>
              <w:top w:val="nil"/>
              <w:left w:val="nil"/>
              <w:bottom w:val="nil"/>
              <w:right w:val="nil"/>
            </w:tcBorders>
          </w:tcPr>
          <w:p w:rsidR="00BC254A" w:rsidRDefault="007914A5">
            <w:pPr>
              <w:pStyle w:val="Normal6a"/>
            </w:pPr>
            <w:r>
              <w:t>(1)</w:t>
            </w:r>
            <w:r>
              <w:tab/>
              <w:t xml:space="preserve">Jeder Mitgliedstaat kann sich </w:t>
            </w:r>
            <w:r>
              <w:rPr>
                <w:b/>
                <w:i/>
              </w:rPr>
              <w:t>nach Konsultation der Sozialpartner</w:t>
            </w:r>
            <w:r>
              <w:t xml:space="preserve"> jederzeit zu einer Teilnahme am EU-Talentpool entscheiden. Er teilt der Kommission seine Entscheidung spätestens neun Monate vor dem Tag mit, ab dem er eine Teilnahme beabsichtigt. Ab dem ersten Tag der Teilnahme können Stellenangebote von Arbeitgebern mi</w:t>
            </w:r>
            <w:r>
              <w:t>t Sitz in dem betreffenden Mitgliedstaat an die IT-Plattform des EU-Talentpools übermittelt werden.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lastRenderedPageBreak/>
        <w:t>&lt;AmendB&gt;</w:t>
      </w:r>
      <w:r>
        <w:t>Änderungsantrag</w:t>
      </w:r>
      <w:r>
        <w:tab/>
      </w:r>
      <w:r>
        <w:tab/>
      </w:r>
      <w:r>
        <w:rPr>
          <w:rStyle w:val="HideTWBExt"/>
        </w:rPr>
        <w:t>&lt;NumAmB&gt;</w:t>
      </w:r>
      <w:r>
        <w:t>339</w:t>
      </w:r>
      <w:r>
        <w:rPr>
          <w:rStyle w:val="HideTWBExt"/>
        </w:rPr>
        <w:t>&lt;/NumAmB&gt;</w:t>
      </w:r>
    </w:p>
    <w:p w:rsidR="00BC254A" w:rsidRDefault="007914A5">
      <w:pPr>
        <w:pStyle w:val="NormalBold"/>
      </w:pPr>
      <w:r>
        <w:rPr>
          <w:rStyle w:val="HideTWBExt"/>
          <w:b w:val="0"/>
        </w:rPr>
        <w:t>&lt;RepeatBlock-By&gt;&lt;Members&gt;</w:t>
      </w:r>
      <w:r>
        <w:t>Nadine Morano</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3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(1)</w:t>
            </w:r>
            <w:r>
              <w:tab/>
              <w:t xml:space="preserve">Jeder Mitgliedstaat kann sich jederzeit zu einer Teilnahme am EU-Talentpool entscheiden. Er teilt der Kommission </w:t>
            </w:r>
            <w:r>
              <w:t>seine Entscheidung spätestens neun Monate vor dem Tag mit, ab dem er eine Teilnahme beabsichtigt. Ab dem ersten Tag der Teilnahme können Stellenangebote von Arbeitgebern mit Sitz in dem betreffenden Mitgliedstaat an die IT-Plattform des EU-Talentpools über</w:t>
            </w:r>
            <w:r>
              <w:t>mittelt werden.</w:t>
            </w:r>
          </w:p>
        </w:tc>
        <w:tc>
          <w:tcPr>
            <w:tcW w:w="4876" w:type="dxa"/>
            <w:tcBorders>
              <w:top w:val="nil"/>
              <w:left w:val="nil"/>
              <w:bottom w:val="nil"/>
              <w:right w:val="nil"/>
            </w:tcBorders>
          </w:tcPr>
          <w:p w:rsidR="00BC254A" w:rsidRDefault="007914A5">
            <w:pPr>
              <w:pStyle w:val="Normal6a"/>
            </w:pPr>
            <w:r>
              <w:t>(1)</w:t>
            </w:r>
            <w:r>
              <w:tab/>
              <w:t xml:space="preserve">Jeder Mitgliedstaat kann sich jederzeit </w:t>
            </w:r>
            <w:r>
              <w:rPr>
                <w:b/>
                <w:i/>
              </w:rPr>
              <w:t>frei</w:t>
            </w:r>
            <w:r>
              <w:t xml:space="preserve"> zu einer Teilnahme am EU-Talentpool entscheiden. Er teilt der Kommission seine Entscheidung spätestens neun Monate vor dem Tag mit, ab dem er eine Teilnahme beabsichtigt. Ab dem ersten Tag de</w:t>
            </w:r>
            <w:r>
              <w:t>r Teilnahme können Stellenangebote von Arbeitgebern mit Sitz in dem betreffenden Mitgliedstaat an die IT-Plattform des EU-Talentpools übermittelt werden.</w:t>
            </w:r>
          </w:p>
        </w:tc>
      </w:tr>
    </w:tbl>
    <w:p w:rsidR="00BC254A" w:rsidRDefault="007914A5">
      <w:pPr>
        <w:pStyle w:val="AmOrLang"/>
      </w:pPr>
      <w:r>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340</w:t>
      </w:r>
      <w:r>
        <w:rPr>
          <w:rStyle w:val="HideTWBExt"/>
        </w:rPr>
        <w:t>&lt;/NumAmB&gt;</w:t>
      </w:r>
    </w:p>
    <w:p w:rsidR="00BC254A" w:rsidRDefault="007914A5">
      <w:pPr>
        <w:pStyle w:val="NormalBold"/>
      </w:pPr>
      <w:r>
        <w:rPr>
          <w:rStyle w:val="HideTWBExt"/>
          <w:b w:val="0"/>
        </w:rPr>
        <w:t>&lt;RepeatBlock-By&gt;&lt;Members&gt;</w:t>
      </w:r>
      <w:r>
        <w:t>Tom Vandendriessche, Petra Steger, Jaroslav Bžoch, Fabrice Leggeri, António Tânger Corrêa, Jorge Buxadé Villalba, Marieke Ehlers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3 – Ab</w:t>
      </w:r>
      <w:r>
        <w:t>satz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(1a)</w:t>
            </w:r>
            <w:r>
              <w:tab/>
            </w:r>
            <w:r>
              <w:rPr>
                <w:b/>
                <w:i/>
              </w:rPr>
              <w:t>Jeder teilnehmende Mitgliedstaat kann sich jederzeit dazu entscheiden, seine Teilnahme am EU-Talentpool zu beenden.</w:t>
            </w:r>
            <w:r>
              <w:t xml:space="preserve"> </w:t>
            </w:r>
            <w:r>
              <w:rPr>
                <w:b/>
                <w:i/>
              </w:rPr>
              <w:t xml:space="preserve">Er teilt der Kommission seinen Beschluss mit dem Tag des </w:t>
            </w:r>
            <w:r>
              <w:rPr>
                <w:b/>
                <w:i/>
              </w:rPr>
              <w:t>Wirksamwerdens der Beendigung mit.</w:t>
            </w:r>
            <w:r>
              <w:t xml:space="preserve"> </w:t>
            </w:r>
            <w:r>
              <w:rPr>
                <w:b/>
                <w:i/>
              </w:rPr>
              <w:t>Ab diesem Tag werden Stellenangebote von Arbeitgebern mit Sitz in dem betreffenden Mitgliedstaat von der IT-Plattform des EU-Talentpools entfernt.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w:t>
      </w:r>
      <w:r>
        <w:rPr>
          <w:rStyle w:val="HideTWBExt"/>
        </w:rPr>
        <w:t>B&gt;</w:t>
      </w:r>
      <w:r>
        <w:t>341</w:t>
      </w:r>
      <w:r>
        <w:rPr>
          <w:rStyle w:val="HideTWBExt"/>
        </w:rPr>
        <w:t>&lt;/NumAmB&gt;</w:t>
      </w:r>
    </w:p>
    <w:p w:rsidR="00BC254A" w:rsidRDefault="007914A5">
      <w:pPr>
        <w:pStyle w:val="NormalBold"/>
      </w:pPr>
      <w:r>
        <w:rPr>
          <w:rStyle w:val="HideTWBExt"/>
          <w:b w:val="0"/>
        </w:rPr>
        <w:lastRenderedPageBreak/>
        <w:t>&lt;RepeatBlock-By&gt;&lt;Members&gt;</w:t>
      </w:r>
      <w:r>
        <w:t>François-Xavier Bellamy</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3 – Absatz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(1a)</w:t>
            </w:r>
            <w:r>
              <w:tab/>
            </w:r>
            <w:r>
              <w:rPr>
                <w:b/>
                <w:i/>
              </w:rPr>
              <w:t>Die Nutzung des</w:t>
            </w:r>
            <w:r>
              <w:rPr>
                <w:b/>
                <w:i/>
              </w:rPr>
              <w:t xml:space="preserve"> Talentpools muss von der Umsetzung aller notwendigen Maßnahmen abhängig gemacht werden, mit denen EU-Arbeitnehmer ausgebildet, die Rückkehr in Mangelberufe gefördert und die Integration von nationalen Arbeitsuchenden in den Arbeitsmarkt verbessert werden </w:t>
            </w:r>
            <w:r>
              <w:rPr>
                <w:b/>
                <w:i/>
              </w:rPr>
              <w:t>sollen.</w:t>
            </w:r>
          </w:p>
        </w:tc>
      </w:tr>
    </w:tbl>
    <w:p w:rsidR="00BC254A" w:rsidRDefault="007914A5">
      <w:pPr>
        <w:pStyle w:val="AmOrLang"/>
      </w:pPr>
      <w:r>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342</w:t>
      </w:r>
      <w:r>
        <w:rPr>
          <w:rStyle w:val="HideTWBExt"/>
        </w:rPr>
        <w:t>&lt;/NumAmB&gt;</w:t>
      </w:r>
    </w:p>
    <w:p w:rsidR="00BC254A" w:rsidRDefault="007914A5">
      <w:pPr>
        <w:pStyle w:val="NormalBold"/>
      </w:pPr>
      <w:r>
        <w:rPr>
          <w:rStyle w:val="HideTWBExt"/>
          <w:b w:val="0"/>
        </w:rPr>
        <w:t>&lt;RepeatBlock-By&gt;&lt;Members&gt;</w:t>
      </w:r>
      <w:r>
        <w:t>Lena Düpont, Tomas Tobé, Alice Teodorescu Måwe</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3 – Absatz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(1a)</w:t>
            </w:r>
            <w:r>
              <w:tab/>
            </w:r>
            <w:r>
              <w:rPr>
                <w:b/>
                <w:i/>
              </w:rPr>
              <w:t>Jeder Mitgliedstaat kann sich jederzeit dazu entscheiden, sich aus dem EU-Talentpool zurückzuziehen.</w:t>
            </w:r>
            <w:r>
              <w:t xml:space="preserve"> </w:t>
            </w:r>
            <w:r>
              <w:rPr>
                <w:b/>
                <w:i/>
              </w:rPr>
              <w:t xml:space="preserve">Er teilt der Kommission seine Entscheidung spätestens </w:t>
            </w:r>
            <w:r>
              <w:rPr>
                <w:b/>
                <w:i/>
              </w:rPr>
              <w:t>drei Monate vor dem Tag mit, an dem er seine Teilnahme zu beenden beabsichtigt.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343</w:t>
      </w:r>
      <w:r>
        <w:rPr>
          <w:rStyle w:val="HideTWBExt"/>
        </w:rPr>
        <w:t>&lt;/NumAmB&gt;</w:t>
      </w:r>
    </w:p>
    <w:p w:rsidR="00BC254A" w:rsidRDefault="007914A5">
      <w:pPr>
        <w:pStyle w:val="NormalBold"/>
      </w:pPr>
      <w:r>
        <w:rPr>
          <w:rStyle w:val="HideTWBExt"/>
          <w:b w:val="0"/>
        </w:rPr>
        <w:t>&lt;RepeatBlock-By&gt;&lt;Members&gt;</w:t>
      </w:r>
      <w:r>
        <w:t>Johan Danielsson, Evin Incir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3 – Absatz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(1a)</w:t>
            </w:r>
            <w:r>
              <w:tab/>
            </w:r>
            <w:r>
              <w:rPr>
                <w:b/>
                <w:i/>
              </w:rPr>
              <w:t xml:space="preserve">Ein teilnehmender Mitgliedstaat kann sich jederzeit dazu entschließen, seine Teilnahme am EU-Talentpool zu </w:t>
            </w:r>
            <w:r>
              <w:rPr>
                <w:b/>
                <w:i/>
              </w:rPr>
              <w:t>beenden.</w:t>
            </w:r>
            <w:r>
              <w:t xml:space="preserve"> </w:t>
            </w:r>
            <w:r>
              <w:rPr>
                <w:b/>
                <w:i/>
              </w:rPr>
              <w:t>Er teilt der Kommission eine solche Entscheidung mindestens sechs Monate vor dem Tag mit, an dem er seine Teilnahme zu beenden beabsichtigt.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344</w:t>
      </w:r>
      <w:r>
        <w:rPr>
          <w:rStyle w:val="HideTWBExt"/>
        </w:rPr>
        <w:t>&lt;/NumAmB&gt;</w:t>
      </w:r>
    </w:p>
    <w:p w:rsidR="00BC254A" w:rsidRDefault="007914A5">
      <w:pPr>
        <w:pStyle w:val="NormalBold"/>
      </w:pPr>
      <w:r>
        <w:rPr>
          <w:rStyle w:val="HideTWBExt"/>
          <w:b w:val="0"/>
        </w:rPr>
        <w:t>&lt;RepeatBlock-By&gt;&lt;</w:t>
      </w:r>
      <w:r>
        <w:rPr>
          <w:rStyle w:val="HideTWBExt"/>
          <w:b w:val="0"/>
        </w:rPr>
        <w:t>Members&gt;</w:t>
      </w:r>
      <w:r>
        <w:t>Lena Düpont, Tomas Tobé, Alice Teodorescu Måwe</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3 – Absatz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(1b)</w:t>
            </w:r>
            <w:r>
              <w:tab/>
            </w:r>
            <w:r>
              <w:rPr>
                <w:b/>
                <w:i/>
              </w:rPr>
              <w:t xml:space="preserve">Die Kommission legt </w:t>
            </w:r>
            <w:r>
              <w:rPr>
                <w:b/>
                <w:i/>
              </w:rPr>
              <w:t>einen Vorschlag zur Einstellung der IT-Plattform des EU-Talentpools und zur Außerkraftsetzung der Verordnung in ihrer Gesamtheit vor, wenn die vorgesehene Mindestteilnehmerzahl von elf Mitgliedstaaten fünf Jahre nach Inkrafttreten der Verordnung nicht erre</w:t>
            </w:r>
            <w:r>
              <w:rPr>
                <w:b/>
                <w:i/>
              </w:rPr>
              <w:t>icht ist oder wenn die anschließende Überwachung und Berichterstattung gemäß den Artikeln 20 und 23 ergibt, dass die Ziele der Verordnung nicht ausreichend erreicht werden und der EU-Talentpool nicht kostenwirksam ist.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w:t>
      </w:r>
      <w:r>
        <w:rPr>
          <w:rStyle w:val="HideTWBExt"/>
        </w:rPr>
        <w:t>endB&gt;</w:t>
      </w:r>
    </w:p>
    <w:p w:rsidR="00BC254A" w:rsidRDefault="007914A5">
      <w:pPr>
        <w:pStyle w:val="AmNumberTabs"/>
      </w:pPr>
      <w:r>
        <w:rPr>
          <w:rStyle w:val="HideTWBExt"/>
        </w:rPr>
        <w:t>&lt;AmendB&gt;</w:t>
      </w:r>
      <w:r>
        <w:t>Änderungsantrag</w:t>
      </w:r>
      <w:r>
        <w:tab/>
      </w:r>
      <w:r>
        <w:tab/>
      </w:r>
      <w:r>
        <w:rPr>
          <w:rStyle w:val="HideTWBExt"/>
        </w:rPr>
        <w:t>&lt;NumAmB&gt;</w:t>
      </w:r>
      <w:r>
        <w:t>345</w:t>
      </w:r>
      <w:r>
        <w:rPr>
          <w:rStyle w:val="HideTWBExt"/>
        </w:rPr>
        <w:t>&lt;/NumAmB&gt;</w:t>
      </w:r>
    </w:p>
    <w:p w:rsidR="00BC254A" w:rsidRDefault="007914A5">
      <w:pPr>
        <w:pStyle w:val="NormalBold"/>
      </w:pPr>
      <w:r>
        <w:rPr>
          <w:rStyle w:val="HideTWBExt"/>
          <w:b w:val="0"/>
        </w:rPr>
        <w:t>&lt;RepeatBlock-By&gt;&lt;Members&gt;</w:t>
      </w:r>
      <w:r>
        <w:t>François-Xavier Bellamy</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3 – Absatz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(1b)</w:t>
            </w:r>
            <w:r>
              <w:tab/>
            </w:r>
            <w:r>
              <w:rPr>
                <w:b/>
                <w:i/>
              </w:rPr>
              <w:t>Der Zugang zum EU-Talentpool für Mitgliedstaaten, die einen hohe Arbeitslosenquote haben, einschließlich unter Migranten, die sich bereits in ihrem Hoheitsgebiet niedergelassen haben, sollte eingeschränkt werden.</w:t>
            </w:r>
          </w:p>
        </w:tc>
      </w:tr>
    </w:tbl>
    <w:p w:rsidR="00BC254A" w:rsidRDefault="007914A5">
      <w:pPr>
        <w:pStyle w:val="AmOrLang"/>
      </w:pPr>
      <w:r>
        <w:t xml:space="preserve">Or. </w:t>
      </w:r>
      <w:r>
        <w:rPr>
          <w:rStyle w:val="HideTWBExt"/>
        </w:rPr>
        <w:t>&lt;Original&gt;</w:t>
      </w:r>
      <w:r>
        <w:rPr>
          <w:rStyle w:val="HideTWBInt"/>
        </w:rPr>
        <w:t>{FR}</w:t>
      </w:r>
      <w:r>
        <w:t>fr</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346</w:t>
      </w:r>
      <w:r>
        <w:rPr>
          <w:rStyle w:val="HideTWBExt"/>
        </w:rPr>
        <w:t>&lt;/NumAmB&gt;</w:t>
      </w:r>
    </w:p>
    <w:p w:rsidR="00BC254A" w:rsidRDefault="007914A5">
      <w:pPr>
        <w:pStyle w:val="NormalBold"/>
      </w:pPr>
      <w:r>
        <w:rPr>
          <w:rStyle w:val="HideTWBExt"/>
          <w:b w:val="0"/>
        </w:rPr>
        <w:t>&lt;RepeatBlock-By&gt;&lt;Members&gt;</w:t>
      </w:r>
      <w:r>
        <w:t>Tomas Tobé</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3 – Absatz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 xml:space="preserve">Vorschlag der </w:t>
            </w:r>
            <w:r>
              <w:t>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(2a)</w:t>
            </w:r>
            <w:r>
              <w:tab/>
            </w:r>
            <w:r>
              <w:rPr>
                <w:b/>
                <w:i/>
              </w:rPr>
              <w:t>Die Kommission legt einen Vorschlag zur Einstellung der IT-Plattform des EU-Talentpools und zur Außerkraftsetzung der Verordnung in ihrer Gesamtheit vor, wenn die vorgesehene Mindestteilnehmerzahl von elf Mitgliedstaaten f</w:t>
            </w:r>
            <w:r>
              <w:rPr>
                <w:b/>
                <w:i/>
              </w:rPr>
              <w:t>ünf Jahre nach Inkrafttreten der Verordnung nicht erreicht ist oder wenn die anschließende Überwachung und Berichterstattung gemäß den Artikeln 20 und 23 ergibt, dass die Ziele der Verordnung nicht ausreichend erreicht werden und der EU-Talentpool nicht ko</w:t>
            </w:r>
            <w:r>
              <w:rPr>
                <w:b/>
                <w:i/>
              </w:rPr>
              <w:t>stenwirksam ist.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347</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4 – Absatz 1</w:t>
      </w:r>
      <w:r>
        <w:t xml:space="preserve"> – Nummer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rPr>
                <w:b/>
                <w:i/>
              </w:rPr>
              <w:t>1.</w:t>
            </w:r>
            <w:r>
              <w:tab/>
            </w:r>
            <w:r>
              <w:rPr>
                <w:b/>
                <w:i/>
              </w:rPr>
              <w:t xml:space="preserve">„teilnehmende Mitgliedstaaten“ bezeichnet die am EU-Talentpool </w:t>
            </w:r>
            <w:r>
              <w:rPr>
                <w:b/>
                <w:i/>
              </w:rPr>
              <w:lastRenderedPageBreak/>
              <w:t>teilnehmenden Mitgliedstaaten;</w:t>
            </w:r>
          </w:p>
        </w:tc>
        <w:tc>
          <w:tcPr>
            <w:tcW w:w="4876" w:type="dxa"/>
            <w:tcBorders>
              <w:top w:val="nil"/>
              <w:left w:val="nil"/>
              <w:bottom w:val="nil"/>
              <w:right w:val="nil"/>
            </w:tcBorders>
          </w:tcPr>
          <w:p w:rsidR="00BC254A" w:rsidRDefault="007914A5">
            <w:pPr>
              <w:pStyle w:val="Normal6a"/>
            </w:pPr>
            <w:r>
              <w:rPr>
                <w:b/>
                <w:i/>
              </w:rPr>
              <w:lastRenderedPageBreak/>
              <w:t>entfällt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348</w:t>
      </w:r>
      <w:r>
        <w:rPr>
          <w:rStyle w:val="HideTWBExt"/>
        </w:rPr>
        <w:t>&lt;/NumAmB&gt;</w:t>
      </w:r>
    </w:p>
    <w:p w:rsidR="00BC254A" w:rsidRDefault="007914A5">
      <w:pPr>
        <w:pStyle w:val="NormalBold"/>
      </w:pPr>
      <w:r>
        <w:rPr>
          <w:rStyle w:val="HideTWBExt"/>
          <w:b w:val="0"/>
        </w:rPr>
        <w:t>&lt;RepeatBlock-By&gt;&lt;Members&gt;</w:t>
      </w:r>
      <w:r>
        <w:t>Jan-Christoph Oetjen, Abir Al-Sahlani,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4 – Absatz 1 – Nummer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rPr>
                <w:b/>
                <w:i/>
              </w:rPr>
              <w:t>1.</w:t>
            </w:r>
            <w:r>
              <w:tab/>
            </w:r>
            <w:r>
              <w:rPr>
                <w:b/>
                <w:i/>
              </w:rPr>
              <w:t>„teilnehmende Mitgliedstaaten“ bezeichnet die am EU-Talentpool teilnehmenden Mitgliedstaaten;</w:t>
            </w:r>
          </w:p>
        </w:tc>
        <w:tc>
          <w:tcPr>
            <w:tcW w:w="4876" w:type="dxa"/>
            <w:tcBorders>
              <w:top w:val="nil"/>
              <w:left w:val="nil"/>
              <w:bottom w:val="nil"/>
              <w:right w:val="nil"/>
            </w:tcBorders>
          </w:tcPr>
          <w:p w:rsidR="00BC254A" w:rsidRDefault="007914A5">
            <w:pPr>
              <w:pStyle w:val="Normal6a"/>
            </w:pPr>
            <w:r>
              <w:rPr>
                <w:b/>
                <w:i/>
              </w:rPr>
              <w:t>entfällt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349</w:t>
      </w:r>
      <w:r>
        <w:rPr>
          <w:rStyle w:val="HideTWBExt"/>
        </w:rPr>
        <w:t>&lt;/NumAmB&gt;</w:t>
      </w:r>
    </w:p>
    <w:p w:rsidR="00BC254A" w:rsidRDefault="007914A5">
      <w:pPr>
        <w:pStyle w:val="NormalBold"/>
      </w:pPr>
      <w:r>
        <w:rPr>
          <w:rStyle w:val="HideTWBExt"/>
          <w:b w:val="0"/>
        </w:rPr>
        <w:t>&lt;RepeatBlock-By&gt;&lt;Members&gt;</w:t>
      </w:r>
      <w:r>
        <w:t>Tom Vandendriessche, Petra Steger,</w:t>
      </w:r>
      <w:r>
        <w:t xml:space="preserve"> Jaroslav Bžoch, Fabrice Leggeri, António Tânger Corrêa, Jorge Buxadé Villalba, Marieke Ehlers</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4 – Absatz 1 – Nummer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w:t>
            </w:r>
            <w:r>
              <w:tab/>
              <w:t xml:space="preserve">„Arbeitsuchender aus einem Drittstaat“ bezeichnet eine Person mit Wohnsitz außerhalb der Union, die nicht Unionsbürger im Sinne des Artikels 20 Absatz 1 AEUV ist </w:t>
            </w:r>
            <w:r>
              <w:rPr>
                <w:b/>
                <w:i/>
              </w:rPr>
              <w:t>und</w:t>
            </w:r>
            <w:r>
              <w:t xml:space="preserve"> in der Union Arbeit sucht;</w:t>
            </w:r>
          </w:p>
        </w:tc>
        <w:tc>
          <w:tcPr>
            <w:tcW w:w="4876" w:type="dxa"/>
            <w:tcBorders>
              <w:top w:val="nil"/>
              <w:left w:val="nil"/>
              <w:bottom w:val="nil"/>
              <w:right w:val="nil"/>
            </w:tcBorders>
          </w:tcPr>
          <w:p w:rsidR="00BC254A" w:rsidRDefault="007914A5">
            <w:pPr>
              <w:pStyle w:val="Normal6a"/>
            </w:pPr>
            <w:r>
              <w:t>2.</w:t>
            </w:r>
            <w:r>
              <w:tab/>
              <w:t>„</w:t>
            </w:r>
            <w:r>
              <w:rPr>
                <w:b/>
                <w:i/>
              </w:rPr>
              <w:t>hoch qualifizierter</w:t>
            </w:r>
            <w:r>
              <w:t xml:space="preserve"> Arbeitsuchender aus einem Drittstaat“ bezeichnet eine Person mit Wohnsitz außerhalb der Union, die nicht Unionsbürger im Sinne des Artikels 20 Absatz 1 AEUV ist</w:t>
            </w:r>
            <w:r>
              <w:rPr>
                <w:b/>
                <w:i/>
              </w:rPr>
              <w:t>,</w:t>
            </w:r>
            <w:r>
              <w:t xml:space="preserve"> in der Union Arbeit sucht </w:t>
            </w:r>
            <w:r>
              <w:rPr>
                <w:b/>
                <w:i/>
              </w:rPr>
              <w:t>und über die erforderlichen Hochschulabschlüsse oder die höheren be</w:t>
            </w:r>
            <w:r>
              <w:rPr>
                <w:b/>
                <w:i/>
              </w:rPr>
              <w:t>ruflichen Fähigkeiten im Sinne des Artikels 2 der Richtlinie (EU) 2021/1883 verfügt</w:t>
            </w:r>
            <w:r>
              <w: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350</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lastRenderedPageBreak/>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4 – Absatz 1 – Nummer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w:t>
            </w:r>
            <w:r>
              <w:tab/>
              <w:t>„Arbeitsuchender aus einem Drittstaat“ bezeichnet eine Person mit Wohnsitz außerhalb der Union, die nicht Unionsbürge</w:t>
            </w:r>
            <w:r>
              <w:t>r im Sinne des Artikels 20 Absatz 1 AEUV ist und in der Union Arbeit sucht;</w:t>
            </w:r>
          </w:p>
        </w:tc>
        <w:tc>
          <w:tcPr>
            <w:tcW w:w="4876" w:type="dxa"/>
            <w:tcBorders>
              <w:top w:val="nil"/>
              <w:left w:val="nil"/>
              <w:bottom w:val="nil"/>
              <w:right w:val="nil"/>
            </w:tcBorders>
          </w:tcPr>
          <w:p w:rsidR="00BC254A" w:rsidRDefault="007914A5">
            <w:pPr>
              <w:pStyle w:val="Normal6a"/>
            </w:pPr>
            <w:r>
              <w:t>2.</w:t>
            </w:r>
            <w:r>
              <w:tab/>
              <w:t xml:space="preserve">„Arbeitsuchender aus einem Drittstaat“ bezeichnet eine </w:t>
            </w:r>
            <w:r>
              <w:rPr>
                <w:b/>
                <w:i/>
              </w:rPr>
              <w:t>gemäß dem nationalen Recht volljährige</w:t>
            </w:r>
            <w:r>
              <w:t xml:space="preserve"> Person mit Wohnsitz </w:t>
            </w:r>
            <w:r>
              <w:rPr>
                <w:b/>
                <w:i/>
              </w:rPr>
              <w:t>inner- oder</w:t>
            </w:r>
            <w:r>
              <w:t xml:space="preserve"> außerhalb der Union, die nicht Unionsbürger im Sinne des Artikels 20 Absatz 1 AEUV ist und in der Union Arbeit sucht;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351</w:t>
      </w:r>
      <w:r>
        <w:rPr>
          <w:rStyle w:val="HideTWBExt"/>
        </w:rPr>
        <w:t>&lt;/NumAmB&gt;</w:t>
      </w:r>
    </w:p>
    <w:p w:rsidR="00BC254A" w:rsidRDefault="007914A5">
      <w:pPr>
        <w:pStyle w:val="NormalBold"/>
      </w:pPr>
      <w:r>
        <w:rPr>
          <w:rStyle w:val="HideTWBExt"/>
          <w:b w:val="0"/>
        </w:rPr>
        <w:t>&lt;RepeatBlock-By&gt;&lt;Members&gt;</w:t>
      </w:r>
      <w:r>
        <w:t>Javier Moreno Sánchez</w:t>
      </w:r>
      <w:r>
        <w:rPr>
          <w:rStyle w:val="HideTWBExt"/>
          <w:b w:val="0"/>
        </w:rPr>
        <w:t>&lt;/</w:t>
      </w:r>
      <w:r>
        <w:rPr>
          <w:rStyle w:val="HideTWBExt"/>
          <w:b w:val="0"/>
        </w:rPr>
        <w: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4 – Absatz 1 – Nummer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2.</w:t>
            </w:r>
            <w:r>
              <w:tab/>
              <w:t xml:space="preserve">„Arbeitsuchender aus einem Drittstaat“ bezeichnet eine Person mit Wohnsitz </w:t>
            </w:r>
            <w:r>
              <w:t>außerhalb der Union, die nicht Unionsbürger im Sinne des Artikels 20 Absatz 1 AEUV ist und in der Union Arbeit sucht;</w:t>
            </w:r>
          </w:p>
        </w:tc>
        <w:tc>
          <w:tcPr>
            <w:tcW w:w="4876" w:type="dxa"/>
            <w:tcBorders>
              <w:top w:val="nil"/>
              <w:left w:val="nil"/>
              <w:bottom w:val="nil"/>
              <w:right w:val="nil"/>
            </w:tcBorders>
          </w:tcPr>
          <w:p w:rsidR="00BC254A" w:rsidRDefault="007914A5">
            <w:pPr>
              <w:pStyle w:val="Normal6a"/>
            </w:pPr>
            <w:r>
              <w:t>2.</w:t>
            </w:r>
            <w:r>
              <w:tab/>
              <w:t xml:space="preserve">„Arbeitsuchender aus einem Drittstaat“ bezeichnet eine </w:t>
            </w:r>
            <w:r>
              <w:rPr>
                <w:b/>
                <w:i/>
              </w:rPr>
              <w:t>natürliche</w:t>
            </w:r>
            <w:r>
              <w:t xml:space="preserve"> Person mit Wohnsitz außerhalb der Union, die nicht Unionsbürger im Si</w:t>
            </w:r>
            <w:r>
              <w:t>nne des Artikels 20 Absatz 1 AEUV ist und in der Union Arbeit sucht;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352</w:t>
      </w:r>
      <w:r>
        <w:rPr>
          <w:rStyle w:val="HideTWBExt"/>
        </w:rPr>
        <w:t>&lt;/NumAmB&gt;</w:t>
      </w:r>
    </w:p>
    <w:p w:rsidR="00BC254A" w:rsidRDefault="007914A5">
      <w:pPr>
        <w:pStyle w:val="NormalBold"/>
      </w:pPr>
      <w:r>
        <w:rPr>
          <w:rStyle w:val="HideTWBExt"/>
          <w:b w:val="0"/>
        </w:rPr>
        <w:t>&lt;RepeatBlock-By&gt;&lt;Members&gt;</w:t>
      </w:r>
      <w:r>
        <w:t>Lena Düpont, Tomas Tobé, Alice Teodorescu Måwe</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4 – Absatz 1 – Nummer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rPr>
                <w:b/>
                <w:i/>
              </w:rPr>
              <w:t>3.</w:t>
            </w:r>
            <w:r>
              <w:tab/>
            </w:r>
            <w:r>
              <w:rPr>
                <w:b/>
                <w:i/>
              </w:rPr>
              <w:t xml:space="preserve">„Arbeitgeber“ bezeichnet jede natürliche oder juristische Person, die in einem </w:t>
            </w:r>
            <w:r>
              <w:rPr>
                <w:b/>
                <w:i/>
              </w:rPr>
              <w:t xml:space="preserve">teilnehmenden Mitgliedstaat </w:t>
            </w:r>
            <w:r>
              <w:rPr>
                <w:b/>
                <w:i/>
              </w:rPr>
              <w:lastRenderedPageBreak/>
              <w:t>ansässig ist, unter deren Leitung oder Aufsicht die Beschäftigung erfolgt, sowie private Arbeitsvermittler, Leiharbeitsunternehmen und Arbeitsmarktvermittler;</w:t>
            </w:r>
          </w:p>
        </w:tc>
        <w:tc>
          <w:tcPr>
            <w:tcW w:w="4876" w:type="dxa"/>
            <w:tcBorders>
              <w:top w:val="nil"/>
              <w:left w:val="nil"/>
              <w:bottom w:val="nil"/>
              <w:right w:val="nil"/>
            </w:tcBorders>
          </w:tcPr>
          <w:p w:rsidR="00BC254A" w:rsidRDefault="007914A5">
            <w:pPr>
              <w:pStyle w:val="Normal6a"/>
            </w:pPr>
            <w:r>
              <w:rPr>
                <w:b/>
                <w:i/>
              </w:rPr>
              <w:lastRenderedPageBreak/>
              <w:t>entfällt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pPr>
        <w:pStyle w:val="AmJustTitle"/>
      </w:pPr>
      <w:r>
        <w:rPr>
          <w:rStyle w:val="HideTWBExt"/>
        </w:rPr>
        <w:t>&lt;TitreJust&gt;</w:t>
      </w:r>
      <w:r>
        <w:t>Begründung</w:t>
      </w:r>
      <w:r>
        <w:rPr>
          <w:rStyle w:val="HideTWBExt"/>
        </w:rPr>
        <w:t>&lt;/Titr</w:t>
      </w:r>
      <w:r>
        <w:rPr>
          <w:rStyle w:val="HideTWBExt"/>
        </w:rPr>
        <w:t>eJust&gt;</w:t>
      </w:r>
    </w:p>
    <w:p w:rsidR="00BC254A" w:rsidRDefault="007914A5">
      <w:pPr>
        <w:pStyle w:val="AmJustText"/>
      </w:pPr>
      <w:r>
        <w:t>Damit nur so viele Änderungsanträge eingereicht werden müssen, wie unbedingt notwendig ist, sollte die hier verwendete Begriffsbestimmung im gesamten Text durchgängig anstelle des Begriffs „Arbeitgeber“ gelten.</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353</w:t>
      </w:r>
      <w:r>
        <w:rPr>
          <w:rStyle w:val="HideTWBExt"/>
        </w:rPr>
        <w:t>&lt;/NumAmB&gt;</w:t>
      </w:r>
    </w:p>
    <w:p w:rsidR="00BC254A" w:rsidRDefault="007914A5">
      <w:pPr>
        <w:pStyle w:val="NormalBold"/>
      </w:pPr>
      <w:r>
        <w:rPr>
          <w:rStyle w:val="HideTWBExt"/>
          <w:b w:val="0"/>
        </w:rPr>
        <w:t>&lt;RepeatBlock-By&gt;&lt;Members&gt;</w:t>
      </w:r>
      <w:r>
        <w:t>Alice Teodorescu Måwe</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4 – Absatz 1 – Nummer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rPr>
                <w:b/>
                <w:i/>
              </w:rPr>
              <w:t>3.</w:t>
            </w:r>
            <w:r>
              <w:tab/>
            </w:r>
            <w:r>
              <w:rPr>
                <w:b/>
                <w:i/>
              </w:rPr>
              <w:t>„Arbeitgeber“ bezeichnet jede natürliche oder juristische Person, die in einem teilnehmenden Mitgliedstaat ansässig ist, unter deren Leitung oder Aufsicht die Beschäftigung erfolgt, sowie private Arbeitsvermittler, Leiharbeitsunternehmen und Arbeitsmarktve</w:t>
            </w:r>
            <w:r>
              <w:rPr>
                <w:b/>
                <w:i/>
              </w:rPr>
              <w:t>rmittler;</w:t>
            </w:r>
          </w:p>
        </w:tc>
        <w:tc>
          <w:tcPr>
            <w:tcW w:w="4876" w:type="dxa"/>
            <w:tcBorders>
              <w:top w:val="nil"/>
              <w:left w:val="nil"/>
              <w:bottom w:val="nil"/>
              <w:right w:val="nil"/>
            </w:tcBorders>
          </w:tcPr>
          <w:p w:rsidR="00BC254A" w:rsidRDefault="007914A5">
            <w:pPr>
              <w:pStyle w:val="Normal6a"/>
            </w:pPr>
            <w:r>
              <w:rPr>
                <w:b/>
                <w:i/>
              </w:rPr>
              <w:t>entfällt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354</w:t>
      </w:r>
      <w:r>
        <w:rPr>
          <w:rStyle w:val="HideTWBExt"/>
        </w:rPr>
        <w:t>&lt;/NumAmB&gt;</w:t>
      </w:r>
    </w:p>
    <w:p w:rsidR="00BC254A" w:rsidRDefault="007914A5">
      <w:pPr>
        <w:pStyle w:val="NormalBold"/>
      </w:pPr>
      <w:r>
        <w:rPr>
          <w:rStyle w:val="HideTWBExt"/>
          <w:b w:val="0"/>
        </w:rPr>
        <w:t>&lt;RepeatBlock-By&gt;&lt;Members&gt;</w:t>
      </w:r>
      <w:r>
        <w:t>Pernando Barrena Arza</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 xml:space="preserve">Artikel 4 – </w:t>
      </w:r>
      <w:r>
        <w:t>Absatz 1 – Nummer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w:t>
            </w:r>
            <w:r>
              <w:tab/>
              <w:t xml:space="preserve">„Arbeitgeber“ bezeichnet </w:t>
            </w:r>
            <w:r>
              <w:rPr>
                <w:b/>
                <w:i/>
              </w:rPr>
              <w:t>jede</w:t>
            </w:r>
            <w:r>
              <w:t xml:space="preserve"> natürliche oder juristische Person, die </w:t>
            </w:r>
            <w:r>
              <w:rPr>
                <w:b/>
                <w:i/>
              </w:rPr>
              <w:t>in einem</w:t>
            </w:r>
            <w:r>
              <w:t xml:space="preserve"> teilnehmenden </w:t>
            </w:r>
            <w:r>
              <w:rPr>
                <w:b/>
                <w:i/>
              </w:rPr>
              <w:t>Mitgliedstaat</w:t>
            </w:r>
            <w:r>
              <w:t xml:space="preserve"> ansässig ist</w:t>
            </w:r>
            <w:r>
              <w:rPr>
                <w:b/>
                <w:i/>
              </w:rPr>
              <w:t>,</w:t>
            </w:r>
            <w:r>
              <w:t xml:space="preserve"> unter </w:t>
            </w:r>
            <w:r>
              <w:rPr>
                <w:b/>
                <w:i/>
              </w:rPr>
              <w:t>deren</w:t>
            </w:r>
            <w:r>
              <w:t xml:space="preserve"> Leitung oder </w:t>
            </w:r>
            <w:r>
              <w:lastRenderedPageBreak/>
              <w:t xml:space="preserve">Aufsicht </w:t>
            </w:r>
            <w:r>
              <w:rPr>
                <w:b/>
                <w:i/>
              </w:rPr>
              <w:t xml:space="preserve">die Beschäftigung </w:t>
            </w:r>
            <w:r>
              <w:rPr>
                <w:b/>
                <w:i/>
              </w:rPr>
              <w:t>erfolgt, sowie private Arbeitsvermittler, Leiharbeitsunternehmen</w:t>
            </w:r>
            <w:r>
              <w:t xml:space="preserve"> und Arbeitsmarktvermittler;</w:t>
            </w:r>
          </w:p>
        </w:tc>
        <w:tc>
          <w:tcPr>
            <w:tcW w:w="4876" w:type="dxa"/>
            <w:tcBorders>
              <w:top w:val="nil"/>
              <w:left w:val="nil"/>
              <w:bottom w:val="nil"/>
              <w:right w:val="nil"/>
            </w:tcBorders>
          </w:tcPr>
          <w:p w:rsidR="00BC254A" w:rsidRDefault="007914A5">
            <w:pPr>
              <w:pStyle w:val="Normal6a"/>
            </w:pPr>
            <w:r>
              <w:lastRenderedPageBreak/>
              <w:t>3.</w:t>
            </w:r>
            <w:r>
              <w:tab/>
              <w:t xml:space="preserve">„Arbeitgeber“ bezeichnet </w:t>
            </w:r>
            <w:r>
              <w:rPr>
                <w:b/>
                <w:i/>
              </w:rPr>
              <w:t>eine</w:t>
            </w:r>
            <w:r>
              <w:t xml:space="preserve"> natürliche oder juristische Person, die </w:t>
            </w:r>
            <w:r>
              <w:rPr>
                <w:b/>
                <w:i/>
              </w:rPr>
              <w:t>ihre wesentlichen Tätigkeiten tatsächlich im Hoheitsgebiet des</w:t>
            </w:r>
            <w:r>
              <w:t xml:space="preserve"> teilnehmenden </w:t>
            </w:r>
            <w:r>
              <w:rPr>
                <w:b/>
                <w:i/>
              </w:rPr>
              <w:lastRenderedPageBreak/>
              <w:t>Mitgliedstaat</w:t>
            </w:r>
            <w:r>
              <w:rPr>
                <w:b/>
                <w:i/>
              </w:rPr>
              <w:t>s ausübt, in dem sie</w:t>
            </w:r>
            <w:r>
              <w:t xml:space="preserve"> ansässig ist </w:t>
            </w:r>
            <w:r>
              <w:rPr>
                <w:b/>
                <w:i/>
              </w:rPr>
              <w:t>und in dem der Arbeitsuchende aus einem Drittstaat</w:t>
            </w:r>
            <w:r>
              <w:t xml:space="preserve"> unter </w:t>
            </w:r>
            <w:r>
              <w:rPr>
                <w:b/>
                <w:i/>
              </w:rPr>
              <w:t>ihrer</w:t>
            </w:r>
            <w:r>
              <w:t xml:space="preserve"> Leitung oder Aufsicht </w:t>
            </w:r>
            <w:r>
              <w:rPr>
                <w:b/>
                <w:i/>
              </w:rPr>
              <w:t>beschäftigt wird;</w:t>
            </w:r>
            <w:r>
              <w:t xml:space="preserve"> </w:t>
            </w:r>
            <w:r>
              <w:rPr>
                <w:b/>
                <w:i/>
              </w:rPr>
              <w:t>Leiharbeitsunternehmen im Sinne von Artikel 3 Absatz 1 Buchstabe b der Richtlinie 2008/104/EG, private Arbeitsvermittle</w:t>
            </w:r>
            <w:r>
              <w:rPr>
                <w:b/>
                <w:i/>
              </w:rPr>
              <w:t>r</w:t>
            </w:r>
            <w:r>
              <w:t xml:space="preserve"> und Arbeitsmarktvermittler </w:t>
            </w:r>
            <w:r>
              <w:rPr>
                <w:b/>
                <w:i/>
              </w:rPr>
              <w:t>sind für die Zwecke dieser Verordnung ausgenommen</w:t>
            </w:r>
            <w:r>
              <w:t>;</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355</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4 – Absatz 1 – Nummer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w:t>
            </w:r>
            <w:r>
              <w:tab/>
              <w:t xml:space="preserve">„Arbeitgeber“ bezeichnet jede natürliche oder juristische Person, die in einem </w:t>
            </w:r>
            <w:r>
              <w:rPr>
                <w:b/>
                <w:i/>
              </w:rPr>
              <w:t>teilnehmenden</w:t>
            </w:r>
            <w:r>
              <w:t xml:space="preserve"> Mitgliedstaat </w:t>
            </w:r>
            <w:r>
              <w:rPr>
                <w:b/>
                <w:i/>
              </w:rPr>
              <w:t xml:space="preserve">ansässig </w:t>
            </w:r>
            <w:r>
              <w:rPr>
                <w:b/>
                <w:i/>
              </w:rPr>
              <w:t>ist,</w:t>
            </w:r>
            <w:r>
              <w:t xml:space="preserve"> unter deren Leitung oder Aufsicht die Beschäftigung erfolgt</w:t>
            </w:r>
            <w:r>
              <w:rPr>
                <w:b/>
                <w:i/>
              </w:rPr>
              <w:t>, sowie private Arbeitsvermittler, Leiharbeitsunternehmen und Arbeitsmarktvermittler</w:t>
            </w:r>
            <w:r>
              <w:t>;</w:t>
            </w:r>
          </w:p>
        </w:tc>
        <w:tc>
          <w:tcPr>
            <w:tcW w:w="4876" w:type="dxa"/>
            <w:tcBorders>
              <w:top w:val="nil"/>
              <w:left w:val="nil"/>
              <w:bottom w:val="nil"/>
              <w:right w:val="nil"/>
            </w:tcBorders>
          </w:tcPr>
          <w:p w:rsidR="00BC254A" w:rsidRDefault="007914A5">
            <w:pPr>
              <w:pStyle w:val="Normal6a"/>
            </w:pPr>
            <w:r>
              <w:t>3.</w:t>
            </w:r>
            <w:r>
              <w:tab/>
              <w:t>„</w:t>
            </w:r>
            <w:r>
              <w:rPr>
                <w:b/>
                <w:i/>
              </w:rPr>
              <w:t>teilnehmender</w:t>
            </w:r>
            <w:r>
              <w:t xml:space="preserve"> Arbeitgeber“ bezeichnet jede natürliche oder juristische Person, die </w:t>
            </w:r>
            <w:r>
              <w:rPr>
                <w:b/>
                <w:i/>
              </w:rPr>
              <w:t>rechtmäßig</w:t>
            </w:r>
            <w:r>
              <w:t xml:space="preserve"> in einem</w:t>
            </w:r>
            <w:r>
              <w:t xml:space="preserve"> Mitgliedstaat </w:t>
            </w:r>
            <w:r>
              <w:rPr>
                <w:b/>
                <w:i/>
              </w:rPr>
              <w:t>tätig ist und</w:t>
            </w:r>
            <w:r>
              <w:t xml:space="preserve"> unter deren Leitung oder Aufsicht die Beschäftigung erfolgt;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356</w:t>
      </w:r>
      <w:r>
        <w:rPr>
          <w:rStyle w:val="HideTWBExt"/>
        </w:rPr>
        <w:t>&lt;/NumAmB&gt;</w:t>
      </w:r>
    </w:p>
    <w:p w:rsidR="00BC254A" w:rsidRDefault="007914A5">
      <w:pPr>
        <w:pStyle w:val="NormalBold"/>
      </w:pPr>
      <w:r>
        <w:rPr>
          <w:rStyle w:val="HideTWBExt"/>
          <w:b w:val="0"/>
        </w:rPr>
        <w:t>&lt;RepeatBlock-By&gt;&lt;Members&gt;</w:t>
      </w:r>
      <w:r>
        <w:t>Johan Danielsson, Evin Incir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4 – Absatz 1 – Nummer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w:t>
            </w:r>
            <w:r>
              <w:tab/>
              <w:t>„Arbeitgeber“ bezeichnet jede natürliche oder juristische Person, die in einem teilnehmen</w:t>
            </w:r>
            <w:r>
              <w:t>den Mitgliedstaat ansässig ist</w:t>
            </w:r>
            <w:r>
              <w:rPr>
                <w:b/>
                <w:i/>
              </w:rPr>
              <w:t xml:space="preserve">, unter deren Leitung oder </w:t>
            </w:r>
            <w:r>
              <w:rPr>
                <w:b/>
                <w:i/>
              </w:rPr>
              <w:lastRenderedPageBreak/>
              <w:t>Aufsicht die Beschäftigung erfolgt, sowie private Arbeitsvermittler, Leiharbeitsunternehmen und Arbeitsmarktvermittler</w:t>
            </w:r>
            <w:r>
              <w:t>;</w:t>
            </w:r>
          </w:p>
        </w:tc>
        <w:tc>
          <w:tcPr>
            <w:tcW w:w="4876" w:type="dxa"/>
            <w:tcBorders>
              <w:top w:val="nil"/>
              <w:left w:val="nil"/>
              <w:bottom w:val="nil"/>
              <w:right w:val="nil"/>
            </w:tcBorders>
          </w:tcPr>
          <w:p w:rsidR="00BC254A" w:rsidRDefault="007914A5">
            <w:pPr>
              <w:pStyle w:val="Normal6a"/>
            </w:pPr>
            <w:r>
              <w:lastRenderedPageBreak/>
              <w:t>3.</w:t>
            </w:r>
            <w:r>
              <w:tab/>
            </w:r>
            <w:r>
              <w:t xml:space="preserve">„Arbeitgeber“ bezeichnet jede natürliche oder juristische Person, die in einem teilnehmenden Mitgliedstaat ansässig ist </w:t>
            </w:r>
            <w:r>
              <w:rPr>
                <w:b/>
                <w:i/>
              </w:rPr>
              <w:t xml:space="preserve">und in dem betreffenden </w:t>
            </w:r>
            <w:r>
              <w:rPr>
                <w:b/>
                <w:i/>
              </w:rPr>
              <w:lastRenderedPageBreak/>
              <w:t>Mitgliedstaat in erheblichem Umfang andere Geschäftstätigkeiten als rein interne Geschäftsführungs- oder Verwalt</w:t>
            </w:r>
            <w:r>
              <w:rPr>
                <w:b/>
                <w:i/>
              </w:rPr>
              <w:t>ungstätigkeiten ausübt und mit einem Arbeitsuchenden aus einem Drittstaat in einem direkten Beschäftigungsverhältnis steht oder beabsichtigt, ein solches Beschäftigungsverhältnis einzugehen</w:t>
            </w:r>
            <w:r>
              <w:t>;</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w:t>
      </w:r>
      <w:r>
        <w:t>g</w:t>
      </w:r>
      <w:r>
        <w:tab/>
      </w:r>
      <w:r>
        <w:tab/>
      </w:r>
      <w:r>
        <w:rPr>
          <w:rStyle w:val="HideTWBExt"/>
        </w:rPr>
        <w:t>&lt;NumAmB&gt;</w:t>
      </w:r>
      <w:r>
        <w:t>357</w:t>
      </w:r>
      <w:r>
        <w:rPr>
          <w:rStyle w:val="HideTWBExt"/>
        </w:rPr>
        <w:t>&lt;/NumAmB&gt;</w:t>
      </w:r>
    </w:p>
    <w:p w:rsidR="00BC254A" w:rsidRDefault="007914A5">
      <w:pPr>
        <w:pStyle w:val="NormalBold"/>
      </w:pPr>
      <w:r>
        <w:rPr>
          <w:rStyle w:val="HideTWBExt"/>
          <w:b w:val="0"/>
        </w:rPr>
        <w:t>&lt;RepeatBlock-By&gt;&lt;Members&gt;</w:t>
      </w:r>
      <w:r>
        <w:t>Javier Moreno Sánchez</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4 – Absatz 1 – Nummer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w:t>
            </w:r>
            <w:r>
              <w:tab/>
            </w:r>
            <w:r>
              <w:t>„Arbeitgeber“ bezeichnet jede natürliche oder juristische Person, die in einem teilnehmenden Mitgliedstaat ansässig ist</w:t>
            </w:r>
            <w:r>
              <w:rPr>
                <w:b/>
                <w:i/>
              </w:rPr>
              <w:t>,</w:t>
            </w:r>
            <w:r>
              <w:t xml:space="preserve"> unter deren Leitung oder Aufsicht die Beschäftigung erfolgt</w:t>
            </w:r>
            <w:r>
              <w:rPr>
                <w:b/>
                <w:i/>
              </w:rPr>
              <w:t>, sowie private Arbeitsvermittler, Leiharbeitsunternehmen und Arbeitsmarktve</w:t>
            </w:r>
            <w:r>
              <w:rPr>
                <w:b/>
                <w:i/>
              </w:rPr>
              <w:t>rmittler</w:t>
            </w:r>
            <w:r>
              <w:t>;</w:t>
            </w:r>
          </w:p>
        </w:tc>
        <w:tc>
          <w:tcPr>
            <w:tcW w:w="4876" w:type="dxa"/>
            <w:tcBorders>
              <w:top w:val="nil"/>
              <w:left w:val="nil"/>
              <w:bottom w:val="nil"/>
              <w:right w:val="nil"/>
            </w:tcBorders>
          </w:tcPr>
          <w:p w:rsidR="00BC254A" w:rsidRDefault="007914A5">
            <w:pPr>
              <w:pStyle w:val="Normal6a"/>
            </w:pPr>
            <w:r>
              <w:t>3.</w:t>
            </w:r>
            <w:r>
              <w:tab/>
              <w:t xml:space="preserve">„Arbeitgeber“ bezeichnet jede natürliche oder juristische Person </w:t>
            </w:r>
            <w:r>
              <w:rPr>
                <w:b/>
                <w:i/>
              </w:rPr>
              <w:t>einschließlich Leiharbeitsunternehmen</w:t>
            </w:r>
            <w:r>
              <w:t xml:space="preserve">, die in einem teilnehmenden Mitgliedstaat ansässig ist </w:t>
            </w:r>
            <w:r>
              <w:rPr>
                <w:b/>
                <w:i/>
              </w:rPr>
              <w:t>und für die oder</w:t>
            </w:r>
            <w:r>
              <w:t xml:space="preserve"> unter deren Leitung oder Aufsicht die Beschäftigung erfolgt;</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358</w:t>
      </w:r>
      <w:r>
        <w:rPr>
          <w:rStyle w:val="HideTWBExt"/>
        </w:rPr>
        <w:t>&lt;/NumAmB&gt;</w:t>
      </w:r>
    </w:p>
    <w:p w:rsidR="00BC254A" w:rsidRDefault="007914A5">
      <w:pPr>
        <w:pStyle w:val="NormalBold"/>
      </w:pPr>
      <w:r>
        <w:rPr>
          <w:rStyle w:val="HideTWBExt"/>
          <w:b w:val="0"/>
        </w:rPr>
        <w:t>&lt;RepeatBlock-By&gt;&lt;Members&gt;</w:t>
      </w:r>
      <w:r>
        <w:t>Jan-Christoph Oetjen, Abir Al-Sahlani, Lucia Yar</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 xml:space="preserve">Artikel 4 </w:t>
      </w:r>
      <w:r>
        <w:t>– Absatz 1 – Nummer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7914A5">
            <w:pPr>
              <w:pStyle w:val="Normal6a"/>
            </w:pPr>
            <w:r>
              <w:t>3.</w:t>
            </w:r>
            <w:r>
              <w:tab/>
              <w:t xml:space="preserve">„Arbeitgeber“ bezeichnet jede natürliche oder juristische Person, die in einem </w:t>
            </w:r>
            <w:r>
              <w:rPr>
                <w:b/>
                <w:i/>
              </w:rPr>
              <w:t>teilnehmenden</w:t>
            </w:r>
            <w:r>
              <w:t xml:space="preserve"> Mitgliedstaat ansässig ist, unter deren Leitung oder Aufsicht die Beschäftigung erfolgt, sowie private Arbeitsvermittler, </w:t>
            </w:r>
            <w:r>
              <w:lastRenderedPageBreak/>
              <w:t>Leiharbeitsunternehmen und Arbeitsmarktvermittler;</w:t>
            </w:r>
          </w:p>
        </w:tc>
        <w:tc>
          <w:tcPr>
            <w:tcW w:w="4876" w:type="dxa"/>
            <w:tcBorders>
              <w:top w:val="nil"/>
              <w:left w:val="nil"/>
              <w:bottom w:val="nil"/>
              <w:right w:val="nil"/>
            </w:tcBorders>
          </w:tcPr>
          <w:p w:rsidR="00BC254A" w:rsidRDefault="007914A5">
            <w:pPr>
              <w:pStyle w:val="Normal6a"/>
            </w:pPr>
            <w:r>
              <w:lastRenderedPageBreak/>
              <w:t>3.</w:t>
            </w:r>
            <w:r>
              <w:tab/>
              <w:t xml:space="preserve">„Arbeitgeber“ bezeichnet jede natürliche oder juristische Person, die in einem </w:t>
            </w:r>
            <w:r>
              <w:t xml:space="preserve">Mitgliedstaat ansässig ist, unter deren Leitung oder Aufsicht die Beschäftigung erfolgt, sowie private Arbeitsvermittler, Leiharbeitsunternehmen </w:t>
            </w:r>
            <w:r>
              <w:lastRenderedPageBreak/>
              <w:t>und Arbeitsmarktvermittler;</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359</w:t>
      </w:r>
      <w:r>
        <w:rPr>
          <w:rStyle w:val="HideTWBExt"/>
        </w:rPr>
        <w:t>&lt;/Nu</w:t>
      </w:r>
      <w:r>
        <w:rPr>
          <w:rStyle w:val="HideTWBExt"/>
        </w:rPr>
        <w:t>mAmB&gt;</w:t>
      </w:r>
    </w:p>
    <w:p w:rsidR="00BC254A" w:rsidRDefault="007914A5">
      <w:pPr>
        <w:pStyle w:val="NormalBold"/>
      </w:pPr>
      <w:r>
        <w:rPr>
          <w:rStyle w:val="HideTWBExt"/>
          <w:b w:val="0"/>
        </w:rPr>
        <w:t>&lt;RepeatBlock-By&gt;&lt;Members&gt;</w:t>
      </w:r>
      <w:r>
        <w:t>Lena Düpont, Tomas Tobé, Alice Teodorescu Måwe</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4 – Absatz 1 – Nummer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 xml:space="preserve">Geänderter </w:t>
            </w:r>
            <w:r>
              <w:t>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(3a)</w:t>
            </w:r>
            <w:r>
              <w:tab/>
            </w:r>
            <w:r>
              <w:rPr>
                <w:b/>
                <w:i/>
              </w:rPr>
              <w:t xml:space="preserve">„teilnehmender Arbeitgeber“ bezeichnet einen Arbeitgeber, dessen Stellenangebote auf der IT-Plattform des EU-Talentpools verfügbar sind und von der nationalen Kontaktstelle des Mitgliedstaats, in dem der Arbeitgeber ansässig ist, übermittelt </w:t>
            </w:r>
            <w:r>
              <w:rPr>
                <w:b/>
                <w:i/>
              </w:rPr>
              <w:t>wurden;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pPr>
        <w:pStyle w:val="AmJustTitle"/>
      </w:pPr>
      <w:r>
        <w:rPr>
          <w:rStyle w:val="HideTWBExt"/>
        </w:rPr>
        <w:t>&lt;TitreJust&gt;</w:t>
      </w:r>
      <w:r>
        <w:t>Begründung</w:t>
      </w:r>
      <w:r>
        <w:rPr>
          <w:rStyle w:val="HideTWBExt"/>
        </w:rPr>
        <w:t>&lt;/TitreJust&gt;</w:t>
      </w:r>
    </w:p>
    <w:p w:rsidR="00BC254A" w:rsidRDefault="007914A5">
      <w:pPr>
        <w:pStyle w:val="AmJustText"/>
      </w:pPr>
      <w:r>
        <w:t>Damit nur so viele Änderungsanträge eingereicht werden müssen, wie unbedingt notwendig ist, sollte die hier verwendete Begriffsbestimmung im gesamten Text durchgängig anstelle des B</w:t>
      </w:r>
      <w:r>
        <w:t>egriffs „Arbeitgeber“ gelten.</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360</w:t>
      </w:r>
      <w:r>
        <w:rPr>
          <w:rStyle w:val="HideTWBExt"/>
        </w:rPr>
        <w:t>&lt;/NumAmB&gt;</w:t>
      </w:r>
    </w:p>
    <w:p w:rsidR="00BC254A" w:rsidRDefault="007914A5">
      <w:pPr>
        <w:pStyle w:val="NormalBold"/>
      </w:pPr>
      <w:r>
        <w:rPr>
          <w:rStyle w:val="HideTWBExt"/>
          <w:b w:val="0"/>
        </w:rPr>
        <w:t>&lt;RepeatBlock-By&gt;&lt;Members&gt;</w:t>
      </w:r>
      <w:r>
        <w:t>Anna Strolenberg</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4 – Absatz 1 – Nummer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(3a)</w:t>
            </w:r>
            <w:r>
              <w:tab/>
            </w:r>
            <w:r>
              <w:rPr>
                <w:b/>
                <w:i/>
              </w:rPr>
              <w:t xml:space="preserve">„Vermittler“ bezeichnet eine private Arbeitsvermittlungsstelle oder einen Arbeitsmarktvermittler, die bzw. der rechtmäßig in einem Mitgliedstaat tätig ist und Dienstleistungen für arbeitsuchende </w:t>
            </w:r>
            <w:r>
              <w:rPr>
                <w:b/>
                <w:i/>
              </w:rPr>
              <w:t xml:space="preserve">Arbeitnehmer und für Arbeitgeber, die Arbeitnehmer einstellen möchten, </w:t>
            </w:r>
            <w:r>
              <w:rPr>
                <w:b/>
                <w:i/>
              </w:rPr>
              <w:lastRenderedPageBreak/>
              <w:t>erbringt;</w:t>
            </w:r>
          </w:p>
        </w:tc>
      </w:tr>
    </w:tbl>
    <w:p w:rsidR="00BC254A" w:rsidRDefault="007914A5">
      <w:pPr>
        <w:pStyle w:val="AmOrLang"/>
      </w:pPr>
      <w:r>
        <w:lastRenderedPageBreak/>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pPr>
        <w:pStyle w:val="AmNumberTabs"/>
      </w:pPr>
      <w:r>
        <w:rPr>
          <w:rStyle w:val="HideTWBExt"/>
        </w:rPr>
        <w:t>&lt;AmendB&gt;</w:t>
      </w:r>
      <w:r>
        <w:t>Änderungsantrag</w:t>
      </w:r>
      <w:r>
        <w:tab/>
      </w:r>
      <w:r>
        <w:tab/>
      </w:r>
      <w:r>
        <w:rPr>
          <w:rStyle w:val="HideTWBExt"/>
        </w:rPr>
        <w:t>&lt;NumAmB&gt;</w:t>
      </w:r>
      <w:r>
        <w:t>361</w:t>
      </w:r>
      <w:r>
        <w:rPr>
          <w:rStyle w:val="HideTWBExt"/>
        </w:rPr>
        <w:t>&lt;/NumAmB&gt;</w:t>
      </w:r>
    </w:p>
    <w:p w:rsidR="00BC254A" w:rsidRDefault="007914A5">
      <w:pPr>
        <w:pStyle w:val="NormalBold"/>
      </w:pPr>
      <w:r>
        <w:rPr>
          <w:rStyle w:val="HideTWBExt"/>
          <w:b w:val="0"/>
        </w:rPr>
        <w:t>&lt;RepeatBlock-By&gt;&lt;Members&gt;</w:t>
      </w:r>
      <w:r>
        <w:t>Alice Teodorescu Måwe</w:t>
      </w:r>
      <w:r>
        <w:rPr>
          <w:rStyle w:val="HideTWBExt"/>
          <w:b w:val="0"/>
        </w:rPr>
        <w:t>&lt;/Members&gt;</w:t>
      </w:r>
    </w:p>
    <w:p w:rsidR="00BC254A" w:rsidRDefault="007914A5">
      <w:pPr>
        <w:pStyle w:val="NormalBold"/>
      </w:pPr>
      <w:r>
        <w:rPr>
          <w:rStyle w:val="HideTWBExt"/>
          <w:b w:val="0"/>
        </w:rPr>
        <w:t>&lt;/RepeatBlock-By&gt;</w:t>
      </w:r>
    </w:p>
    <w:p w:rsidR="00BC254A" w:rsidRDefault="007914A5">
      <w:pPr>
        <w:pStyle w:val="NormalBold"/>
      </w:pPr>
      <w:r>
        <w:rPr>
          <w:rStyle w:val="HideTWBExt"/>
        </w:rPr>
        <w:t>&lt;DocAmend&gt;</w:t>
      </w:r>
      <w:r>
        <w:t>Vorschlag für eine Verordnung</w:t>
      </w:r>
      <w:r>
        <w:rPr>
          <w:rStyle w:val="HideTWBExt"/>
        </w:rPr>
        <w:t>&lt;/DocAmend&gt;</w:t>
      </w:r>
    </w:p>
    <w:p w:rsidR="00BC254A" w:rsidRDefault="007914A5">
      <w:pPr>
        <w:pStyle w:val="NormalBold"/>
      </w:pPr>
      <w:r>
        <w:rPr>
          <w:rStyle w:val="HideTWBExt"/>
        </w:rPr>
        <w:t>&lt;Article&gt;</w:t>
      </w:r>
      <w:r>
        <w:t>Artikel 4 – Absatz 1 – Nummer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254A">
        <w:trPr>
          <w:trHeight w:hRule="exact" w:val="240"/>
          <w:jc w:val="center"/>
        </w:trPr>
        <w:tc>
          <w:tcPr>
            <w:tcW w:w="9752" w:type="dxa"/>
            <w:gridSpan w:val="2"/>
            <w:tcBorders>
              <w:top w:val="nil"/>
              <w:left w:val="nil"/>
              <w:bottom w:val="nil"/>
              <w:right w:val="nil"/>
            </w:tcBorders>
          </w:tcPr>
          <w:p w:rsidR="00BC254A" w:rsidRDefault="00BC254A"/>
        </w:tc>
      </w:tr>
      <w:tr w:rsidR="00BC254A">
        <w:trPr>
          <w:trHeight w:val="240"/>
          <w:jc w:val="center"/>
        </w:trPr>
        <w:tc>
          <w:tcPr>
            <w:tcW w:w="4876" w:type="dxa"/>
            <w:tcBorders>
              <w:top w:val="nil"/>
              <w:left w:val="nil"/>
              <w:bottom w:val="nil"/>
              <w:right w:val="nil"/>
            </w:tcBorders>
          </w:tcPr>
          <w:p w:rsidR="00BC254A" w:rsidRDefault="007914A5">
            <w:pPr>
              <w:pStyle w:val="AmColumnHeading"/>
            </w:pPr>
            <w:r>
              <w:t>Vorschlag der Kommission</w:t>
            </w:r>
          </w:p>
        </w:tc>
        <w:tc>
          <w:tcPr>
            <w:tcW w:w="4876" w:type="dxa"/>
            <w:tcBorders>
              <w:top w:val="nil"/>
              <w:left w:val="nil"/>
              <w:bottom w:val="nil"/>
              <w:right w:val="nil"/>
            </w:tcBorders>
          </w:tcPr>
          <w:p w:rsidR="00BC254A" w:rsidRDefault="007914A5">
            <w:pPr>
              <w:pStyle w:val="AmColumnHeading"/>
            </w:pPr>
            <w:r>
              <w:t>Geänderter Text</w:t>
            </w:r>
          </w:p>
        </w:tc>
      </w:tr>
      <w:tr w:rsidR="00BC254A">
        <w:trPr>
          <w:jc w:val="center"/>
        </w:trPr>
        <w:tc>
          <w:tcPr>
            <w:tcW w:w="4876" w:type="dxa"/>
            <w:tcBorders>
              <w:top w:val="nil"/>
              <w:left w:val="nil"/>
              <w:bottom w:val="nil"/>
              <w:right w:val="nil"/>
            </w:tcBorders>
          </w:tcPr>
          <w:p w:rsidR="00BC254A" w:rsidRDefault="00BC254A">
            <w:pPr>
              <w:pStyle w:val="Normal6a"/>
            </w:pPr>
          </w:p>
        </w:tc>
        <w:tc>
          <w:tcPr>
            <w:tcW w:w="4876" w:type="dxa"/>
            <w:tcBorders>
              <w:top w:val="nil"/>
              <w:left w:val="nil"/>
              <w:bottom w:val="nil"/>
              <w:right w:val="nil"/>
            </w:tcBorders>
          </w:tcPr>
          <w:p w:rsidR="00BC254A" w:rsidRDefault="007914A5">
            <w:pPr>
              <w:pStyle w:val="Normal6a"/>
            </w:pPr>
            <w:r>
              <w:rPr>
                <w:b/>
                <w:i/>
              </w:rPr>
              <w:t>(3a)</w:t>
            </w:r>
            <w:r>
              <w:tab/>
            </w:r>
            <w:r>
              <w:rPr>
                <w:b/>
                <w:i/>
              </w:rPr>
              <w:t xml:space="preserve">„teilnehmender Arbeitgeber“ bezeichnet einen Arbeitgeber, dessen Stellenangebote auf der IT-Plattform des </w:t>
            </w:r>
            <w:r>
              <w:rPr>
                <w:b/>
                <w:i/>
              </w:rPr>
              <w:t>EU-Talentpools verfügbar sind und von der nationalen Kontaktstelle des Mitgliedstaats, in dem der Arbeitgeber ansässig ist, übermittelt wurden;</w:t>
            </w:r>
          </w:p>
        </w:tc>
      </w:tr>
    </w:tbl>
    <w:p w:rsidR="00BC254A" w:rsidRDefault="007914A5">
      <w:pPr>
        <w:pStyle w:val="AmOrLang"/>
      </w:pPr>
      <w:r>
        <w:t xml:space="preserve">Or. </w:t>
      </w:r>
      <w:r>
        <w:rPr>
          <w:rStyle w:val="HideTWBExt"/>
        </w:rPr>
        <w:t>&lt;Original&gt;</w:t>
      </w:r>
      <w:r>
        <w:rPr>
          <w:rStyle w:val="HideTWBInt"/>
        </w:rPr>
        <w:t>{EN}</w:t>
      </w:r>
      <w:r>
        <w:t>en</w:t>
      </w:r>
      <w:r>
        <w:rPr>
          <w:rStyle w:val="HideTWBExt"/>
        </w:rPr>
        <w:t>&lt;/Original&gt;</w:t>
      </w:r>
    </w:p>
    <w:p w:rsidR="00BC254A" w:rsidRDefault="007914A5">
      <w:r>
        <w:rPr>
          <w:rStyle w:val="HideTWBExt"/>
        </w:rPr>
        <w:t>&lt;/AmendB&gt;</w:t>
      </w:r>
    </w:p>
    <w:p w:rsidR="00BC254A" w:rsidRDefault="007914A5">
      <w:r>
        <w:rPr>
          <w:rStyle w:val="HideTWBExt"/>
        </w:rPr>
        <w:t>&lt;/RepeatBlock-AmendB&gt;</w:t>
      </w:r>
    </w:p>
    <w:sectPr w:rsidR="00BC254A" w:rsidSect="00EA2B4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914A5">
      <w:r>
        <w:separator/>
      </w:r>
    </w:p>
  </w:endnote>
  <w:endnote w:type="continuationSeparator" w:id="0">
    <w:p w:rsidR="00000000" w:rsidRDefault="00791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B47" w:rsidRDefault="00EA2B47" w:rsidP="00EA2B47">
    <w:pPr>
      <w:pStyle w:val="EPFooter"/>
    </w:pPr>
    <w:r>
      <w:t>PE</w:t>
    </w:r>
    <w:r w:rsidRPr="00EA2B47">
      <w:rPr>
        <w:rStyle w:val="HideTWBExt"/>
      </w:rPr>
      <w:t>&lt;NoPE&gt;</w:t>
    </w:r>
    <w:r>
      <w:t>768.050</w:t>
    </w:r>
    <w:r w:rsidRPr="00EA2B47">
      <w:rPr>
        <w:rStyle w:val="HideTWBExt"/>
      </w:rPr>
      <w:t>&lt;/NoPE&gt;&lt;Version&gt;</w:t>
    </w:r>
    <w:r>
      <w:t>v01-00</w:t>
    </w:r>
    <w:r w:rsidRPr="00EA2B47">
      <w:rPr>
        <w:rStyle w:val="HideTWBExt"/>
      </w:rPr>
      <w:t>&lt;/Version&gt;</w:t>
    </w:r>
    <w:r>
      <w:tab/>
    </w:r>
    <w:r>
      <w:fldChar w:fldCharType="begin"/>
    </w:r>
    <w:r>
      <w:instrText xml:space="preserve"> PAGE  \* MERGEFORMAT </w:instrText>
    </w:r>
    <w:r>
      <w:fldChar w:fldCharType="separate"/>
    </w:r>
    <w:r w:rsidR="007914A5">
      <w:rPr>
        <w:noProof/>
      </w:rPr>
      <w:t>118</w:t>
    </w:r>
    <w:r>
      <w:fldChar w:fldCharType="end"/>
    </w:r>
    <w:r>
      <w:t>/</w:t>
    </w:r>
    <w:fldSimple w:instr=" NUMPAGES  \* MERGEFORMAT ">
      <w:r w:rsidR="007914A5">
        <w:rPr>
          <w:noProof/>
        </w:rPr>
        <w:t>196</w:t>
      </w:r>
    </w:fldSimple>
    <w:r>
      <w:tab/>
    </w:r>
    <w:r w:rsidRPr="00EA2B47">
      <w:rPr>
        <w:rStyle w:val="HideTWBExt"/>
      </w:rPr>
      <w:t>&lt;PathFdR&gt;</w:t>
    </w:r>
    <w:r w:rsidR="007914A5">
      <w:t>AM\1314134DE.docx</w:t>
    </w:r>
    <w:r w:rsidRPr="00EA2B47">
      <w:rPr>
        <w:rStyle w:val="HideTWBExt"/>
      </w:rPr>
      <w:t>&lt;/PathFdR&gt;</w:t>
    </w:r>
  </w:p>
  <w:p w:rsidR="00BC254A" w:rsidRDefault="00EA2B47" w:rsidP="00EA2B47">
    <w:pPr>
      <w:pStyle w:val="EPFooter2"/>
    </w:pPr>
    <w:r>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B47" w:rsidRDefault="00EA2B47" w:rsidP="00EA2B47">
    <w:pPr>
      <w:pStyle w:val="EPFooter"/>
    </w:pPr>
    <w:r w:rsidRPr="00EA2B47">
      <w:rPr>
        <w:rStyle w:val="HideTWBExt"/>
      </w:rPr>
      <w:t>&lt;PathFdR&gt;</w:t>
    </w:r>
    <w:r w:rsidR="007914A5">
      <w:t>AM\1314134DE.docx</w:t>
    </w:r>
    <w:r w:rsidRPr="00EA2B47">
      <w:rPr>
        <w:rStyle w:val="HideTWBExt"/>
      </w:rPr>
      <w:t>&lt;/PathFdR&gt;</w:t>
    </w:r>
    <w:r>
      <w:tab/>
    </w:r>
    <w:r>
      <w:fldChar w:fldCharType="begin"/>
    </w:r>
    <w:r>
      <w:instrText xml:space="preserve"> PAGE  \* MERGEFORMAT </w:instrText>
    </w:r>
    <w:r>
      <w:fldChar w:fldCharType="separate"/>
    </w:r>
    <w:r w:rsidR="007914A5">
      <w:rPr>
        <w:noProof/>
      </w:rPr>
      <w:t>119</w:t>
    </w:r>
    <w:r>
      <w:fldChar w:fldCharType="end"/>
    </w:r>
    <w:r>
      <w:t>/</w:t>
    </w:r>
    <w:fldSimple w:instr=" NUMPAGES  \* MERGEFORMAT ">
      <w:r w:rsidR="007914A5">
        <w:rPr>
          <w:noProof/>
        </w:rPr>
        <w:t>196</w:t>
      </w:r>
    </w:fldSimple>
    <w:r>
      <w:tab/>
      <w:t>PE</w:t>
    </w:r>
    <w:r w:rsidRPr="00EA2B47">
      <w:rPr>
        <w:rStyle w:val="HideTWBExt"/>
      </w:rPr>
      <w:t>&lt;NoPE&gt;</w:t>
    </w:r>
    <w:r>
      <w:t>768.050</w:t>
    </w:r>
    <w:r w:rsidRPr="00EA2B47">
      <w:rPr>
        <w:rStyle w:val="HideTWBExt"/>
      </w:rPr>
      <w:t>&lt;/NoPE&gt;&lt;Version&gt;</w:t>
    </w:r>
    <w:r>
      <w:t>v01-00</w:t>
    </w:r>
    <w:r w:rsidRPr="00EA2B47">
      <w:rPr>
        <w:rStyle w:val="HideTWBExt"/>
      </w:rPr>
      <w:t>&lt;/Version&gt;</w:t>
    </w:r>
  </w:p>
  <w:p w:rsidR="00BC254A" w:rsidRDefault="00EA2B47" w:rsidP="00EA2B47">
    <w:pPr>
      <w:pStyle w:val="EPFooter2"/>
    </w:pPr>
    <w:r>
      <w:tab/>
    </w:r>
    <w:r>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B47" w:rsidRDefault="00EA2B47" w:rsidP="00EA2B47">
    <w:pPr>
      <w:pStyle w:val="EPFooter"/>
    </w:pPr>
    <w:r w:rsidRPr="00EA2B47">
      <w:rPr>
        <w:rStyle w:val="HideTWBExt"/>
      </w:rPr>
      <w:t>&lt;PathFdR&gt;</w:t>
    </w:r>
    <w:r w:rsidR="007914A5">
      <w:t>AM\1314134DE.docx</w:t>
    </w:r>
    <w:r w:rsidRPr="00EA2B47">
      <w:rPr>
        <w:rStyle w:val="HideTWBExt"/>
      </w:rPr>
      <w:t>&lt;/PathFdR&gt;</w:t>
    </w:r>
    <w:r>
      <w:tab/>
    </w:r>
    <w:r>
      <w:tab/>
      <w:t>PE</w:t>
    </w:r>
    <w:r w:rsidRPr="00EA2B47">
      <w:rPr>
        <w:rStyle w:val="HideTWBExt"/>
      </w:rPr>
      <w:t>&lt;NoPE&gt;</w:t>
    </w:r>
    <w:r>
      <w:t>768.050</w:t>
    </w:r>
    <w:r w:rsidRPr="00EA2B47">
      <w:rPr>
        <w:rStyle w:val="HideTWBExt"/>
      </w:rPr>
      <w:t>&lt;/NoPE&gt;&lt;Version&gt;</w:t>
    </w:r>
    <w:r>
      <w:t>v01-00</w:t>
    </w:r>
    <w:r w:rsidRPr="00EA2B47">
      <w:rPr>
        <w:rStyle w:val="HideTWBExt"/>
      </w:rPr>
      <w:t>&lt;/Version&gt;</w:t>
    </w:r>
  </w:p>
  <w:p w:rsidR="00BC254A" w:rsidRDefault="00EA2B47" w:rsidP="00EA2B47">
    <w:pPr>
      <w:pStyle w:val="EPFooter2"/>
    </w:pPr>
    <w:r>
      <w:t>DE</w:t>
    </w:r>
    <w:r>
      <w:tab/>
    </w:r>
    <w:r w:rsidRPr="00EA2B47">
      <w:rPr>
        <w:b w:val="0"/>
        <w:i/>
        <w:color w:val="C0C0C0"/>
        <w:sz w:val="22"/>
      </w:rPr>
      <w:t>In Vielfalt geeint</w:t>
    </w:r>
    <w:r>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7914A5">
      <w:r>
        <w:separator/>
      </w:r>
    </w:p>
  </w:footnote>
  <w:footnote w:type="continuationSeparator" w:id="0">
    <w:p w:rsidR="00000000" w:rsidRDefault="007914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4A5" w:rsidRDefault="007914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4A5" w:rsidRDefault="007914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4A5" w:rsidRDefault="007914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4"/>
    <w:docVar w:name="TXTLANGUE" w:val="DE"/>
    <w:docVar w:name="TXTLANGUEMIN" w:val="de"/>
    <w:docVar w:name="TXTNRPE" w:val="768.050"/>
    <w:docVar w:name="TXTPEorAP" w:val="PE"/>
    <w:docVar w:name="TXTROUTE" w:val="AM\1314134DE.docx"/>
    <w:docVar w:name="TXTVERSION" w:val="01-00"/>
  </w:docVars>
  <w:rsids>
    <w:rsidRoot w:val="00A77B3E"/>
    <w:rsid w:val="007914A5"/>
    <w:rsid w:val="00A77B3E"/>
    <w:rsid w:val="00BC254A"/>
    <w:rsid w:val="00CA2A55"/>
    <w:rsid w:val="00EA2B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A747BFE"/>
  <w15:docId w15:val="{0ABF1904-CF24-4AE9-8876-75C3C1D67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EA2B47"/>
    <w:pPr>
      <w:tabs>
        <w:tab w:val="center" w:pos="4513"/>
        <w:tab w:val="right" w:pos="9026"/>
      </w:tabs>
    </w:pPr>
  </w:style>
  <w:style w:type="character" w:customStyle="1" w:styleId="HeaderChar">
    <w:name w:val="Header Char"/>
    <w:basedOn w:val="DefaultParagraphFont"/>
    <w:link w:val="Header"/>
    <w:rsid w:val="00EA2B4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196</Pages>
  <Words>49976</Words>
  <Characters>400198</Characters>
  <Application>Microsoft Office Word</Application>
  <DocSecurity>0</DocSecurity>
  <Lines>14822</Lines>
  <Paragraphs>3462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2025-02-28T09:12:00Z</dcterms:created>
  <dcterms:modified xsi:type="dcterms:W3CDTF">2025-02-28T09:12:00Z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1314134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136511</vt:lpwstr>
  </property>
  <property fmtid="{D5CDD505-2E9C-101B-9397-08002B2CF9AE}" pid="7" name="dmxml.render.traceId">
    <vt:lpwstr>67c17aa7c5df4963fe6dafe4578ac118</vt:lpwstr>
  </property>
  <property fmtid="{D5CDD505-2E9C-101B-9397-08002B2CF9AE}" pid="8" name="FooterPath">
    <vt:lpwstr>AM\1314134DE.docx</vt:lpwstr>
  </property>
  <property fmtid="{D5CDD505-2E9C-101B-9397-08002B2CF9AE}" pid="9" name="PE Number">
    <vt:lpwstr>768.050</vt:lpwstr>
  </property>
  <property fmtid="{D5CDD505-2E9C-101B-9397-08002B2CF9AE}" pid="10" name="UID">
    <vt:lpwstr>eu.europa.europarl-DIN1-2025-0000011132_02.00-de-01.00_text-xml</vt:lpwstr>
  </property>
  <property fmtid="{D5CDD505-2E9C-101B-9397-08002B2CF9AE}" pid="11" name="LastEdited with">
    <vt:lpwstr>10.0.1 Build [20250114]</vt:lpwstr>
  </property>
</Properties>
</file>