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Utskottet för medborgerliga fri- och rättigheter samt rättsliga och inrikes frågor</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Inrättande av EU:s talangreserv</w:t>
      </w:r>
      <w:r>
        <w:rPr>
          <w:rStyle w:val="HideTWBExt"/>
        </w:rPr>
        <w:t>&lt;/Titre&gt;</w:t>
      </w:r>
    </w:p>
    <w:p>
      <w:pPr>
        <w:pStyle w:val="CoverNormal"/>
      </w:pPr>
      <w:r>
        <w:rPr>
          <w:rStyle w:val="HideTWBExt"/>
        </w:rPr>
        <w:t>&lt;DocAmend&gt;</w:t>
      </w:r>
      <w:r>
        <w:t>Förslag till förordning</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Ändringsförslag</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lagstiftningsresolution</w:t>
      </w:r>
      <w:r>
        <w:rPr>
          <w:rStyle w:val="HideTWBExt"/>
        </w:rPr>
        <w:t>&lt;/DocAmend&gt;</w:t>
      </w:r>
    </w:p>
    <w:p>
      <w:pPr>
        <w:pStyle w:val="NormalBold"/>
      </w:pPr>
      <w:r>
        <w:rPr>
          <w:rStyle w:val="HideTWBExt"/>
        </w:rPr>
        <w:t>&lt;Article&gt;</w:t>
      </w:r>
      <w:r>
        <w:t>Beaktandeled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lagstiftningsresolution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artikel 79.5 i fördraget om Europeiska unionens funktionssätt,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Ändringsförslag</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lagstiftningsresolution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lagstiftningsresolution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w:t>
            </w:r>
            <w:r>
              <w:rPr>
                <w:b/>
                <w:i/>
              </w:rPr>
              <w:t>antar nedanstående ståndpunkt</w:t>
            </w:r>
            <w:r>
              <w:t xml:space="preserve"> vid första behandlingen.</w:t>
            </w:r>
          </w:p>
        </w:tc>
        <w:tc>
          <w:tcPr>
            <w:tcW w:w="4876" w:type="dxa"/>
            <w:tcBorders>
              <w:top w:val="nil"/>
              <w:left w:val="nil"/>
              <w:bottom w:val="nil"/>
              <w:right w:val="nil"/>
            </w:tcBorders>
          </w:tcPr>
          <w:p>
            <w:pPr>
              <w:pStyle w:val="Normal6a"/>
            </w:pPr>
            <w:r>
              <w:t>1.</w:t>
            </w:r>
            <w:r>
              <w:tab/>
            </w:r>
            <w:r>
              <w:t xml:space="preserve">Europaparlamentet </w:t>
            </w:r>
            <w:r>
              <w:rPr>
                <w:b/>
                <w:i/>
              </w:rPr>
              <w:t>förkastar kommissionens förslag</w:t>
            </w:r>
            <w:r>
              <w:t xml:space="preserve"> vid första behandlingen.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Ändringsförslag</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lagstiftningsresolution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lagstiftningsresolution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w:t>
            </w:r>
            <w:r>
              <w:rPr>
                <w:b/>
                <w:i/>
              </w:rPr>
              <w:t>antar nedanstående ståndpunkt vid första behandlingen</w:t>
            </w:r>
            <w:r>
              <w:t>.</w:t>
            </w:r>
          </w:p>
        </w:tc>
        <w:tc>
          <w:tcPr>
            <w:tcW w:w="4876" w:type="dxa"/>
            <w:tcBorders>
              <w:top w:val="nil"/>
              <w:left w:val="nil"/>
              <w:bottom w:val="nil"/>
              <w:right w:val="nil"/>
            </w:tcBorders>
          </w:tcPr>
          <w:p>
            <w:pPr>
              <w:pStyle w:val="Normal6a"/>
            </w:pPr>
            <w:r>
              <w:t>1.</w:t>
            </w:r>
            <w:r>
              <w:tab/>
            </w:r>
            <w:r>
              <w:t xml:space="preserve">Europaparlamentet </w:t>
            </w:r>
            <w:r>
              <w:rPr>
                <w:b/>
                <w:i/>
              </w:rPr>
              <w:t>avvisar förslaget i sin helhet</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Ändringsförslag</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lagstiftningsresolution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lagstiftningsresolution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uppmanar kommissionen att </w:t>
            </w:r>
            <w:r>
              <w:rPr>
                <w:b/>
                <w:i/>
              </w:rPr>
              <w:t>på nytt</w:t>
            </w:r>
            <w:r>
              <w:t xml:space="preserve"> lägga fram </w:t>
            </w:r>
            <w:r>
              <w:rPr>
                <w:b/>
                <w:i/>
              </w:rPr>
              <w:t>ärendet för parlamentet om den ersätter, väsentligt ändrar eller har för avsikt att väsentligt ändra sitt förslag</w:t>
            </w:r>
            <w:r>
              <w:t>.</w:t>
            </w:r>
          </w:p>
        </w:tc>
        <w:tc>
          <w:tcPr>
            <w:tcW w:w="4876" w:type="dxa"/>
            <w:tcBorders>
              <w:top w:val="nil"/>
              <w:left w:val="nil"/>
              <w:bottom w:val="nil"/>
              <w:right w:val="nil"/>
            </w:tcBorders>
          </w:tcPr>
          <w:p>
            <w:pPr>
              <w:pStyle w:val="Normal6a"/>
            </w:pPr>
            <w:r>
              <w:t>2.</w:t>
            </w:r>
            <w:r>
              <w:tab/>
            </w:r>
            <w:r>
              <w:t xml:space="preserve">Europaparlamentet uppmanar kommissionen att </w:t>
            </w:r>
            <w:r>
              <w:rPr>
                <w:b/>
                <w:i/>
              </w:rPr>
              <w:t>respektera medlemsstaternas befogenheter och därför avstå från att</w:t>
            </w:r>
            <w:r>
              <w:t xml:space="preserve"> lägga fram </w:t>
            </w:r>
            <w:r>
              <w:rPr>
                <w:b/>
                <w:i/>
              </w:rPr>
              <w:t>något lagstiftningsförslag om inrättande av en rättslig grund för att uppmuntra invandring till unionen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Ändringsförslag</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Det råder brist i unionen och enskilda medlemsstater inom ett stort antal sektorer och yrken, bland annat de som är relevanta för den gröna och den digitala omställningen.</w:t>
            </w:r>
            <w:r>
              <w:t xml:space="preserve"> </w:t>
            </w:r>
            <w:r>
              <w:rPr>
                <w:b/>
                <w:i/>
              </w:rPr>
              <w:t>Bristen i byggbranschen, hälso- och sjukvården, besöksnäringen, transportsektorn och sektorn för informations- och kommunikationsteknik samt inom naturvetenskap, teknik, ingenjörsvetenskap och matematik har varit omfattande redan en längre tid och har förvärrats av covid-19-pandemin och den accelererande dubbla omställningen.</w:t>
            </w:r>
            <w:r>
              <w:t xml:space="preserve"> </w:t>
            </w:r>
            <w:r>
              <w:rPr>
                <w:b/>
                <w:i/>
              </w:rPr>
              <w:t>Bristen på arbetskraft förväntas bestå och eventuellt förvärras mot bakgrund av de demografiska utmaningarna.</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Det råder brist i unionen och enskilda medlemsstater inom ett stort antal sektorer och yrken, bland annat de som är relevanta för den gröna och den digitala omställningen. Bristen i byggbranschen, hälso- och sjukvården, besöksnäringen, transportsektorn och sektorn för informations- och kommunikationsteknik samt inom naturvetenskap, teknik, ingenjörsvetenskap och matematik har varit omfattande redan en längre tid och har förvärrats av covid-19-pandemin </w:t>
            </w:r>
            <w:r>
              <w:rPr>
                <w:b/>
                <w:i/>
              </w:rPr>
              <w:t>och</w:t>
            </w:r>
            <w:r>
              <w:t xml:space="preserve"> den accelererande dubbla omställningen. Bristen på arbetskraft förväntas bestå och eventuellt förvärras mot bakgrund av de demografiska utmaningarna.</w:t>
            </w:r>
          </w:p>
        </w:tc>
        <w:tc>
          <w:tcPr>
            <w:tcW w:w="4876" w:type="dxa"/>
            <w:tcBorders>
              <w:top w:val="nil"/>
              <w:left w:val="nil"/>
              <w:bottom w:val="nil"/>
              <w:right w:val="nil"/>
            </w:tcBorders>
          </w:tcPr>
          <w:p>
            <w:pPr>
              <w:pStyle w:val="Normal6a"/>
            </w:pPr>
            <w:r>
              <w:t>(1)</w:t>
            </w:r>
            <w:r>
              <w:tab/>
            </w:r>
            <w:r>
              <w:t>Det råder brist i unionen och enskilda medlemsstater inom ett stort antal sektorer och yrken, bland annat de som är relevanta för den gröna och den digitala omställningen. Bristen i byggbranschen, hälso- och sjukvården, besöksnäringen, transportsektorn och sektorn för informations- och kommunikationsteknik samt inom naturvetenskap, teknik, ingenjörsvetenskap och matematik har varit omfattande redan en längre tid och har förvärrats av covid-19-pandemin</w:t>
            </w:r>
            <w:r>
              <w:rPr>
                <w:b/>
                <w:i/>
              </w:rPr>
              <w:t>, investeringsgapet i Europa och oförmågan att hålla unga europeiska begåvningar kvar i EU där lönerna är oattraktiva, men även av</w:t>
            </w:r>
            <w:r>
              <w:t xml:space="preserve"> den accelererande dubbla omställningen. Bristen på arbetskraft förväntas bestå och eventuellt förvärras mot bakgrund av de demografiska utmaningarna. </w:t>
            </w:r>
            <w:r>
              <w:rPr>
                <w:b/>
                <w:i/>
              </w:rPr>
              <w:t>Det bör noteras att Europeiska unionen och medlemsstaterna är skyldiga att vidta konkreta åtgärder för att komma till rätta med denna brist och att främja familjepolitiska åtgärder vars mål är att stoppa befolkningsminskningen.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Det råder brist i unionen och enskilda medlemsstater inom ett stort antal sektorer och yrken, </w:t>
            </w:r>
            <w:r>
              <w:rPr>
                <w:b/>
                <w:i/>
              </w:rPr>
              <w:t>bland annat de som är relevanta för den gröna och den digitala omställningen</w:t>
            </w:r>
            <w:r>
              <w:t xml:space="preserve">. Bristen </w:t>
            </w:r>
            <w:r>
              <w:rPr>
                <w:b/>
                <w:i/>
              </w:rPr>
              <w:t>i byggbranschen, hälso- och sjukvården, besöksnäringen, transportsektorn och sektorn för informations- och kommunikationsteknik samt inom naturvetenskap, teknik, ingenjörsvetenskap och matematik har varit omfattande redan en längre tid och har förvärrats av covid-19-pandemin och den accelererande dubbla omställningen.</w:t>
            </w:r>
            <w:r>
              <w:t xml:space="preserve"> </w:t>
            </w:r>
            <w:r>
              <w:rPr>
                <w:b/>
                <w:i/>
              </w:rPr>
              <w:t>Bristen på arbetskraft förväntas bestå och eventuellt förvärras mot bakgrund av de demografiska utmaningarna</w:t>
            </w:r>
            <w:r>
              <w:t>.</w:t>
            </w:r>
          </w:p>
        </w:tc>
        <w:tc>
          <w:tcPr>
            <w:tcW w:w="4876" w:type="dxa"/>
            <w:tcBorders>
              <w:top w:val="nil"/>
              <w:left w:val="nil"/>
              <w:bottom w:val="nil"/>
              <w:right w:val="nil"/>
            </w:tcBorders>
          </w:tcPr>
          <w:p>
            <w:pPr>
              <w:pStyle w:val="Normal6a"/>
            </w:pPr>
            <w:r>
              <w:t>(1)</w:t>
            </w:r>
            <w:r>
              <w:tab/>
            </w:r>
            <w:r>
              <w:t xml:space="preserve">Det råder brist i unionen och enskilda medlemsstater inom ett stort antal sektorer och yrken, </w:t>
            </w:r>
            <w:r>
              <w:rPr>
                <w:b/>
                <w:i/>
              </w:rPr>
              <w:t>på grund av låga fruktsamhetstal</w:t>
            </w:r>
            <w:r>
              <w:t xml:space="preserve">. Bristen </w:t>
            </w:r>
            <w:r>
              <w:rPr>
                <w:b/>
                <w:i/>
              </w:rPr>
              <w:t>på stöd för familjer och EU-omfattande propagandakampanjer mot barnafödande som bygger på myter, miljöextremism eller konspirationsteorier har visat sig vara mycket skadliga för den europeiska sociala strukturen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Det råder brist </w:t>
            </w:r>
            <w:r>
              <w:rPr>
                <w:b/>
                <w:i/>
              </w:rPr>
              <w:t>i unionen och enskilda medlemsstater inom ett stort antal</w:t>
            </w:r>
            <w:r>
              <w:t xml:space="preserve"> sektorer </w:t>
            </w:r>
            <w:r>
              <w:rPr>
                <w:b/>
                <w:i/>
              </w:rPr>
              <w:t>och yrken, bland annat de som är relevanta för den gröna och den digitala omställningen</w:t>
            </w:r>
            <w:r>
              <w:t xml:space="preserve">. Bristen i byggbranschen, hälso- och sjukvården, besöksnäringen, transportsektorn och sektorn för informations- och kommunikationsteknik samt inom naturvetenskap, teknik, ingenjörsvetenskap och matematik </w:t>
            </w:r>
            <w:r>
              <w:rPr>
                <w:b/>
                <w:i/>
              </w:rPr>
              <w:t>har varit omfattande redan en längre tid och har förvärrats av covid-19-pandemin och den accelererande dubbla omställningen.</w:t>
            </w:r>
            <w:r>
              <w:t xml:space="preserve"> </w:t>
            </w:r>
            <w:r>
              <w:rPr>
                <w:b/>
                <w:i/>
              </w:rPr>
              <w:t>Bristen på arbetskraft förväntas bestå och eventuellt förvärras mot bakgrund av de demografiska utmaningarna</w:t>
            </w:r>
            <w:r>
              <w:t>.</w:t>
            </w:r>
          </w:p>
        </w:tc>
        <w:tc>
          <w:tcPr>
            <w:tcW w:w="4876" w:type="dxa"/>
            <w:tcBorders>
              <w:top w:val="nil"/>
              <w:left w:val="nil"/>
              <w:bottom w:val="nil"/>
              <w:right w:val="nil"/>
            </w:tcBorders>
          </w:tcPr>
          <w:p>
            <w:pPr>
              <w:pStyle w:val="Normal6a"/>
            </w:pPr>
            <w:r>
              <w:t>(1)</w:t>
            </w:r>
            <w:r>
              <w:tab/>
            </w:r>
            <w:r>
              <w:t xml:space="preserve">Det råder brist </w:t>
            </w:r>
            <w:r>
              <w:rPr>
                <w:b/>
                <w:i/>
              </w:rPr>
              <w:t>på arbetskraft i vissa</w:t>
            </w:r>
            <w:r>
              <w:t xml:space="preserve"> sektorer </w:t>
            </w:r>
            <w:r>
              <w:rPr>
                <w:b/>
                <w:i/>
              </w:rPr>
              <w:t>i unionen och enskilda medlemsstater</w:t>
            </w:r>
            <w:r>
              <w:t xml:space="preserve">. Bristen i byggbranschen, hälso- och sjukvården, besöksnäringen, transportsektorn och sektorn för informations- och kommunikationsteknik samt inom naturvetenskap, teknik, ingenjörsvetenskap och matematik </w:t>
            </w:r>
            <w:r>
              <w:rPr>
                <w:b/>
                <w:i/>
              </w:rPr>
              <w:t>kräver företrädesvis aktivering av den redan tillgängliga arbetskraften i medlemsstaterna via politik som stärker deras utbildning</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Det råder brist i unionen och enskilda medlemsstater inom ett stort antal sektorer och yrken, bland annat de som är relevanta för den gröna och den digitala omställningen. Bristen i byggbranschen, hälso- och sjukvården, besöksnäringen, transportsektorn och sektorn för informations- och kommunikationsteknik samt inom naturvetenskap, teknik, ingenjörsvetenskap och matematik har varit omfattande redan en längre tid och har förvärrats av covid-19-pandemin och den accelererande dubbla omställningen. Bristen på arbetskraft förväntas bestå och eventuellt förvärras mot bakgrund av de demografiska utmaningarna.</w:t>
            </w:r>
          </w:p>
        </w:tc>
        <w:tc>
          <w:tcPr>
            <w:tcW w:w="4876" w:type="dxa"/>
            <w:tcBorders>
              <w:top w:val="nil"/>
              <w:left w:val="nil"/>
              <w:bottom w:val="nil"/>
              <w:right w:val="nil"/>
            </w:tcBorders>
          </w:tcPr>
          <w:p>
            <w:pPr>
              <w:pStyle w:val="Normal6a"/>
            </w:pPr>
            <w:r>
              <w:t>(1)</w:t>
            </w:r>
            <w:r>
              <w:tab/>
            </w:r>
            <w:r>
              <w:t xml:space="preserve">Det råder brist i unionen och enskilda medlemsstater inom ett stort antal sektorer och yrken, bland annat de som är relevanta för den gröna och den digitala omställningen. </w:t>
            </w:r>
            <w:r>
              <w:rPr>
                <w:b/>
                <w:i/>
              </w:rPr>
              <w:t>Det är uppenbart att kompetens på alla nivåer behövs för att ta itu med bristen på arbetskraft.</w:t>
            </w:r>
            <w:r>
              <w:t xml:space="preserve"> Bristen i byggbranschen, hälso- och sjukvården, besöksnäringen, transportsektorn och sektorn för informations- och kommunikationsteknik samt inom naturvetenskap, teknik, ingenjörsvetenskap och matematik har varit omfattande redan en längre tid och har förvärrats av covid-19-pandemin och den accelererande dubbla omställningen. Bristen på arbetskraft förväntas bestå och eventuellt förvärras mot bakgrund av de demografiska utmaningarna.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Det råder brist i unionen och enskilda medlemsstater inom ett stort antal sektorer och yrken, bland annat de som är relevanta för den gröna och den digitala omställningen. Bristen i byggbranschen, hälso- och sjukvården, besöksnäringen, transportsektorn och sektorn för informations- och kommunikationsteknik samt inom naturvetenskap, teknik, ingenjörsvetenskap och matematik har varit omfattande redan en längre tid och har förvärrats av covid-19-pandemin och den accelererande dubbla omställningen. Bristen på arbetskraft förväntas bestå och eventuellt förvärras mot bakgrund av de demografiska utmaningarna.</w:t>
            </w:r>
          </w:p>
        </w:tc>
        <w:tc>
          <w:tcPr>
            <w:tcW w:w="4876" w:type="dxa"/>
            <w:tcBorders>
              <w:top w:val="nil"/>
              <w:left w:val="nil"/>
              <w:bottom w:val="nil"/>
              <w:right w:val="nil"/>
            </w:tcBorders>
          </w:tcPr>
          <w:p>
            <w:pPr>
              <w:pStyle w:val="Normal6a"/>
            </w:pPr>
            <w:r>
              <w:t>(1)</w:t>
            </w:r>
            <w:r>
              <w:tab/>
            </w:r>
            <w:r>
              <w:t xml:space="preserve">Det råder brist i unionen och enskilda medlemsstater inom ett stort antal sektorer och yrken </w:t>
            </w:r>
            <w:r>
              <w:rPr>
                <w:b/>
                <w:i/>
              </w:rPr>
              <w:t>på alla kompetensnivåer</w:t>
            </w:r>
            <w:r>
              <w:t>, bland annat de som är relevanta för den gröna och den digitala omställningen. Bristen i byggbranschen, hälso- och sjukvården, besöksnäringen, transportsektorn och sektorn för informations- och kommunikationsteknik samt inom naturvetenskap, teknik, ingenjörsvetenskap och matematik har varit omfattande redan en längre tid och har förvärrats av covid-19-pandemin och den accelererande dubbla omställningen. Bristen på arbetskraft förväntas bestå och eventuellt förvärras mot bakgrund av de demografiska utmaningarna.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Det råder brist i unionen och enskilda medlemsstater inom ett stort antal sektorer och yrken, bland annat de som är relevanta för den </w:t>
            </w:r>
            <w:r>
              <w:rPr>
                <w:b/>
                <w:i/>
              </w:rPr>
              <w:t>gröna</w:t>
            </w:r>
            <w:r>
              <w:t xml:space="preserve"> och den digitala omställningen. Bristen i byggbranschen, hälso- och sjukvården, besöksnäringen, transportsektorn och sektorn för informations- och kommunikationsteknik samt inom naturvetenskap, teknik, ingenjörsvetenskap och matematik har varit omfattande redan en längre tid och har förvärrats av covid-19-pandemin och </w:t>
            </w:r>
            <w:r>
              <w:rPr>
                <w:b/>
                <w:i/>
              </w:rPr>
              <w:t>den</w:t>
            </w:r>
            <w:r>
              <w:t xml:space="preserve"> accelererande </w:t>
            </w:r>
            <w:r>
              <w:rPr>
                <w:b/>
                <w:i/>
              </w:rPr>
              <w:t>dubbla omställningen</w:t>
            </w:r>
            <w:r>
              <w:t>. Bristen på arbetskraft förväntas bestå och eventuellt förvärras mot bakgrund av de demografiska utmaningarna.</w:t>
            </w:r>
          </w:p>
        </w:tc>
        <w:tc>
          <w:tcPr>
            <w:tcW w:w="4876" w:type="dxa"/>
            <w:tcBorders>
              <w:top w:val="nil"/>
              <w:left w:val="nil"/>
              <w:bottom w:val="nil"/>
              <w:right w:val="nil"/>
            </w:tcBorders>
          </w:tcPr>
          <w:p>
            <w:pPr>
              <w:pStyle w:val="Normal6a"/>
            </w:pPr>
            <w:r>
              <w:t>(1)</w:t>
            </w:r>
            <w:r>
              <w:tab/>
            </w:r>
            <w:r>
              <w:t xml:space="preserve">Det råder brist i unionen och enskilda medlemsstater inom ett stort antal sektorer och yrken, bland annat de som är relevanta för den </w:t>
            </w:r>
            <w:r>
              <w:rPr>
                <w:b/>
                <w:i/>
              </w:rPr>
              <w:t>rena</w:t>
            </w:r>
            <w:r>
              <w:t xml:space="preserve"> och den digitala omställningen. Bristen i byggbranschen, hälso- och sjukvården, besöksnäringen, transportsektorn och sektorn för informations- och kommunikationsteknik samt inom naturvetenskap, teknik, ingenjörsvetenskap och matematik har varit omfattande redan en längre tid och har förvärrats av covid-19-pandemin och </w:t>
            </w:r>
            <w:r>
              <w:rPr>
                <w:b/>
                <w:i/>
              </w:rPr>
              <w:t>de</w:t>
            </w:r>
            <w:r>
              <w:t xml:space="preserve"> accelererande </w:t>
            </w:r>
            <w:r>
              <w:rPr>
                <w:b/>
                <w:i/>
              </w:rPr>
              <w:t>rena och digitala omställningarna</w:t>
            </w:r>
            <w:r>
              <w:t>. Bristen på arbetskraft förväntas bestå och eventuellt förvärras mot bakgrund av de demografiska utmaningarna.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Unionens befolkning beräknas minska avsevärt, från 451 miljoner 2022 till 406 miljoner 2050.</w:t>
            </w:r>
            <w:r>
              <w:t xml:space="preserve"> </w:t>
            </w:r>
            <w:r>
              <w:rPr>
                <w:b/>
                <w:i/>
              </w:rPr>
              <w:t>Antalet personer i arbetsför ålder beräknas minska ännu mer, från 264 miljoner till 207 miljoner, vilket är en minskning med 21 procent.</w:t>
            </w:r>
            <w:r>
              <w:t xml:space="preserve"> </w:t>
            </w:r>
            <w:r>
              <w:rPr>
                <w:b/>
                <w:i/>
              </w:rPr>
              <w:t>Samtidigt beräknas antalet äldre (65 år eller över) öka med 32 miljoner under denna period, och antalet barn (under 20 år) beräknas minska med 21 miljoner.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åtgärder som enbart är inriktade på medlemsstaternas och unionens arbetskraft </w:t>
            </w:r>
            <w:r>
              <w:rPr>
                <w:b/>
                <w:i/>
              </w:rPr>
              <w:t>sannolikt</w:t>
            </w:r>
            <w:r>
              <w:t xml:space="preserve"> inte att vara tillräckliga för att åtgärda den befintliga och framtida bristen på arbetskraft och kompetens. Därför är laglig migration avgörande för att komplettera dessa åtgärder och måste vara en del av lösningen för att fullt ut stödja den dubbla omställningen.</w:t>
            </w:r>
          </w:p>
        </w:tc>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w:t>
            </w:r>
            <w:r>
              <w:rPr>
                <w:b/>
                <w:i/>
              </w:rPr>
              <w:t>dock</w:t>
            </w:r>
            <w:r>
              <w:t xml:space="preserve"> åtgärder som enbart är inriktade på medlemsstaternas och unionens arbetskraft inte att vara tillräckliga för att åtgärda den befintliga och framtida bristen på arbetskraft och kompetens. </w:t>
            </w:r>
            <w:r>
              <w:rPr>
                <w:b/>
                <w:i/>
              </w:rPr>
              <w:t>Kommissionen uppskattar att det kommer att behövas minst 7 miljoner fler människor i Europa fram till 2030 på grund av den förväntade minskningen av befolkningen i arbetsför ålder.</w:t>
            </w:r>
            <w:r>
              <w:t xml:space="preserve"> Därför är laglig migration avgörande för att komplettera dessa åtgärder och måste vara en del av lösningen för att fullt ut stödja den dubbla omställningen </w:t>
            </w:r>
            <w:r>
              <w:rPr>
                <w:b/>
                <w:i/>
              </w:rPr>
              <w:t>och säkerställa unionens konkurrenskraft och hållbara ekonomiska tillväxt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åtgärder som enbart är inriktade på medlemsstaternas och unionens arbetskraft </w:t>
            </w:r>
            <w:r>
              <w:rPr>
                <w:b/>
                <w:i/>
              </w:rPr>
              <w:t>sannolikt</w:t>
            </w:r>
            <w:r>
              <w:t xml:space="preserve"> inte att vara tillräckliga för att åtgärda den befintliga och framtida bristen på arbetskraft och kompetens. Därför är laglig migration avgörande för att komplettera dessa åtgärder och måste vara en del av lösningen för att fullt ut stödja den dubbla omställningen.</w:t>
            </w:r>
          </w:p>
        </w:tc>
        <w:tc>
          <w:tcPr>
            <w:tcW w:w="4876" w:type="dxa"/>
            <w:tcBorders>
              <w:top w:val="nil"/>
              <w:left w:val="nil"/>
              <w:bottom w:val="nil"/>
              <w:right w:val="nil"/>
            </w:tcBorders>
          </w:tcPr>
          <w:p>
            <w:pPr>
              <w:pStyle w:val="Normal6a"/>
            </w:pPr>
            <w:r>
              <w:t>(2)</w:t>
            </w:r>
            <w:r>
              <w:tab/>
            </w:r>
            <w:r>
              <w:t>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w:t>
            </w:r>
            <w:r>
              <w:rPr>
                <w:b/>
                <w:i/>
              </w:rPr>
              <w:t>, inbegripet genom ett bättre utnyttjande av rådets direktiv 2003/109/EG, Europaparlamentets och rådets direktiv (EU) 2021/1883 och Euresnätverket,</w:t>
            </w:r>
            <w:r>
              <w:t xml:space="preserve"> samt förbättring av </w:t>
            </w:r>
            <w:r>
              <w:rPr>
                <w:b/>
                <w:i/>
              </w:rPr>
              <w:t>löne- och</w:t>
            </w:r>
            <w:r>
              <w:t xml:space="preserve"> arbetsvillkoren och attraktionskraften hos vissa yrken. På grund av den nuvarande omfattningen av bristerna på arbetsmarknaden och den demografiska utvecklingen kommer åtgärder som enbart är inriktade på medlemsstaternas och unionens arbetskraft inte att vara tillräckliga för att åtgärda den befintliga och framtida bristen på arbetskraft och kompetens. Därför är laglig migration avgörande för att komplettera dessa åtgärder och måste vara en del av lösningen för att fullt ut stödja den dubbla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w:t>
            </w:r>
            <w:r>
              <w:rPr>
                <w:b/>
                <w:i/>
              </w:rPr>
              <w:t>samt förbättring av arbetsvillkoren</w:t>
            </w:r>
            <w:r>
              <w:t xml:space="preserve"> och attraktionskraften hos vissa yrken. På grund av den nuvarande omfattningen av bristerna på arbetsmarknaden och den demografiska utvecklingen kommer åtgärder som enbart är inriktade på medlemsstaternas och unionens arbetskraft sannolikt inte att vara tillräckliga för att åtgärda den befintliga och framtida bristen på arbetskraft och kompetens. Därför är laglig migration avgörande för att komplettera dessa åtgärder och måste vara en del av </w:t>
            </w:r>
            <w:r>
              <w:rPr>
                <w:b/>
                <w:i/>
              </w:rPr>
              <w:t>lösningen</w:t>
            </w:r>
            <w:r>
              <w:t xml:space="preserve"> för att fullt ut stödja den dubbla omställningen.</w:t>
            </w:r>
          </w:p>
        </w:tc>
        <w:tc>
          <w:tcPr>
            <w:tcW w:w="4876" w:type="dxa"/>
            <w:tcBorders>
              <w:top w:val="nil"/>
              <w:left w:val="nil"/>
              <w:bottom w:val="nil"/>
              <w:right w:val="nil"/>
            </w:tcBorders>
          </w:tcPr>
          <w:p>
            <w:pPr>
              <w:pStyle w:val="Normal6a"/>
            </w:pPr>
            <w:r>
              <w:t>(2)</w:t>
            </w:r>
            <w:r>
              <w:tab/>
            </w:r>
            <w:r>
              <w:t>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w:t>
            </w:r>
            <w:r>
              <w:rPr>
                <w:b/>
                <w:i/>
              </w:rPr>
              <w:t>, höjning av lönerna samt säkerställande av trygga och skäliga arbetsvillkor, robust skydd mot diskriminering</w:t>
            </w:r>
            <w:r>
              <w:t xml:space="preserve"> och attraktionskraften hos vissa yrken. På grund av den nuvarande omfattningen av bristerna på arbetsmarknaden och den demografiska utvecklingen kommer åtgärder som enbart är inriktade på medlemsstaternas och unionens arbetskraft sannolikt inte att vara tillräckliga för att åtgärda den befintliga och framtida bristen på arbetskraft och kompetens. Därför är laglig migration avgörande för att komplettera dessa åtgärder och måste vara en </w:t>
            </w:r>
            <w:r>
              <w:rPr>
                <w:b/>
                <w:i/>
              </w:rPr>
              <w:t>central</w:t>
            </w:r>
            <w:r>
              <w:t xml:space="preserve"> del av </w:t>
            </w:r>
            <w:r>
              <w:rPr>
                <w:b/>
                <w:i/>
              </w:rPr>
              <w:t>EU:s migrationspolitik</w:t>
            </w:r>
            <w:r>
              <w:t xml:space="preserve"> för att fullt ut stödja den dubbla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åtgärder som enbart är inriktade på medlemsstaternas och unionens arbetskraft sannolikt inte att vara tillräckliga för att åtgärda den befintliga och framtida bristen på arbetskraft och kompetens. Därför </w:t>
            </w:r>
            <w:r>
              <w:rPr>
                <w:b/>
                <w:i/>
              </w:rPr>
              <w:t>är</w:t>
            </w:r>
            <w:r>
              <w:t xml:space="preserve"> laglig migration </w:t>
            </w:r>
            <w:r>
              <w:rPr>
                <w:b/>
                <w:i/>
              </w:rPr>
              <w:t>avgörande</w:t>
            </w:r>
            <w:r>
              <w:t xml:space="preserve"> för att komplettera dessa åtgärder och </w:t>
            </w:r>
            <w:r>
              <w:rPr>
                <w:b/>
                <w:i/>
              </w:rPr>
              <w:t>måste vara</w:t>
            </w:r>
            <w:r>
              <w:t xml:space="preserve"> en del av lösningen för att fullt ut stödja den dubbla omställningen.</w:t>
            </w:r>
          </w:p>
        </w:tc>
        <w:tc>
          <w:tcPr>
            <w:tcW w:w="4876" w:type="dxa"/>
            <w:tcBorders>
              <w:top w:val="nil"/>
              <w:left w:val="nil"/>
              <w:bottom w:val="nil"/>
              <w:right w:val="nil"/>
            </w:tcBorders>
          </w:tcPr>
          <w:p>
            <w:pPr>
              <w:pStyle w:val="Normal6a"/>
            </w:pPr>
            <w:r>
              <w:t>(2)</w:t>
            </w:r>
            <w:r>
              <w:tab/>
            </w:r>
            <w:r>
              <w:t xml:space="preserve">Att ta itu med bristen på arbetskraft kräver en heltäckande </w:t>
            </w:r>
            <w:r>
              <w:rPr>
                <w:b/>
                <w:i/>
              </w:rPr>
              <w:t>och kompletterande</w:t>
            </w:r>
            <w:r>
              <w:t xml:space="preserv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w:t>
            </w:r>
            <w:r>
              <w:rPr>
                <w:b/>
                <w:i/>
              </w:rPr>
              <w:t>Det är också viktigt att bättre bekämpa bedrägerier och fusk som slår mot nationella arbetslöshetsförsäkringssystem.</w:t>
            </w:r>
            <w:r>
              <w:t xml:space="preserve"> På grund av den nuvarande omfattningen av bristerna på arbetsmarknaden och den demografiska utvecklingen kommer åtgärder som enbart är inriktade på medlemsstaternas och unionens arbetskraft sannolikt inte att vara tillräckliga för att åtgärda den befintliga och framtida bristen på arbetskraft och kompetens. Därför </w:t>
            </w:r>
            <w:r>
              <w:rPr>
                <w:b/>
                <w:i/>
              </w:rPr>
              <w:t>kan frivillig och ordnad</w:t>
            </w:r>
            <w:r>
              <w:t xml:space="preserve"> laglig migration </w:t>
            </w:r>
            <w:r>
              <w:rPr>
                <w:b/>
                <w:i/>
              </w:rPr>
              <w:t>visa sig vara nödvändig</w:t>
            </w:r>
            <w:r>
              <w:t xml:space="preserve"> för att komplettera dessa åtgärder och </w:t>
            </w:r>
            <w:r>
              <w:rPr>
                <w:b/>
                <w:i/>
              </w:rPr>
              <w:t>utgöra</w:t>
            </w:r>
            <w:r>
              <w:t xml:space="preserve"> en del av lösningen för att fullt ut stödja den dubbla omställningen.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w:t>
            </w:r>
            <w:r>
              <w:rPr>
                <w:b/>
                <w:i/>
              </w:rPr>
              <w:t>som i synnerhet</w:t>
            </w:r>
            <w:r>
              <w:t xml:space="preserve">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åtgärder som enbart är inriktade på medlemsstaternas och unionens arbetskraft </w:t>
            </w:r>
            <w:r>
              <w:rPr>
                <w:b/>
                <w:i/>
              </w:rPr>
              <w:t>sannolikt</w:t>
            </w:r>
            <w:r>
              <w:t xml:space="preserve"> inte att vara tillräckliga för att åtgärda den befintliga och framtida bristen på arbetskraft och kompetens</w:t>
            </w:r>
            <w:r>
              <w:rPr>
                <w:b/>
                <w:i/>
              </w:rPr>
              <w:t>.</w:t>
            </w:r>
            <w:r>
              <w:t xml:space="preserve"> </w:t>
            </w:r>
            <w:r>
              <w:rPr>
                <w:b/>
                <w:i/>
              </w:rPr>
              <w:t>Därför är</w:t>
            </w:r>
            <w:r>
              <w:t xml:space="preserve"> laglig migration </w:t>
            </w:r>
            <w:r>
              <w:rPr>
                <w:b/>
                <w:i/>
              </w:rPr>
              <w:t>avgörande för att</w:t>
            </w:r>
            <w:r>
              <w:t xml:space="preserve"> komplettera dessa åtgärder och </w:t>
            </w:r>
            <w:r>
              <w:rPr>
                <w:b/>
                <w:i/>
              </w:rPr>
              <w:t>måste</w:t>
            </w:r>
            <w:r>
              <w:t xml:space="preserve"> vara en del av lösningen för att </w:t>
            </w:r>
            <w:r>
              <w:rPr>
                <w:b/>
                <w:i/>
              </w:rPr>
              <w:t>fullt ut</w:t>
            </w:r>
            <w:r>
              <w:t xml:space="preserve"> stödja den dubbla omställningen.</w:t>
            </w:r>
          </w:p>
        </w:tc>
        <w:tc>
          <w:tcPr>
            <w:tcW w:w="4876" w:type="dxa"/>
            <w:tcBorders>
              <w:top w:val="nil"/>
              <w:left w:val="nil"/>
              <w:bottom w:val="nil"/>
              <w:right w:val="nil"/>
            </w:tcBorders>
          </w:tcPr>
          <w:p>
            <w:pPr>
              <w:pStyle w:val="Normal6a"/>
            </w:pPr>
            <w:r>
              <w:t>(2)</w:t>
            </w:r>
            <w:r>
              <w:tab/>
            </w:r>
            <w:r>
              <w:t>Att ta itu med bristen på arbetskraft kräver en heltäckande strategi på unionsnivå och nationell nivå</w:t>
            </w:r>
            <w:r>
              <w:rPr>
                <w:b/>
                <w:i/>
              </w:rPr>
              <w:t>, vilket som huvudprioritering</w:t>
            </w:r>
            <w:r>
              <w:t xml:space="preserve"> omfattar ett bättre utnyttjande av den fulla potentialen hos grupper med lägre deltagande på arbetsmarknaden </w:t>
            </w:r>
            <w:r>
              <w:rPr>
                <w:b/>
                <w:i/>
              </w:rPr>
              <w:t>genom nya incitament att arbeta</w:t>
            </w:r>
            <w:r>
              <w:t xml:space="preserve">,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åtgärder som enbart är inriktade på medlemsstaternas och unionens arbetskraft </w:t>
            </w:r>
            <w:r>
              <w:rPr>
                <w:b/>
                <w:i/>
              </w:rPr>
              <w:t>kanske</w:t>
            </w:r>
            <w:r>
              <w:t xml:space="preserve"> inte att vara tillräckliga för att åtgärda den befintliga och framtida bristen på arbetskraft och kompetens </w:t>
            </w:r>
            <w:r>
              <w:rPr>
                <w:b/>
                <w:i/>
              </w:rPr>
              <w:t>när det gäller högkvalificerade yrken.</w:t>
            </w:r>
            <w:r>
              <w:t xml:space="preserve"> </w:t>
            </w:r>
            <w:r>
              <w:rPr>
                <w:b/>
                <w:i/>
              </w:rPr>
              <w:t>Högkvalificerad</w:t>
            </w:r>
            <w:r>
              <w:t xml:space="preserve"> laglig migration </w:t>
            </w:r>
            <w:r>
              <w:rPr>
                <w:b/>
                <w:i/>
              </w:rPr>
              <w:t>skulle kunna</w:t>
            </w:r>
            <w:r>
              <w:t xml:space="preserve"> komplettera dessa åtgärder och vara en del av lösningen för att </w:t>
            </w:r>
            <w:r>
              <w:rPr>
                <w:b/>
                <w:i/>
              </w:rPr>
              <w:t>öka den europeiska konkurrenskraften och</w:t>
            </w:r>
            <w:r>
              <w:t xml:space="preserve"> stödja den dubbla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bristen på arbetskraft </w:t>
            </w:r>
            <w:r>
              <w:rPr>
                <w:b/>
                <w:i/>
              </w:rPr>
              <w:t>kräver en heltäckande strategi på unionsnivå och nationell nivå som i synnerhet omfattar</w:t>
            </w:r>
            <w:r>
              <w:t xml:space="preserve"> ett bättre utnyttjande av den fulla potentialen hos grupper med lägre deltagande på arbetsmarknaden, omskolning och kompetenshöjning av den befintliga arbetskraften</w:t>
            </w:r>
            <w:r>
              <w:rPr>
                <w:b/>
                <w:i/>
              </w:rPr>
              <w:t>, underlättande av arbetskraftens rörlighet inom EU</w:t>
            </w:r>
            <w:r>
              <w:t xml:space="preserve"> samt förbättring av arbetsvillkoren och attraktionskraften hos vissa yrken. </w:t>
            </w:r>
            <w:r>
              <w:rPr>
                <w:b/>
                <w:i/>
              </w:rPr>
              <w:t>På grund av den nuvarande omfattningen av bristerna på arbetsmarknaden och den demografiska utvecklingen kommer åtgärder som enbart är inriktade på medlemsstaternas och unionens arbetskraft sannolikt inte att vara tillräckliga för att åtgärda den befintliga och framtida bristen på arbetskraft och</w:t>
            </w:r>
            <w:r>
              <w:t xml:space="preserve"> kompetens</w:t>
            </w:r>
            <w:r>
              <w:rPr>
                <w:b/>
                <w:i/>
              </w:rPr>
              <w:t>.</w:t>
            </w:r>
            <w:r>
              <w:t xml:space="preserve"> Därför </w:t>
            </w:r>
            <w:r>
              <w:rPr>
                <w:b/>
                <w:i/>
              </w:rPr>
              <w:t>är laglig migration avgörande för att komplettera dessa åtgärder och måste vara en del av lösningen för att fullt ut stödja den dubbla omställningen</w:t>
            </w:r>
            <w:r>
              <w:t>.</w:t>
            </w:r>
          </w:p>
        </w:tc>
        <w:tc>
          <w:tcPr>
            <w:tcW w:w="4876" w:type="dxa"/>
            <w:tcBorders>
              <w:top w:val="nil"/>
              <w:left w:val="nil"/>
              <w:bottom w:val="nil"/>
              <w:right w:val="nil"/>
            </w:tcBorders>
          </w:tcPr>
          <w:p>
            <w:pPr>
              <w:pStyle w:val="Normal6a"/>
            </w:pPr>
            <w:r>
              <w:t>(2)</w:t>
            </w:r>
            <w:r>
              <w:tab/>
            </w:r>
            <w:r>
              <w:t xml:space="preserve">Att ta itu med bristen på arbetskraft </w:t>
            </w:r>
            <w:r>
              <w:rPr>
                <w:b/>
                <w:i/>
              </w:rPr>
              <w:t>är en komplex mångfacetterad utmaning vars lösningar bör omfatta</w:t>
            </w:r>
            <w:r>
              <w:t xml:space="preserve"> ett bättre utnyttjande av den fulla potentialen hos grupper med lägre deltagande på arbetsmarknaden, omskolning och kompetenshöjning av den befintliga arbetskraften samt förbättring av arbetsvillkoren och attraktionskraften hos vissa yrken. </w:t>
            </w:r>
            <w:r>
              <w:rPr>
                <w:b/>
                <w:i/>
              </w:rPr>
              <w:t>Det är nationell</w:t>
            </w:r>
            <w:r>
              <w:t xml:space="preserve"> kompetens </w:t>
            </w:r>
            <w:r>
              <w:rPr>
                <w:b/>
                <w:i/>
              </w:rPr>
              <w:t>att avgöra hur många tredjelandsmedborgare som ska beviljas uppehållstillstånd som arbetstagare eller egen företagare, det behöver</w:t>
            </w:r>
            <w:r>
              <w:t xml:space="preserve"> därför </w:t>
            </w:r>
            <w:r>
              <w:rPr>
                <w:b/>
                <w:i/>
              </w:rPr>
              <w:t>vara medlemsstaterna som själva avgör om de vill dela i EU-talangreserven eller inte och det är viktigt att fördelningen av befogenheter mellan EU och medlemsstaterna respekteras, EU-initiativ bör alltid utformas på så sätt att dupliceringar av redan existerande verktyg undviks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w:t>
            </w:r>
            <w:r>
              <w:rPr>
                <w:b/>
                <w:i/>
              </w:rPr>
              <w:t>, underlättande av arbetskraftens rörlighet inom EU</w:t>
            </w:r>
            <w:r>
              <w:t xml:space="preserve"> samt förbättring av arbetsvillkoren och attraktionskraften hos vissa yrken. </w:t>
            </w:r>
            <w:r>
              <w:rPr>
                <w:b/>
                <w:i/>
              </w:rPr>
              <w:t>På grund av den nuvarande omfattningen av</w:t>
            </w:r>
            <w:r>
              <w:t xml:space="preserve"> bristerna på arbetsmarknaden och den demografiska utvecklingen </w:t>
            </w:r>
            <w:r>
              <w:rPr>
                <w:b/>
                <w:i/>
              </w:rPr>
              <w:t>kommer</w:t>
            </w:r>
            <w:r>
              <w:t xml:space="preserve"> åtgärder som </w:t>
            </w:r>
            <w:r>
              <w:rPr>
                <w:b/>
                <w:i/>
              </w:rPr>
              <w:t>enbart</w:t>
            </w:r>
            <w:r>
              <w:t xml:space="preserve"> är inriktade på medlemsstaternas och unionens arbetskraft </w:t>
            </w:r>
            <w:r>
              <w:rPr>
                <w:b/>
                <w:i/>
              </w:rPr>
              <w:t>sannolikt inte att vara tillräckliga för att åtgärda den befintliga och framtida bristen på arbetskraft och kompetens.</w:t>
            </w:r>
            <w:r>
              <w:t xml:space="preserve"> </w:t>
            </w:r>
            <w:r>
              <w:rPr>
                <w:b/>
                <w:i/>
              </w:rPr>
              <w:t>Därför är laglig migration avgörande för att komplettera dessa åtgärder och måste vara en del av lösningen för att fullt ut stödja den dubbla omställningen</w:t>
            </w:r>
            <w:r>
              <w:t>.</w:t>
            </w:r>
          </w:p>
        </w:tc>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samt förbättring av arbetsvillkoren och attraktionskraften hos vissa yrken. Bristerna på arbetsmarknaden och den demografiska utvecklingen </w:t>
            </w:r>
            <w:r>
              <w:rPr>
                <w:b/>
                <w:i/>
              </w:rPr>
              <w:t>gör att</w:t>
            </w:r>
            <w:r>
              <w:t xml:space="preserve"> åtgärder som är inriktade </w:t>
            </w:r>
            <w:r>
              <w:rPr>
                <w:b/>
                <w:i/>
              </w:rPr>
              <w:t>inte bara</w:t>
            </w:r>
            <w:r>
              <w:t xml:space="preserve"> på medlemsstaternas och unionens arbetskraft </w:t>
            </w:r>
            <w:r>
              <w:rPr>
                <w:b/>
                <w:i/>
              </w:rPr>
              <w:t>utan även på laglig migration i första hand förutsätter att det bedrivs en politik som främjar kompetensutvecklingen inom unionen och bidrar till produktiviteten hos den redan befintliga arbetskraften i medlemsstaterna</w:t>
            </w:r>
            <w:r>
              <w:t xml:space="preserve">. </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åtgärder som enbart är inriktade på medlemsstaternas och unionens arbetskraft sannolikt inte att vara tillräckliga för att åtgärda den befintliga och framtida bristen på arbetskraft och kompetens. </w:t>
            </w:r>
            <w:r>
              <w:rPr>
                <w:b/>
                <w:i/>
              </w:rPr>
              <w:t>Därför är</w:t>
            </w:r>
            <w:r>
              <w:t xml:space="preserve"> laglig migration </w:t>
            </w:r>
            <w:r>
              <w:rPr>
                <w:b/>
                <w:i/>
              </w:rPr>
              <w:t>avgörande för att</w:t>
            </w:r>
            <w:r>
              <w:t xml:space="preserve"> komplettera dessa åtgärder och </w:t>
            </w:r>
            <w:r>
              <w:rPr>
                <w:b/>
                <w:i/>
              </w:rPr>
              <w:t>måste</w:t>
            </w:r>
            <w:r>
              <w:t xml:space="preserve"> vara en del av lösningen för att fullt ut stödja den dubbla omställningen.</w:t>
            </w:r>
          </w:p>
        </w:tc>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åtgärder som enbart är inriktade på medlemsstaternas och unionens arbetskraft sannolikt inte att vara tillräckliga för att åtgärda den befintliga och framtida bristen på arbetskraft och kompetens. Laglig migration </w:t>
            </w:r>
            <w:r>
              <w:rPr>
                <w:b/>
                <w:i/>
              </w:rPr>
              <w:t>skulle kunna</w:t>
            </w:r>
            <w:r>
              <w:t xml:space="preserve"> komplettera dessa åtgärder och vara en del av lösningen för att </w:t>
            </w:r>
            <w:r>
              <w:rPr>
                <w:b/>
                <w:i/>
              </w:rPr>
              <w:t>öka den europeiska konkurrenskraften och</w:t>
            </w:r>
            <w:r>
              <w:t xml:space="preserve"> fullt ut stödja den dubbla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w:t>
            </w:r>
            <w:r>
              <w:rPr>
                <w:b/>
                <w:i/>
              </w:rPr>
              <w:t>kommer åtgärder som enbart är inriktade på medlemsstaternas och unionens arbetskraft sannolikt inte att vara tillräckliga för att åtgärda den befintliga och framtida bristen på arbetskraft och kompetens.</w:t>
            </w:r>
            <w:r>
              <w:t xml:space="preserve"> </w:t>
            </w:r>
            <w:r>
              <w:rPr>
                <w:b/>
                <w:i/>
              </w:rPr>
              <w:t>Därför är laglig migration avgörande för att komplettera dessa åtgärder och måste vara en del av lösningen</w:t>
            </w:r>
            <w:r>
              <w:t xml:space="preserve"> för att </w:t>
            </w:r>
            <w:r>
              <w:rPr>
                <w:b/>
                <w:i/>
              </w:rPr>
              <w:t>fullt ut stödja den dubbla omställningen</w:t>
            </w:r>
            <w:r>
              <w:t>.</w:t>
            </w:r>
          </w:p>
        </w:tc>
        <w:tc>
          <w:tcPr>
            <w:tcW w:w="4876" w:type="dxa"/>
            <w:tcBorders>
              <w:top w:val="nil"/>
              <w:left w:val="nil"/>
              <w:bottom w:val="nil"/>
              <w:right w:val="nil"/>
            </w:tcBorders>
          </w:tcPr>
          <w:p>
            <w:pPr>
              <w:pStyle w:val="Normal6a"/>
            </w:pPr>
            <w:r>
              <w:t>(2)</w:t>
            </w:r>
            <w:r>
              <w:tab/>
            </w:r>
            <w:r>
              <w:t>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w:t>
            </w:r>
            <w:r>
              <w:rPr>
                <w:b/>
                <w:i/>
              </w:rPr>
              <w:t>och i syfte att bekämpa den strukturella arbetslösheten samtidigt som en hållbar ekonomisk tillväxt främjas i Europa, är det av största vikt att satsa på kompetensutveckling för europeiska arbetstagare och att förbättra arbetsvillkoren</w:t>
            </w:r>
            <w:r>
              <w:t xml:space="preserve"> för att </w:t>
            </w:r>
            <w:r>
              <w:rPr>
                <w:b/>
                <w:i/>
              </w:rPr>
              <w:t>på så vis göra bristyrken attraktivare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åtgärder som enbart är inriktade på medlemsstaternas och unionens arbetskraft sannolikt inte att vara tillräckliga för att åtgärda den befintliga och framtida bristen på arbetskraft och kompetens. Därför är laglig migration avgörande för att komplettera dessa åtgärder och måste vara en del av lösningen för att fullt ut stödja den </w:t>
            </w:r>
            <w:r>
              <w:rPr>
                <w:b/>
                <w:i/>
              </w:rPr>
              <w:t>dubbla</w:t>
            </w:r>
            <w:r>
              <w:t xml:space="preserve"> omställningen.</w:t>
            </w:r>
          </w:p>
        </w:tc>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åtgärder som enbart är inriktade på medlemsstaternas och unionens arbetskraft sannolikt inte att vara tillräckliga för att åtgärda den befintliga och framtida bristen på arbetskraft och kompetens. Därför är laglig migration avgörande för att komplettera dessa åtgärder och måste vara en del av lösningen för att fullt ut stödja den </w:t>
            </w:r>
            <w:r>
              <w:rPr>
                <w:b/>
                <w:i/>
              </w:rPr>
              <w:t>rena och den digitala</w:t>
            </w:r>
            <w:r>
              <w:t xml:space="preserve"> omställningen.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w:t>
            </w:r>
            <w:r>
              <w:rPr>
                <w:b/>
                <w:i/>
              </w:rPr>
              <w:t>bristen</w:t>
            </w:r>
            <w:r>
              <w:t xml:space="preserve"> på arbetskraft kräver en </w:t>
            </w:r>
            <w:r>
              <w:rPr>
                <w:b/>
                <w:i/>
              </w:rPr>
              <w:t>heltäckande strategi på unionsnivå och</w:t>
            </w:r>
            <w:r>
              <w:t xml:space="preserve"> nationell </w:t>
            </w:r>
            <w:r>
              <w:rPr>
                <w:b/>
                <w:i/>
              </w:rPr>
              <w:t>nivå</w:t>
            </w:r>
            <w:r>
              <w:t xml:space="preserve"> som i synnerhet omfattar ett bättre utnyttjande av den fulla potentialen </w:t>
            </w:r>
            <w:r>
              <w:rPr>
                <w:b/>
                <w:i/>
              </w:rPr>
              <w:t>hos grupper med lägre deltagande på arbetsmarknaden, omskolning och kompetenshöjning av den befintliga arbetskraften, underlättande av arbetskraftens rörlighet inom EU samt förbättring av arbetsvillkoren och attraktionskraften hos vissa yrken.</w:t>
            </w:r>
            <w:r>
              <w:t xml:space="preserve"> </w:t>
            </w:r>
            <w:r>
              <w:rPr>
                <w:b/>
                <w:i/>
              </w:rPr>
              <w:t>På grund av den nuvarande omfattningen av bristerna på arbetsmarknaden och den demografiska utvecklingen kommer åtgärder som enbart är inriktade på medlemsstaternas och unionens arbetskraft sannolikt inte att vara tillräckliga för att åtgärda den befintliga och framtida bristen på arbetskraft och kompetens.</w:t>
            </w:r>
            <w:r>
              <w:t xml:space="preserve"> Därför </w:t>
            </w:r>
            <w:r>
              <w:rPr>
                <w:b/>
                <w:i/>
              </w:rPr>
              <w:t>är laglig migration avgörande för att komplettera dessa åtgärder och</w:t>
            </w:r>
            <w:r>
              <w:t xml:space="preserve"> måste </w:t>
            </w:r>
            <w:r>
              <w:rPr>
                <w:b/>
                <w:i/>
              </w:rPr>
              <w:t>vara en del av lösningen för att fullt ut stödja den dubbla omställningen.</w:t>
            </w:r>
          </w:p>
        </w:tc>
        <w:tc>
          <w:tcPr>
            <w:tcW w:w="4876" w:type="dxa"/>
            <w:tcBorders>
              <w:top w:val="nil"/>
              <w:left w:val="nil"/>
              <w:bottom w:val="nil"/>
              <w:right w:val="nil"/>
            </w:tcBorders>
          </w:tcPr>
          <w:p>
            <w:pPr>
              <w:pStyle w:val="Normal6a"/>
            </w:pPr>
            <w:r>
              <w:t>(2)</w:t>
            </w:r>
            <w:r>
              <w:tab/>
            </w:r>
            <w:r>
              <w:t xml:space="preserve">Att ta itu med </w:t>
            </w:r>
            <w:r>
              <w:rPr>
                <w:b/>
                <w:i/>
              </w:rPr>
              <w:t>eventuell brist</w:t>
            </w:r>
            <w:r>
              <w:t xml:space="preserve"> på arbetskraft kräver en nationell </w:t>
            </w:r>
            <w:r>
              <w:rPr>
                <w:b/>
                <w:i/>
              </w:rPr>
              <w:t>strategi</w:t>
            </w:r>
            <w:r>
              <w:t xml:space="preserve"> som i synnerhet omfattar ett bättre utnyttjande av den fulla potentialen </w:t>
            </w:r>
            <w:r>
              <w:rPr>
                <w:b/>
                <w:i/>
              </w:rPr>
              <w:t>nationens egen befolkning men även tänker framåt och styrker familjens rättsliga, ekonomiska och moraliska ställning, utöver detta måste problemet med det ohämmade migrationsinflödet lösas då det urholkat nationernas välfärd samt skapat obegränsade hinder för välståndstillväxt i och med att förut homogena samhällen blir alltmer splittrade, osäkra och fullständigt oförsägbara,</w:t>
            </w:r>
            <w:r>
              <w:t xml:space="preserve"> därför måste </w:t>
            </w:r>
            <w:r>
              <w:rPr>
                <w:b/>
                <w:i/>
              </w:rPr>
              <w:t>illegala skall nekas inresa, illegala skall sättas i förvar och därefter utvisas, all hjälp till illegala migranter skall kriminaliseras, migranter som ej anpassat sig efter 5 till 10 år skall utvisas, migranter som utför kriminella handlingar skall förlora medborgarskap och utvisas tillsammans med deras familjer - omvänd familjeåterförening,</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bristen på arbetskraft </w:t>
            </w:r>
            <w:r>
              <w:rPr>
                <w:b/>
                <w:i/>
              </w:rPr>
              <w:t>kräver en heltäckande strategi på unionsnivå och nationell nivå som i synnerhet omfattar ett bättre utnyttjande av den fulla potentialen hos grupper med lägre deltagande på arbetsmarknaden, omskolning och kompetenshöjning av den befintliga arbetskraften, underlättande av</w:t>
            </w:r>
            <w:r>
              <w:t xml:space="preserve"> arbetskraftens rörlighet inom EU samt </w:t>
            </w:r>
            <w:r>
              <w:rPr>
                <w:b/>
                <w:i/>
              </w:rPr>
              <w:t>förbättring av</w:t>
            </w:r>
            <w:r>
              <w:t xml:space="preserve"> arbetsvillkoren och attraktionskraften hos vissa yrken. </w:t>
            </w:r>
            <w:r>
              <w:rPr>
                <w:b/>
                <w:i/>
              </w:rPr>
              <w:t>På grund av den nuvarande omfattningen av bristerna på arbetsmarknaden och den demografiska utvecklingen kommer åtgärder som enbart är inriktade på medlemsstaternas och unionens arbetskraft sannolikt inte att vara tillräckliga</w:t>
            </w:r>
            <w:r>
              <w:t xml:space="preserve"> för att </w:t>
            </w:r>
            <w:r>
              <w:rPr>
                <w:b/>
                <w:i/>
              </w:rPr>
              <w:t>åtgärda den befintliga och framtida bristen på</w:t>
            </w:r>
            <w:r>
              <w:t xml:space="preserve"> arbetskraft </w:t>
            </w:r>
            <w:r>
              <w:rPr>
                <w:b/>
                <w:i/>
              </w:rPr>
              <w:t>och kompetens.</w:t>
            </w:r>
            <w:r>
              <w:t xml:space="preserve"> </w:t>
            </w:r>
            <w:r>
              <w:rPr>
                <w:b/>
                <w:i/>
              </w:rPr>
              <w:t>Därför är laglig migration avgörande för att komplettera dessa åtgärder och måste vara en del av lösningen för att fullt ut stödja den dubbla omställningen</w:t>
            </w:r>
            <w:r>
              <w:t>.</w:t>
            </w:r>
          </w:p>
        </w:tc>
        <w:tc>
          <w:tcPr>
            <w:tcW w:w="4876" w:type="dxa"/>
            <w:tcBorders>
              <w:top w:val="nil"/>
              <w:left w:val="nil"/>
              <w:bottom w:val="nil"/>
              <w:right w:val="nil"/>
            </w:tcBorders>
          </w:tcPr>
          <w:p>
            <w:pPr>
              <w:pStyle w:val="Normal6a"/>
            </w:pPr>
            <w:r>
              <w:t>(2)</w:t>
            </w:r>
            <w:r>
              <w:tab/>
            </w:r>
            <w:r>
              <w:t xml:space="preserve">Att ta itu med bristen på arbetskraft </w:t>
            </w:r>
            <w:r>
              <w:rPr>
                <w:b/>
                <w:i/>
              </w:rPr>
              <w:t>och säkerställa framtiden för medlemsstaternas välfärdssystem kräver nationella strategier för att stödja familjer i syfte att öka fruktsamhetstalen.</w:t>
            </w:r>
            <w:r>
              <w:t xml:space="preserve"> </w:t>
            </w:r>
            <w:r>
              <w:rPr>
                <w:b/>
                <w:i/>
              </w:rPr>
              <w:t>För att komma till rätta med den omedelbara bristen på arbetskraft är det viktigt att underlätta</w:t>
            </w:r>
            <w:r>
              <w:t xml:space="preserve"> arbetskraftens rörlighet inom EU samt </w:t>
            </w:r>
            <w:r>
              <w:rPr>
                <w:b/>
                <w:i/>
              </w:rPr>
              <w:t>att förbättra</w:t>
            </w:r>
            <w:r>
              <w:t xml:space="preserve"> arbetsvillkoren och attraktionskraften hos vissa yrken. </w:t>
            </w:r>
            <w:r>
              <w:rPr>
                <w:b/>
                <w:i/>
              </w:rPr>
              <w:t>Ett frivilligt och tillfälligt instrument</w:t>
            </w:r>
            <w:r>
              <w:t xml:space="preserve"> för att </w:t>
            </w:r>
            <w:r>
              <w:rPr>
                <w:b/>
                <w:i/>
              </w:rPr>
              <w:t>locka högkvalificerad</w:t>
            </w:r>
            <w:r>
              <w:t xml:space="preserve"> arbetskraft </w:t>
            </w:r>
            <w:r>
              <w:rPr>
                <w:b/>
                <w:i/>
              </w:rPr>
              <w:t>från tredjeländer kan åtgärda riktade brister, bland annat vid genomförandet av ny 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åtgärder som enbart är inriktade på medlemsstaternas och unionens arbetskraft </w:t>
            </w:r>
            <w:r>
              <w:rPr>
                <w:b/>
                <w:i/>
              </w:rPr>
              <w:t>sannolikt</w:t>
            </w:r>
            <w:r>
              <w:t xml:space="preserve"> inte att vara tillräckliga för att åtgärda den befintliga och framtida bristen på arbetskraft och kompetens. Därför är laglig migration avgörande för att komplettera dessa åtgärder och måste vara en del av lösningen för att fullt ut stödja den dubbla omställningen.</w:t>
            </w:r>
          </w:p>
        </w:tc>
        <w:tc>
          <w:tcPr>
            <w:tcW w:w="4876" w:type="dxa"/>
            <w:tcBorders>
              <w:top w:val="nil"/>
              <w:left w:val="nil"/>
              <w:bottom w:val="nil"/>
              <w:right w:val="nil"/>
            </w:tcBorders>
          </w:tcPr>
          <w:p>
            <w:pPr>
              <w:pStyle w:val="Normal6a"/>
            </w:pPr>
            <w:r>
              <w:t>(2)</w:t>
            </w:r>
            <w:r>
              <w:tab/>
            </w:r>
            <w:r>
              <w:t>Att ta itu med bristen på arbetskraft kräver en heltäckande strategi på unionsnivå och nationell nivå som i synnerhet omfattar ett bättre utnyttjande av den fulla potentialen hos grupper med lägre deltagande på arbetsmarknaden, omskolning och kompetenshöjning av den befintliga arbetskraften, underlättande av arbetskraftens rörlighet inom EU samt förbättring av arbetsvillkoren och attraktionskraften hos vissa yrken. På grund av den nuvarande omfattningen av bristerna på arbetsmarknaden och den demografiska utvecklingen kommer åtgärder som enbart är inriktade på medlemsstaternas och unionens arbetskraft inte att vara tillräckliga för att åtgärda den befintliga och framtida bristen på arbetskraft och kompetens. Därför är laglig migration avgörande för att komplettera dessa åtgärder och måste vara en del av lösningen för att fullt ut stödja den dubbla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För att komma till rätta med arbetskraftsbristen i medlemsstaterna är det absolut nödvändigt att minska den administrativa bördan och administrativa åligganden, som ligger de europeiska företagen till last, samt främja arbetets värde och lätta på regler som bromsar rekrytering.</w:t>
            </w:r>
            <w:r>
              <w:t xml:space="preserve"> </w:t>
            </w:r>
            <w:r>
              <w:rPr>
                <w:b/>
                <w:i/>
              </w:rPr>
              <w:t>Dessa åtgärder måste åtföljas av att man förbättrar arbetsvillkoren och på så vis gör bristyrken attraktivare.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För att underlätta internationell rekrytering och ge tredjelandsmedborgare möjlighet att arbeta </w:t>
            </w:r>
            <w:r>
              <w:rPr>
                <w:b/>
                <w:i/>
              </w:rPr>
              <w:t>inom yrken där det råder en brist i hela</w:t>
            </w:r>
            <w:r>
              <w:t xml:space="preserve"> EU bör en EU-talangreserv inrättas i form av en unionsomfattande plattform </w:t>
            </w:r>
            <w:r>
              <w:rPr>
                <w:b/>
                <w:i/>
              </w:rPr>
              <w:t>som sammanför och stöder</w:t>
            </w:r>
            <w:r>
              <w:t xml:space="preserve"> matchning av profiler för registrerade arbetssökande från tredjeländer </w:t>
            </w:r>
            <w:r>
              <w:rPr>
                <w:b/>
                <w:i/>
              </w:rPr>
              <w:t>som är bosatta utanför unionen</w:t>
            </w:r>
            <w:r>
              <w:t xml:space="preserve"> med lediga platser hos arbetsgivare som är etablerade i de deltagande medlemsstaterna.</w:t>
            </w:r>
          </w:p>
        </w:tc>
        <w:tc>
          <w:tcPr>
            <w:tcW w:w="4876" w:type="dxa"/>
            <w:tcBorders>
              <w:top w:val="nil"/>
              <w:left w:val="nil"/>
              <w:bottom w:val="nil"/>
              <w:right w:val="nil"/>
            </w:tcBorders>
          </w:tcPr>
          <w:p>
            <w:pPr>
              <w:pStyle w:val="Normal6a"/>
            </w:pPr>
            <w:r>
              <w:t>(3)</w:t>
            </w:r>
            <w:r>
              <w:tab/>
            </w:r>
            <w:r>
              <w:t xml:space="preserve">För att </w:t>
            </w:r>
            <w:r>
              <w:rPr>
                <w:b/>
                <w:i/>
              </w:rPr>
              <w:t>öka unionens attraktionskraft för internationella talanger,</w:t>
            </w:r>
            <w:r>
              <w:t xml:space="preserve"> underlätta </w:t>
            </w:r>
            <w:r>
              <w:rPr>
                <w:b/>
                <w:i/>
              </w:rPr>
              <w:t>arbetskraftens rörlighet och</w:t>
            </w:r>
            <w:r>
              <w:t xml:space="preserve"> internationell rekrytering och ge tredjelandsmedborgare möjlighet att arbeta </w:t>
            </w:r>
            <w:r>
              <w:rPr>
                <w:b/>
                <w:i/>
              </w:rPr>
              <w:t>i</w:t>
            </w:r>
            <w:r>
              <w:t xml:space="preserve"> EU bör en EU-talangreserv inrättas i form av en</w:t>
            </w:r>
            <w:r>
              <w:rPr>
                <w:b/>
                <w:i/>
              </w:rPr>
              <w:t> användarvänlig</w:t>
            </w:r>
            <w:r>
              <w:t xml:space="preserve"> unionsomfattande plattform</w:t>
            </w:r>
            <w:r>
              <w:rPr>
                <w:b/>
                <w:i/>
              </w:rPr>
              <w:t>.</w:t>
            </w:r>
            <w:r>
              <w:t xml:space="preserve"> </w:t>
            </w:r>
            <w:r>
              <w:rPr>
                <w:b/>
                <w:i/>
              </w:rPr>
              <w:t>Plattformen bör sammanföra arbetstagare från tredjeländer med arbetsgivare i unionen genom att möjliggöra effektiv</w:t>
            </w:r>
            <w:r>
              <w:t xml:space="preserve"> matchning av profiler för registrerade arbetssökande från tredjeländer med lediga platser hos arbetsgivare som är etablerade i de deltagande medlemsstaterna. </w:t>
            </w:r>
            <w:r>
              <w:rPr>
                <w:b/>
                <w:i/>
              </w:rPr>
              <w:t>Dessutom bör EU-talangreserven syfta till att främja ett starkare samarbete mellan medlemsstaterna om arbetskraftsmigration.</w:t>
            </w:r>
            <w:r>
              <w:t xml:space="preserve"> </w:t>
            </w:r>
            <w:r>
              <w:rPr>
                <w:b/>
                <w:i/>
              </w:rPr>
              <w:t>Genomförandet av den kommer att vara obligatoriskt för medlemsstaterna, men användningen av den bör vara frivillig för arbetsgivare och tredjelandsmedborgare.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För att underlätta internationell rekrytering och ge tredjelandsmedborgare möjlighet att arbeta inom yrken där det råder en brist i hela EU bör en EU-talangreserv inrättas i form av en unionsomfattande plattform som sammanför och stöder matchning av profiler för registrerade arbetssökande från tredjeländer som är bosatta utanför unionen med lediga platser hos arbetsgivare som är etablerade i de deltagande medlemsstaterna.</w:t>
            </w:r>
          </w:p>
        </w:tc>
        <w:tc>
          <w:tcPr>
            <w:tcW w:w="4876" w:type="dxa"/>
            <w:tcBorders>
              <w:top w:val="nil"/>
              <w:left w:val="nil"/>
              <w:bottom w:val="nil"/>
              <w:right w:val="nil"/>
            </w:tcBorders>
          </w:tcPr>
          <w:p>
            <w:pPr>
              <w:pStyle w:val="Normal6a"/>
            </w:pPr>
            <w:r>
              <w:t>(3)</w:t>
            </w:r>
            <w:r>
              <w:tab/>
            </w:r>
            <w:r>
              <w:t xml:space="preserve">För att underlätta internationell rekrytering och ge </w:t>
            </w:r>
            <w:r>
              <w:rPr>
                <w:b/>
                <w:i/>
              </w:rPr>
              <w:t>högkvalificerade</w:t>
            </w:r>
            <w:r>
              <w:t xml:space="preserve"> tredjelandsmedborgare möjlighet att arbeta inom yrken där det råder en brist i hela EU bör en EU-talangreserv</w:t>
            </w:r>
            <w:r>
              <w:rPr>
                <w:b/>
                <w:i/>
              </w:rPr>
              <w:t>, som är frivillig att delta i för medlemsstaterna,</w:t>
            </w:r>
            <w:r>
              <w:t xml:space="preserve"> inrättas i form av en unionsomfattande plattform som sammanför och stöder matchning av profiler för registrerade </w:t>
            </w:r>
            <w:r>
              <w:rPr>
                <w:b/>
                <w:i/>
              </w:rPr>
              <w:t>högkvalificerade</w:t>
            </w:r>
            <w:r>
              <w:t xml:space="preserve"> arbetssökande från tredjeländer som är bosatta utanför unionen med lediga platser hos arbetsgivare som är etablerade i de deltagande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För att underlätta internationell rekrytering och ge tredjelandsmedborgare möjlighet att arbeta inom yrken där det råder en brist i hela EU bör en EU-talangreserv inrättas i form av en unionsomfattande plattform </w:t>
            </w:r>
            <w:r>
              <w:rPr>
                <w:b/>
                <w:i/>
              </w:rPr>
              <w:t>som sammanför och stöder</w:t>
            </w:r>
            <w:r>
              <w:t xml:space="preserve"> matchning av profiler för registrerade arbetssökande från tredjeländer som är bosatta utanför unionen med lediga platser hos arbetsgivare som är etablerade i de deltagande medlemsstaterna.</w:t>
            </w:r>
          </w:p>
        </w:tc>
        <w:tc>
          <w:tcPr>
            <w:tcW w:w="4876" w:type="dxa"/>
            <w:tcBorders>
              <w:top w:val="nil"/>
              <w:left w:val="nil"/>
              <w:bottom w:val="nil"/>
              <w:right w:val="nil"/>
            </w:tcBorders>
          </w:tcPr>
          <w:p>
            <w:pPr>
              <w:pStyle w:val="Normal6a"/>
            </w:pPr>
            <w:r>
              <w:t>(3)</w:t>
            </w:r>
            <w:r>
              <w:tab/>
            </w:r>
            <w:r>
              <w:t>För att underlätta internationell rekrytering och ge tredjelandsmedborgare möjlighet att arbeta inom yrken där det råder en brist i hela EU bör en EU-talangreserv inrättas i form av en unionsomfattande plattform</w:t>
            </w:r>
            <w:r>
              <w:rPr>
                <w:b/>
                <w:i/>
              </w:rPr>
              <w:t>.</w:t>
            </w:r>
            <w:r>
              <w:t xml:space="preserve"> </w:t>
            </w:r>
            <w:r>
              <w:rPr>
                <w:b/>
                <w:i/>
              </w:rPr>
              <w:t>Deltagandet i plattformen bör vara obligatoriskt för medlemsstaterna, men användningen av den bör vara frivillig för arbetsgivare och arbetssökande från tredjeländer.</w:t>
            </w:r>
            <w:r>
              <w:t xml:space="preserve"> </w:t>
            </w:r>
            <w:r>
              <w:rPr>
                <w:b/>
                <w:i/>
              </w:rPr>
              <w:t>Plattformen bör sammanföra och stödja</w:t>
            </w:r>
            <w:r>
              <w:t xml:space="preserve"> matchning av profiler för registrerade arbetssökande från tredjeländer som är bosatta utanför unionen med lediga platser hos arbetsgivare som är etablerade i de deltagande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För att underlätta</w:t>
            </w:r>
            <w:r>
              <w:t xml:space="preserve"> internationell rekrytering </w:t>
            </w:r>
            <w:r>
              <w:rPr>
                <w:b/>
                <w:i/>
              </w:rPr>
              <w:t>och ge tredjelandsmedborgare möjlighet att arbeta inom yrken där det råder en brist i hela EU bör en EU-talangreserv inrättas i form av en unionsomfattande plattform som sammanför och stöder matchning av profiler för registrerade arbetssökande från tredjeländer som är bosatta utanför unionen med lediga platser hos arbetsgivare som är etablerade i de deltagande medlemsstaterna</w:t>
            </w:r>
            <w:r>
              <w:t>.</w:t>
            </w:r>
          </w:p>
        </w:tc>
        <w:tc>
          <w:tcPr>
            <w:tcW w:w="4876" w:type="dxa"/>
            <w:tcBorders>
              <w:top w:val="nil"/>
              <w:left w:val="nil"/>
              <w:bottom w:val="nil"/>
              <w:right w:val="nil"/>
            </w:tcBorders>
          </w:tcPr>
          <w:p>
            <w:pPr>
              <w:pStyle w:val="Normal6a"/>
            </w:pPr>
            <w:r>
              <w:t>(3)</w:t>
            </w:r>
            <w:r>
              <w:tab/>
            </w:r>
            <w:r>
              <w:t xml:space="preserve">Internationell rekrytering </w:t>
            </w:r>
            <w:r>
              <w:rPr>
                <w:b/>
                <w:i/>
              </w:rPr>
              <w:t>är något företag får själv bekosta och anordna, begränsad arbetskraftsinvandring utan rätt till familjeåterförening och vidarebosättning bör vara normen inom EU men detta är det upp till varje medlemsland att själv besluta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För att </w:t>
            </w:r>
            <w:r>
              <w:rPr>
                <w:b/>
                <w:i/>
              </w:rPr>
              <w:t>underlätta internationell rekrytering och ge tredjelandsmedborgare möjlighet att arbeta inom yrken där det råder en brist i hela EU bör en EU-talangreserv inrättas i form</w:t>
            </w:r>
            <w:r>
              <w:t xml:space="preserve"> av en unionsomfattande </w:t>
            </w:r>
            <w:r>
              <w:rPr>
                <w:b/>
                <w:i/>
              </w:rPr>
              <w:t>plattform som</w:t>
            </w:r>
            <w:r>
              <w:t xml:space="preserve"> sammanför och stöder matchning av profiler för registrerade arbetssökande från tredjeländer som är bosatta utanför unionen med lediga platser hos arbetsgivare som är etablerade i de deltagande medlemsstaterna.</w:t>
            </w:r>
          </w:p>
        </w:tc>
        <w:tc>
          <w:tcPr>
            <w:tcW w:w="4876" w:type="dxa"/>
            <w:tcBorders>
              <w:top w:val="nil"/>
              <w:left w:val="nil"/>
              <w:bottom w:val="nil"/>
              <w:right w:val="nil"/>
            </w:tcBorders>
          </w:tcPr>
          <w:p>
            <w:pPr>
              <w:pStyle w:val="Normal6a"/>
            </w:pPr>
            <w:r>
              <w:t>(3)</w:t>
            </w:r>
            <w:r>
              <w:tab/>
            </w:r>
            <w:r>
              <w:t xml:space="preserve">För att </w:t>
            </w:r>
            <w:r>
              <w:rPr>
                <w:b/>
                <w:i/>
              </w:rPr>
              <w:t>hantera arbetskraftsbristen i sektorer i EU där arbetskraftsbrist konstateras bör unionen bedriva en politik för bättre tillvaratagande av i första hand den inhemska arbetskraften i unionen och i andra hand inrättande</w:t>
            </w:r>
            <w:r>
              <w:t xml:space="preserve"> av en </w:t>
            </w:r>
            <w:r>
              <w:rPr>
                <w:b/>
                <w:i/>
              </w:rPr>
              <w:t>för medlemsstaterna obligatorisk</w:t>
            </w:r>
            <w:r>
              <w:t xml:space="preserve"> unionsomfattande </w:t>
            </w:r>
            <w:r>
              <w:rPr>
                <w:b/>
                <w:i/>
              </w:rPr>
              <w:t>reserv för talanger från tredjeländer vilken</w:t>
            </w:r>
            <w:r>
              <w:t xml:space="preserve"> sammanför och stöder matchning av profiler för registrerade arbetssökande från tredjeländer som är bosatta utanför unionen med lediga platser hos arbetsgivare som är etablerade i de deltagande medlemsstaterna.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För att underlätta internationell rekrytering och ge tredjelandsmedborgare möjlighet att arbeta inom yrken där det råder en brist i hela EU bör en EU-talangreserv inrättas i form av en unionsomfattande plattform som sammanför och stöder matchning av profiler för registrerade arbetssökande från tredjeländer som är bosatta utanför unionen med lediga platser hos arbetsgivare som är etablerade i de deltagande medlemsstaterna.</w:t>
            </w:r>
          </w:p>
        </w:tc>
        <w:tc>
          <w:tcPr>
            <w:tcW w:w="4876" w:type="dxa"/>
            <w:tcBorders>
              <w:top w:val="nil"/>
              <w:left w:val="nil"/>
              <w:bottom w:val="nil"/>
              <w:right w:val="nil"/>
            </w:tcBorders>
          </w:tcPr>
          <w:p>
            <w:pPr>
              <w:pStyle w:val="Normal6a"/>
            </w:pPr>
            <w:r>
              <w:t>(3)</w:t>
            </w:r>
            <w:r>
              <w:tab/>
            </w:r>
            <w:r>
              <w:t>För att underlätta internationell rekrytering och ge tredjelandsmedborgare möjlighet att arbeta inom yrken där det råder en brist i hela EU bör en EU-talangreserv inrättas i form av en unionsomfattande plattform</w:t>
            </w:r>
            <w:r>
              <w:rPr>
                <w:b/>
                <w:i/>
              </w:rPr>
              <w:t>, som medlemsstaterna kan välja att ansluta sig till eller inte,</w:t>
            </w:r>
            <w:r>
              <w:t xml:space="preserve"> som sammanför och stöder matchning av profiler för registrerade arbetssökande från tredjeländer som är bosatta utanför unionen med lediga platser hos arbetsgivare som är etablerade i de deltagande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För att underlätta internationell rekrytering och ge tredjelandsmedborgare möjlighet att </w:t>
            </w:r>
            <w:r>
              <w:rPr>
                <w:b/>
                <w:i/>
              </w:rPr>
              <w:t>arbeta inom yrken där det råder en brist i hela EU</w:t>
            </w:r>
            <w:r>
              <w:t xml:space="preserve"> bör en EU-talangreserv inrättas i form av en unionsomfattande plattform som sammanför och stöder matchning av profiler för registrerade arbetssökande från tredjeländer som är bosatta utanför unionen med lediga platser hos arbetsgivare som är etablerade i de deltagande medlemsstaterna.</w:t>
            </w:r>
          </w:p>
        </w:tc>
        <w:tc>
          <w:tcPr>
            <w:tcW w:w="4876" w:type="dxa"/>
            <w:tcBorders>
              <w:top w:val="nil"/>
              <w:left w:val="nil"/>
              <w:bottom w:val="nil"/>
              <w:right w:val="nil"/>
            </w:tcBorders>
          </w:tcPr>
          <w:p>
            <w:pPr>
              <w:pStyle w:val="Normal6a"/>
            </w:pPr>
            <w:r>
              <w:t>(3)</w:t>
            </w:r>
            <w:r>
              <w:tab/>
            </w:r>
            <w:r>
              <w:t xml:space="preserve">För att underlätta internationell rekrytering och ge </w:t>
            </w:r>
            <w:r>
              <w:rPr>
                <w:b/>
                <w:i/>
              </w:rPr>
              <w:t>högkvalificerade</w:t>
            </w:r>
            <w:r>
              <w:t xml:space="preserve"> tredjelandsmedborgare möjlighet att </w:t>
            </w:r>
            <w:r>
              <w:rPr>
                <w:b/>
                <w:i/>
              </w:rPr>
              <w:t>ta sig an bristyrken</w:t>
            </w:r>
            <w:r>
              <w:t xml:space="preserve"> bör en </w:t>
            </w:r>
            <w:r>
              <w:rPr>
                <w:b/>
                <w:i/>
              </w:rPr>
              <w:t>tillfällig</w:t>
            </w:r>
            <w:r>
              <w:t xml:space="preserve"> EU-talangreserv inrättas i form av en unionsomfattande plattform som sammanför och stöder matchning av profiler för registrerade arbetssökande från tredjeländer som är bosatta utanför unionen med lediga platser hos arbetsgivare som är etablerade i de deltagande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För att underlätta internationell rekrytering och ge tredjelandsmedborgare möjlighet att arbeta inom yrken där det råder en brist i hela EU bör en EU-talangreserv inrättas i form av en unionsomfattande plattform som sammanför och stöder matchning av profiler för registrerade arbetssökande från tredjeländer som är bosatta utanför unionen med lediga platser hos arbetsgivare som är etablerade i de deltagande medlemsstaterna.</w:t>
            </w:r>
          </w:p>
        </w:tc>
        <w:tc>
          <w:tcPr>
            <w:tcW w:w="4876" w:type="dxa"/>
            <w:tcBorders>
              <w:top w:val="nil"/>
              <w:left w:val="nil"/>
              <w:bottom w:val="nil"/>
              <w:right w:val="nil"/>
            </w:tcBorders>
          </w:tcPr>
          <w:p>
            <w:pPr>
              <w:pStyle w:val="Normal6a"/>
            </w:pPr>
            <w:r>
              <w:t>(3)</w:t>
            </w:r>
            <w:r>
              <w:tab/>
            </w:r>
            <w:r>
              <w:t xml:space="preserve">För att underlätta internationell rekrytering och ge tredjelandsmedborgare möjlighet att arbeta inom yrken där det råder en brist i hela EU bör en EU-talangreserv inrättas i form av en unionsomfattande plattform som sammanför och stöder matchning av profiler för registrerade arbetssökande från tredjeländer som är bosatta utanför unionen med lediga platser hos </w:t>
            </w:r>
            <w:r>
              <w:rPr>
                <w:b/>
                <w:i/>
              </w:rPr>
              <w:t>de deltagande</w:t>
            </w:r>
            <w:r>
              <w:t xml:space="preserve"> arbetsgivare som är etablerade i de deltagande medlemsstaterna.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För att underlätta internationell rekrytering och ge tredjelandsmedborgare möjlighet att arbeta inom yrken där det råder en brist i hela EU bör en EU-talangreserv inrättas i form av en unionsomfattande plattform som sammanför och stöder matchning av profiler för registrerade arbetssökande från tredjeländer </w:t>
            </w:r>
            <w:r>
              <w:rPr>
                <w:b/>
                <w:i/>
              </w:rPr>
              <w:t>som är bosatta utanför unionen</w:t>
            </w:r>
            <w:r>
              <w:t xml:space="preserve"> med lediga platser hos arbetsgivare som är etablerade i de deltagande medlemsstaterna.</w:t>
            </w:r>
          </w:p>
        </w:tc>
        <w:tc>
          <w:tcPr>
            <w:tcW w:w="4876" w:type="dxa"/>
            <w:tcBorders>
              <w:top w:val="nil"/>
              <w:left w:val="nil"/>
              <w:bottom w:val="nil"/>
              <w:right w:val="nil"/>
            </w:tcBorders>
          </w:tcPr>
          <w:p>
            <w:pPr>
              <w:pStyle w:val="Normal6a"/>
            </w:pPr>
            <w:r>
              <w:t>(3)</w:t>
            </w:r>
            <w:r>
              <w:tab/>
            </w:r>
            <w:r>
              <w:t>För att underlätta internationell rekrytering och ge tredjelandsmedborgare möjlighet att arbeta inom yrken där det råder en brist i hela EU bör en EU-talangreserv inrättas i form av en unionsomfattande plattform som sammanför och stöder matchning av profiler för registrerade arbetssökande från tredjeländer med lediga platser hos arbetsgivare som är etablerade i de deltagande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För att underlätta internationell rekrytering och ge tredjelandsmedborgare möjlighet att arbeta inom yrken där det råder en brist i hela EU bör en EU-talangreserv inrättas i form av en unionsomfattande plattform som sammanför och stöder matchning av profiler för registrerade arbetssökande från tredjeländer </w:t>
            </w:r>
            <w:r>
              <w:rPr>
                <w:b/>
                <w:i/>
              </w:rPr>
              <w:t>som är bosatta utanför unionen</w:t>
            </w:r>
            <w:r>
              <w:t xml:space="preserve"> med lediga platser hos arbetsgivare som är etablerade i de deltagande medlemsstaterna.</w:t>
            </w:r>
          </w:p>
        </w:tc>
        <w:tc>
          <w:tcPr>
            <w:tcW w:w="4876" w:type="dxa"/>
            <w:tcBorders>
              <w:top w:val="nil"/>
              <w:left w:val="nil"/>
              <w:bottom w:val="nil"/>
              <w:right w:val="nil"/>
            </w:tcBorders>
          </w:tcPr>
          <w:p>
            <w:pPr>
              <w:pStyle w:val="Normal6a"/>
            </w:pPr>
            <w:r>
              <w:t>(3)</w:t>
            </w:r>
            <w:r>
              <w:tab/>
            </w:r>
            <w:r>
              <w:t>För att underlätta internationell rekrytering och ge tredjelandsmedborgare möjlighet att arbeta inom yrken där det råder en brist i hela EU bör en EU-talangreserv inrättas i form av en unionsomfattande plattform som sammanför och stöder matchning av profiler för registrerade arbetssökande från tredjeländer med lediga platser hos arbetsgivare som är etablerade i de deltagande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Talangreserven bör bidra till målen i EU:s gröna giv om att uppnå klimatneutralitet senast 2050 och till FN:s Agenda 2030 för hållbar utveckling och dess mål för hållbar utveckling, särskilt mål 1 om att utrota fattigdomen, mål 5 om att uppnå jämställdhet och alla kvinnors och flickors egenmakt, mål 8 om att verka för varaktig, inkluderande och hållbar ekonomisk tillväxt, full och produktiv sysselsättning med anständiga arbetsvillkor för alla och mål 10 om att minska ojämlikheten inom och mellan 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EU:s talangreserv bör främja rättvisa och etiska rekryteringsmetoder som tar hänsyn till tredjeländers utvecklingsbehov och syftar till att förhindra kompetensflykt inom kritiska sektorer.</w:t>
            </w:r>
            <w:r>
              <w:t xml:space="preserve"> </w:t>
            </w:r>
            <w:r>
              <w:rPr>
                <w:b/>
                <w:i/>
              </w:rPr>
              <w:t>EU:s talangreserv bör genomföras på ett sätt som mildrar potentiella negativa konsekvenser för utvecklingen i tredjeländer, särskilt genom att undvika utarmning av kritisk kompetens inom sektorer som är avgörande för deras socioekonomiska framsteg.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Begreppet arbetsgivare bör inte definieras och behöver inte definieras i denna förordning.</w:t>
            </w:r>
            <w:r>
              <w:t xml:space="preserve"> </w:t>
            </w:r>
            <w:r>
              <w:rPr>
                <w:b/>
                <w:i/>
              </w:rPr>
              <w:t>Det bör klargöras att privata arbetsförmedlingar, bemanningsföretag och andra arbetskraftsförmedlare som kan få tillgång till EU:s talangreserv är arbetsmarknadsaktörer i betydelsen ”andra deltagande enheter” vid sidan av ”deltagande arbetsgivare”.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Begreppet arbetsgivare bör inte definieras och behöver inte definieras i denna förordning.</w:t>
            </w:r>
            <w:r>
              <w:t xml:space="preserve"> </w:t>
            </w:r>
            <w:r>
              <w:rPr>
                <w:b/>
                <w:i/>
              </w:rPr>
              <w:t>Det bör klargöras att privata arbetsförmedlingar, bemanningsföretag och andra arbetskraftsförmedlare som kan få tillgång till EU:s talangreserv är arbetsmarknadsaktörer i betydelsen ”andra deltagande enheter” vid sidan av ”deltagande arbetsgivare”.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Internationell rekrytering måste ske på ett kontrollerat sätt och inom ramen för årliga kvoter fastställda på nationell nivå utifrån arbetsmarknadens mest akuta behov.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Samtidigt som kvinnor utgör en betydande del av vissa viktiga sektorer, har rörliga och migrerande kvinnor stundtals otrygg anställning eller arbetar i den informella ekonomin och är ofta särskilt utsatta för diskriminering, social utestängning och brist på arbetstillfällen och fortbildningsmöjligheter samt övergrepp, våld och trakasserier.</w:t>
            </w:r>
            <w:r>
              <w:t xml:space="preserve"> </w:t>
            </w:r>
            <w:r>
              <w:rPr>
                <w:b/>
                <w:i/>
              </w:rPr>
              <w:t>Medlemsstaterna bör integrera skyddet av kvinnors rättigheter och anta en genusförändrande strategi, inklusive lika lön för likvärdigt 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EU:s talangreserv bör säkerställa att migrerande arbetstagare som rekryteras genom denna plattform åtnjuter samma rättigheter, arbetsvillkor och sociala skydd som EU-medborgare, i enlighet med principen om likabehandling.</w:t>
            </w:r>
            <w:r>
              <w:t xml:space="preserve"> </w:t>
            </w:r>
            <w:r>
              <w:rPr>
                <w:b/>
                <w:i/>
              </w:rPr>
              <w:t>Den bör underlätta anständigt arbete för och likabehandling av alla arbetstagare i enlighet med internationella mänskliga rättigheter och arbetsnormer, oavsett nationalitet eller invandringsstatus.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Internationell rekrytering får inte beröva ursprungsländerna kompetens som är nödvändig för deras tillväxt och utveckling.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 kommissionens rekommendation om lagliga vägar till skydd i EU</w:t>
            </w:r>
            <w:r>
              <w:rPr>
                <w:b/>
                <w:i/>
                <w:vertAlign w:val="superscript"/>
              </w:rPr>
              <w:t>4</w:t>
            </w:r>
            <w:r>
              <w:rPr>
                <w:b/>
                <w:i/>
              </w:rPr>
              <w:t>uppmuntras medlemsstaterna att införa och stödja kompletterande vägar till sysselsättning för personer i behov av internationellt skydd</w:t>
            </w:r>
            <w:r>
              <w:rPr>
                <w:b/>
                <w:i/>
                <w:vertAlign w:val="superscript"/>
              </w:rPr>
              <w:t>5</w:t>
            </w:r>
            <w:r>
              <w:rPr>
                <w:b/>
                <w:i/>
              </w:rPr>
              <w:t>.</w:t>
            </w:r>
            <w:r>
              <w:t xml:space="preserve"> </w:t>
            </w:r>
            <w:r>
              <w:rPr>
                <w:b/>
                <w:i/>
              </w:rPr>
              <w:t>EU:s talangreserv skulle också kunna stödja genomförandet av de kompletterande vägarna.</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Kommissionens rekommendation (EU) 2020/1364 av den 23 september 2020 om lagliga vägar till skydd i EU:</w:t>
            </w:r>
            <w:r>
              <w:t xml:space="preserve"> </w:t>
            </w:r>
            <w:r>
              <w:rPr>
                <w:b/>
                <w:i/>
              </w:rPr>
              <w:t>att främja vidarebosättning, inresa av humanitära skäl och andra kompletterande vägar.</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”Kompletterande vägar” är säkra och reglerade vägar för personer i behov av internationellt skydd, som kompletterar vidarebosättning genom att erbjuda laglig vistelse i ett tredjeland där deras behov av internationellt skydd tillgodoses.</w:t>
            </w:r>
            <w:r>
              <w:t xml:space="preserve"> </w:t>
            </w:r>
            <w:r>
              <w:rPr>
                <w:b/>
                <w:i/>
              </w:rPr>
              <w:t>Kompletterande vägar till sysselsättning gör det möjligt för personer i behov av internationellt skydd att få tillgång till befintliga vägar för arbetskraftsmigration, utnyttja sin kompetens och bidra till att åtgärda bristen på arbetskraft i mottagarländerna.</w:t>
            </w:r>
            <w:r>
              <w:t xml:space="preserve"> </w:t>
            </w:r>
            <w:r>
              <w:rPr>
                <w:b/>
                <w:i/>
              </w:rPr>
              <w:t>Se även 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 kommissionens rekommendation om lagliga vägar till skydd i EU</w:t>
            </w:r>
            <w:r>
              <w:rPr>
                <w:b/>
                <w:i/>
                <w:vertAlign w:val="superscript"/>
              </w:rPr>
              <w:t>4</w:t>
            </w:r>
            <w:r>
              <w:rPr>
                <w:b/>
                <w:i/>
              </w:rPr>
              <w:t>uppmuntras medlemsstaterna att införa och stödja kompletterande vägar till sysselsättning för personer i behov av internationellt skydd</w:t>
            </w:r>
            <w:r>
              <w:rPr>
                <w:b/>
                <w:i/>
                <w:vertAlign w:val="superscript"/>
              </w:rPr>
              <w:t>5</w:t>
            </w:r>
            <w:r>
              <w:rPr>
                <w:b/>
                <w:i/>
              </w:rPr>
              <w:t>.</w:t>
            </w:r>
            <w:r>
              <w:t xml:space="preserve"> </w:t>
            </w:r>
            <w:r>
              <w:rPr>
                <w:b/>
                <w:i/>
              </w:rPr>
              <w:t>EU:s talangreserv skulle också kunna stödja genomförandet av de kompletterande vägarna.</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Kommissionens rekommendation (EU) 2020/1364 av den 23 september 2020 om lagliga vägar till skydd i EU:</w:t>
            </w:r>
            <w:r>
              <w:t xml:space="preserve"> </w:t>
            </w:r>
            <w:r>
              <w:rPr>
                <w:b/>
                <w:i/>
              </w:rPr>
              <w:t>att främja vidarebosättning, inresa av humanitära skäl och andra kompletterande vägar.</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”Kompletterande vägar” är säkra och reglerade vägar för personer i behov av internationellt skydd, som kompletterar vidarebosättning genom att erbjuda laglig vistelse i ett tredjeland där deras behov av internationellt skydd tillgodoses.</w:t>
            </w:r>
            <w:r>
              <w:t xml:space="preserve"> </w:t>
            </w:r>
            <w:r>
              <w:rPr>
                <w:b/>
                <w:i/>
              </w:rPr>
              <w:t>Kompletterande vägar till sysselsättning gör det möjligt för personer i behov av internationellt skydd att få tillgång till befintliga vägar för arbetskraftsmigration, utnyttja sin kompetens och bidra till att åtgärda bristen på arbetskraft i mottagarländerna.</w:t>
            </w:r>
            <w:r>
              <w:t xml:space="preserve"> </w:t>
            </w:r>
            <w:r>
              <w:rPr>
                <w:b/>
                <w:i/>
              </w:rPr>
              <w:t>Se även 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 kommissionens rekommendation om lagliga vägar till skydd i EU</w:t>
            </w:r>
            <w:r>
              <w:rPr>
                <w:b/>
                <w:i/>
                <w:vertAlign w:val="superscript"/>
              </w:rPr>
              <w:t>4</w:t>
            </w:r>
            <w:r>
              <w:rPr>
                <w:b/>
                <w:i/>
              </w:rPr>
              <w:t xml:space="preserve"> uppmuntras medlemsstaterna att införa och stödja kompletterande vägar till sysselsättning för personer i behov av internationellt skydd</w:t>
            </w:r>
            <w:r>
              <w:rPr>
                <w:b/>
                <w:i/>
                <w:vertAlign w:val="superscript"/>
              </w:rPr>
              <w:t>5</w:t>
            </w:r>
            <w:r>
              <w:rPr>
                <w:b/>
                <w:i/>
              </w:rPr>
              <w:t xml:space="preserve"> .</w:t>
            </w:r>
            <w:r>
              <w:t xml:space="preserve"> </w:t>
            </w:r>
            <w:r>
              <w:rPr>
                <w:b/>
                <w:i/>
              </w:rPr>
              <w:t>EU:s talangreserv skulle också kunna stödja genomförandet av de kompletterande vägarna.</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Kommissionens rekommendation (EU) 2020/1364 av den 23 september 2020 om lagliga vägar till skydd i EU:</w:t>
            </w:r>
            <w:r>
              <w:t xml:space="preserve"> </w:t>
            </w:r>
            <w:r>
              <w:rPr>
                <w:b/>
                <w:i/>
              </w:rPr>
              <w:t>att främja vidarebosättning, inresa av humanitära skäl och andra kompletterande vägar.</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”Kompletterande vägar” är säkra och reglerade vägar för personer i behov av internationellt skydd, som kompletterar vidarebosättning genom att erbjuda laglig vistelse i ett tredjeland där deras behov av internationellt skydd tillgodoses.</w:t>
            </w:r>
            <w:r>
              <w:t xml:space="preserve"> </w:t>
            </w:r>
            <w:r>
              <w:rPr>
                <w:b/>
                <w:i/>
              </w:rPr>
              <w:t>Kompletterande vägar till sysselsättning gör det möjligt för personer i behov av internationellt skydd att få tillgång till befintliga vägar för arbetskraftsmigration, utnyttja sin kompetens och bidra till att åtgärda bristen på arbetskraft i mottagarländerna.</w:t>
            </w:r>
            <w:r>
              <w:t xml:space="preserve"> </w:t>
            </w:r>
            <w:r>
              <w:rPr>
                <w:b/>
                <w:i/>
              </w:rPr>
              <w:t>Se även 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 kommissionens rekommendation om lagliga vägar till skydd i EU</w:t>
            </w:r>
            <w:r>
              <w:rPr>
                <w:vertAlign w:val="superscript"/>
              </w:rPr>
              <w:t>4</w:t>
            </w:r>
            <w:r>
              <w:t>uppmuntras medlemsstaterna att införa och stödja kompletterande vägar till sysselsättning för personer i behov av internationellt skydd</w:t>
            </w:r>
            <w:r>
              <w:rPr>
                <w:vertAlign w:val="superscript"/>
              </w:rPr>
              <w:t>5</w:t>
            </w:r>
            <w:r>
              <w:t>. EU:s talangreserv skulle också kunna stödja genomförandet av de kompletterande vägarna.</w:t>
            </w:r>
          </w:p>
        </w:tc>
        <w:tc>
          <w:tcPr>
            <w:tcW w:w="4876" w:type="dxa"/>
            <w:tcBorders>
              <w:top w:val="nil"/>
              <w:left w:val="nil"/>
              <w:bottom w:val="nil"/>
              <w:right w:val="nil"/>
            </w:tcBorders>
          </w:tcPr>
          <w:p>
            <w:pPr>
              <w:pStyle w:val="Normal6a"/>
            </w:pPr>
            <w:r>
              <w:t>(4)</w:t>
            </w:r>
            <w:r>
              <w:tab/>
            </w:r>
            <w:r>
              <w:t>I kommissionens rekommendation om lagliga vägar till skydd i EU</w:t>
            </w:r>
            <w:r>
              <w:rPr>
                <w:vertAlign w:val="superscript"/>
              </w:rPr>
              <w:t>4</w:t>
            </w:r>
            <w:r>
              <w:t xml:space="preserve"> uppmuntras medlemsstaterna att införa och stödja kompletterande vägar till sysselsättning för personer i behov av internationellt skydd</w:t>
            </w:r>
            <w:r>
              <w:rPr>
                <w:vertAlign w:val="superscript"/>
              </w:rPr>
              <w:t>5</w:t>
            </w:r>
            <w:r>
              <w:t xml:space="preserve">. EU:s talangreserv skulle också kunna stödja genomförandet av de kompletterande vägarna </w:t>
            </w:r>
            <w:r>
              <w:rPr>
                <w:b/>
                <w:i/>
              </w:rPr>
              <w:t>med en skyldighet att utarbeta regelbundna bedömnings- och utvärderingsrapporter om de sociala och ekonomiska konsekvenserna i medlemsstaterna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Kommissionens rekommendation (EU) 2020/1364 av den 23 september 2020 om lagliga vägar till skydd i EU: att främja vidarebosättning, inresa av humanitära skäl och andra kompletterande vägar.</w:t>
            </w:r>
          </w:p>
        </w:tc>
        <w:tc>
          <w:tcPr>
            <w:tcW w:w="4876" w:type="dxa"/>
            <w:tcBorders>
              <w:top w:val="nil"/>
              <w:left w:val="nil"/>
              <w:bottom w:val="nil"/>
              <w:right w:val="nil"/>
            </w:tcBorders>
          </w:tcPr>
          <w:p>
            <w:pPr>
              <w:pStyle w:val="Normal6a"/>
            </w:pPr>
            <w:r>
              <w:rPr>
                <w:vertAlign w:val="superscript"/>
              </w:rPr>
              <w:t>4</w:t>
            </w:r>
            <w:r>
              <w:t xml:space="preserve"> </w:t>
            </w:r>
            <w:r>
              <w:t>Kommissionens rekommendation (EU) 2020/1364 av den 23 september 2020 om lagliga vägar till skydd i EU: att främja vidarebosättning, inresa av humanitära skäl och andra kompletterande vägar.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”Kompletterande vägar” är säkra och reglerade vägar för personer i behov av internationellt skydd, som kompletterar vidarebosättning genom att erbjuda laglig vistelse i ett tredjeland där deras behov av internationellt skydd tillgodoses. Kompletterande vägar till sysselsättning gör det möjligt för personer i behov av internationellt skydd att få tillgång till befintliga vägar för arbetskraftsmigration, utnyttja sin kompetens och bidra till att åtgärda bristen på arbetskraft i mottagarländerna. Se även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”Kompletterande vägar” är säkra och reglerade vägar för personer i behov av internationellt skydd, som kompletterar vidarebosättning genom att erbjuda laglig vistelse i ett tredjeland där deras behov av internationellt skydd tillgodoses. Kompletterande vägar till sysselsättning gör det möjligt för personer i behov av internationellt skydd att få tillgång till befintliga vägar för arbetskraftsmigration, utnyttja sin kompetens och bidra till att åtgärda bristen på arbetskraft i mottagarländerna. Se även https://www.unhcr.org/complementary-pathways.html.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EU:s talangreserv bör syfta till att hjälpa </w:t>
            </w:r>
            <w:r>
              <w:rPr>
                <w:b/>
                <w:i/>
              </w:rPr>
              <w:t>deltagande medlemsstater</w:t>
            </w:r>
            <w:r>
              <w:t xml:space="preserve"> att komma till rätta med den befintliga och framtida bristen på kompetens och arbetskraft genom rekrytering av tredjelandsmedborgare i den mån det inte räcker med aktivering av den inhemska arbetskraften och rörlighet inom EU. </w:t>
            </w:r>
            <w:r>
              <w:rPr>
                <w:b/>
                <w:i/>
              </w:rPr>
              <w:t>Som ett frivilligt verktyg för att underlätta internationell rekrytering bör EU:s talangreserv erbjuda intresserade medlemsstater ytterligare stöd på EU-nivå.</w:t>
            </w:r>
            <w:r>
              <w:t xml:space="preserve"> Därför bör komplementaritet och interoperabilitet med befintliga nationella initiativ och plattformar säkerställas. Medlemsstaternas särskilda behov bör beaktas vid utvecklingen av EU:s talangreserv för att säkerställa </w:t>
            </w:r>
            <w:r>
              <w:rPr>
                <w:b/>
                <w:i/>
              </w:rPr>
              <w:t>största möjliga deltagande</w:t>
            </w:r>
            <w:r>
              <w:t xml:space="preserve">. ”Talang” är </w:t>
            </w:r>
            <w:r>
              <w:rPr>
                <w:b/>
                <w:i/>
              </w:rPr>
              <w:t>därför</w:t>
            </w:r>
            <w:r>
              <w:t xml:space="preserve"> ett heltäckande begrepp som avser alla de kompetenser som medlemsstaternas arbetsmarknader kan behöva.</w:t>
            </w:r>
          </w:p>
        </w:tc>
        <w:tc>
          <w:tcPr>
            <w:tcW w:w="4876" w:type="dxa"/>
            <w:tcBorders>
              <w:top w:val="nil"/>
              <w:left w:val="nil"/>
              <w:bottom w:val="nil"/>
              <w:right w:val="nil"/>
            </w:tcBorders>
          </w:tcPr>
          <w:p>
            <w:pPr>
              <w:pStyle w:val="Normal6a"/>
            </w:pPr>
            <w:r>
              <w:t>(5)</w:t>
            </w:r>
            <w:r>
              <w:tab/>
            </w:r>
            <w:r>
              <w:rPr>
                <w:b/>
                <w:i/>
              </w:rPr>
              <w:t>Eftersom bristen på arbetskraft är ett problem i hela unionen krävs det ett strategiskt och enhetligt tillvägagångssätt för att åtgärda den.</w:t>
            </w:r>
            <w:r>
              <w:t xml:space="preserve"> </w:t>
            </w:r>
            <w:r>
              <w:rPr>
                <w:b/>
                <w:i/>
              </w:rPr>
              <w:t>För att utnyttja stordriftsfördelar och möjliggöra utbyte av bästa praxis bör samtliga medlemsstater delta i EU:s talangreserv.</w:t>
            </w:r>
            <w:r>
              <w:t xml:space="preserve"> </w:t>
            </w:r>
            <w:r>
              <w:rPr>
                <w:b/>
                <w:i/>
              </w:rPr>
              <w:t>Ett genomförande i hela EU skulle också bidra till ökad förutsebarhet och rättssäkerhet för både arbetssökande och arbetsgivare.</w:t>
            </w:r>
            <w:r>
              <w:t xml:space="preserve"> EU:s talangreserv bör syfta till att hjälpa </w:t>
            </w:r>
            <w:r>
              <w:rPr>
                <w:b/>
                <w:i/>
              </w:rPr>
              <w:t>medlemsstaterna</w:t>
            </w:r>
            <w:r>
              <w:t xml:space="preserve"> att komma till rätta med den befintliga och framtida bristen på kompetens och arbetskraft genom rekrytering av tredjelandsmedborgare i den mån det inte räcker med aktivering av den inhemska arbetskraften och rörlighet inom EU. Därför bör komplementaritet och interoperabilitet med befintliga nationella initiativ och plattformar säkerställas</w:t>
            </w:r>
            <w:r>
              <w:rPr>
                <w:b/>
                <w:i/>
              </w:rPr>
              <w:t>, utan att befintliga nationella strukturer ersätts</w:t>
            </w:r>
            <w:r>
              <w:t xml:space="preserve">. Medlemsstaternas särskilda behov bör beaktas vid utvecklingen av EU:s talangreserv för att säkerställa </w:t>
            </w:r>
            <w:r>
              <w:rPr>
                <w:b/>
                <w:i/>
              </w:rPr>
              <w:t>ett så framgångsrikt genomförande som möjligt, till exempel genom att inte påverka medlemsstaternas behörighet att fastställa hur många tredjelandsmedborgare som får beviljas inresa i samband med anställning</w:t>
            </w:r>
            <w:r>
              <w:t xml:space="preserve">. ”Talang” är ett heltäckande begrepp som avser alla de kompetenser som medlemsstaternas arbetsmarknader kan behöva. </w:t>
            </w:r>
            <w:r>
              <w:rPr>
                <w:b/>
                <w:i/>
              </w:rPr>
              <w:t>För att underlätta ömsesidiga vinster för både tredjeländer och EU och dess medlemsstater, ta itu med kompetensflykt och uppmuntra cirkulär migration bör synergier säkerställas med EU-finansierade utbildningsprogram i tredjeländer, såsom det globala partnerskapet för utbildning, Education Cannot Wait, Erasmus+-programmet och andra insatser för yrkesutbildning och kompetensutveckling inom ramen för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EU:s talangreserv bör syfta till att hjälpa </w:t>
            </w:r>
            <w:r>
              <w:rPr>
                <w:b/>
                <w:i/>
              </w:rPr>
              <w:t>deltagande medlemsstater</w:t>
            </w:r>
            <w:r>
              <w:t xml:space="preserve"> att komma till rätta med den befintliga och framtida bristen på kompetens och arbetskraft genom rekrytering av tredjelandsmedborgare i den mån det inte räcker med aktivering av den inhemska arbetskraften och rörlighet inom EU. </w:t>
            </w:r>
            <w:r>
              <w:rPr>
                <w:b/>
                <w:i/>
              </w:rPr>
              <w:t>Som ett frivilligt verktyg för att underlätta internationell rekrytering</w:t>
            </w:r>
            <w:r>
              <w:t xml:space="preserve"> bör EU:s talangreserv </w:t>
            </w:r>
            <w:r>
              <w:rPr>
                <w:b/>
                <w:i/>
              </w:rPr>
              <w:t>erbjuda intresserade</w:t>
            </w:r>
            <w:r>
              <w:t xml:space="preserve"> medlemsstater </w:t>
            </w:r>
            <w:r>
              <w:rPr>
                <w:b/>
                <w:i/>
              </w:rPr>
              <w:t>ytterligare stöd på EU-nivå.</w:t>
            </w:r>
            <w:r>
              <w:t xml:space="preserve"> </w:t>
            </w:r>
            <w:r>
              <w:rPr>
                <w:b/>
                <w:i/>
              </w:rPr>
              <w:t>Därför bör</w:t>
            </w:r>
            <w:r>
              <w:t xml:space="preserve"> komplementaritet och interoperabilitet med befintliga nationella initiativ och plattformar säkerställas</w:t>
            </w:r>
            <w:r>
              <w:rPr>
                <w:b/>
                <w:i/>
              </w:rPr>
              <w:t>.</w:t>
            </w:r>
            <w:r>
              <w:t xml:space="preserve"> Medlemsstaternas särskilda behov bör beaktas vid utvecklingen av EU:s talangreserv </w:t>
            </w:r>
            <w:r>
              <w:rPr>
                <w:b/>
                <w:i/>
              </w:rPr>
              <w:t>för att säkerställa största möjliga deltagande</w:t>
            </w:r>
            <w:r>
              <w:t>. ”Talang” är därför ett heltäckande begrepp som avser alla de kompetenser som medlemsstaternas arbetsmarknader kan behöva.</w:t>
            </w:r>
          </w:p>
        </w:tc>
        <w:tc>
          <w:tcPr>
            <w:tcW w:w="4876" w:type="dxa"/>
            <w:tcBorders>
              <w:top w:val="nil"/>
              <w:left w:val="nil"/>
              <w:bottom w:val="nil"/>
              <w:right w:val="nil"/>
            </w:tcBorders>
          </w:tcPr>
          <w:p>
            <w:pPr>
              <w:pStyle w:val="Normal6a"/>
            </w:pPr>
            <w:r>
              <w:t>(5)</w:t>
            </w:r>
            <w:r>
              <w:tab/>
            </w:r>
            <w:r>
              <w:t xml:space="preserve">EU:s talangreserv bör syfta till att hjälpa </w:t>
            </w:r>
            <w:r>
              <w:rPr>
                <w:b/>
                <w:i/>
              </w:rPr>
              <w:t>medlemsstaterna</w:t>
            </w:r>
            <w:r>
              <w:t xml:space="preserve"> att komma till rätta med den befintliga och framtida bristen på kompetens och arbetskraft genom rekrytering av tredjelandsmedborgare i den mån det inte räcker med aktivering av den inhemska arbetskraften och rörlighet inom EU. </w:t>
            </w:r>
            <w:r>
              <w:rPr>
                <w:b/>
                <w:i/>
              </w:rPr>
              <w:t>För att göra EU:s talangreserv och unionen mer attraktiva för internationella talanger och säkerställa en enhetlig strategi för arbetskraftsmigration</w:t>
            </w:r>
            <w:r>
              <w:t xml:space="preserve"> bör EU:s talangreserv </w:t>
            </w:r>
            <w:r>
              <w:rPr>
                <w:b/>
                <w:i/>
              </w:rPr>
              <w:t>genomföras av alla</w:t>
            </w:r>
            <w:r>
              <w:t xml:space="preserve"> medlemsstater</w:t>
            </w:r>
            <w:r>
              <w:rPr>
                <w:b/>
                <w:i/>
              </w:rPr>
              <w:t>.</w:t>
            </w:r>
            <w:r>
              <w:t xml:space="preserve"> </w:t>
            </w:r>
            <w:r>
              <w:rPr>
                <w:b/>
                <w:i/>
              </w:rPr>
              <w:t>Genomförandet i hela EU kommer också att bidra till större förutsägbarhet och rättssäkerhet för både arbetssökande och arbetsgivare.</w:t>
            </w:r>
            <w:r>
              <w:t xml:space="preserve"> </w:t>
            </w:r>
            <w:r>
              <w:rPr>
                <w:b/>
                <w:i/>
              </w:rPr>
              <w:t>För att säkerställa ett effektivt genomförande och stöd bör medlemsstaternas deltagande,</w:t>
            </w:r>
            <w:r>
              <w:t xml:space="preserve"> komplementaritet och interoperabilitet med befintliga nationella initiativ och plattformar säkerställas</w:t>
            </w:r>
            <w:r>
              <w:rPr>
                <w:b/>
                <w:i/>
              </w:rPr>
              <w:t>, och</w:t>
            </w:r>
            <w:r>
              <w:t xml:space="preserve"> medlemsstaternas särskilda behov bör beaktas vid utvecklingen av EU:s talangreserv. ”Talang” är därför ett heltäckande begrepp som avser alla de kompetenser </w:t>
            </w:r>
            <w:r>
              <w:rPr>
                <w:b/>
                <w:i/>
              </w:rPr>
              <w:t>och arbetssökandes färdigheter</w:t>
            </w:r>
            <w:r>
              <w:t xml:space="preserve"> som medlemsstaternas arbetsmarknader kan behöva.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EU:s talangreserv bör syfta till att hjälpa deltagande medlemsstater att komma till rätta med den befintliga och framtida bristen på kompetens och arbetskraft genom rekrytering av tredjelandsmedborgare i den mån </w:t>
            </w:r>
            <w:r>
              <w:rPr>
                <w:b/>
                <w:i/>
              </w:rPr>
              <w:t>det inte räcker med</w:t>
            </w:r>
            <w:r>
              <w:t xml:space="preserve"> aktivering av den inhemska arbetskraften och rörlighet inom EU. Som ett frivilligt verktyg för att underlätta internationell rekrytering bör EU:s talangreserv erbjuda intresserade medlemsstater ytterligare stöd på EU-nivå. Därför bör komplementaritet och interoperabilitet med befintliga nationella initiativ och plattformar säkerställas. Medlemsstaternas särskilda behov bör beaktas vid utvecklingen av EU:s talangreserv för att säkerställa största möjliga deltagande. ”Talang” är </w:t>
            </w:r>
            <w:r>
              <w:rPr>
                <w:b/>
                <w:i/>
              </w:rPr>
              <w:t>därför ett heltäckande</w:t>
            </w:r>
            <w:r>
              <w:t xml:space="preserve"> begrepp som avser </w:t>
            </w:r>
            <w:r>
              <w:rPr>
                <w:b/>
                <w:i/>
              </w:rPr>
              <w:t>alla de kompetenser</w:t>
            </w:r>
            <w:r>
              <w:t xml:space="preserve"> som medlemsstaternas arbetsmarknader kan behöva.</w:t>
            </w:r>
          </w:p>
        </w:tc>
        <w:tc>
          <w:tcPr>
            <w:tcW w:w="4876" w:type="dxa"/>
            <w:tcBorders>
              <w:top w:val="nil"/>
              <w:left w:val="nil"/>
              <w:bottom w:val="nil"/>
              <w:right w:val="nil"/>
            </w:tcBorders>
          </w:tcPr>
          <w:p>
            <w:pPr>
              <w:pStyle w:val="Normal6a"/>
            </w:pPr>
            <w:r>
              <w:t>(5)</w:t>
            </w:r>
            <w:r>
              <w:tab/>
            </w:r>
            <w:r>
              <w:t xml:space="preserve">EU:s talangreserv bör syfta till att hjälpa deltagande medlemsstater att komma till rätta med den befintliga och framtida bristen på kompetens och arbetskraft genom rekrytering av </w:t>
            </w:r>
            <w:r>
              <w:rPr>
                <w:b/>
                <w:i/>
              </w:rPr>
              <w:t>högkvalificerade</w:t>
            </w:r>
            <w:r>
              <w:t xml:space="preserve"> tredjelandsmedborgare i den mån aktivering av den inhemska arbetskraften</w:t>
            </w:r>
            <w:r>
              <w:rPr>
                <w:b/>
                <w:i/>
              </w:rPr>
              <w:t>, genom ökade incitament, kompetenshöjning</w:t>
            </w:r>
            <w:r>
              <w:t> och rörlighet inom EU</w:t>
            </w:r>
            <w:r>
              <w:rPr>
                <w:b/>
                <w:i/>
              </w:rPr>
              <w:t>, inte räcker för att uppnå detta mål</w:t>
            </w:r>
            <w:r>
              <w:t>. Som ett frivilligt verktyg för att underlätta internationell rekrytering</w:t>
            </w:r>
            <w:r>
              <w:rPr>
                <w:b/>
                <w:i/>
              </w:rPr>
              <w:t>, vilket bör vara upp till varje medlemsstat att besluta om att använda eller inte,</w:t>
            </w:r>
            <w:r>
              <w:t xml:space="preserve"> bör EU:s talangreserv erbjuda intresserade medlemsstater ytterligare stöd på EU-nivå. Därför bör komplementaritet och interoperabilitet med befintliga nationella initiativ och plattformar säkerställas. Medlemsstaternas särskilda behov bör beaktas vid utvecklingen av EU:s talangreserv för att säkerställa största möjliga deltagande. ”Talang” är </w:t>
            </w:r>
            <w:r>
              <w:rPr>
                <w:b/>
                <w:i/>
              </w:rPr>
              <w:t>ett</w:t>
            </w:r>
            <w:r>
              <w:t xml:space="preserve"> begrepp som avser </w:t>
            </w:r>
            <w:r>
              <w:rPr>
                <w:b/>
                <w:i/>
              </w:rPr>
              <w:t>de högkvalificerade tredjelandsmedborgare</w:t>
            </w:r>
            <w:r>
              <w:t xml:space="preserve"> som medlemsstaternas arbetsmarknader kan behöva.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EU:s talangreserv bör syfta till att hjälpa deltagande medlemsstater att komma till rätta med den befintliga och framtida bristen på kompetens och arbetskraft genom rekrytering av tredjelandsmedborgare i den mån det inte räcker med aktivering av den inhemska arbetskraften och rörlighet inom EU. Som ett frivilligt verktyg för att underlätta internationell rekrytering bör EU:s talangreserv erbjuda intresserade medlemsstater ytterligare stöd på EU-nivå. Därför bör komplementaritet och interoperabilitet med befintliga nationella initiativ och plattformar säkerställas. Medlemsstaternas särskilda behov bör beaktas vid utvecklingen av EU:s talangreserv för att säkerställa största möjliga deltagande. ”Talang” är därför ett heltäckande begrepp som avser alla de kompetenser som medlemsstaternas arbetsmarknader kan behöva.</w:t>
            </w:r>
          </w:p>
        </w:tc>
        <w:tc>
          <w:tcPr>
            <w:tcW w:w="4876" w:type="dxa"/>
            <w:tcBorders>
              <w:top w:val="nil"/>
              <w:left w:val="nil"/>
              <w:bottom w:val="nil"/>
              <w:right w:val="nil"/>
            </w:tcBorders>
          </w:tcPr>
          <w:p>
            <w:pPr>
              <w:pStyle w:val="Normal6a"/>
            </w:pPr>
            <w:r>
              <w:t>(5)</w:t>
            </w:r>
            <w:r>
              <w:tab/>
            </w:r>
            <w:r>
              <w:t xml:space="preserve">EU:s talangreserv bör syfta till att hjälpa </w:t>
            </w:r>
            <w:r>
              <w:rPr>
                <w:b/>
                <w:i/>
              </w:rPr>
              <w:t>frivilligt</w:t>
            </w:r>
            <w:r>
              <w:t xml:space="preserve"> deltagande medlemsstater att komma till rätta med den befintliga och </w:t>
            </w:r>
            <w:r>
              <w:rPr>
                <w:b/>
                <w:i/>
              </w:rPr>
              <w:t>eventuella</w:t>
            </w:r>
            <w:r>
              <w:t xml:space="preserve"> framtida bristen på kompetens och arbetskraft genom rekrytering av tredjelandsmedborgare i </w:t>
            </w:r>
            <w:r>
              <w:rPr>
                <w:b/>
                <w:i/>
              </w:rPr>
              <w:t>vissa sektorer och i enlighet med deras kompetensnivå i</w:t>
            </w:r>
            <w:r>
              <w:t xml:space="preserve"> den mån det inte räcker med aktivering av den inhemska arbetskraften och rörlighet inom EU. Som ett frivilligt verktyg för att underlätta internationell rekrytering bör EU:s talangreserv erbjuda intresserade medlemsstater ytterligare stöd på EU-nivå. Därför bör komplementaritet och interoperabilitet med befintliga nationella initiativ och plattformar säkerställas. Medlemsstaternas särskilda </w:t>
            </w:r>
            <w:r>
              <w:rPr>
                <w:b/>
                <w:i/>
              </w:rPr>
              <w:t>sociala, ekonomiska och sysselsättningsmässiga</w:t>
            </w:r>
            <w:r>
              <w:t xml:space="preserve"> behov </w:t>
            </w:r>
            <w:r>
              <w:rPr>
                <w:b/>
                <w:i/>
              </w:rPr>
              <w:t>och särdrag</w:t>
            </w:r>
            <w:r>
              <w:t xml:space="preserve"> bör beaktas vid utvecklingen av EU:s talangreserv för att säkerställa största möjliga deltagande. ”Talang” är därför ett heltäckande begrepp som avser alla de kompetenser som medlemsstaternas arbetsmarknader kan behöva.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EU:s talangreserv bör syfta till att hjälpa deltagande medlemsstater att komma till rätta med den befintliga och framtida bristen på kompetens och arbetskraft genom rekrytering av tredjelandsmedborgare </w:t>
            </w:r>
            <w:r>
              <w:rPr>
                <w:b/>
                <w:i/>
              </w:rPr>
              <w:t>i den mån</w:t>
            </w:r>
            <w:r>
              <w:t xml:space="preserve"> det inte räcker med aktivering av den inhemska arbetskraften och rörlighet inom EU. Som ett frivilligt verktyg för att underlätta internationell rekrytering bör EU:s talangreserv erbjuda intresserade medlemsstater ytterligare stöd på EU-nivå. Därför bör komplementaritet och interoperabilitet med befintliga </w:t>
            </w:r>
            <w:r>
              <w:rPr>
                <w:b/>
                <w:i/>
              </w:rPr>
              <w:t>nationella</w:t>
            </w:r>
            <w:r>
              <w:t xml:space="preserve"> initiativ och plattformar säkerställas. Medlemsstaternas särskilda behov bör beaktas vid utvecklingen av EU:s talangreserv för att säkerställa största möjliga deltagande. ”Talang” är därför ett heltäckande begrepp som avser alla de kompetenser som medlemsstaternas arbetsmarknader kan behöva.</w:t>
            </w:r>
          </w:p>
        </w:tc>
        <w:tc>
          <w:tcPr>
            <w:tcW w:w="4876" w:type="dxa"/>
            <w:tcBorders>
              <w:top w:val="nil"/>
              <w:left w:val="nil"/>
              <w:bottom w:val="nil"/>
              <w:right w:val="nil"/>
            </w:tcBorders>
          </w:tcPr>
          <w:p>
            <w:pPr>
              <w:pStyle w:val="Normal6a"/>
            </w:pPr>
            <w:r>
              <w:t>(5)</w:t>
            </w:r>
            <w:r>
              <w:tab/>
            </w:r>
            <w:r>
              <w:t xml:space="preserve">EU:s talangreserv bör syfta till att hjälpa deltagande medlemsstater att komma till rätta med den befintliga och framtida bristen på kompetens och arbetskraft genom rekrytering av tredjelandsmedborgare </w:t>
            </w:r>
            <w:r>
              <w:rPr>
                <w:b/>
                <w:i/>
              </w:rPr>
              <w:t>endast i de fall då</w:t>
            </w:r>
            <w:r>
              <w:t xml:space="preserve"> det inte räcker med aktivering av den inhemska arbetskraften och rörlighet inom EU. Som ett frivilligt verktyg för att underlätta internationell rekrytering bör EU:s talangreserv erbjuda intresserade medlemsstater ytterligare stöd på EU-nivå. Därför bör komplementaritet och interoperabilitet med befintliga initiativ och plattformar säkerställas </w:t>
            </w:r>
            <w:r>
              <w:rPr>
                <w:b/>
                <w:i/>
              </w:rPr>
              <w:t>på såväl unions- som medlemsstatsnivå</w:t>
            </w:r>
            <w:r>
              <w:t>. Medlemsstaternas särskilda behov bör beaktas vid utvecklingen av EU:s talangreserv för att säkerställa största möjliga deltagande. ”Talang” är därför ett heltäckande begrepp som avser alla de kompetenser som medlemsstaternas arbetsmarknader kan behöva.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EU:s talangreserv bör syfta till att hjälpa deltagande medlemsstater att komma till rätta med den befintliga och framtida bristen på kompetens och arbetskraft genom rekrytering av tredjelandsmedborgare i den mån det inte räcker med aktivering av den inhemska arbetskraften och rörlighet inom EU. Som ett </w:t>
            </w:r>
            <w:r>
              <w:rPr>
                <w:b/>
                <w:i/>
              </w:rPr>
              <w:t>frivilligt</w:t>
            </w:r>
            <w:r>
              <w:t xml:space="preserve"> verktyg för att underlätta internationell rekrytering bör EU:s talangreserv erbjuda intresserade medlemsstater ytterligare stöd på EU-nivå. Därför bör komplementaritet och interoperabilitet med befintliga nationella initiativ och plattformar säkerställas. Medlemsstaternas särskilda behov bör beaktas vid utvecklingen av EU:s talangreserv för att säkerställa största möjliga deltagande. ”Talang” är därför ett heltäckande begrepp som avser alla de kompetenser som medlemsstaternas arbetsmarknader kan behöva.</w:t>
            </w:r>
          </w:p>
        </w:tc>
        <w:tc>
          <w:tcPr>
            <w:tcW w:w="4876" w:type="dxa"/>
            <w:tcBorders>
              <w:top w:val="nil"/>
              <w:left w:val="nil"/>
              <w:bottom w:val="nil"/>
              <w:right w:val="nil"/>
            </w:tcBorders>
          </w:tcPr>
          <w:p>
            <w:pPr>
              <w:pStyle w:val="Normal6a"/>
            </w:pPr>
            <w:r>
              <w:t>(5)</w:t>
            </w:r>
            <w:r>
              <w:tab/>
            </w:r>
            <w:r>
              <w:t xml:space="preserve">EU:s talangreserv bör syfta till att hjälpa deltagande medlemsstater att komma till rätta med den befintliga och framtida bristen på kompetens och arbetskraft genom rekrytering av tredjelandsmedborgare i den mån det inte räcker med aktivering av den inhemska arbetskraften och rörlighet inom EU. Som ett </w:t>
            </w:r>
            <w:r>
              <w:rPr>
                <w:b/>
                <w:i/>
              </w:rPr>
              <w:t>obligatoriskt</w:t>
            </w:r>
            <w:r>
              <w:t xml:space="preserve"> verktyg för att underlätta internationell rekrytering bör EU:s talangreserv erbjuda intresserade medlemsstater ytterligare stöd på EU-nivå. Därför bör komplementaritet och interoperabilitet med befintliga nationella initiativ och plattformar säkerställas. Medlemsstaternas särskilda behov bör beaktas vid utvecklingen av EU:s talangreserv för att säkerställa största möjliga deltagande. ”Talang” är därför ett heltäckande begrepp som avser alla de kompetenser som medlemsstaternas arbetsmarknader kan behöva.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Europeiska nätverket för arbetsförmedlingar (Eures), som sörjer för information, rådgivning och rekrytering eller förmedling till förmån för arbetstagare och arbetsgivare i hela unionen, kan spela en viktig roll när det gäller att offentliggöra lediga platser för att locka arbetstagare från andra medlemsstater.</w:t>
            </w:r>
            <w:r>
              <w:t xml:space="preserve"> </w:t>
            </w:r>
            <w:r>
              <w:rPr>
                <w:b/>
                <w:i/>
              </w:rPr>
              <w:t>Eures bör således användas för att tillsätta lediga platser innan EU:s talangreserv används.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Som ett frivilligt verktyg är det på samma sätt nödvändigt att reglera medlemsstaternas rätt att gå ur talangreserven på ett ordnat sätt och enligt en lämplig tidsplan så att den allmänna funktionen hos EU:s talangreserv och de övriga deltagande medlemsstaternas rättigheter inte störs.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Talangreserven bör säkerställa att bristen på arbetskraft på unionsnivå, nationell nivå och sektorsnivå identifieras på ett transparent sätt och i samråd med arbetsmarknadens parter på alla nivåer, med beaktande av drivkrafterna och de bakomliggande orsakerna till denna brist.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EU:s talangreserv syftar till att tillhandahålla tjänster till arbetsgivare som är etablerade i de deltagande medlemsstaterna, däribland privata arbetsförmedlingar, bemanningsföretag och arbetskraftsförmedlare enligt definitionen i Internationella arbetsorganisationens konvention nr 181 från 1997.</w:t>
            </w:r>
          </w:p>
        </w:tc>
        <w:tc>
          <w:tcPr>
            <w:tcW w:w="4876" w:type="dxa"/>
            <w:tcBorders>
              <w:top w:val="nil"/>
              <w:left w:val="nil"/>
              <w:bottom w:val="nil"/>
              <w:right w:val="nil"/>
            </w:tcBorders>
          </w:tcPr>
          <w:p>
            <w:pPr>
              <w:pStyle w:val="Normal6a"/>
            </w:pPr>
            <w:r>
              <w:t>(6)</w:t>
            </w:r>
            <w:r>
              <w:tab/>
            </w:r>
            <w:r>
              <w:t xml:space="preserve">EU:s talangreserv syftar till att tillhandahålla tjänster till </w:t>
            </w:r>
            <w:r>
              <w:rPr>
                <w:b/>
                <w:i/>
              </w:rPr>
              <w:t>deltagande</w:t>
            </w:r>
            <w:r>
              <w:t xml:space="preserve"> arbetsgivare som är etablerade i de deltagande medlemsstaterna, däribland privata arbetsförmedlingar, bemanningsföretag och arbetskraftsförmedlare enligt definitionen i Internationella arbetsorganisationens konvention nr 181 från 1997. </w:t>
            </w:r>
            <w:r>
              <w:rPr>
                <w:b/>
                <w:i/>
              </w:rPr>
              <w:t>En deltagande arbetsgivare är en arbetsgivare vars lediga platser görs tillgängliga på it-plattformen för EU:s talangreserv av den nationella kontaktpunkten i den medlemsstat där arbetsgivaren är etablerad.</w:t>
            </w:r>
            <w:r>
              <w:t xml:space="preserve"> </w:t>
            </w:r>
            <w:r>
              <w:rPr>
                <w:b/>
                <w:i/>
              </w:rPr>
              <w:t>När dessa lediga platser har tagits bort från it-plattformen för EU:s talangreserv betraktas arbetsgivaren inte längre som deltagande arbetsgivare.</w:t>
            </w:r>
            <w:r>
              <w:t xml:space="preserve"> </w:t>
            </w:r>
            <w:r>
              <w:rPr>
                <w:b/>
                <w:i/>
              </w:rPr>
              <w:t>Enheter av andra slag kan också ingå i EU:s talangreserv (privata arbetsförmedlingar, bemanningsföretag och arbetskraftsförmedlare) och omfattas av samma ordning som deltagande arbetsgivare.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EU:s talangreserv syftar till att tillhandahålla tjänster till arbetsgivare som </w:t>
            </w:r>
            <w:r>
              <w:rPr>
                <w:b/>
                <w:i/>
              </w:rPr>
              <w:t>är etablerade i de deltagande medlemsstaterna, däribland privata arbetsförmedlingar, bemanningsföretag och arbetskraftsförmedlare enligt definitionen i Internationella arbetsorganisationens konvention nr 181 från 1997</w:t>
            </w:r>
            <w:r>
              <w:t>.</w:t>
            </w:r>
          </w:p>
        </w:tc>
        <w:tc>
          <w:tcPr>
            <w:tcW w:w="4876" w:type="dxa"/>
            <w:tcBorders>
              <w:top w:val="nil"/>
              <w:left w:val="nil"/>
              <w:bottom w:val="nil"/>
              <w:right w:val="nil"/>
            </w:tcBorders>
          </w:tcPr>
          <w:p>
            <w:pPr>
              <w:pStyle w:val="Normal6a"/>
            </w:pPr>
            <w:r>
              <w:t>(6)</w:t>
            </w:r>
            <w:r>
              <w:tab/>
            </w:r>
            <w:r>
              <w:t xml:space="preserve">EU:s talangreserv syftar till att tillhandahålla tjänster till arbetsgivare som </w:t>
            </w:r>
            <w:r>
              <w:rPr>
                <w:b/>
                <w:i/>
              </w:rPr>
              <w:t>verkligen bedriver väsentlig verksamhet på de deltagande medlemsstaternas territorium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EU:s talangreserv syftar till att tillhandahålla tjänster till arbetsgivare som är etablerade i de deltagande medlemsstaterna, däribland privata arbetsförmedlingar, bemanningsföretag och arbetskraftsförmedlare enligt definitionen i Internationella arbetsorganisationens konvention nr 181 från 1997.</w:t>
            </w:r>
          </w:p>
        </w:tc>
        <w:tc>
          <w:tcPr>
            <w:tcW w:w="4876" w:type="dxa"/>
            <w:tcBorders>
              <w:top w:val="nil"/>
              <w:left w:val="nil"/>
              <w:bottom w:val="nil"/>
              <w:right w:val="nil"/>
            </w:tcBorders>
          </w:tcPr>
          <w:p>
            <w:pPr>
              <w:pStyle w:val="Normal6a"/>
            </w:pPr>
            <w:r>
              <w:t>(6)</w:t>
            </w:r>
            <w:r>
              <w:tab/>
            </w:r>
            <w:r>
              <w:t xml:space="preserve">EU:s talangreserv syftar till att tillhandahålla tjänster till </w:t>
            </w:r>
            <w:r>
              <w:rPr>
                <w:b/>
                <w:i/>
              </w:rPr>
              <w:t>tredjelandsmedborgare som söker arbete inom yrken där det råder brist i hela EU och till</w:t>
            </w:r>
            <w:r>
              <w:t xml:space="preserve"> arbetsgivare som är etablerade i de deltagande medlemsstaterna, däribland privata arbetsförmedlingar, bemanningsföretag och arbetskraftsförmedlare enligt definitionen i Internationella arbetsorganisationens konvention nr 181 från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EU:s talangreserv syftar till att tillhandahålla tjänster till arbetsgivare som är etablerade i de deltagande medlemsstaterna, däribland privata arbetsförmedlingar, bemanningsföretag och arbetskraftsförmedlare enligt definitionen i Internationella arbetsorganisationens konvention nr 181 från 1997.</w:t>
            </w:r>
          </w:p>
        </w:tc>
        <w:tc>
          <w:tcPr>
            <w:tcW w:w="4876" w:type="dxa"/>
            <w:tcBorders>
              <w:top w:val="nil"/>
              <w:left w:val="nil"/>
              <w:bottom w:val="nil"/>
              <w:right w:val="nil"/>
            </w:tcBorders>
          </w:tcPr>
          <w:p>
            <w:pPr>
              <w:pStyle w:val="Normal6a"/>
            </w:pPr>
            <w:r>
              <w:t>(6)</w:t>
            </w:r>
            <w:r>
              <w:tab/>
            </w:r>
            <w:r>
              <w:t xml:space="preserve">EU:s talangreserv syftar till att tillhandahålla tjänster till </w:t>
            </w:r>
            <w:r>
              <w:rPr>
                <w:b/>
                <w:i/>
              </w:rPr>
              <w:t>tredjelandsmedborgare som söker arbete inom yrken där det råder brist i hela EU och till</w:t>
            </w:r>
            <w:r>
              <w:t xml:space="preserve"> arbetsgivare som är etablerade i de deltagande medlemsstaterna, däribland privata arbetsförmedlingar, bemanningsföretag och arbetskraftsförmedlare enligt definitionen i Internationella arbetsorganisationens konvention nr 181 från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EU:s talangreserv syftar till att tillhandahålla tjänster till arbetsgivare som är etablerade i de deltagande medlemsstaterna</w:t>
            </w:r>
            <w:r>
              <w:rPr>
                <w:b/>
                <w:i/>
              </w:rPr>
              <w:t>, däribland privata arbetsförmedlingar, bemanningsföretag och arbetskraftsförmedlare enligt definitionen i Internationella arbetsorganisationens konvention nr 181 från 1997</w:t>
            </w:r>
            <w:r>
              <w:t>.</w:t>
            </w:r>
          </w:p>
        </w:tc>
        <w:tc>
          <w:tcPr>
            <w:tcW w:w="4876" w:type="dxa"/>
            <w:tcBorders>
              <w:top w:val="nil"/>
              <w:left w:val="nil"/>
              <w:bottom w:val="nil"/>
              <w:right w:val="nil"/>
            </w:tcBorders>
          </w:tcPr>
          <w:p>
            <w:pPr>
              <w:pStyle w:val="Normal6a"/>
            </w:pPr>
            <w:r>
              <w:t>(6)</w:t>
            </w:r>
            <w:r>
              <w:tab/>
            </w:r>
            <w:r>
              <w:t xml:space="preserve">EU:s talangreserv syftar till att tillhandahålla tjänster till arbetsgivare som är etablerade i de deltagande medlemsstaterna </w:t>
            </w:r>
            <w:r>
              <w:rPr>
                <w:b/>
                <w:i/>
              </w:rPr>
              <w:t>och som verkligen bedriver väsentlig ekonomisk verksamhet i den medlemsstaten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EU:s talangreserv syftar till att tillhandahålla tjänster till arbetsgivare </w:t>
            </w:r>
            <w:r>
              <w:rPr>
                <w:b/>
                <w:i/>
              </w:rPr>
              <w:t>som är etablerade i de deltagande medlemsstaterna, däribland privata arbetsförmedlingar, bemanningsföretag och arbetskraftsförmedlare</w:t>
            </w:r>
            <w:r>
              <w:t xml:space="preserve"> enligt definitionen i Internationella arbetsorganisationens konvention nr 181 från 1997.</w:t>
            </w:r>
          </w:p>
        </w:tc>
        <w:tc>
          <w:tcPr>
            <w:tcW w:w="4876" w:type="dxa"/>
            <w:tcBorders>
              <w:top w:val="nil"/>
              <w:left w:val="nil"/>
              <w:bottom w:val="nil"/>
              <w:right w:val="nil"/>
            </w:tcBorders>
          </w:tcPr>
          <w:p>
            <w:pPr>
              <w:pStyle w:val="Normal6a"/>
            </w:pPr>
            <w:r>
              <w:t>(6)</w:t>
            </w:r>
            <w:r>
              <w:tab/>
            </w:r>
            <w:r>
              <w:t xml:space="preserve">EU:s talangreserv syftar till att tillhandahålla tjänster till arbetsgivare </w:t>
            </w:r>
            <w:r>
              <w:rPr>
                <w:b/>
                <w:i/>
              </w:rPr>
              <w:t>och förmedlare</w:t>
            </w:r>
            <w:r>
              <w:t xml:space="preserve"> enligt definitionen i Internationella arbetsorganisationens konvention nr 181 från 1997 </w:t>
            </w:r>
            <w:r>
              <w:rPr>
                <w:b/>
                <w:i/>
              </w:rPr>
              <w:t>som är etablerade i de deltagande medlemsstaterna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EU:s talangreserv syftar till att tillhandahålla tjänster till arbetsgivare som är etablerade i </w:t>
            </w:r>
            <w:r>
              <w:rPr>
                <w:b/>
                <w:i/>
              </w:rPr>
              <w:t>de deltagande</w:t>
            </w:r>
            <w:r>
              <w:t xml:space="preserve"> medlemsstaterna, däribland privata arbetsförmedlingar, bemanningsföretag och arbetskraftsförmedlare enligt definitionen i Internationella arbetsorganisationens konvention nr 181 från 1997.</w:t>
            </w:r>
          </w:p>
        </w:tc>
        <w:tc>
          <w:tcPr>
            <w:tcW w:w="4876" w:type="dxa"/>
            <w:tcBorders>
              <w:top w:val="nil"/>
              <w:left w:val="nil"/>
              <w:bottom w:val="nil"/>
              <w:right w:val="nil"/>
            </w:tcBorders>
          </w:tcPr>
          <w:p>
            <w:pPr>
              <w:pStyle w:val="Normal6a"/>
            </w:pPr>
            <w:r>
              <w:t>(6)</w:t>
            </w:r>
            <w:r>
              <w:tab/>
            </w:r>
            <w:r>
              <w:t xml:space="preserve">EU:s talangreserv syftar till att tillhandahålla </w:t>
            </w:r>
            <w:r>
              <w:rPr>
                <w:b/>
                <w:i/>
              </w:rPr>
              <w:t>kostnadsfria</w:t>
            </w:r>
            <w:r>
              <w:t xml:space="preserve"> tjänster till arbetsgivare som är etablerade i medlemsstaterna, däribland privata arbetsförmedlingar, bemanningsföretag och arbetskraftsförmedlare enligt definitionen i Internationella arbetsorganisationens konvention nr 181 från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För att avgöra om en arbetsgivare verkligen bedriver väsentlig verksamhet i den deltagande medlemsstat där arbetsgivaren är etablerad och där den avser att anställa tredjelandsmedborgaren, bör de behöriga myndigheterna göra en helhetsbedömning av alla faktiska omständigheter som kännetecknar dennes verksamhet för att kontrollera att arbetsgivarens ordinarie affärsverksamhet i betydande utsträckning bedrivs inom den relevanta sysselsättningssektorn, det vill säga utöver enbart urval, rekrytering och tilldelning av 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EU:s talangreserv bör också stödja genomförandet av talangpartnerskap, som är en av de viktigaste aspekterna av den yttre dimensionen i migrations- och asylpakten</w:t>
            </w:r>
            <w:r>
              <w:rPr>
                <w:b/>
                <w:i/>
                <w:vertAlign w:val="superscript"/>
              </w:rPr>
              <w:t>6</w:t>
            </w:r>
            <w:r>
              <w:rPr>
                <w:b/>
                <w:i/>
              </w:rPr>
              <w:t xml:space="preserve"> och genomförs i enlighet med kommissionens meddelande om att locka kompetens och talang till EU</w:t>
            </w:r>
            <w:r>
              <w:rPr>
                <w:b/>
                <w:i/>
                <w:vertAlign w:val="superscript"/>
              </w:rPr>
              <w:t>7</w:t>
            </w:r>
            <w:r>
              <w:rPr>
                <w:b/>
                <w:i/>
              </w:rPr>
              <w:t xml:space="preserve"> .</w:t>
            </w:r>
            <w:r>
              <w:t xml:space="preserve"> </w:t>
            </w:r>
            <w:r>
              <w:rPr>
                <w:b/>
                <w:i/>
              </w:rPr>
              <w:t>En medlemsstats deltagande i talangpartnerskapet bör inte påverka dess beslut att delta i EU:s talangreserv.</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 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EU:s talangreserv </w:t>
            </w:r>
            <w:r>
              <w:rPr>
                <w:b/>
                <w:i/>
              </w:rPr>
              <w:t>bör också</w:t>
            </w:r>
            <w:r>
              <w:t xml:space="preserve"> stödja genomförandet av talangpartnerskap, som är en av de viktigaste aspekterna av den yttre dimensionen i migrations- och asylpakten</w:t>
            </w:r>
            <w:r>
              <w:rPr>
                <w:vertAlign w:val="superscript"/>
              </w:rPr>
              <w:t>6</w:t>
            </w:r>
            <w:r>
              <w:t>och genomförs i enlighet med kommissionens meddelande om att locka kompetens och talang till EU</w:t>
            </w:r>
            <w:r>
              <w:rPr>
                <w:vertAlign w:val="superscript"/>
              </w:rPr>
              <w:t>7</w:t>
            </w:r>
            <w:r>
              <w:t xml:space="preserve">. </w:t>
            </w:r>
            <w:r>
              <w:rPr>
                <w:b/>
                <w:i/>
              </w:rPr>
              <w:t>En medlemsstats deltagande i talangpartnerskapet bör inte påverka dess beslut att delta i EU:s talangreserv.</w:t>
            </w:r>
          </w:p>
        </w:tc>
        <w:tc>
          <w:tcPr>
            <w:tcW w:w="4876" w:type="dxa"/>
            <w:tcBorders>
              <w:top w:val="nil"/>
              <w:left w:val="nil"/>
              <w:bottom w:val="nil"/>
              <w:right w:val="nil"/>
            </w:tcBorders>
          </w:tcPr>
          <w:p>
            <w:pPr>
              <w:pStyle w:val="Normal6a"/>
            </w:pPr>
            <w:r>
              <w:t>(7)</w:t>
            </w:r>
            <w:r>
              <w:tab/>
            </w:r>
            <w:r>
              <w:rPr>
                <w:b/>
                <w:i/>
              </w:rPr>
              <w:t>Starka partnerskap med tredjeländer kan bidra till effektivt utvecklingssamarbete, i överensstämmelse med principen om konsekvent politik för utveckling, och underlätta skapandet av ömsesidigt förtroende och ömsesidiga vinster för tredjeländer, unionen och medlemsstaterna.</w:t>
            </w:r>
            <w:r>
              <w:t xml:space="preserve"> </w:t>
            </w:r>
            <w:r>
              <w:rPr>
                <w:b/>
                <w:i/>
              </w:rPr>
              <w:t>Partnerskapen bör erbjuda enkla, konsekventa och begripliga lagliga vägar till unionen, säkerställa möjligheter till återresa som kan underlättas genom</w:t>
            </w:r>
            <w:r>
              <w:t xml:space="preserve"> EU:s talangreserv </w:t>
            </w:r>
            <w:r>
              <w:rPr>
                <w:b/>
                <w:i/>
              </w:rPr>
              <w:t>och uppmuntra cirkulär migration för de utvecklingsfördelar som detta ger ursprungsländerna, bland annat genom kompetens- och kunskapsöverföring och remitteringar.</w:t>
            </w:r>
            <w:r>
              <w:t xml:space="preserve"> </w:t>
            </w:r>
            <w:r>
              <w:rPr>
                <w:b/>
                <w:i/>
              </w:rPr>
              <w:t>Tredjeländer måste kunna vara med och skapa jämlika partnerskap.</w:t>
            </w:r>
            <w:r>
              <w:t xml:space="preserve"> </w:t>
            </w:r>
            <w:r>
              <w:rPr>
                <w:b/>
                <w:i/>
              </w:rPr>
              <w:t>EU:s migrationspolitik måste alltid vägledas av respekten för rättsstatsprincipen och mänskliga rättigheter.</w:t>
            </w:r>
            <w:r>
              <w:t xml:space="preserve"> </w:t>
            </w:r>
            <w:r>
              <w:rPr>
                <w:b/>
                <w:i/>
              </w:rPr>
              <w:t>EU:s talangreserv bör</w:t>
            </w:r>
            <w:r>
              <w:t xml:space="preserve"> stödja genomförandet av talangpartnerskap, som är en av de viktigaste aspekterna av den yttre dimensionen i migrations- och asylpakten</w:t>
            </w:r>
            <w:r>
              <w:rPr>
                <w:vertAlign w:val="superscript"/>
              </w:rPr>
              <w:t>6</w:t>
            </w:r>
            <w:r>
              <w:rPr>
                <w:b/>
                <w:i/>
              </w:rPr>
              <w:t> </w:t>
            </w:r>
            <w:r>
              <w:t>och genomförs i enlighet med kommissionens meddelande om att locka kompetens och talang till EU</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EU:s talangreserv bör också stödja genomförandet av talangpartnerskap, som är en av de viktigaste aspekterna av den yttre dimensionen i migrations- och asylpakten</w:t>
            </w:r>
            <w:r>
              <w:rPr>
                <w:vertAlign w:val="superscript"/>
              </w:rPr>
              <w:t>6</w:t>
            </w:r>
            <w:r>
              <w:t>och genomförs i enlighet med kommissionens meddelande om att locka kompetens och talang till EU</w:t>
            </w:r>
            <w:r>
              <w:rPr>
                <w:vertAlign w:val="superscript"/>
              </w:rPr>
              <w:t>7</w:t>
            </w:r>
            <w:r>
              <w:t xml:space="preserve">. </w:t>
            </w:r>
            <w:r>
              <w:rPr>
                <w:b/>
                <w:i/>
              </w:rPr>
              <w:t>En medlemsstats deltagande i talangpartnerskapet bör inte påverka dess beslut att delta i EU:s talangreserv.</w:t>
            </w:r>
          </w:p>
        </w:tc>
        <w:tc>
          <w:tcPr>
            <w:tcW w:w="4876" w:type="dxa"/>
            <w:tcBorders>
              <w:top w:val="nil"/>
              <w:left w:val="nil"/>
              <w:bottom w:val="nil"/>
              <w:right w:val="nil"/>
            </w:tcBorders>
          </w:tcPr>
          <w:p>
            <w:pPr>
              <w:pStyle w:val="Normal6a"/>
            </w:pPr>
            <w:r>
              <w:t>(7)</w:t>
            </w:r>
            <w:r>
              <w:tab/>
            </w:r>
            <w:r>
              <w:t>EU:s talangreserv bör också stödja genomförandet av talangpartnerskap, som är en av de viktigaste aspekterna av den yttre dimensionen i migrations- och asylpakten</w:t>
            </w:r>
            <w:r>
              <w:rPr>
                <w:vertAlign w:val="superscript"/>
              </w:rPr>
              <w:t>6</w:t>
            </w:r>
            <w:r>
              <w:t xml:space="preserve"> och genomförs i enlighet med kommissionens meddelande om att locka kompetens och talang till EU</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EU:s talangreserv bör också stödja genomförandet av talangpartnerskap, som är en av de viktigaste aspekterna av den yttre dimensionen i migrations- och asylpakten</w:t>
            </w:r>
            <w:r>
              <w:rPr>
                <w:vertAlign w:val="superscript"/>
              </w:rPr>
              <w:t>6</w:t>
            </w:r>
            <w:r>
              <w:t>och genomförs i enlighet med kommissionens meddelande om att locka kompetens och talang till EU</w:t>
            </w:r>
            <w:r>
              <w:rPr>
                <w:vertAlign w:val="superscript"/>
              </w:rPr>
              <w:t>7</w:t>
            </w:r>
            <w:r>
              <w:t>. En medlemsstats deltagande i talangpartnerskapet bör inte påverka dess beslut att delta i EU:s talangreserv.</w:t>
            </w:r>
          </w:p>
        </w:tc>
        <w:tc>
          <w:tcPr>
            <w:tcW w:w="4876" w:type="dxa"/>
            <w:tcBorders>
              <w:top w:val="nil"/>
              <w:left w:val="nil"/>
              <w:bottom w:val="nil"/>
              <w:right w:val="nil"/>
            </w:tcBorders>
          </w:tcPr>
          <w:p>
            <w:pPr>
              <w:pStyle w:val="Normal6a"/>
            </w:pPr>
            <w:r>
              <w:t>(7)</w:t>
            </w:r>
            <w:r>
              <w:tab/>
            </w:r>
            <w:r>
              <w:t xml:space="preserve">EU:s talangreserv bör också stödja genomförandet av talangpartnerskap </w:t>
            </w:r>
            <w:r>
              <w:rPr>
                <w:b/>
                <w:i/>
              </w:rPr>
              <w:t>och nationella ramverk för utveckling och validering av kompetens i ett tredjeland</w:t>
            </w:r>
            <w:r>
              <w:t>, som är en av de viktigaste aspekterna av den yttre dimensionen i migrations- och asylpakten</w:t>
            </w:r>
            <w:r>
              <w:rPr>
                <w:vertAlign w:val="superscript"/>
              </w:rPr>
              <w:t>6</w:t>
            </w:r>
            <w:r>
              <w:t xml:space="preserve"> och genomförs i enlighet med kommissionens meddelande om att locka kompetens och talang till EU</w:t>
            </w:r>
            <w:r>
              <w:rPr>
                <w:vertAlign w:val="superscript"/>
              </w:rPr>
              <w:t>7</w:t>
            </w:r>
            <w:r>
              <w:t>. En medlemsstats deltagande i talangpartnerskapet bör inte påverka dess beslut att delta i EU:s talangreserv.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EU:s talangreserv bör också stödja genomförandet av talangpartnerskap, som är en av </w:t>
            </w:r>
            <w:r>
              <w:rPr>
                <w:b/>
                <w:i/>
              </w:rPr>
              <w:t>de viktigaste</w:t>
            </w:r>
            <w:r>
              <w:t xml:space="preserve"> aspekterna av den yttre dimensionen i migrations- och asylpakten</w:t>
            </w:r>
            <w:r>
              <w:rPr>
                <w:vertAlign w:val="superscript"/>
              </w:rPr>
              <w:t>6</w:t>
            </w:r>
            <w:r>
              <w:t>och genomförs i enlighet med kommissionens meddelande om att locka kompetens och talang till EU</w:t>
            </w:r>
            <w:r>
              <w:rPr>
                <w:vertAlign w:val="superscript"/>
              </w:rPr>
              <w:t>7</w:t>
            </w:r>
            <w:r>
              <w:t>. En medlemsstats deltagande i talangpartnerskapet bör inte påverka dess beslut att delta i EU:s talangreserv.</w:t>
            </w:r>
          </w:p>
        </w:tc>
        <w:tc>
          <w:tcPr>
            <w:tcW w:w="4876" w:type="dxa"/>
            <w:tcBorders>
              <w:top w:val="nil"/>
              <w:left w:val="nil"/>
              <w:bottom w:val="nil"/>
              <w:right w:val="nil"/>
            </w:tcBorders>
          </w:tcPr>
          <w:p>
            <w:pPr>
              <w:pStyle w:val="Normal6a"/>
            </w:pPr>
            <w:r>
              <w:t>(7)</w:t>
            </w:r>
            <w:r>
              <w:tab/>
            </w:r>
            <w:r>
              <w:t>EU:s talangreserv bör också stödja genomförandet av talangpartnerskap, som är en av aspekterna av den yttre dimensionen i migrations- och asylpakten</w:t>
            </w:r>
            <w:r>
              <w:rPr>
                <w:vertAlign w:val="superscript"/>
              </w:rPr>
              <w:t>6</w:t>
            </w:r>
            <w:r>
              <w:t xml:space="preserve"> och genomförs i enlighet med kommissionens meddelande om att locka kompetens och talang till EU</w:t>
            </w:r>
            <w:r>
              <w:rPr>
                <w:vertAlign w:val="superscript"/>
              </w:rPr>
              <w:t>7</w:t>
            </w:r>
            <w:r>
              <w:t>. En medlemsstats deltagande i talangpartnerskapet bör inte påverka dess beslut att delta i EU:s talangreserv.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För att säkerställa att medlemsstaternas myndigheter är tillräckligt representerade i styrgruppen för EU:s talangreserv bör </w:t>
            </w:r>
            <w:r>
              <w:rPr>
                <w:b/>
                <w:i/>
              </w:rPr>
              <w:t>de deltagande</w:t>
            </w:r>
            <w:r>
              <w:t xml:space="preserve"> medlemsstaterna utse två företrädare vardera, en från arbetsmarknadsmyndigheterna och en från invandringsmyndigheterna.</w:t>
            </w:r>
          </w:p>
        </w:tc>
        <w:tc>
          <w:tcPr>
            <w:tcW w:w="4876" w:type="dxa"/>
            <w:tcBorders>
              <w:top w:val="nil"/>
              <w:left w:val="nil"/>
              <w:bottom w:val="nil"/>
              <w:right w:val="nil"/>
            </w:tcBorders>
          </w:tcPr>
          <w:p>
            <w:pPr>
              <w:pStyle w:val="Normal6a"/>
            </w:pPr>
            <w:r>
              <w:t>(8)</w:t>
            </w:r>
            <w:r>
              <w:tab/>
            </w:r>
            <w:r>
              <w:t xml:space="preserve">För att säkerställa att medlemsstaternas myndigheter är tillräckligt representerade i styrgruppen för EU:s talangreserv bör medlemsstaterna utse två företrädare vardera, en från arbetsmarknadsmyndigheterna och en från invandringsmyndigheterna. </w:t>
            </w:r>
            <w:r>
              <w:rPr>
                <w:b/>
                <w:i/>
              </w:rPr>
              <w:t>För att säkerställa att migrantgrupper som deltar i talangreserven är representerade bör företrädare för migrantledda organisationer och andra organisationer i det civila samhället också delta i styrgruppen, samtidigt som relevanta internationella organisationer kan bjudas 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För att säkerställa att medlemsstaternas myndigheter är tillräckligt representerade i styrgruppen för EU:s talangreserv bör de deltagande medlemsstaterna utse två företrädare vardera, en från arbetsmarknadsmyndigheterna och en från invandringsmyndigheterna.</w:t>
            </w:r>
          </w:p>
        </w:tc>
        <w:tc>
          <w:tcPr>
            <w:tcW w:w="4876" w:type="dxa"/>
            <w:tcBorders>
              <w:top w:val="nil"/>
              <w:left w:val="nil"/>
              <w:bottom w:val="nil"/>
              <w:right w:val="nil"/>
            </w:tcBorders>
          </w:tcPr>
          <w:p>
            <w:pPr>
              <w:pStyle w:val="Normal6a"/>
            </w:pPr>
            <w:r>
              <w:t>(8)</w:t>
            </w:r>
            <w:r>
              <w:tab/>
            </w:r>
            <w:r>
              <w:t xml:space="preserve">För att säkerställa att medlemsstaternas myndigheter är tillräckligt representerade i styrgruppen för EU:s talangreserv bör de deltagande medlemsstaterna utse två företrädare vardera, en från arbetsmarknadsmyndigheterna och en från invandringsmyndigheterna. </w:t>
            </w:r>
            <w:r>
              <w:rPr>
                <w:b/>
                <w:i/>
              </w:rPr>
              <w:t>En lämplig representation av fackföreningar och arbetsgivarorganisationer på EU-nivå bör också säkerställas.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För att säkerställa att </w:t>
            </w:r>
            <w:r>
              <w:rPr>
                <w:b/>
                <w:i/>
              </w:rPr>
              <w:t>medlemsstaternas myndigheter</w:t>
            </w:r>
            <w:r>
              <w:t xml:space="preserve"> är tillräckligt representerade i styrgruppen för EU:s talangreserv bör </w:t>
            </w:r>
            <w:r>
              <w:rPr>
                <w:b/>
                <w:i/>
              </w:rPr>
              <w:t>de deltagande</w:t>
            </w:r>
            <w:r>
              <w:t xml:space="preserve"> medlemsstaterna utse två företrädare vardera</w:t>
            </w:r>
            <w:r>
              <w:rPr>
                <w:b/>
                <w:i/>
              </w:rPr>
              <w:t>, en från arbetsmarknadsmyndigheterna och en från</w:t>
            </w:r>
            <w:r>
              <w:t xml:space="preserve"> invandringsmyndigheterna.</w:t>
            </w:r>
          </w:p>
        </w:tc>
        <w:tc>
          <w:tcPr>
            <w:tcW w:w="4876" w:type="dxa"/>
            <w:tcBorders>
              <w:top w:val="nil"/>
              <w:left w:val="nil"/>
              <w:bottom w:val="nil"/>
              <w:right w:val="nil"/>
            </w:tcBorders>
          </w:tcPr>
          <w:p>
            <w:pPr>
              <w:pStyle w:val="Normal6a"/>
            </w:pPr>
            <w:r>
              <w:t>(8)</w:t>
            </w:r>
            <w:r>
              <w:tab/>
            </w:r>
            <w:r>
              <w:t xml:space="preserve">För att säkerställa att </w:t>
            </w:r>
            <w:r>
              <w:rPr>
                <w:b/>
                <w:i/>
              </w:rPr>
              <w:t>alla medlemsstater</w:t>
            </w:r>
            <w:r>
              <w:t xml:space="preserve"> är tillräckligt representerade i styrgruppen för EU:s talangreserv bör medlemsstaterna utse två företrädare vardera</w:t>
            </w:r>
            <w:r>
              <w:rPr>
                <w:b/>
                <w:i/>
              </w:rPr>
              <w:t>.</w:t>
            </w:r>
            <w:r>
              <w:t xml:space="preserve"> </w:t>
            </w:r>
            <w:r>
              <w:rPr>
                <w:b/>
                <w:i/>
              </w:rPr>
              <w:t>Det är viktigt att erkänna och främja synergieffekterna mellan arbetsmarknadsmyndigheterna och</w:t>
            </w:r>
            <w:r>
              <w:t xml:space="preserve"> invandringsmyndigheterna </w:t>
            </w:r>
            <w:r>
              <w:rPr>
                <w:b/>
                <w:i/>
              </w:rPr>
              <w:t>för att förbättra talangreservens funktion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Fackföreningarna spelar en avgörande roll när det gäller att skydda arbetstagarnas rättigheter och säkerställa rättvisa arbetsvillkor i unionen, trygga både migrerande arbetstagares och den befintliga arbetskraftens intressen och förhindra potentiell exploatering och potentiellt undergrävande av arbetsnormer.</w:t>
            </w:r>
            <w:r>
              <w:t xml:space="preserve"> </w:t>
            </w:r>
            <w:r>
              <w:rPr>
                <w:b/>
                <w:i/>
              </w:rPr>
              <w:t>För att säkerställa deras deltagande i styrningen av EU:s talangreserv bör fyra företrädare för branschövergripande och sektorsspecifika arbetsmarknadsparter på unionsnivå, utsedda av dessa organisationer, med lika representation av fackföreningar och arbetsgivarorganisationer, vara aktiva medlemmar i styrgruppen för EU:s talangreserv.</w:t>
            </w:r>
            <w:r>
              <w:t xml:space="preserve"> </w:t>
            </w:r>
            <w:r>
              <w:rPr>
                <w:b/>
                <w:i/>
              </w:rPr>
              <w:t>De tredjeländer som berörs av EU:s talangreserv och fackföreningarna i dessa länder bör också vara företrädda och ha observatörsstatus.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bör också vara företrätt i styrgruppen för EU:s talangreserv, utan befogenhet att fatta beslut.</w:t>
            </w:r>
            <w:r>
              <w:t xml:space="preserve"> </w:t>
            </w:r>
            <w:r>
              <w:rPr>
                <w:b/>
                <w:i/>
              </w:rPr>
              <w:t>Parlamentet bör således ha rätt att utse två experter till observatörer vid mötena i styrgruppen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En it-plattform för EU:s talangreserv bör utvecklas genom att man i möjligaste mån använder befintlig it-infrastruktur som ägs av kommissionen. Den it-infrastruktur som utvecklats inom ramen för Eures skulle delvis kunna återanvändas för it-plattformen för EU:s talangreserv, bland annat den </w:t>
            </w:r>
            <w:r>
              <w:rPr>
                <w:b/>
                <w:i/>
              </w:rPr>
              <w:t>enda samordnade kanalen</w:t>
            </w:r>
            <w:r>
              <w:t xml:space="preserve"> och det automatiska matchningsverktyget med relevanta anpassningar, även för att vederbörligen beakta EU-talangpartnerskapspasset.</w:t>
            </w:r>
          </w:p>
        </w:tc>
        <w:tc>
          <w:tcPr>
            <w:tcW w:w="4876" w:type="dxa"/>
            <w:tcBorders>
              <w:top w:val="nil"/>
              <w:left w:val="nil"/>
              <w:bottom w:val="nil"/>
              <w:right w:val="nil"/>
            </w:tcBorders>
          </w:tcPr>
          <w:p>
            <w:pPr>
              <w:pStyle w:val="Normal6a"/>
            </w:pPr>
            <w:r>
              <w:t>(9)</w:t>
            </w:r>
            <w:r>
              <w:tab/>
            </w:r>
            <w:r>
              <w:t xml:space="preserve">En it-plattform för EU:s talangreserv bör utvecklas genom att man i möjligaste mån använder befintlig it-infrastruktur som ägs av kommissionen. Den it-infrastruktur som utvecklats inom ramen för Eures skulle delvis kunna återanvändas för it-plattformen för EU:s talangreserv, bland annat den </w:t>
            </w:r>
            <w:r>
              <w:rPr>
                <w:b/>
                <w:i/>
              </w:rPr>
              <w:t>gemensamma it-plattformen</w:t>
            </w:r>
            <w:r>
              <w:t xml:space="preserve"> och det automatiska matchningsverktyget med relevanta anpassningar, även för att vederbörligen beakta EU-talangpartnerskapspasset. </w:t>
            </w:r>
            <w:r>
              <w:rPr>
                <w:b/>
                <w:i/>
              </w:rPr>
              <w:t>It-plattformen för EU:s talangreserv och tillhörande infrastruktur bör utformas så att den är användarvänlig, tillgänglig och inkluderande och så att effektivitet och användbarhet för alla berörda parter säkerställs.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En it-plattform för EU:s talangreserv bör utvecklas genom att man i möjligaste mån använder befintlig it-infrastruktur som ägs av kommissionen. Den it-infrastruktur som utvecklats inom ramen för Eures </w:t>
            </w:r>
            <w:r>
              <w:rPr>
                <w:b/>
                <w:i/>
              </w:rPr>
              <w:t>skulle</w:t>
            </w:r>
            <w:r>
              <w:t xml:space="preserve"> delvis </w:t>
            </w:r>
            <w:r>
              <w:rPr>
                <w:b/>
                <w:i/>
              </w:rPr>
              <w:t>kunna</w:t>
            </w:r>
            <w:r>
              <w:t xml:space="preserve"> återanvändas för it-plattformen för EU:s talangreserv, bland annat den enda samordnade kanalen och det automatiska matchningsverktyget med relevanta anpassningar, även för att vederbörligen beakta EU-talangpartnerskapspasset.</w:t>
            </w:r>
          </w:p>
        </w:tc>
        <w:tc>
          <w:tcPr>
            <w:tcW w:w="4876" w:type="dxa"/>
            <w:tcBorders>
              <w:top w:val="nil"/>
              <w:left w:val="nil"/>
              <w:bottom w:val="nil"/>
              <w:right w:val="nil"/>
            </w:tcBorders>
          </w:tcPr>
          <w:p>
            <w:pPr>
              <w:pStyle w:val="Normal6a"/>
            </w:pPr>
            <w:r>
              <w:t>(9)</w:t>
            </w:r>
            <w:r>
              <w:tab/>
            </w:r>
            <w:r>
              <w:t xml:space="preserve">En it-plattform för EU:s talangreserv bör utvecklas genom att man i möjligaste mån använder befintlig it-infrastruktur som ägs av kommissionen. Den it-infrastruktur som utvecklats inom ramen för Eures </w:t>
            </w:r>
            <w:r>
              <w:rPr>
                <w:b/>
                <w:i/>
              </w:rPr>
              <w:t>bör</w:t>
            </w:r>
            <w:r>
              <w:t xml:space="preserve"> delvis återanvändas för it-plattformen för EU:s talangreserv, bland annat den enda samordnade kanalen och det automatiska matchningsverktyget med relevanta anpassningar, även för att vederbörligen beakta EU-talangpartnerskapspasset.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En it-plattform för EU:s talangreserv bör utvecklas genom att man i möjligaste mån använder befintlig it-infrastruktur som ägs av kommissionen. Den it-infrastruktur som utvecklats inom ramen för Eures </w:t>
            </w:r>
            <w:r>
              <w:rPr>
                <w:b/>
                <w:i/>
              </w:rPr>
              <w:t>skulle</w:t>
            </w:r>
            <w:r>
              <w:t xml:space="preserve"> delvis </w:t>
            </w:r>
            <w:r>
              <w:rPr>
                <w:b/>
                <w:i/>
              </w:rPr>
              <w:t>kunna</w:t>
            </w:r>
            <w:r>
              <w:t xml:space="preserve"> återanvändas för it-plattformen för EU:s talangreserv, bland annat den enda samordnade kanalen och det automatiska matchningsverktyget med relevanta anpassningar, även för att vederbörligen beakta EU-talangpartnerskapspasset.</w:t>
            </w:r>
          </w:p>
        </w:tc>
        <w:tc>
          <w:tcPr>
            <w:tcW w:w="4876" w:type="dxa"/>
            <w:tcBorders>
              <w:top w:val="nil"/>
              <w:left w:val="nil"/>
              <w:bottom w:val="nil"/>
              <w:right w:val="nil"/>
            </w:tcBorders>
          </w:tcPr>
          <w:p>
            <w:pPr>
              <w:pStyle w:val="Normal6a"/>
            </w:pPr>
            <w:r>
              <w:t>(9)</w:t>
            </w:r>
            <w:r>
              <w:tab/>
            </w:r>
            <w:r>
              <w:t xml:space="preserve">En it-plattform för EU:s talangreserv bör utvecklas genom att man i möjligaste mån använder befintlig it-infrastruktur som ägs av kommissionen. Den it-infrastruktur som utvecklats inom ramen för Eures </w:t>
            </w:r>
            <w:r>
              <w:rPr>
                <w:b/>
                <w:i/>
              </w:rPr>
              <w:t>bör</w:t>
            </w:r>
            <w:r>
              <w:t xml:space="preserve"> delvis återanvändas för it-plattformen för EU:s talangreserv, bland annat den enda samordnade kanalen och det automatiska matchningsverktyget med relevanta anpassningar, även för att vederbörligen beakta EU-talangpartnerskapspasset.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En it-plattform för EU:s talangreserv bör utvecklas genom att man i möjligaste mån använder befintlig it-infrastruktur som ägs av kommissionen. Den it-infrastruktur som utvecklats inom ramen för Eures skulle delvis kunna återanvändas för it-plattformen för EU:s talangreserv, bland annat den enda samordnade kanalen och det automatiska matchningsverktyget med relevanta anpassningar, även för att vederbörligen beakta </w:t>
            </w:r>
            <w:r>
              <w:rPr>
                <w:b/>
                <w:i/>
              </w:rPr>
              <w:t>EU-talangpartnerskapspasset</w:t>
            </w:r>
            <w:r>
              <w:t>.</w:t>
            </w:r>
          </w:p>
        </w:tc>
        <w:tc>
          <w:tcPr>
            <w:tcW w:w="4876" w:type="dxa"/>
            <w:tcBorders>
              <w:top w:val="nil"/>
              <w:left w:val="nil"/>
              <w:bottom w:val="nil"/>
              <w:right w:val="nil"/>
            </w:tcBorders>
          </w:tcPr>
          <w:p>
            <w:pPr>
              <w:pStyle w:val="Normal6a"/>
            </w:pPr>
            <w:r>
              <w:t>(9)</w:t>
            </w:r>
            <w:r>
              <w:tab/>
            </w:r>
            <w:r>
              <w:t xml:space="preserve">En it-plattform för EU:s talangreserv bör utvecklas genom att man i möjligaste mån använder befintlig it-infrastruktur som ägs av kommissionen. Den it-infrastruktur som utvecklats inom ramen för Eures skulle delvis kunna återanvändas för it-plattformen för EU:s talangreserv, bland annat den enda samordnade kanalen och det automatiska matchningsverktyget med relevanta anpassningar, även för att vederbörligen beakta </w:t>
            </w:r>
            <w:r>
              <w:rPr>
                <w:b/>
                <w:i/>
              </w:rPr>
              <w:t>talangpartnerskapspasset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En it-plattform för EU:s talangreserv bör utvecklas genom att man i möjligaste mån använder befintlig it-infrastruktur som ägs av kommissionen. Den it-infrastruktur som utvecklats inom ramen för Eures skulle delvis kunna återanvändas för it-plattformen för EU:s talangreserv, bland annat den enda samordnade kanalen och det automatiska matchningsverktyget med relevanta anpassningar, även för att vederbörligen beakta </w:t>
            </w:r>
            <w:r>
              <w:rPr>
                <w:b/>
                <w:i/>
              </w:rPr>
              <w:t>EU-talangpartnerskapspasset</w:t>
            </w:r>
            <w:r>
              <w:t>.</w:t>
            </w:r>
          </w:p>
        </w:tc>
        <w:tc>
          <w:tcPr>
            <w:tcW w:w="4876" w:type="dxa"/>
            <w:tcBorders>
              <w:top w:val="nil"/>
              <w:left w:val="nil"/>
              <w:bottom w:val="nil"/>
              <w:right w:val="nil"/>
            </w:tcBorders>
          </w:tcPr>
          <w:p>
            <w:pPr>
              <w:pStyle w:val="Normal6a"/>
            </w:pPr>
            <w:r>
              <w:t>(9)</w:t>
            </w:r>
            <w:r>
              <w:tab/>
            </w:r>
            <w:r>
              <w:t xml:space="preserve">En it-plattform för EU:s talangreserv bör utvecklas genom att man i möjligaste mån använder befintlig it-infrastruktur som ägs av kommissionen. Den it-infrastruktur som utvecklats inom ramen för Eures skulle delvis kunna återanvändas för it-plattformen för EU:s talangreserv, bland annat den enda samordnade kanalen och det automatiska matchningsverktyget med relevanta anpassningar, även för att vederbörligen beakta </w:t>
            </w:r>
            <w:r>
              <w:rPr>
                <w:b/>
                <w:i/>
              </w:rPr>
              <w:t>talangpartnerskapspasset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Synergier bör, när så är lämpligt, säkerställas mellan it-plattformen för EU:s talangreserv och andra relevanta instrument och tjänster på unionsnivå, bland annat när det gäller </w:t>
            </w:r>
            <w:r>
              <w:rPr>
                <w:b/>
                <w:i/>
              </w:rPr>
              <w:t>tillgång till utbildningsmaterial som</w:t>
            </w:r>
            <w:r>
              <w:t xml:space="preserve"> EU Academy och Interoperable Europe Academy. It-plattformen för EU:s talangreserv bör snabbt och regelbundet anpassas till ny teknik och tillhandahålla toppmoderna it-tjänster genom att införa innovativa funktioner och verktyg.</w:t>
            </w:r>
          </w:p>
        </w:tc>
        <w:tc>
          <w:tcPr>
            <w:tcW w:w="4876" w:type="dxa"/>
            <w:tcBorders>
              <w:top w:val="nil"/>
              <w:left w:val="nil"/>
              <w:bottom w:val="nil"/>
              <w:right w:val="nil"/>
            </w:tcBorders>
          </w:tcPr>
          <w:p>
            <w:pPr>
              <w:pStyle w:val="Normal6a"/>
            </w:pPr>
            <w:r>
              <w:t>(10)</w:t>
            </w:r>
            <w:r>
              <w:tab/>
            </w:r>
            <w:r>
              <w:t xml:space="preserve">Synergier bör, när så är lämpligt, säkerställas mellan it-plattformen för EU:s talangreserv och andra relevanta instrument och tjänster på unionsnivå, bland annat när det gäller </w:t>
            </w:r>
            <w:r>
              <w:rPr>
                <w:b/>
                <w:i/>
              </w:rPr>
              <w:t>att förenkla tillgången till värdefulla utbildningsresurser såsom de som tillhandahålls av</w:t>
            </w:r>
            <w:r>
              <w:t xml:space="preserve"> EU Academy och Interoperable Europe Academy. It-plattformen för EU:s talangreserv bör snabbt och regelbundet anpassas till ny teknik och tillhandahålla toppmoderna it-tjänster genom att införa innovativa funktioner och verktyg. </w:t>
            </w:r>
            <w:r>
              <w:rPr>
                <w:b/>
                <w:i/>
              </w:rPr>
              <w:t>Detta kommer att förbättra plattformens funktion, användarupplevelsen och förmågan att tillgodose föränderliga behov på ett effektivt och ändamålsenligt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Synergier bör, när så är lämpligt, säkerställas mellan it-plattformen för EU:s talangreserv och andra relevanta instrument och tjänster på unionsnivå, bland annat när det gäller tillgång till utbildningsmaterial som EU Academy och Interoperable Europe Academy. It-plattformen för EU:s talangreserv bör snabbt och regelbundet anpassas till ny teknik och tillhandahålla toppmoderna it-tjänster genom att införa innovativa funktioner och verktyg.</w:t>
            </w:r>
          </w:p>
        </w:tc>
        <w:tc>
          <w:tcPr>
            <w:tcW w:w="4876" w:type="dxa"/>
            <w:tcBorders>
              <w:top w:val="nil"/>
              <w:left w:val="nil"/>
              <w:bottom w:val="nil"/>
              <w:right w:val="nil"/>
            </w:tcBorders>
          </w:tcPr>
          <w:p>
            <w:pPr>
              <w:pStyle w:val="Normal6a"/>
            </w:pPr>
            <w:r>
              <w:t>(10)</w:t>
            </w:r>
            <w:r>
              <w:tab/>
            </w:r>
            <w:r>
              <w:t xml:space="preserve">Synergier bör, när så är lämpligt, säkerställas mellan it-plattformen för EU:s talangreserv och andra relevanta instrument och tjänster på unionsnivå, bland annat när det gäller tillgång till utbildningsmaterial som EU Academy och Interoperable Europe Academy </w:t>
            </w:r>
            <w:r>
              <w:rPr>
                <w:b/>
                <w:i/>
              </w:rPr>
              <w:t>samt kompetensprofilverktyg som verktyget för kartläggning av kompetensen hos personer från länder utanför EU</w:t>
            </w:r>
            <w:r>
              <w:t>. It-plattformen för EU:s talangreserv bör snabbt och regelbundet anpassas till ny teknik och tillhandahålla toppmoderna it-tjänster genom att införa innovativa funktioner och verktyg.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Formatet för arbetssökarprofiler och lediga platser bör fastställas med hjälp av den befintliga europeiska klassificeringen av färdigheter, kvalifikationer och yrken (Esco) i enlighet med förordning (EU) 2016/589</w:t>
            </w:r>
            <w:r>
              <w:rPr>
                <w:vertAlign w:val="superscript"/>
              </w:rPr>
              <w:t>8</w:t>
            </w:r>
            <w:r>
              <w:t>, som föreskriver en standardiserad terminologi för yrken, färdigheter och kompetenser och underlättar tydligheten i fråga om kompetens och kvalifikationer. Esco-klassificeringen bör stödja arbetssökande från tredjeländer, arbetsgivare och nationella kontaktpunkter för EU:s talangreserv genom att tillhandahålla jämförbar information om arbetslivserfarenheter, yrken där det finns lediga platser samt den kompetens som erbjuds av de arbetssökande och som krävs av arbetsgivarna, vilket möjliggör en matchningsprocess av hög kvalitet. I tillämpliga fall bör de nationella kontaktpunkterna för EU:s talangreserv använda Esco-formatet för överföring av lediga platser till it-plattformen för EU:s talangreserv. Medlemsstater som inte antar Esco-klassificeringen för nationella lediga platser bör ta fram mappningstabeller som jämför den klassificering som används i de nationella systemen och Esco-klassificeringen för att möjliggöra interoperabilitet. Mappningstabellerna bör göras tillgängliga för kommissionen och användas för automatisk kodkonvertering av uppgifter om lediga platser eller arbetssökarprofiler för användning vid automatisk matchning via den gemensamma it-plattformen.</w:t>
            </w:r>
          </w:p>
        </w:tc>
        <w:tc>
          <w:tcPr>
            <w:tcW w:w="4876" w:type="dxa"/>
            <w:tcBorders>
              <w:top w:val="nil"/>
              <w:left w:val="nil"/>
              <w:bottom w:val="nil"/>
              <w:right w:val="nil"/>
            </w:tcBorders>
          </w:tcPr>
          <w:p>
            <w:pPr>
              <w:pStyle w:val="Normal6a"/>
            </w:pPr>
            <w:r>
              <w:t>(11)</w:t>
            </w:r>
            <w:r>
              <w:tab/>
            </w:r>
            <w:r>
              <w:t xml:space="preserve">Formatet för arbetssökarprofiler och lediga platser bör fastställas </w:t>
            </w:r>
            <w:r>
              <w:rPr>
                <w:b/>
                <w:i/>
              </w:rPr>
              <w:t>antingen</w:t>
            </w:r>
            <w:r>
              <w:t xml:space="preserve"> med hjälp av den befintliga europeiska klassificeringen av färdigheter, kvalifikationer och yrken (Esco) i enlighet med förordning (EU) 2016/589</w:t>
            </w:r>
            <w:r>
              <w:rPr>
                <w:vertAlign w:val="superscript"/>
              </w:rPr>
              <w:t>8</w:t>
            </w:r>
            <w:r>
              <w:t>, som föreskriver en standardiserad terminologi för yrken, färdigheter och kompetenser och underlättar tydligheten i fråga om kompetens och kvalifikationer</w:t>
            </w:r>
            <w:r>
              <w:rPr>
                <w:b/>
                <w:i/>
              </w:rPr>
              <w:t>, eller med hjälp av ett flexibelt och anpassningsbart system som tar hänsyn till de sysselsättningsmässiga, sociala och ekonomiska behoven och särdragen i varje medlemsstat</w:t>
            </w:r>
            <w:r>
              <w:t>. Esco-klassificeringen bör stödja arbetssökande från tredjeländer, arbetsgivare och nationella kontaktpunkter för EU:s talangreserv genom att tillhandahålla jämförbar information om arbetslivserfarenheter, yrken där det finns lediga platser samt den kompetens som erbjuds av de arbetssökande och som krävs av arbetsgivarna, vilket möjliggör en matchningsprocess av hög kvalitet. I tillämpliga fall bör de nationella kontaktpunkterna för EU:s talangreserv använda Esco-formatet för överföring av lediga platser till it-plattformen för EU:s talangreserv. Medlemsstater som inte antar Esco-klassificeringen för nationella lediga platser bör ta fram mappningstabeller som jämför den klassificering som används i de nationella systemen och Esco-klassificeringen för att möjliggöra interoperabilitet. Mappningstabellerna bör göras tillgängliga för kommissionen och användas för automatisk kodkonvertering av uppgifter om lediga platser eller arbetssökarprofiler för användning vid automatisk matchning via den gemensamma it-plattformen.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Europaparlamentets och rådets förordning (EU) 2016/589 av den 13 april 2016 om ett europeiskt nätverk för arbetsförmedlingar (Eures), om arbetstagares tillgång till rörlighetstjänster och om ytterligare integration av arbetsmarknaderna samt om ändring av förordningarna (EU) nr 492/2011 och (EU) nr 1296/2013 (EUT L 107, 22.4.2016, s. 1, ELI: http://data.europa.eu/eli/reg/2016/589/oj?locale=sv).</w:t>
            </w:r>
          </w:p>
        </w:tc>
        <w:tc>
          <w:tcPr>
            <w:tcW w:w="4876" w:type="dxa"/>
            <w:tcBorders>
              <w:top w:val="nil"/>
              <w:left w:val="nil"/>
              <w:bottom w:val="nil"/>
              <w:right w:val="nil"/>
            </w:tcBorders>
          </w:tcPr>
          <w:p>
            <w:pPr>
              <w:pStyle w:val="Normal6a"/>
            </w:pPr>
            <w:r>
              <w:rPr>
                <w:vertAlign w:val="superscript"/>
              </w:rPr>
              <w:t>8</w:t>
            </w:r>
            <w:r>
              <w:t xml:space="preserve"> </w:t>
            </w:r>
            <w:r>
              <w:t>Europaparlamentets och rådets förordning (EU) 2016/589 av den 13 april 2016 om ett europeiskt nätverk för arbetsförmedlingar (Eures), om arbetstagares tillgång till rörlighetstjänster och om ytterligare integration av arbetsmarknaderna samt om ändring av förordningarna (EU) nr 492/2011 och (EU) nr 1296/2013 (EUT L 107, 22.4.2016, s. 1, ELI: http://data.europa.eu/eli/reg/2016/589/oj?locale=sv).</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Formatet för arbetssökarprofiler och lediga platser bör fastställas med hjälp av den befintliga europeiska klassificeringen av färdigheter, kvalifikationer och yrken (Esco) i enlighet med förordning (EU) 2016/589</w:t>
            </w:r>
            <w:r>
              <w:rPr>
                <w:vertAlign w:val="superscript"/>
              </w:rPr>
              <w:t>8</w:t>
            </w:r>
            <w:r>
              <w:t>, som föreskriver en standardiserad terminologi för yrken, färdigheter och kompetenser och underlättar tydligheten i fråga om kompetens och kvalifikationer. Esco-klassificeringen bör stödja arbetssökande från tredjeländer, arbetsgivare och nationella kontaktpunkter för EU:s talangreserv genom att tillhandahålla jämförbar information om arbetslivserfarenheter, yrken där det finns lediga platser samt den kompetens som erbjuds av de arbetssökande och som krävs av arbetsgivarna, vilket möjliggör en matchningsprocess av hög kvalitet. I tillämpliga fall bör de nationella kontaktpunkterna för EU:s talangreserv använda Esco-formatet för överföring av lediga platser till it-plattformen för EU:s talangreserv. Medlemsstater som inte antar Esco-klassificeringen för nationella lediga platser bör ta fram mappningstabeller som jämför den klassificering som används i de nationella systemen och Esco-klassificeringen för att möjliggöra interoperabilitet. Mappningstabellerna bör göras tillgängliga för kommissionen och användas för automatisk kodkonvertering av uppgifter om lediga platser eller arbetssökarprofiler för användning vid automatisk matchning via den gemensamma it-plattformen.</w:t>
            </w:r>
          </w:p>
        </w:tc>
        <w:tc>
          <w:tcPr>
            <w:tcW w:w="4876" w:type="dxa"/>
            <w:tcBorders>
              <w:top w:val="nil"/>
              <w:left w:val="nil"/>
              <w:bottom w:val="nil"/>
              <w:right w:val="nil"/>
            </w:tcBorders>
          </w:tcPr>
          <w:p>
            <w:pPr>
              <w:pStyle w:val="Normal6a"/>
            </w:pPr>
            <w:r>
              <w:t>(11)</w:t>
            </w:r>
            <w:r>
              <w:tab/>
            </w:r>
            <w:r>
              <w:t>Formatet för arbetssökarprofiler och lediga platser bör fastställas med hjälp av den befintliga europeiska klassificeringen av färdigheter, kvalifikationer och yrken (Esco) i enlighet med förordning (EU) 2016/589</w:t>
            </w:r>
            <w:r>
              <w:rPr>
                <w:vertAlign w:val="superscript"/>
              </w:rPr>
              <w:t>8</w:t>
            </w:r>
            <w:r>
              <w:t xml:space="preserve">, som föreskriver en standardiserad terminologi för yrken, färdigheter och kompetenser och underlättar tydligheten i fråga om kompetens och kvalifikationer. Esco-klassificeringen bör stödja arbetssökande från tredjeländer, </w:t>
            </w:r>
            <w:r>
              <w:rPr>
                <w:b/>
                <w:i/>
              </w:rPr>
              <w:t>deltagande</w:t>
            </w:r>
            <w:r>
              <w:t xml:space="preserve"> arbetsgivare och nationella kontaktpunkter för EU:s talangreserv genom att tillhandahålla jämförbar information om arbetslivserfarenheter, yrken där det finns lediga platser samt den kompetens som erbjuds av de arbetssökande och som krävs av </w:t>
            </w:r>
            <w:r>
              <w:rPr>
                <w:b/>
                <w:i/>
              </w:rPr>
              <w:t>de deltagande</w:t>
            </w:r>
            <w:r>
              <w:t xml:space="preserve"> arbetsgivarna, vilket möjliggör en matchningsprocess av hög kvalitet. I tillämpliga fall bör de nationella kontaktpunkterna för EU:s talangreserv använda Esco-formatet för överföring av lediga platser till it-plattformen för EU:s talangreserv. Medlemsstater som inte antar Esco-klassificeringen för nationella lediga platser bör ta fram mappningstabeller som jämför den klassificering som används i de nationella systemen och Esco-klassificeringen för att möjliggöra interoperabilitet. Mappningstabellerna bör göras tillgängliga för kommissionen och användas för automatisk kodkonvertering av uppgifter om lediga platser eller arbetssökarprofiler för användning vid automatisk matchning via den gemensamma it-plattformen.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Europaparlamentets och rådets förordning (EU) 2016/589 av den 13 april 2016 om ett europeiskt nätverk för arbetsförmedlingar (Eures), om arbetstagares tillgång till rörlighetstjänster och om ytterligare integration av arbetsmarknaderna samt om ändring av förordningarna (EU) nr 492/2011 och (EU) nr 1296/2013 (EUT L 107, 22.4.2016, s. 1, ELI: http://data.europa.eu/eli/reg/2016/589/oj?locale=sv).</w:t>
            </w:r>
          </w:p>
        </w:tc>
        <w:tc>
          <w:tcPr>
            <w:tcW w:w="4876" w:type="dxa"/>
            <w:tcBorders>
              <w:top w:val="nil"/>
              <w:left w:val="nil"/>
              <w:bottom w:val="nil"/>
              <w:right w:val="nil"/>
            </w:tcBorders>
          </w:tcPr>
          <w:p>
            <w:pPr>
              <w:pStyle w:val="Normal6a"/>
            </w:pPr>
            <w:r>
              <w:rPr>
                <w:vertAlign w:val="superscript"/>
              </w:rPr>
              <w:t>8</w:t>
            </w:r>
            <w:r>
              <w:t xml:space="preserve"> </w:t>
            </w:r>
            <w:r>
              <w:t>Europaparlamentets och rådets förordning (EU) 2016/589 av den 13 april 2016 om ett europeiskt nätverk för arbetsförmedlingar (Eures), om arbetstagares tillgång till rörlighetstjänster och om ytterligare integration av arbetsmarknaderna samt om ändring av förordningarna (EU) nr 492/2011 och (EU) nr 1296/2013 (EUT L 107, 22.4.2016, s. 1, ELI: http://data.europa.eu/eli/reg/2016/589/oj?locale=sv).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Formatet för arbetssökarprofiler och lediga platser bör fastställas med hjälp av den befintliga europeiska klassificeringen av färdigheter, kvalifikationer och yrken (Esco) i enlighet med förordning (EU) 2016/589</w:t>
            </w:r>
            <w:r>
              <w:rPr>
                <w:vertAlign w:val="superscript"/>
              </w:rPr>
              <w:t>8</w:t>
            </w:r>
            <w:r>
              <w:t>, som föreskriver en standardiserad terminologi för yrken, färdigheter och kompetenser och underlättar tydligheten i fråga om kompetens och kvalifikationer. Esco-klassificeringen bör stödja arbetssökande från tredjeländer, arbetsgivare och nationella kontaktpunkter för EU:s talangreserv genom att tillhandahålla jämförbar information om arbetslivserfarenheter, yrken där det finns lediga platser samt den kompetens som erbjuds av de arbetssökande och som krävs av arbetsgivarna, vilket möjliggör en matchningsprocess av hög kvalitet. I tillämpliga fall bör de nationella kontaktpunkterna för EU:s talangreserv använda Esco-formatet för överföring av lediga platser till it-plattformen för EU:s talangreserv. Medlemsstater som inte antar Esco-klassificeringen för nationella lediga platser bör ta fram mappningstabeller som jämför den klassificering som används i de nationella systemen och Esco-klassificeringen för att möjliggöra interoperabilitet. Mappningstabellerna bör göras tillgängliga för kommissionen och användas för automatisk kodkonvertering av uppgifter om lediga platser eller arbetssökarprofiler för användning vid automatisk matchning via den gemensamma it-plattformen.</w:t>
            </w:r>
          </w:p>
        </w:tc>
        <w:tc>
          <w:tcPr>
            <w:tcW w:w="4876" w:type="dxa"/>
            <w:tcBorders>
              <w:top w:val="nil"/>
              <w:left w:val="nil"/>
              <w:bottom w:val="nil"/>
              <w:right w:val="nil"/>
            </w:tcBorders>
          </w:tcPr>
          <w:p>
            <w:pPr>
              <w:pStyle w:val="Normal6a"/>
            </w:pPr>
            <w:r>
              <w:t>(11)</w:t>
            </w:r>
            <w:r>
              <w:tab/>
            </w:r>
            <w:r>
              <w:t>Formatet för arbetssökarprofiler och lediga platser bör fastställas med hjälp av den befintliga europeiska klassificeringen av färdigheter, kvalifikationer och yrken (Esco) i enlighet med förordning (EU) 2016/589</w:t>
            </w:r>
            <w:r>
              <w:rPr>
                <w:vertAlign w:val="superscript"/>
              </w:rPr>
              <w:t>8</w:t>
            </w:r>
            <w:r>
              <w:t xml:space="preserve">, som föreskriver en standardiserad terminologi för yrken, färdigheter och kompetenser och underlättar tydligheten i fråga om kompetens och kvalifikationer. Esco-klassificeringen bör stödja arbetssökande från tredjeländer, arbetsgivare och nationella kontaktpunkter för EU:s talangreserv genom att tillhandahålla jämförbar information om arbetslivserfarenheter, yrken där det finns lediga platser samt den kompetens som erbjuds av de arbetssökande och som krävs av arbetsgivarna, vilket möjliggör en matchningsprocess av hög kvalitet. I tillämpliga fall bör de nationella kontaktpunkterna för EU:s talangreserv </w:t>
            </w:r>
            <w:r>
              <w:rPr>
                <w:b/>
                <w:i/>
              </w:rPr>
              <w:t>och de kontrollerade arbetsgivarna</w:t>
            </w:r>
            <w:r>
              <w:t xml:space="preserve"> använda Esco-formatet för överföring av lediga platser till it-plattformen för EU:s talangreserv. Medlemsstater som inte antar Esco-klassificeringen för nationella lediga platser bör ta fram mappningstabeller som jämför den klassificering som används i de nationella systemen och Esco-klassificeringen för att möjliggöra interoperabilitet. Mappningstabellerna bör göras tillgängliga för kommissionen och användas för automatisk kodkonvertering av uppgifter om lediga platser eller arbetssökarprofiler för användning vid automatisk matchning via den gemensamma it-plattformen.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Europaparlamentets och rådets förordning (EU) 2016/589 av den 13 april 2016 om ett europeiskt nätverk för arbetsförmedlingar (Eures), om arbetstagares tillgång till rörlighetstjänster och om ytterligare integration av arbetsmarknaderna samt om ändring av förordningarna (EU) nr 492/2011 och (EU) nr 1296/2013 (EUT L 107, 22.4.2016, s. 1, ELI: http://data.europa.eu/eli/reg/2016/589/oj?locale=sv).</w:t>
            </w:r>
          </w:p>
        </w:tc>
        <w:tc>
          <w:tcPr>
            <w:tcW w:w="4876" w:type="dxa"/>
            <w:tcBorders>
              <w:top w:val="nil"/>
              <w:left w:val="nil"/>
              <w:bottom w:val="nil"/>
              <w:right w:val="nil"/>
            </w:tcBorders>
          </w:tcPr>
          <w:p>
            <w:pPr>
              <w:pStyle w:val="Normal6a"/>
            </w:pPr>
            <w:r>
              <w:rPr>
                <w:vertAlign w:val="superscript"/>
              </w:rPr>
              <w:t>8</w:t>
            </w:r>
            <w:r>
              <w:t xml:space="preserve"> </w:t>
            </w:r>
            <w:r>
              <w:t>Europaparlamentets och rådets förordning (EU) 2016/589 av den 13 april 2016 om ett europeiskt nätverk för arbetsförmedlingar (Eures), om arbetstagares tillgång till rörlighetstjänster och om ytterligare integration av arbetsmarknaderna samt om ändring av förordningarna (EU) nr 492/2011 och (EU) nr 1296/2013 (EUT L 107, 22.4.2016, s. 1, ELI: http://data.europa.eu/eli/reg/2016/589/oj?locale=sv).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För att förbättra matchningsprocessens kvalitet bör registrerade arbetssökande kunna begära en inledande förhandsgranskning av kvalifikationer och kompetens.</w:t>
            </w:r>
            <w:r>
              <w:t xml:space="preserve"> </w:t>
            </w:r>
            <w:r>
              <w:rPr>
                <w:b/>
                <w:i/>
              </w:rPr>
              <w:t>Sekretariatet för EU:s talangreserv och de nationella kontaktpunkterna bör få i uppgift att inrätta ett icke-bindande förfarande för förhandsgranskning.</w:t>
            </w:r>
            <w:r>
              <w:t xml:space="preserve"> </w:t>
            </w:r>
            <w:r>
              <w:rPr>
                <w:b/>
                <w:i/>
              </w:rPr>
              <w:t>På begäran av arbetssökandena kan kontrollerade tredje parter också sörja för icke-bindande förhandsgranskningar av kvalifikationer och kompetens.</w:t>
            </w:r>
            <w:r>
              <w:t xml:space="preserve"> </w:t>
            </w:r>
            <w:r>
              <w:rPr>
                <w:b/>
                <w:i/>
              </w:rPr>
              <w:t>För att ytterligare hjälpa arbetssökande att skapa heltäckande profiler och öka möjligheten till en lyckad matchning bör man i it-plattformen för EU:s talangreserv integrera EU:s verktyg för kartläggning av kompetens, som kan spela en viktig roll i kompetenskartläggningen genom att ge vägledning om kompetensutveckling och säkerställa att internationella arbetssökande är bättre rustade för att fylla behoven på EU:s arbetsmarknad.</w:t>
            </w:r>
            <w:r>
              <w:t xml:space="preserve"> </w:t>
            </w:r>
            <w:r>
              <w:rPr>
                <w:b/>
                <w:i/>
              </w:rPr>
              <w:t>Dessutom kan arbetssökande begära att få använda Enic–Naric-nätverkets bedömningstjänster via EU-talangreservens it för att jämföra sina examensbevis med dem i utvalda EU-länder.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11b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EU:s talangreserv bör främja ett starkare samarbete mellan medlemsstaterna i fråga om arbetskraftsmigration, bland annat när det gäller validering av utländsk kompetens och utländska kvalifikationer.</w:t>
            </w:r>
            <w:r>
              <w:t xml:space="preserve"> </w:t>
            </w:r>
            <w:r>
              <w:rPr>
                <w:b/>
                <w:i/>
              </w:rPr>
              <w:t>Därför bör EU:s talangreserv omfatta en standardiserad referensram för att möjliggöra en konsekvent och effektiv förhandsgranskning av kompetens och kvalifikationer i hela unionen.</w:t>
            </w:r>
            <w:r>
              <w:t xml:space="preserve"> </w:t>
            </w:r>
            <w:r>
              <w:rPr>
                <w:b/>
                <w:i/>
              </w:rPr>
              <w:t>Sekretariatet för EU:s talangreserv bör ansvara för att utveckla och stödja den standardiserade referensramen.</w:t>
            </w:r>
            <w:r>
              <w:t xml:space="preserve"> </w:t>
            </w:r>
            <w:r>
              <w:rPr>
                <w:b/>
                <w:i/>
              </w:rPr>
              <w:t>Inom tre år från inrättandet av EU:s talangreserv bör sekretariatet för EU:s talangreserv utfärda icke-bindande bedömningar av studiemeriter och kompetens för alla yrken i de EU-omfattande och nationella förteckningarna över bristyrken.</w:t>
            </w:r>
            <w:r>
              <w:t xml:space="preserve"> </w:t>
            </w:r>
            <w:r>
              <w:rPr>
                <w:b/>
                <w:i/>
              </w:rPr>
              <w:t>Dessa kommer att ligga till grund för den standardiserade referensramen och möjliggöra enklare och snabbare granskningsprocesser.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Arbetsgivare som vill delta i EU:s talangreserv bör vara registrerade innan deras lediga platser görs tillgängliga genom it-plattformen för EU:s talangreserv.</w:t>
            </w:r>
            <w:r>
              <w:t xml:space="preserve"> </w:t>
            </w:r>
            <w:r>
              <w:rPr>
                <w:b/>
                <w:i/>
              </w:rPr>
              <w:t>Innan arbetsgivarna registreras bör medlemsstaterna utföra nödvändiga kontroller av arbetsgivarna för att säkerställa att de följer relevant unionsrätt och unionspraxis och nationell rätt och praxis, inbegripet gällande kollektivavtal, så att det säkerställs att tredjelandsmedborgare skyddas mot orättvis rekrytering, bristfälliga arbetsförhållanden och diskriminering.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Registrerade arbetssökande från tredjeländer bör ha rätt att välja mellan ett antal tekniska alternativ för att begränsa tillgången till sina personuppgifter, till exempel genom att begränsa tillgången till sina kontaktuppgifter. Profiler för registrerade arbetssökande från tredjeländer och arbetsgivare som deltar i it-plattformen för EU:s talangreserv vilka inte har använts på två år bör automatiskt tas bort. När profilerna tas bort kan en begränsad uppsättning anonymiserade uppgifter även fortsättningsvis lagras för forskning och statistiska ändamål, och för att framställa och säkerställa kvaliteten på europeisk statistik.</w:t>
            </w:r>
          </w:p>
        </w:tc>
        <w:tc>
          <w:tcPr>
            <w:tcW w:w="4876" w:type="dxa"/>
            <w:tcBorders>
              <w:top w:val="nil"/>
              <w:left w:val="nil"/>
              <w:bottom w:val="nil"/>
              <w:right w:val="nil"/>
            </w:tcBorders>
          </w:tcPr>
          <w:p>
            <w:pPr>
              <w:pStyle w:val="Normal6a"/>
            </w:pPr>
            <w:r>
              <w:t>(14)</w:t>
            </w:r>
            <w:r>
              <w:tab/>
            </w:r>
            <w:r>
              <w:rPr>
                <w:b/>
                <w:i/>
              </w:rPr>
              <w:t>Registrering av en profil och sökning efter och annonsering av lediga platser bör vara kostnadsfritt för både arbetssökande från tredjeländer och arbetsgivare.</w:t>
            </w:r>
            <w:r>
              <w:t xml:space="preserve"> Registrerade arbetssökande från tredjeländer bör ha rätt att välja mellan ett antal tekniska alternativ för att begränsa tillgången till sina personuppgifter, till exempel genom att begränsa tillgången till sina kontaktuppgifter. Profiler för registrerade arbetssökande från tredjeländer och arbetsgivare som deltar i it-plattformen för EU:s talangreserv vilka inte har använts på två år </w:t>
            </w:r>
            <w:r>
              <w:rPr>
                <w:b/>
                <w:i/>
              </w:rPr>
              <w:t>och profiler för arbetsgivare vilka inte har använts på tre år</w:t>
            </w:r>
            <w:r>
              <w:t xml:space="preserve"> bör automatiskt tas bort. </w:t>
            </w:r>
            <w:r>
              <w:rPr>
                <w:b/>
                <w:i/>
              </w:rPr>
              <w:t>Ägaren till profilen bör underrättas om borttagandet minst en månad i förväg.</w:t>
            </w:r>
            <w:r>
              <w:t xml:space="preserve"> När profilerna tas bort kan en begränsad uppsättning anonymiserade uppgifter även fortsättningsvis lagras för forskning och statistiska ändamål, och för att framställa och säkerställa kvaliteten på europeisk statistik</w:t>
            </w:r>
            <w:r>
              <w:rPr>
                <w:b/>
                <w:i/>
              </w:rPr>
              <w:t>, i enlighet med artikel 20.1 i denna förordning.</w:t>
            </w:r>
            <w:r>
              <w:t xml:space="preserve"> </w:t>
            </w:r>
            <w:r>
              <w:rPr>
                <w:b/>
                <w:i/>
              </w:rPr>
              <w:t>När det gäller registrerade arbetssökandes profiler kan uppgifter om nationalitet, önskat eller nuvarande yrke, innehav av talangpartnerskapspass, hur länge profilen varit registrerad på it-plattformen för EU:s talangreserv, antalet besök på plattformen, antalet matchningar med arbetsgivare och antalet arbeten som förmedlats lagras.</w:t>
            </w:r>
            <w:r>
              <w:t xml:space="preserve"> </w:t>
            </w:r>
            <w:r>
              <w:rPr>
                <w:b/>
                <w:i/>
              </w:rPr>
              <w:t>När det gäller arbetsgivares profiler kan uppgifter om den medlemsstat som de är baserade i, sektor, antalet besök på it-plattformen för EU:s talangreserv, antalet matchningar med arbetssökande och antalet arbeten som förmedlats lagras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Registrerade arbetssökande från tredjeländer bör ha rätt att välja mellan ett antal tekniska alternativ för att begränsa tillgången till sina personuppgifter, till exempel genom att begränsa tillgången till sina kontaktuppgifter. Profiler för registrerade arbetssökande från tredjeländer och arbetsgivare som deltar i it-plattformen för EU:s talangreserv vilka inte har använts på två år bör automatiskt tas bort. När profilerna tas bort kan en begränsad uppsättning anonymiserade uppgifter även fortsättningsvis lagras för forskning och statistiska ändamål, och för att framställa och säkerställa kvaliteten på europeisk statistik.</w:t>
            </w:r>
          </w:p>
        </w:tc>
        <w:tc>
          <w:tcPr>
            <w:tcW w:w="4876" w:type="dxa"/>
            <w:tcBorders>
              <w:top w:val="nil"/>
              <w:left w:val="nil"/>
              <w:bottom w:val="nil"/>
              <w:right w:val="nil"/>
            </w:tcBorders>
          </w:tcPr>
          <w:p>
            <w:pPr>
              <w:pStyle w:val="Normal6a"/>
            </w:pPr>
            <w:r>
              <w:t>(14)</w:t>
            </w:r>
            <w:r>
              <w:tab/>
            </w:r>
            <w:r>
              <w:t xml:space="preserve">Registrerade arbetssökande från tredjeländer bör ha rätt att välja mellan ett antal tekniska alternativ för att begränsa tillgången till sina personuppgifter, till exempel genom att begränsa tillgången till sina kontaktuppgifter. Profiler för registrerade arbetssökande från tredjeländer och arbetsgivare som deltar i it-plattformen för EU:s talangreserv vilka inte har använts på två år bör automatiskt tas bort. </w:t>
            </w:r>
            <w:r>
              <w:rPr>
                <w:b/>
                <w:i/>
              </w:rPr>
              <w:t>De berörda arbetssökandena bör två månader före borttagandet informeras om att deras profil kommer att tas bort om de inte loggar in på profilen inom den perioden.</w:t>
            </w:r>
            <w:r>
              <w:t xml:space="preserve"> </w:t>
            </w:r>
            <w:r>
              <w:rPr>
                <w:b/>
                <w:i/>
              </w:rPr>
              <w:t>Registrerade arbetsgivares profiler eller lediga platser som arbetsgivarna på två år från registreringen av profilerna inte har loggat in på bör tas bort eller anonymiseras, och inga personuppgifter bör lagras.</w:t>
            </w:r>
            <w:r>
              <w:t xml:space="preserve"> </w:t>
            </w:r>
            <w:r>
              <w:rPr>
                <w:b/>
                <w:i/>
              </w:rPr>
              <w:t>De berörda arbetsgivarna bör två månader före borttagandet informeras om att deras profil kommer att tas bort om de inte loggar in på profilen inom den perioden.</w:t>
            </w:r>
            <w:r>
              <w:t xml:space="preserve"> När profilerna tas bort kan en begränsad uppsättning anonymiserade uppgifter även fortsättningsvis lagras för forskning och statistiska ändamål, och för att framställa och säkerställa kvaliteten på europeisk statistik.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Registrerade arbetssökande från tredjeländer bör ha rätt att välja mellan ett antal tekniska alternativ för att begränsa tillgången till sina personuppgifter, till exempel genom att begränsa tillgången till sina kontaktuppgifter. Profiler för registrerade arbetssökande från tredjeländer </w:t>
            </w:r>
            <w:r>
              <w:rPr>
                <w:b/>
                <w:i/>
              </w:rPr>
              <w:t>och arbetsgivare</w:t>
            </w:r>
            <w:r>
              <w:t xml:space="preserve"> som deltar i it-plattformen för EU:s talangreserv vilka inte har använts på två år bör </w:t>
            </w:r>
            <w:r>
              <w:rPr>
                <w:b/>
                <w:i/>
              </w:rPr>
              <w:t>automatiskt tas bort</w:t>
            </w:r>
            <w:r>
              <w:t xml:space="preserve">. När profilerna tas bort </w:t>
            </w:r>
            <w:r>
              <w:rPr>
                <w:b/>
                <w:i/>
              </w:rPr>
              <w:t>kan</w:t>
            </w:r>
            <w:r>
              <w:t xml:space="preserve"> en begränsad uppsättning anonymiserade uppgifter även fortsättningsvis lagras för forskning och statistiska ändamål</w:t>
            </w:r>
            <w:r>
              <w:rPr>
                <w:b/>
                <w:i/>
              </w:rPr>
              <w:t>,</w:t>
            </w:r>
            <w:r>
              <w:t xml:space="preserve"> och för att framställa och säkerställa kvaliteten på europeisk statistik.</w:t>
            </w:r>
          </w:p>
        </w:tc>
        <w:tc>
          <w:tcPr>
            <w:tcW w:w="4876" w:type="dxa"/>
            <w:tcBorders>
              <w:top w:val="nil"/>
              <w:left w:val="nil"/>
              <w:bottom w:val="nil"/>
              <w:right w:val="nil"/>
            </w:tcBorders>
          </w:tcPr>
          <w:p>
            <w:pPr>
              <w:pStyle w:val="Normal6a"/>
            </w:pPr>
            <w:r>
              <w:t>(14)</w:t>
            </w:r>
            <w:r>
              <w:tab/>
            </w:r>
            <w:r>
              <w:t>Registrerade arbetssökande från tredjeländer bör ha rätt att välja mellan ett antal tekniska alternativ för att begränsa tillgången till sina personuppgifter, till exempel genom att begränsa tillgången till sina kontaktuppgifter. Profiler för registrerade arbetssökande från tredjeländer</w:t>
            </w:r>
            <w:r>
              <w:rPr>
                <w:b/>
                <w:i/>
              </w:rPr>
              <w:t>, arbetsgivare och förmedlare</w:t>
            </w:r>
            <w:r>
              <w:t xml:space="preserve"> som deltar i it-plattformen för EU:s talangreserv vilka inte har använts på två år bör </w:t>
            </w:r>
            <w:r>
              <w:rPr>
                <w:b/>
                <w:i/>
              </w:rPr>
              <w:t>raderas efter det att användaren vederbörligen informerats, såvida inte användaren motsätter sig beslutet och uppdaterar profilen</w:t>
            </w:r>
            <w:r>
              <w:t xml:space="preserve">. När profilerna tas bort </w:t>
            </w:r>
            <w:r>
              <w:rPr>
                <w:b/>
                <w:i/>
              </w:rPr>
              <w:t>bör alla personuppgifter raderas, men</w:t>
            </w:r>
            <w:r>
              <w:t xml:space="preserve"> en begränsad uppsättning anonymiserade uppgifter </w:t>
            </w:r>
            <w:r>
              <w:rPr>
                <w:b/>
                <w:i/>
              </w:rPr>
              <w:t>kan</w:t>
            </w:r>
            <w:r>
              <w:t xml:space="preserve"> även fortsättningsvis lagras för forskning och statistiska ändamål </w:t>
            </w:r>
            <w:r>
              <w:rPr>
                <w:b/>
                <w:i/>
              </w:rPr>
              <w:t>samt för att förbättra EU-talangreservens funktion</w:t>
            </w:r>
            <w:r>
              <w:t xml:space="preserve"> och för att framställa och säkerställa kvaliteten på europeisk statistik. </w:t>
            </w:r>
            <w:r>
              <w:rPr>
                <w:b/>
                <w:i/>
              </w:rPr>
              <w:t>Användarna bör ha rätt att när som helst begära att deras profil och personuppgifter raderas.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Registrerade arbetssökande från tredjeländer bör ha rätt att välja mellan ett antal tekniska alternativ för att begränsa tillgången till sina personuppgifter, till exempel genom att begränsa tillgången till sina kontaktuppgifter. Profiler för registrerade arbetssökande från tredjeländer och arbetsgivare som deltar i it-plattformen för EU:s talangreserv vilka inte har använts på </w:t>
            </w:r>
            <w:r>
              <w:rPr>
                <w:b/>
                <w:i/>
              </w:rPr>
              <w:t>två år</w:t>
            </w:r>
            <w:r>
              <w:t xml:space="preserve"> bör automatiskt tas bort. När profilerna tas bort kan en begränsad uppsättning anonymiserade uppgifter även fortsättningsvis lagras för forskning och statistiska ändamål, och för att framställa och säkerställa kvaliteten på europeisk statistik.</w:t>
            </w:r>
          </w:p>
        </w:tc>
        <w:tc>
          <w:tcPr>
            <w:tcW w:w="4876" w:type="dxa"/>
            <w:tcBorders>
              <w:top w:val="nil"/>
              <w:left w:val="nil"/>
              <w:bottom w:val="nil"/>
              <w:right w:val="nil"/>
            </w:tcBorders>
          </w:tcPr>
          <w:p>
            <w:pPr>
              <w:pStyle w:val="Normal6a"/>
            </w:pPr>
            <w:r>
              <w:t>(14)</w:t>
            </w:r>
            <w:r>
              <w:tab/>
            </w:r>
            <w:r>
              <w:t xml:space="preserve">Registrerade arbetssökande från tredjeländer bör ha rätt att välja mellan ett antal tekniska alternativ för att begränsa tillgången till sina personuppgifter, till exempel genom att begränsa tillgången till sina kontaktuppgifter. Profiler för registrerade arbetssökande från tredjeländer och arbetsgivare som deltar i it-plattformen för EU:s talangreserv vilka inte har använts på </w:t>
            </w:r>
            <w:r>
              <w:rPr>
                <w:b/>
                <w:i/>
              </w:rPr>
              <w:t>sex månader</w:t>
            </w:r>
            <w:r>
              <w:t xml:space="preserve"> bör automatiskt tas bort. När profilerna tas bort kan en begränsad uppsättning anonymiserade uppgifter även fortsättningsvis lagras för forskning och statistiska ändamål, och för att framställa och säkerställa kvaliteten på europeisk statistik.</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Utan att det påverkar deras skyldighet att informera de registrerade om behandlingen av deras personuppgifter och deras rättigheter som registrerade i enlighet med artiklarna 12 och 13 i förordning (EU) 2016/679 och artiklarna 14 och 15 i förordning (EU) 2018/1725, bör sekretariatet för EU:s talangreserv och de nationella kontaktpunkterna för EU:s talangreserv även informera registrerade arbetssökande och arbetsgivare som deltar i EU:s talangreserv om deras rätt att tekniskt begränsa tillgången till sina personuppgifter och när som helst kräva att personuppgifterna i deras profiler raderas eller ändras.</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EU:s talangreserv bör bidra till målet att motverka irreguljär migration, bland annat genom att underlätta tillgången till befintliga lagliga vägar.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 xml:space="preserve">bör inte tillåtas att registrera sina profiler på it-plattformen för EU:s talangreserv, eftersom de inte kommer att tillåtas inresa och vistelse i unionen. I detta syfte </w:t>
            </w:r>
            <w:r>
              <w:rPr>
                <w:b/>
                <w:i/>
              </w:rPr>
              <w:t>bör</w:t>
            </w:r>
            <w:r>
              <w:t xml:space="preserve">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w:t>
            </w:r>
          </w:p>
        </w:tc>
        <w:tc>
          <w:tcPr>
            <w:tcW w:w="4876" w:type="dxa"/>
            <w:tcBorders>
              <w:top w:val="nil"/>
              <w:left w:val="nil"/>
              <w:bottom w:val="nil"/>
              <w:right w:val="nil"/>
            </w:tcBorders>
          </w:tcPr>
          <w:p>
            <w:pPr>
              <w:pStyle w:val="Normal6a"/>
            </w:pPr>
            <w:r>
              <w:t>(16)</w:t>
            </w:r>
            <w:r>
              <w:tab/>
            </w:r>
            <w:r>
              <w:t xml:space="preserve">EU:s talangreserv bör bidra till målet att motverka irreguljär migration </w:t>
            </w:r>
            <w:r>
              <w:rPr>
                <w:b/>
                <w:i/>
              </w:rPr>
              <w:t>och migration av lågkvalificerade personer</w:t>
            </w:r>
            <w:r>
              <w:t xml:space="preserve">, bland annat genom att underlätta tillgången till befintliga lagliga vägar </w:t>
            </w:r>
            <w:r>
              <w:rPr>
                <w:b/>
                <w:i/>
              </w:rPr>
              <w:t>för kvalificerade migranter</w:t>
            </w:r>
            <w:r>
              <w:t>.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 xml:space="preserve"> bör inte tillåtas att registrera sina profiler på it-plattformen för EU:s talangreserv, eftersom de inte kommer att tillåtas inresa och vistelse i unionen. I detta syfte </w:t>
            </w:r>
            <w:r>
              <w:rPr>
                <w:b/>
                <w:i/>
              </w:rPr>
              <w:t>kommer</w:t>
            </w:r>
            <w:r>
              <w:t xml:space="preserve"> arbetssökande från tredjeländer </w:t>
            </w:r>
            <w:r>
              <w:rPr>
                <w:b/>
                <w:i/>
              </w:rPr>
              <w:t>att</w:t>
            </w:r>
            <w:r>
              <w:t xml:space="preserve">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 </w:t>
            </w:r>
            <w:r>
              <w:rPr>
                <w:b/>
                <w:i/>
              </w:rPr>
              <w:t>Under invandringsförfaranden som utförs av medlemsstaterna får dessutom nödvändiga kontroller, i synnerhet i fråga om säkerhet, genomföras i relevanta nationella databaser och EU-databaser, såsom Schengens informationssystem, som innehåller varningar om tredjelandsmedborgare som inte har rätt att resa in eller vistas i Schengenområdet.</w:t>
            </w:r>
            <w:r>
              <w:t xml:space="preserve"> </w:t>
            </w:r>
            <w:r>
              <w:rPr>
                <w:b/>
                <w:i/>
              </w:rPr>
              <w:t>På it-plattformen för EU:s talangreserv bör information lämnas om att en registrering i EU:s talangreserv av en arbetssökande från ett tredjeland inte utgör någon garanti för att säkerhetskontroller har genomförts.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EU:s talangreserv bör bidra till målet att motverka irreguljär migration, bland annat genom att underlätta tillgången till befintliga lagliga vägar.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w:t>
            </w:r>
          </w:p>
        </w:tc>
        <w:tc>
          <w:tcPr>
            <w:tcW w:w="4876" w:type="dxa"/>
            <w:tcBorders>
              <w:top w:val="nil"/>
              <w:left w:val="nil"/>
              <w:bottom w:val="nil"/>
              <w:right w:val="nil"/>
            </w:tcBorders>
          </w:tcPr>
          <w:p>
            <w:pPr>
              <w:pStyle w:val="Normal6a"/>
            </w:pPr>
            <w:r>
              <w:t>(16)</w:t>
            </w:r>
            <w:r>
              <w:tab/>
            </w:r>
            <w:r>
              <w:t>EU:s talangreserv bör bidra till målet att motverka irreguljär migration, bland annat genom att underlätta tillgången till befintliga lagliga vägar.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 xml:space="preserve"> 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 </w:t>
            </w:r>
            <w:r>
              <w:rPr>
                <w:b/>
                <w:i/>
              </w:rPr>
              <w:t>Under de invandringsförfaranden som genomförs av medlemsstaterna kan nödvändiga kontroller utföras i relevanta nationella databaser och EU-databaser, till exempel Schengens informationssystem.</w:t>
            </w:r>
            <w:r>
              <w:t xml:space="preserve"> </w:t>
            </w:r>
            <w:r>
              <w:rPr>
                <w:b/>
                <w:i/>
              </w:rPr>
              <w:t>På it-plattformen för EU:s talangreserv bör det informeras om att en registrering i EU:s talangreserv av en arbetssökande från ett tredjeland inte utgör någon garanti för att säkerhetskontroller har utförts.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EU:s talangreserv bör bidra till målet att motverka irreguljär migration, bland annat genom att underlätta tillgången till befintliga lagliga vägar.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w:t>
            </w:r>
          </w:p>
        </w:tc>
        <w:tc>
          <w:tcPr>
            <w:tcW w:w="4876" w:type="dxa"/>
            <w:tcBorders>
              <w:top w:val="nil"/>
              <w:left w:val="nil"/>
              <w:bottom w:val="nil"/>
              <w:right w:val="nil"/>
            </w:tcBorders>
          </w:tcPr>
          <w:p>
            <w:pPr>
              <w:pStyle w:val="Normal6a"/>
            </w:pPr>
            <w:r>
              <w:t>(16)</w:t>
            </w:r>
            <w:r>
              <w:tab/>
            </w:r>
            <w:r>
              <w:t>EU:s talangreserv bör bidra till målet att motverka irreguljär migration, bland annat genom att underlätta tillgången till befintliga lagliga vägar.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 xml:space="preserve"> 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w:t>
            </w:r>
            <w:r>
              <w:rPr>
                <w:b/>
                <w:i/>
              </w:rPr>
              <w:t>så vitt de vet</w:t>
            </w:r>
            <w:r>
              <w:t xml:space="preserve"> för närvarande inte är föremål för nekad inresa eller vistelse i en medlemsstat eller ett inreseförbud till unionens territorium. Det bör också lämnas information om konsekvenserna av att lämna felaktiga uppgifter i detta avseende. </w:t>
            </w:r>
            <w:r>
              <w:rPr>
                <w:b/>
                <w:i/>
              </w:rPr>
              <w:t>På it-plattformen för EU:s talangreserv bör det även informeras om att en registrering i EU:s talangreserv av en arbetssökande från ett tredjeland inte utgör någon garanti för att säkerhetskontroller redan har utförts.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EU:s talangreserv bör bidra till målet att motverka irreguljär migration, bland annat genom att underlätta tillgången till befintliga lagliga vägar.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w:t>
            </w:r>
          </w:p>
        </w:tc>
        <w:tc>
          <w:tcPr>
            <w:tcW w:w="4876" w:type="dxa"/>
            <w:tcBorders>
              <w:top w:val="nil"/>
              <w:left w:val="nil"/>
              <w:bottom w:val="nil"/>
              <w:right w:val="nil"/>
            </w:tcBorders>
          </w:tcPr>
          <w:p>
            <w:pPr>
              <w:pStyle w:val="Normal6a"/>
            </w:pPr>
            <w:r>
              <w:t>(16)</w:t>
            </w:r>
            <w:r>
              <w:tab/>
            </w:r>
            <w:r>
              <w:t>EU:s talangreserv bör bidra till målet att motverka irreguljär migration, bland annat genom att underlätta tillgången till befintliga lagliga vägar.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 xml:space="preserve"> 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w:t>
            </w:r>
            <w:r>
              <w:rPr>
                <w:b/>
                <w:i/>
              </w:rPr>
              <w:t>.</w:t>
            </w:r>
            <w:r>
              <w:t xml:space="preserve"> </w:t>
            </w:r>
            <w:r>
              <w:rPr>
                <w:b/>
                <w:i/>
              </w:rPr>
              <w:t>Detsamma bör gälla för direktiv (EU) 2017/541, och arbetssökande bör också åläggas att intyga att de inte medvetet har samröre med personer, grupper och enheter som omfattas av gemensam ståndpunkt 2001/931/GUSP ("förteckningen")</w:t>
            </w:r>
            <w:r>
              <w:t>. Det bör också lämnas information om konsekvenserna av att lämna felaktiga uppgifter i detta avseende.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EU:s talangreserv bör bidra till målet att </w:t>
            </w:r>
            <w:r>
              <w:rPr>
                <w:b/>
                <w:i/>
              </w:rPr>
              <w:t>motverka irreguljär</w:t>
            </w:r>
            <w:r>
              <w:t xml:space="preserve"> migration, bland annat genom att underlätta tillgången till befintliga lagliga vägar. Arbetssökande från tredjeländer som är föremål för ett </w:t>
            </w:r>
            <w:r>
              <w:rPr>
                <w:b/>
                <w:i/>
              </w:rPr>
              <w:t>rättsligt eller administrativt</w:t>
            </w:r>
            <w:r>
              <w:t xml:space="preserve"> beslut om nekad inresa eller vistelse i en medlemsstat eller ett inreseförbud i enlighet med Europaparlamentets och rådets direktiv 2008/115/EG</w:t>
            </w:r>
            <w:r>
              <w:rPr>
                <w:b/>
                <w:i/>
                <w:vertAlign w:val="superscript"/>
              </w:rPr>
              <w:t>11</w:t>
            </w:r>
            <w:r>
              <w:t>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w:t>
            </w:r>
          </w:p>
        </w:tc>
        <w:tc>
          <w:tcPr>
            <w:tcW w:w="4876" w:type="dxa"/>
            <w:tcBorders>
              <w:top w:val="nil"/>
              <w:left w:val="nil"/>
              <w:bottom w:val="nil"/>
              <w:right w:val="nil"/>
            </w:tcBorders>
          </w:tcPr>
          <w:p>
            <w:pPr>
              <w:pStyle w:val="Normal6a"/>
            </w:pPr>
            <w:r>
              <w:t>(16)</w:t>
            </w:r>
            <w:r>
              <w:tab/>
            </w:r>
            <w:r>
              <w:t xml:space="preserve">EU:s talangreserv bör bidra till målet att </w:t>
            </w:r>
            <w:r>
              <w:rPr>
                <w:b/>
                <w:i/>
              </w:rPr>
              <w:t>uppmuntra reguljär</w:t>
            </w:r>
            <w:r>
              <w:t xml:space="preserve"> migration, bland annat genom att underlätta tillgången till befintliga lagliga vägar. Arbetssökande från tredjeländer som är föremål för ett </w:t>
            </w:r>
            <w:r>
              <w:rPr>
                <w:b/>
                <w:i/>
              </w:rPr>
              <w:t>gällande rättsligt</w:t>
            </w:r>
            <w:r>
              <w:t xml:space="preserve"> beslut om nekad inresa eller vistelse i en medlemsstat eller ett </w:t>
            </w:r>
            <w:r>
              <w:rPr>
                <w:b/>
                <w:i/>
              </w:rPr>
              <w:t>aktivt</w:t>
            </w:r>
            <w:r>
              <w:t xml:space="preserve"> inreseförbud i enlighet med Europaparlamentets och rådets direktiv 2008/115/EG</w:t>
            </w:r>
            <w:r>
              <w:rPr>
                <w:b/>
                <w:i/>
                <w:vertAlign w:val="superscript"/>
              </w:rPr>
              <w:t>35</w:t>
            </w:r>
            <w:r>
              <w:t xml:space="preserve"> 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w:t>
            </w:r>
            <w:r>
              <w:rPr>
                <w:b/>
                <w:i/>
              </w:rPr>
              <w:t>ett rättsligt beslut om</w:t>
            </w:r>
            <w:r>
              <w:t xml:space="preserve"> nekad inresa eller vistelse i en medlemsstat eller ett inreseförbud till unionens territorium. Det bör också lämnas information om konsekvenserna av att lämna felaktiga uppgifter i detta avseende. </w:t>
            </w:r>
            <w:r>
              <w:rPr>
                <w:b/>
                <w:i/>
              </w:rPr>
              <w:t>När det rättsliga beslutet eller inreseförbudet har löpt ut bör arbetssökanden kunna lämna in en ny begäran om att registrera en profil på it-plattformen för EU:s talangreserv.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Europaparlamentets och rådets direktiv 2008/115/EG av den 16 december 2008 om gemensamma normer och förfaranden för återvändande av tredjelandsmedborgare som vistas olagligt i medlemsstaterna (EUT L 348, 24.12.2008, s.</w:t>
            </w:r>
            <w:r>
              <w:t xml:space="preserve"> </w:t>
            </w:r>
            <w:r>
              <w:rPr>
                <w:b/>
                <w:i/>
              </w:rPr>
              <w:t>98, ELI: http://data.europa.eu/eli/dir/2008/115/oj?locale=sv).</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EU:s talangreserv bör bidra till målet att </w:t>
            </w:r>
            <w:r>
              <w:rPr>
                <w:b/>
                <w:i/>
              </w:rPr>
              <w:t>motverka irreguljär</w:t>
            </w:r>
            <w:r>
              <w:t xml:space="preserve"> migration</w:t>
            </w:r>
            <w:r>
              <w:rPr>
                <w:b/>
                <w:i/>
              </w:rPr>
              <w:t>, bland annat</w:t>
            </w:r>
            <w:r>
              <w:t xml:space="preserve"> genom att </w:t>
            </w:r>
            <w:r>
              <w:rPr>
                <w:b/>
                <w:i/>
              </w:rPr>
              <w:t>underlätta tillgången</w:t>
            </w:r>
            <w:r>
              <w:t xml:space="preserve"> till befintliga lagliga vägar.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w:t>
            </w:r>
          </w:p>
        </w:tc>
        <w:tc>
          <w:tcPr>
            <w:tcW w:w="4876" w:type="dxa"/>
            <w:tcBorders>
              <w:top w:val="nil"/>
              <w:left w:val="nil"/>
              <w:bottom w:val="nil"/>
              <w:right w:val="nil"/>
            </w:tcBorders>
          </w:tcPr>
          <w:p>
            <w:pPr>
              <w:pStyle w:val="Normal6a"/>
            </w:pPr>
            <w:r>
              <w:t>(16)</w:t>
            </w:r>
            <w:r>
              <w:tab/>
            </w:r>
            <w:r>
              <w:t xml:space="preserve">EU:s talangreserv bör bidra till målet att </w:t>
            </w:r>
            <w:r>
              <w:rPr>
                <w:b/>
                <w:i/>
              </w:rPr>
              <w:t>uppmuntra laglig</w:t>
            </w:r>
            <w:r>
              <w:t xml:space="preserve"> migration genom att </w:t>
            </w:r>
            <w:r>
              <w:rPr>
                <w:b/>
                <w:i/>
              </w:rPr>
              <w:t>främja internationell rekrytering av tredjelandsmedborgare och deras tillgång</w:t>
            </w:r>
            <w:r>
              <w:t xml:space="preserve"> till befintliga lagliga vägar </w:t>
            </w:r>
            <w:r>
              <w:rPr>
                <w:b/>
                <w:i/>
              </w:rPr>
              <w:t>samt motverka irreguljär migration genom att bidra till arbetet med att ta itu med de bakomliggande orsakerna</w:t>
            </w:r>
            <w:r>
              <w:t>.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 xml:space="preserve"> 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EU:s talangreserv bör bidra till målet att motverka irreguljär migration</w:t>
            </w:r>
            <w:r>
              <w:rPr>
                <w:b/>
                <w:i/>
              </w:rPr>
              <w:t>, bland annat genom att underlätta tillgången till befintliga lagliga vägar</w:t>
            </w:r>
            <w:r>
              <w:t>.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w:t>
            </w:r>
          </w:p>
        </w:tc>
        <w:tc>
          <w:tcPr>
            <w:tcW w:w="4876" w:type="dxa"/>
            <w:tcBorders>
              <w:top w:val="nil"/>
              <w:left w:val="nil"/>
              <w:bottom w:val="nil"/>
              <w:right w:val="nil"/>
            </w:tcBorders>
          </w:tcPr>
          <w:p>
            <w:pPr>
              <w:pStyle w:val="Normal6a"/>
            </w:pPr>
            <w:r>
              <w:t>(16)</w:t>
            </w:r>
            <w:r>
              <w:tab/>
            </w:r>
            <w:r>
              <w:t>EU:s talangreserv bör bidra till målet att motverka irreguljär migration.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 xml:space="preserve"> 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EU:s talangreserv bör bidra till målet att motverka irreguljär migration, bland annat genom att underlätta tillgången till befintliga lagliga vägar.</w:t>
            </w:r>
            <w:r>
              <w:t xml:space="preserve"> 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 xml:space="preserve"> 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w:t>
            </w:r>
          </w:p>
        </w:tc>
        <w:tc>
          <w:tcPr>
            <w:tcW w:w="4876" w:type="dxa"/>
            <w:tcBorders>
              <w:top w:val="nil"/>
              <w:left w:val="nil"/>
              <w:bottom w:val="nil"/>
              <w:right w:val="nil"/>
            </w:tcBorders>
          </w:tcPr>
          <w:p>
            <w:pPr>
              <w:pStyle w:val="Normal6a"/>
            </w:pPr>
            <w:r>
              <w:t>(16)</w:t>
            </w:r>
            <w:r>
              <w:tab/>
            </w:r>
            <w:r>
              <w:t>Arbetssökande från tredjeländer som är föremål för ett rättsligt eller administrativt beslut om nekad inresa eller vistelse i en medlemsstat eller ett inreseförbud i enlighet med Europaparlamentets och rådets direktiv 2008/115/EG</w:t>
            </w:r>
            <w:r>
              <w:rPr>
                <w:vertAlign w:val="superscript"/>
              </w:rPr>
              <w:t>11</w:t>
            </w:r>
            <w:r>
              <w:t xml:space="preserve"> bör inte tillåtas att registrera sina profiler på it-plattformen för EU:s talangreserv, eftersom de inte kommer att tillåtas inresa och vistelse i unionen. I detta syfte bör arbetssökande från tredjeländer åläggas att, innan de registrerar sina profiler i EU:s talangreserv, intyga att de för närvarande inte är föremål för nekad inresa eller vistelse i en medlemsstat eller ett inreseförbud till unionens territorium. Det bör också lämnas information om konsekvenserna av att lämna felaktiga uppgifter i detta avseende </w:t>
            </w:r>
            <w:r>
              <w:rPr>
                <w:b/>
                <w:i/>
              </w:rPr>
              <w:t>samt ge skriftligt tillstånd till att de kan förvars på förvar och att de återvänder frivilligt hem om de ertappas med att ha lämnat felaktiga uppgifter eller bryter mot gällande rätt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c>
          <w:tcPr>
            <w:tcW w:w="4876" w:type="dxa"/>
            <w:tcBorders>
              <w:top w:val="nil"/>
              <w:left w:val="nil"/>
              <w:bottom w:val="nil"/>
              <w:right w:val="nil"/>
            </w:tcBorders>
          </w:tcPr>
          <w:p>
            <w:pPr>
              <w:pStyle w:val="Normal6a"/>
            </w:pPr>
            <w:r>
              <w:rPr>
                <w:vertAlign w:val="superscript"/>
              </w:rPr>
              <w:t>11</w:t>
            </w:r>
            <w:r>
              <w:t xml:space="preserve"> </w:t>
            </w:r>
            <w:r>
              <w:t>Europaparlamentets och rådets direktiv 2008/115/EG av den 16 december 2008 om gemensamma normer och förfaranden för återvändande av tredjelandsmedborgare som vistas olagligt i medlemsstaterna (EUT L 348, 24.12.2008, s. 98, ELI: http://data.europa.eu/eli/dir/2008/115/oj?locale=sv).</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 syfte att främja rättvis rekrytering och förhindra exploaterande praxis bör arbetsgivare och förmedlare som vill delta i EU:s talangreserv också omfattas av vissa villkor.</w:t>
            </w:r>
            <w:r>
              <w:t xml:space="preserve"> </w:t>
            </w:r>
            <w:r>
              <w:rPr>
                <w:b/>
                <w:i/>
              </w:rPr>
              <w:t>När arbetsgivare och förmedlare registrerar en profil på it-plattformen bör de vara skyldiga att ange kontaktuppgifter, organisationsnummer, verksamhetsområde och en kort verksamhetsbeskrivning.</w:t>
            </w:r>
            <w:r>
              <w:t xml:space="preserve"> </w:t>
            </w:r>
            <w:r>
              <w:rPr>
                <w:b/>
                <w:i/>
              </w:rPr>
              <w:t>Den nationella kontaktpunkten i den medlemsstat där arbetsgivaren eller förmedlaren är etablerad har i uppgift att, med berörda nationella myndigheters stöd, granska begäran och godkänna profilen i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Om vissa medlemsstater önskar delta i en eventuell europeisk plattform för rekrytering är det mycket viktigt att vidta robusta säkerhetsåtgärder för att hindra tillgång för arbetstagare från tredjeländer som skulle kunna äventyra säkerheten för alla medlemsstater.</w:t>
            </w:r>
            <w:r>
              <w:t xml:space="preserve"> </w:t>
            </w:r>
            <w:r>
              <w:rPr>
                <w:b/>
                <w:i/>
              </w:rPr>
              <w:t>Dessa bör omfatta en grundlig bakgrundskontroll av sökande, inbegripet säkerhetskontroller och bedömning av potentiella risker.</w:t>
            </w:r>
            <w:r>
              <w:t xml:space="preserve"> </w:t>
            </w:r>
            <w:r>
              <w:rPr>
                <w:b/>
                <w:i/>
              </w:rPr>
              <w:t>Medlemsstaternas behöriga myndigheter bör vara med och fastställa dessa åtgärder, vars syfte är att värna den nationella och europeiska säkerheten.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Vid registrering på it-plattformen för EU:s talangreserv bör arbetsgivare vara skyldiga att ange sina kontaktuppgifter, inbegripet företagets organisationsnummer, samt en kontaktpunkt inom verksamheten som ansvarar för talangreserven.</w:t>
            </w:r>
            <w:r>
              <w:t xml:space="preserve"> </w:t>
            </w:r>
            <w:r>
              <w:rPr>
                <w:b/>
                <w:i/>
              </w:rPr>
              <w:t>Vid registrering bör arbetsgivare också vara skyldiga att bekräfta sitt engagemang för rättvis rekrytering och internationella arbetsnormer.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EU:s talangreserv bör omfatta en klagomålsmekanism som gör det möjligt för arbetssökande och arbetstagare från tredjeländer som anställts genom plattformen att lämna in klagomål mot arbetsgivare för olaglig rekrytering och otillbörliga anställningsmetoder.</w:t>
            </w:r>
            <w:r>
              <w:t xml:space="preserve"> </w:t>
            </w:r>
            <w:r>
              <w:rPr>
                <w:b/>
                <w:i/>
              </w:rPr>
              <w:t>Om de nationella myndigheterna inleder en utredning bör den arbetsgivare som utreds stängas av och alla arbetsgivarens lediga platser dras tillbaka från talangreserven.</w:t>
            </w:r>
            <w:r>
              <w:t xml:space="preserve"> </w:t>
            </w:r>
            <w:r>
              <w:rPr>
                <w:b/>
                <w:i/>
              </w:rPr>
              <w:t>Om de berörda nationella myndigheterna konstaterar att det förekommit olagliga beteenden bör detta leda till att arbetsgivarna utesluts från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Arbetssökande från tredjeländer som vill registrera sig i EU:s talangreserv bör skapa en profil med hjälp av profilbyggarverktyget i Europass</w:t>
            </w:r>
            <w:r>
              <w:rPr>
                <w:vertAlign w:val="superscript"/>
              </w:rPr>
              <w:t>12</w:t>
            </w:r>
            <w:r>
              <w:t>, som gör det möjligt att utan kostnad skapa en profil med relevanta kompetenser, kvalifikationer och andra erfarenheter på en säker plats på nätet.</w:t>
            </w:r>
          </w:p>
        </w:tc>
        <w:tc>
          <w:tcPr>
            <w:tcW w:w="4876" w:type="dxa"/>
            <w:tcBorders>
              <w:top w:val="nil"/>
              <w:left w:val="nil"/>
              <w:bottom w:val="nil"/>
              <w:right w:val="nil"/>
            </w:tcBorders>
          </w:tcPr>
          <w:p>
            <w:pPr>
              <w:pStyle w:val="Normal6a"/>
            </w:pPr>
            <w:r>
              <w:t>(17)</w:t>
            </w:r>
            <w:r>
              <w:tab/>
            </w:r>
            <w:r>
              <w:t xml:space="preserve">Arbetssökande från tredjeländer som vill registrera sig i EU:s talangreserv bör </w:t>
            </w:r>
            <w:r>
              <w:rPr>
                <w:b/>
                <w:i/>
              </w:rPr>
              <w:t>kunna</w:t>
            </w:r>
            <w:r>
              <w:t xml:space="preserve"> skapa en profil med hjälp av profilbyggarverktyget i Europass</w:t>
            </w:r>
            <w:r>
              <w:rPr>
                <w:vertAlign w:val="superscript"/>
              </w:rPr>
              <w:t>12</w:t>
            </w:r>
            <w:r>
              <w:t>, som gör det möjligt att utan kostnad skapa en profil med relevanta kompetenser, kvalifikationer och andra erfarenheter på en säker plats på nätet</w:t>
            </w:r>
            <w:r>
              <w:rPr>
                <w:b/>
                <w:i/>
              </w:rPr>
              <w:t>, utan krav på att inkludera bilder.</w:t>
            </w:r>
            <w:r>
              <w:t xml:space="preserve"> </w:t>
            </w:r>
            <w:r>
              <w:rPr>
                <w:b/>
                <w:i/>
              </w:rPr>
              <w:t>Arbetssökande från tredjeländer som vill registrera sig i EU:s talangreserv bör utan svårigheter kunna hitta information om hur de skapar en profil.</w:t>
            </w:r>
            <w:r>
              <w:t xml:space="preserve"> </w:t>
            </w:r>
            <w:r>
              <w:rPr>
                <w:b/>
                <w:i/>
              </w:rPr>
              <w:t>Information om möjligheter till utveckling av färdigheter och kompetenser, utbildning och yrkesutbildning som ges genom program för utvecklingssamarbete bör i förekommande fall finnas tillgänglig för arbetssökande som deltar i EU:s talangreserv</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Europaparlamentets och rådets beslut (EU) 2018/646 av den 18 april 2018 om en gemensam ram för tillhandahållande av bättre tjänster för kompetens och kvalifikationer (Europass) (EUT L 112, 2.5.2018, s. 42, ELI: http://data.europa.eu/eli/dec/2018/646/oj?locale=sv).</w:t>
            </w:r>
          </w:p>
        </w:tc>
        <w:tc>
          <w:tcPr>
            <w:tcW w:w="4876" w:type="dxa"/>
            <w:tcBorders>
              <w:top w:val="nil"/>
              <w:left w:val="nil"/>
              <w:bottom w:val="nil"/>
              <w:right w:val="nil"/>
            </w:tcBorders>
          </w:tcPr>
          <w:p>
            <w:pPr>
              <w:pStyle w:val="Normal6a"/>
            </w:pPr>
            <w:r>
              <w:rPr>
                <w:vertAlign w:val="superscript"/>
              </w:rPr>
              <w:t>12</w:t>
            </w:r>
            <w:r>
              <w:t xml:space="preserve"> </w:t>
            </w:r>
            <w:r>
              <w:t>Europaparlamentets och rådets beslut (EU) 2018/646 av den 18 april 2018 om en gemensam ram för tillhandahållande av bättre tjänster för kompetens och kvalifikationer (Europass) (EUT L 112, 2.5.2018, s. 42, ELI: http://data.europa.eu/eli/dec/2018/646/oj?locale=sv).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Arbetssökande från tredjeländer som vill registrera sig i EU:s talangreserv bör skapa en profil med hjälp av profilbyggarverktyget i Europass</w:t>
            </w:r>
            <w:r>
              <w:rPr>
                <w:b/>
                <w:i/>
                <w:vertAlign w:val="superscript"/>
              </w:rPr>
              <w:t>12</w:t>
            </w:r>
            <w:r>
              <w:t>, som gör det möjligt att utan kostnad skapa en profil med relevanta kompetenser, kvalifikationer och andra erfarenheter på en säker plats på nätet.</w:t>
            </w:r>
          </w:p>
        </w:tc>
        <w:tc>
          <w:tcPr>
            <w:tcW w:w="4876" w:type="dxa"/>
            <w:tcBorders>
              <w:top w:val="nil"/>
              <w:left w:val="nil"/>
              <w:bottom w:val="nil"/>
              <w:right w:val="nil"/>
            </w:tcBorders>
          </w:tcPr>
          <w:p>
            <w:pPr>
              <w:pStyle w:val="Normal6a"/>
            </w:pPr>
            <w:r>
              <w:t>(17)</w:t>
            </w:r>
            <w:r>
              <w:tab/>
            </w:r>
            <w:r>
              <w:t xml:space="preserve">Arbetssökande från tredjeländer som vill registrera sig i EU:s talangreserv bör </w:t>
            </w:r>
            <w:r>
              <w:rPr>
                <w:b/>
                <w:i/>
              </w:rPr>
              <w:t>genom manuell inmatning kunna</w:t>
            </w:r>
            <w:r>
              <w:t xml:space="preserve"> skapa en profil med hjälp av </w:t>
            </w:r>
            <w:r>
              <w:rPr>
                <w:b/>
                <w:i/>
              </w:rPr>
              <w:t>EU:s verktyg för kartläggning av kompetens eller</w:t>
            </w:r>
            <w:r>
              <w:t xml:space="preserve"> profilbyggarverktyget i Europass</w:t>
            </w:r>
            <w:r>
              <w:rPr>
                <w:b/>
                <w:i/>
                <w:vertAlign w:val="superscript"/>
              </w:rPr>
              <w:t>36</w:t>
            </w:r>
            <w:r>
              <w:t xml:space="preserve">, som gör det möjligt att utan kostnad skapa en profil med relevanta kompetenser, kvalifikationer och andra erfarenheter på en säker plats på nätet. </w:t>
            </w:r>
            <w:r>
              <w:rPr>
                <w:b/>
                <w:i/>
              </w:rPr>
              <w:t>I fall där arbetssökande inte kan lämna in sin ansökan på egen hand bör verifierade tredje parter i tredjeländer kunna ge stöd i registreringsprocessen och säkerställa tillgänglighet och inkludering för alla potentiella deltagare.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Europaparlamentets och rådets beslut (EU) 2018/646 av den 18 april 2018 om en gemensam ram för tillhandahållande av bättre tjänster för kompetens och kvalifikationer (Europass) (EUT L 112, 2.5.2018, s.</w:t>
            </w:r>
            <w:r>
              <w:t xml:space="preserve"> </w:t>
            </w:r>
            <w:r>
              <w:rPr>
                <w:b/>
                <w:i/>
              </w:rPr>
              <w:t>42, ELI: http://data.europa.eu/eli/dec/2018/646/oj?locale=sv).</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Arbetssökande från tredjeländer som vill registrera sig i EU:s talangreserv bör skapa en profil med hjälp av profilbyggarverktyget i Europass</w:t>
            </w:r>
            <w:r>
              <w:rPr>
                <w:vertAlign w:val="superscript"/>
              </w:rPr>
              <w:t>12</w:t>
            </w:r>
            <w:r>
              <w:t xml:space="preserve"> , </w:t>
            </w:r>
            <w:r>
              <w:rPr>
                <w:b/>
                <w:i/>
              </w:rPr>
              <w:t>som gör det möjligt att utan kostnad</w:t>
            </w:r>
            <w:r>
              <w:t xml:space="preserve"> skapa en profil </w:t>
            </w:r>
            <w:r>
              <w:rPr>
                <w:b/>
                <w:i/>
              </w:rPr>
              <w:t>med relevanta kompetenser, kvalifikationer och andra erfarenheter på en säker plats på nätet</w:t>
            </w:r>
            <w:r>
              <w:t>.</w:t>
            </w:r>
          </w:p>
        </w:tc>
        <w:tc>
          <w:tcPr>
            <w:tcW w:w="4876" w:type="dxa"/>
            <w:tcBorders>
              <w:top w:val="nil"/>
              <w:left w:val="nil"/>
              <w:bottom w:val="nil"/>
              <w:right w:val="nil"/>
            </w:tcBorders>
          </w:tcPr>
          <w:p>
            <w:pPr>
              <w:pStyle w:val="Normal6a"/>
            </w:pPr>
            <w:r>
              <w:t>(17)</w:t>
            </w:r>
            <w:r>
              <w:tab/>
            </w:r>
            <w:r>
              <w:t>Arbetssökande från tredjeländer som vill registrera sig i EU:s talangreserv bör skapa en profil med hjälp av profilbyggarverktyget i Europass</w:t>
            </w:r>
            <w:r>
              <w:rPr>
                <w:vertAlign w:val="superscript"/>
              </w:rPr>
              <w:t>12</w:t>
            </w:r>
            <w:r>
              <w:t xml:space="preserve"> , </w:t>
            </w:r>
            <w:r>
              <w:rPr>
                <w:b/>
                <w:i/>
              </w:rPr>
              <w:t>det skall kosta minst 10 EUR att</w:t>
            </w:r>
            <w:r>
              <w:t xml:space="preserve"> skapa en profil.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Europaparlamentets och rådets beslut (EU) 2018/646 av den 18 april 2018 om en gemensam ram för tillhandahållande av bättre tjänster för kompetens och kvalifikationer (Europass) (EUT L 112, 2.5.2018, s. 42, ELI: http://data.europa.eu/eli/dec/2018/646/oj?locale=sv).</w:t>
            </w:r>
          </w:p>
        </w:tc>
        <w:tc>
          <w:tcPr>
            <w:tcW w:w="4876" w:type="dxa"/>
            <w:tcBorders>
              <w:top w:val="nil"/>
              <w:left w:val="nil"/>
              <w:bottom w:val="nil"/>
              <w:right w:val="nil"/>
            </w:tcBorders>
          </w:tcPr>
          <w:p>
            <w:pPr>
              <w:pStyle w:val="Normal6a"/>
            </w:pPr>
            <w:r>
              <w:rPr>
                <w:vertAlign w:val="superscript"/>
              </w:rPr>
              <w:t>12</w:t>
            </w:r>
            <w:r>
              <w:t xml:space="preserve"> </w:t>
            </w:r>
            <w:r>
              <w:t>Europaparlamentets och rådets beslut (EU) 2018/646 av den 18 april 2018 om en gemensam ram för tillhandahållande av bättre tjänster för kompetens och kvalifikationer (Europass) (EUT L 112, 2.5.2018, s. 42, ELI: http://data.europa.eu/eli/dec/2018/646/oj?locale=sv).</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Arbetssökande från tredjeländer som vill registrera sig i EU:s talangreserv bör skapa en profil med hjälp av profilbyggarverktyget i Europass</w:t>
            </w:r>
            <w:r>
              <w:rPr>
                <w:vertAlign w:val="superscript"/>
              </w:rPr>
              <w:t>12</w:t>
            </w:r>
            <w:r>
              <w:t xml:space="preserve">, som gör det möjligt att utan kostnad skapa en profil </w:t>
            </w:r>
            <w:r>
              <w:rPr>
                <w:b/>
                <w:i/>
              </w:rPr>
              <w:t>med</w:t>
            </w:r>
            <w:r>
              <w:t xml:space="preserve"> relevanta kompetenser, kvalifikationer och andra erfarenheter på en säker plats på nätet.</w:t>
            </w:r>
          </w:p>
        </w:tc>
        <w:tc>
          <w:tcPr>
            <w:tcW w:w="4876" w:type="dxa"/>
            <w:tcBorders>
              <w:top w:val="nil"/>
              <w:left w:val="nil"/>
              <w:bottom w:val="nil"/>
              <w:right w:val="nil"/>
            </w:tcBorders>
          </w:tcPr>
          <w:p>
            <w:pPr>
              <w:pStyle w:val="Normal6a"/>
            </w:pPr>
            <w:r>
              <w:t>(17)</w:t>
            </w:r>
            <w:r>
              <w:tab/>
            </w:r>
            <w:r>
              <w:t>Arbetssökande från tredjeländer som vill registrera sig i EU:s talangreserv bör skapa en profil med hjälp av profilbyggarverktyget i Europass</w:t>
            </w:r>
            <w:r>
              <w:rPr>
                <w:vertAlign w:val="superscript"/>
              </w:rPr>
              <w:t>12</w:t>
            </w:r>
            <w:r>
              <w:t xml:space="preserve">, som gör det möjligt </w:t>
            </w:r>
            <w:r>
              <w:rPr>
                <w:b/>
                <w:i/>
              </w:rPr>
              <w:t>för dem</w:t>
            </w:r>
            <w:r>
              <w:t xml:space="preserve"> att utan kostnad skapa en profil </w:t>
            </w:r>
            <w:r>
              <w:rPr>
                <w:b/>
                <w:i/>
              </w:rPr>
              <w:t>och ange</w:t>
            </w:r>
            <w:r>
              <w:t xml:space="preserve"> relevanta kompetenser, kvalifikationer och andra erfarenheter på en säker plats på nätet.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Europaparlamentets och rådets beslut (EU) 2018/646 av den 18 april 2018 om en gemensam ram för tillhandahållande av bättre tjänster för kompetens och kvalifikationer (Europass) (EUT L 112, 2.5.2018, s. 42, ELI: http://data.europa.eu/eli/dec/2018/646/oj?locale=sv).</w:t>
            </w:r>
          </w:p>
        </w:tc>
        <w:tc>
          <w:tcPr>
            <w:tcW w:w="4876" w:type="dxa"/>
            <w:tcBorders>
              <w:top w:val="nil"/>
              <w:left w:val="nil"/>
              <w:bottom w:val="nil"/>
              <w:right w:val="nil"/>
            </w:tcBorders>
          </w:tcPr>
          <w:p>
            <w:pPr>
              <w:pStyle w:val="Normal6a"/>
            </w:pPr>
            <w:r>
              <w:rPr>
                <w:vertAlign w:val="superscript"/>
              </w:rPr>
              <w:t>12</w:t>
            </w:r>
            <w:r>
              <w:t xml:space="preserve"> </w:t>
            </w:r>
            <w:r>
              <w:t>Europaparlamentets och rådets beslut (EU) 2018/646 av den 18 april 2018 om en gemensam ram för tillhandahållande av bättre tjänster för kompetens och kvalifikationer (Europass) (EUT L 112, 2.5.2018, s. 42, ELI: http://data.europa.eu/eli/dec/2018/646/oj?locale=sv).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Vid behov bör</w:t>
            </w:r>
            <w:r>
              <w:t xml:space="preserve"> erkännande av kvalifikationer och validering av kompetens hos registrerade arbetssökande från tredjeländer </w:t>
            </w:r>
            <w:r>
              <w:rPr>
                <w:b/>
                <w:i/>
              </w:rPr>
              <w:t>genomföras i de deltagande</w:t>
            </w:r>
            <w:r>
              <w:t xml:space="preserve"> medlemsstaterna </w:t>
            </w:r>
            <w:r>
              <w:rPr>
                <w:b/>
                <w:i/>
              </w:rPr>
              <w:t>på begäran av den arbetssökande eller arbetsgivaren</w:t>
            </w:r>
            <w:r>
              <w:t xml:space="preserve"> i enlighet med nationell rätt och praxis, </w:t>
            </w:r>
            <w:r>
              <w:rPr>
                <w:b/>
                <w:i/>
              </w:rPr>
              <w:t>och med alla relevanta internationella avtal, inbegripet överenskommelser om ömsesidigt erkännande för yrkeskvalifikationer.</w:t>
            </w:r>
            <w:r>
              <w:t xml:space="preserve"> </w:t>
            </w:r>
            <w:r>
              <w:rPr>
                <w:b/>
                <w:i/>
              </w:rPr>
              <w:t>Personligt stöd och onlineinformation om befintliga förfaranden för erkännande och validering på nationell nivå bör finnas tillgänglig på it-plattformen för EU:s talangreserv samt tillhandahållas av de nationella kontaktpunkterna för EU:s talangreserv</w:t>
            </w:r>
            <w:r>
              <w:t>.</w:t>
            </w:r>
          </w:p>
        </w:tc>
        <w:tc>
          <w:tcPr>
            <w:tcW w:w="4876" w:type="dxa"/>
            <w:tcBorders>
              <w:top w:val="nil"/>
              <w:left w:val="nil"/>
              <w:bottom w:val="nil"/>
              <w:right w:val="nil"/>
            </w:tcBorders>
          </w:tcPr>
          <w:p>
            <w:pPr>
              <w:pStyle w:val="Normal6a"/>
            </w:pPr>
            <w:r>
              <w:t>(18)</w:t>
            </w:r>
            <w:r>
              <w:tab/>
            </w:r>
            <w:r>
              <w:t xml:space="preserve">Erkännande av kvalifikationer och validering av kompetens hos registrerade arbetssökande från tredjeländer </w:t>
            </w:r>
            <w:r>
              <w:rPr>
                <w:b/>
                <w:i/>
              </w:rPr>
              <w:t>genomförs i</w:t>
            </w:r>
            <w:r>
              <w:t xml:space="preserve"> medlemsstaterna i enlighet med nationell rätt och praxis, </w:t>
            </w:r>
            <w:r>
              <w:rPr>
                <w:b/>
                <w:i/>
              </w:rPr>
              <w:t>EU och dess instutitioner har ingen rätt att blanda sig i denna process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Vid behov bör</w:t>
            </w:r>
            <w:r>
              <w:t xml:space="preserve"> erkännande av kvalifikationer och validering av kompetens hos registrerade arbetssökande från tredjeländer genomföras i de deltagande medlemsstaterna på begäran av den arbetssökande eller arbetsgivaren i enlighet med nationell rätt och praxis, och med alla relevanta internationella avtal, inbegripet överenskommelser om ömsesidigt erkännande för yrkeskvalifikationer. Personligt stöd och onlineinformation om befintliga förfaranden för erkännande och validering på nationell nivå bör finnas tillgänglig på it-plattformen för EU:s talangreserv samt tillhandahållas av de nationella kontaktpunkterna för EU:s talangreserv.</w:t>
            </w:r>
          </w:p>
        </w:tc>
        <w:tc>
          <w:tcPr>
            <w:tcW w:w="4876" w:type="dxa"/>
            <w:tcBorders>
              <w:top w:val="nil"/>
              <w:left w:val="nil"/>
              <w:bottom w:val="nil"/>
              <w:right w:val="nil"/>
            </w:tcBorders>
          </w:tcPr>
          <w:p>
            <w:pPr>
              <w:pStyle w:val="Normal6a"/>
            </w:pPr>
            <w:r>
              <w:t>(18)</w:t>
            </w:r>
            <w:r>
              <w:tab/>
            </w:r>
            <w:r>
              <w:rPr>
                <w:b/>
                <w:i/>
              </w:rPr>
              <w:t>EU:s talangreserv bör främja erkännande av kvalifikationer och kompetens som förvärvats utanför EU och säkerställa att migrerande arbetstagare anställs och får ersättning i enlighet med sina kvalifikationer och erfarenheter.</w:t>
            </w:r>
            <w:r>
              <w:t xml:space="preserve"> Erkännande av kvalifikationer och validering av kompetens hos registrerade arbetssökande från tredjeländer </w:t>
            </w:r>
            <w:r>
              <w:rPr>
                <w:b/>
                <w:i/>
              </w:rPr>
              <w:t>bör</w:t>
            </w:r>
            <w:r>
              <w:t xml:space="preserve"> genomföras i de deltagande medlemsstaterna på begäran av den arbetssökande eller arbetsgivaren i enlighet med nationell rätt och praxis, och med alla relevanta internationella avtal, inbegripet överenskommelser om ömsesidigt erkännande för yrkeskvalifikationer. Personligt stöd och onlineinformation om befintliga förfaranden för erkännande och validering på nationell nivå bör finnas tillgänglig på it-plattformen för EU:s talangreserv samt tillhandahållas av de nationella kontaktpunkterna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Vid behov bör erkännande av kvalifikationer och validering av kompetens hos registrerade arbetssökande från tredjeländer genomföras i de deltagande medlemsstaterna på begäran av den arbetssökande eller arbetsgivaren i enlighet med nationell rätt och praxis, och med alla relevanta internationella avtal, inbegripet överenskommelser om ömsesidigt erkännande för yrkeskvalifikationer. Personligt stöd och onlineinformation om befintliga förfaranden för erkännande och validering på nationell nivå bör finnas tillgänglig på it-plattformen för EU:s talangreserv samt tillhandahållas av de nationella kontaktpunkterna för EU:s talangreserv.</w:t>
            </w:r>
          </w:p>
        </w:tc>
        <w:tc>
          <w:tcPr>
            <w:tcW w:w="4876" w:type="dxa"/>
            <w:tcBorders>
              <w:top w:val="nil"/>
              <w:left w:val="nil"/>
              <w:bottom w:val="nil"/>
              <w:right w:val="nil"/>
            </w:tcBorders>
          </w:tcPr>
          <w:p>
            <w:pPr>
              <w:pStyle w:val="Normal6a"/>
            </w:pPr>
            <w:r>
              <w:t>(18)</w:t>
            </w:r>
            <w:r>
              <w:tab/>
            </w:r>
            <w:r>
              <w:t xml:space="preserve">Vid behov bör erkännande av kvalifikationer och validering av kompetens hos registrerade arbetssökande från tredjeländer genomföras i de deltagande medlemsstaterna på begäran av den arbetssökande eller </w:t>
            </w:r>
            <w:r>
              <w:rPr>
                <w:b/>
                <w:i/>
              </w:rPr>
              <w:t>den deltagande</w:t>
            </w:r>
            <w:r>
              <w:t xml:space="preserve"> arbetsgivaren i enlighet med nationell rätt och praxis, och med alla relevanta internationella avtal, inbegripet överenskommelser om ömsesidigt erkännande för yrkeskvalifikationer. Personligt stöd och onlineinformation om befintliga förfaranden för erkännande och validering på nationell nivå bör finnas tillgänglig på it-plattformen för EU:s talangreserv samt tillhandahållas av de nationella kontaktpunkterna för EU:s talangreserv.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Vid behov bör erkännande av kvalifikationer och validering av kompetens hos registrerade arbetssökande från tredjeländer genomföras i de </w:t>
            </w:r>
            <w:r>
              <w:rPr>
                <w:b/>
                <w:i/>
              </w:rPr>
              <w:t>deltagande</w:t>
            </w:r>
            <w:r>
              <w:t xml:space="preserve"> medlemsstaterna på begäran av den arbetssökande eller arbetsgivaren i enlighet med nationell rätt och praxis, och med alla relevanta internationella avtal, inbegripet överenskommelser om ömsesidigt erkännande för yrkeskvalifikationer. Personligt stöd och onlineinformation om befintliga förfaranden för erkännande och validering på nationell nivå bör finnas tillgänglig på it-plattformen för EU:s talangreserv samt tillhandahållas av de nationella kontaktpunkterna för EU:s talangreserv.</w:t>
            </w:r>
          </w:p>
        </w:tc>
        <w:tc>
          <w:tcPr>
            <w:tcW w:w="4876" w:type="dxa"/>
            <w:tcBorders>
              <w:top w:val="nil"/>
              <w:left w:val="nil"/>
              <w:bottom w:val="nil"/>
              <w:right w:val="nil"/>
            </w:tcBorders>
          </w:tcPr>
          <w:p>
            <w:pPr>
              <w:pStyle w:val="Normal6a"/>
            </w:pPr>
            <w:r>
              <w:t>(18)</w:t>
            </w:r>
            <w:r>
              <w:tab/>
            </w:r>
            <w:r>
              <w:t xml:space="preserve">Vid behov bör erkännande av kvalifikationer och validering av kompetens hos registrerade arbetssökande från tredjeländer genomföras i de </w:t>
            </w:r>
            <w:r>
              <w:rPr>
                <w:b/>
                <w:i/>
              </w:rPr>
              <w:t>berörda</w:t>
            </w:r>
            <w:r>
              <w:t xml:space="preserve"> medlemsstaterna på begäran av den arbetssökande eller arbetsgivaren i enlighet med nationell rätt och praxis, och med alla relevanta internationella avtal, inbegripet överenskommelser om ömsesidigt erkännande för yrkeskvalifikationer. Personligt stöd och onlineinformation om befintliga förfaranden för erkännande och validering på nationell nivå bör finnas tillgänglig på it-plattformen för EU:s talangreserv samt tillhandahållas av de nationella kontaktpunkterna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Vid behov bör erkännande av kvalifikationer och validering av kompetens hos registrerade arbetssökande från tredjeländer genomföras i </w:t>
            </w:r>
            <w:r>
              <w:rPr>
                <w:b/>
                <w:i/>
              </w:rPr>
              <w:t>de deltagande</w:t>
            </w:r>
            <w:r>
              <w:t xml:space="preserve"> medlemsstaterna på begäran av den arbetssökande eller arbetsgivaren i enlighet med nationell rätt och praxis, och med alla relevanta internationella avtal, inbegripet överenskommelser om ömsesidigt erkännande för yrkeskvalifikationer. Personligt stöd och onlineinformation om befintliga förfaranden för erkännande och validering på nationell nivå bör finnas tillgänglig på it-plattformen för EU:s talangreserv samt tillhandahållas av de nationella kontaktpunkterna för EU:s talangreserv.</w:t>
            </w:r>
          </w:p>
        </w:tc>
        <w:tc>
          <w:tcPr>
            <w:tcW w:w="4876" w:type="dxa"/>
            <w:tcBorders>
              <w:top w:val="nil"/>
              <w:left w:val="nil"/>
              <w:bottom w:val="nil"/>
              <w:right w:val="nil"/>
            </w:tcBorders>
          </w:tcPr>
          <w:p>
            <w:pPr>
              <w:pStyle w:val="Normal6a"/>
            </w:pPr>
            <w:r>
              <w:t>(18)</w:t>
            </w:r>
            <w:r>
              <w:tab/>
            </w:r>
            <w:r>
              <w:t>Vid behov bör erkännande av kvalifikationer och validering av kompetens hos registrerade arbetssökande från tredjeländer genomföras i medlemsstaterna på begäran av den arbetssökande eller arbetsgivaren i enlighet med nationell rätt och praxis, och med alla relevanta internationella avtal, inbegripet överenskommelser om ömsesidigt erkännande för yrkeskvalifikationer. Personligt stöd och onlineinformation om befintliga förfaranden för erkännande och validering på nationell nivå bör finnas tillgänglig på it-plattformen för EU:s talangreserv samt tillhandahållas av de nationella kontaktpunkterna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Inom ramen för talangpartnerskap får medborgare i utvalda tredjeländer stöd för utveckling och validering av kompetens inom en ram som godkänts av medlemsstater som deltar i ett talangpartnerskap och partnerländer.</w:t>
            </w:r>
            <w:r>
              <w:t xml:space="preserve"> </w:t>
            </w:r>
            <w:r>
              <w:rPr>
                <w:b/>
                <w:i/>
              </w:rPr>
              <w:t>Därför bör den kompetens som utvecklats eller validerats inom ramen för ett talangpartnerskap certifieras genom EU-talangpartnerskapspasset, som är synligt i samband med EU:s talangreserv.</w:t>
            </w:r>
            <w:r>
              <w:t xml:space="preserve"> </w:t>
            </w:r>
            <w:r>
              <w:rPr>
                <w:b/>
                <w:i/>
              </w:rPr>
              <w:t>Arbetsgivare som deltar i EU:s talangreserv bör kunna filtrera profilerna för registrerade arbetssökande från tredjeländer så att de kan se dem som har erhållit ett EU-talangpartnerskapspass.</w:t>
            </w:r>
            <w:r>
              <w:t xml:space="preserve"> </w:t>
            </w:r>
            <w:r>
              <w:rPr>
                <w:b/>
                <w:i/>
              </w:rPr>
              <w:t>Detta kan uppmuntra arbetsgivarna att erbjuda anställning i unionen.</w:t>
            </w:r>
            <w:r>
              <w:t xml:space="preserve"> </w:t>
            </w:r>
            <w:r>
              <w:rPr>
                <w:b/>
                <w:i/>
              </w:rPr>
              <w:t>Medlemsstaterna bör, inom ramen för ett talangpartnerskap, fastställa villkoren för utfärdande av EU-talangpartnerskapspasset för EU:s talangreserv, inbegripet huruvida ett partnerlands nationella myndighet, en internationell organisation eller andra berörda parter bör stödja dess genomförande.</w:t>
            </w:r>
            <w:r>
              <w:t xml:space="preserve"> </w:t>
            </w:r>
            <w:r>
              <w:rPr>
                <w:b/>
                <w:i/>
              </w:rPr>
              <w:t>Utfärdandet av ett EU-talangpartnerskapspass påverkar inte europeiska och nationella regler om tillträde till reglerade yrken.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Inom ramen för talangpartnerskap </w:t>
            </w:r>
            <w:r>
              <w:rPr>
                <w:b/>
                <w:i/>
              </w:rPr>
              <w:t>får</w:t>
            </w:r>
            <w:r>
              <w:t xml:space="preserve"> medborgare i utvalda tredjeländer stöd för utveckling och validering av kompetens inom en ram som godkänts av medlemsstater som deltar i ett talangpartnerskap och partnerländer. </w:t>
            </w:r>
            <w:r>
              <w:rPr>
                <w:b/>
                <w:i/>
              </w:rPr>
              <w:t>Därför bör</w:t>
            </w:r>
            <w:r>
              <w:t xml:space="preserve"> den kompetens som </w:t>
            </w:r>
            <w:r>
              <w:rPr>
                <w:b/>
                <w:i/>
              </w:rPr>
              <w:t>utvecklats</w:t>
            </w:r>
            <w:r>
              <w:t xml:space="preserve"> eller validerats inom ramen för </w:t>
            </w:r>
            <w:r>
              <w:rPr>
                <w:b/>
                <w:i/>
              </w:rPr>
              <w:t>ett talangpartnerskap</w:t>
            </w:r>
            <w:r>
              <w:t xml:space="preserve"> certifieras </w:t>
            </w:r>
            <w:r>
              <w:rPr>
                <w:b/>
                <w:i/>
              </w:rPr>
              <w:t>genom EU-talangpartnerskapspasset, som är synligt i samband med EU:s talangreserv</w:t>
            </w:r>
            <w:r>
              <w:t>. Arbetsgivare som deltar i EU:s talangreserv bör kunna filtrera profilerna för registrerade arbetssökande från tredjeländer så att de kan se dem som har erhållit ett EU-talangpartnerskapspass. Detta kan uppmuntra arbetsgivarna att erbjuda anställning i unionen. Medlemsstaterna bör, inom ramen för ett talangpartnerskap, fastställa villkoren för utfärdande av EU-talangpartnerskapspasset för EU:s talangreserv, inbegripet huruvida ett partnerlands nationella myndighet, en internationell organisation eller andra berörda parter bör stödja dess genomförande. Utfärdandet av ett EU-talangpartnerskapspass påverkar inte europeiska och nationella regler om tillträde till reglerade yrken.</w:t>
            </w:r>
          </w:p>
        </w:tc>
        <w:tc>
          <w:tcPr>
            <w:tcW w:w="4876" w:type="dxa"/>
            <w:tcBorders>
              <w:top w:val="nil"/>
              <w:left w:val="nil"/>
              <w:bottom w:val="nil"/>
              <w:right w:val="nil"/>
            </w:tcBorders>
          </w:tcPr>
          <w:p>
            <w:pPr>
              <w:pStyle w:val="Normal6a"/>
            </w:pPr>
            <w:r>
              <w:t>(19)</w:t>
            </w:r>
            <w:r>
              <w:tab/>
            </w:r>
            <w:r>
              <w:t xml:space="preserve">Inom ramen för talangpartnerskap </w:t>
            </w:r>
            <w:r>
              <w:rPr>
                <w:b/>
                <w:i/>
              </w:rPr>
              <w:t>kan</w:t>
            </w:r>
            <w:r>
              <w:t xml:space="preserve"> medborgare i utvalda tredjeländer </w:t>
            </w:r>
            <w:r>
              <w:rPr>
                <w:b/>
                <w:i/>
              </w:rPr>
              <w:t>få</w:t>
            </w:r>
            <w:r>
              <w:t xml:space="preserve"> stöd för utveckling och validering av kompetens inom en ram som godkänts av medlemsstater som deltar i ett talangpartnerskap och partnerländer. </w:t>
            </w:r>
            <w:r>
              <w:rPr>
                <w:b/>
                <w:i/>
              </w:rPr>
              <w:t>Sådana program för utveckling och validering av kompetens bör åtnjuta finansiellt stöd från Europeiska unionen eller integreras i initiativ eller bilaterala avtal i medlemsstaterna i samband med talangpartnerskapen.</w:t>
            </w:r>
            <w:r>
              <w:t xml:space="preserve"> Den kompetens som </w:t>
            </w:r>
            <w:r>
              <w:rPr>
                <w:b/>
                <w:i/>
              </w:rPr>
              <w:t>förvärvats</w:t>
            </w:r>
            <w:r>
              <w:t xml:space="preserve"> eller validerats inom ramen för </w:t>
            </w:r>
            <w:r>
              <w:rPr>
                <w:b/>
                <w:i/>
              </w:rPr>
              <w:t>dessa partnerskap bör</w:t>
            </w:r>
            <w:r>
              <w:t xml:space="preserve"> certifieras </w:t>
            </w:r>
            <w:r>
              <w:rPr>
                <w:b/>
                <w:i/>
              </w:rPr>
              <w:t>i enlighet med de förfaranden som fastställs av de medlemsstater som själva fritt har valt att delta i partnerskapen</w:t>
            </w:r>
            <w:r>
              <w:t>. Arbetsgivare som deltar i EU:s talangreserv bör kunna filtrera profilerna för registrerade arbetssökande från tredjeländer så att de kan se dem som har erhållit ett EU-talangpartnerskapspass. Detta kan uppmuntra arbetsgivarna att erbjuda anställning i unionen. Medlemsstaterna bör, inom ramen för ett talangpartnerskap, fastställa villkoren för utfärdande av EU-talangpartnerskapspasset för EU:s talangreserv, inbegripet huruvida ett partnerlands nationella myndighet, en internationell organisation eller andra berörda parter bör stödja dess genomförande. Utfärdandet av ett EU-talangpartnerskapspass påverkar inte europeiska och nationella regler om tillträde till reglerade yrken.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Inom ramen för talangpartnerskap får medborgare i utvalda tredjeländer stöd för utveckling och validering av kompetens inom en ram som godkänts av medlemsstater som deltar i ett talangpartnerskap och partnerländer. Därför bör den kompetens som utvecklats eller validerats inom ramen för ett talangpartnerskap certifieras genom EU-talangpartnerskapspasset, som är synligt i samband med EU:s talangreserv. Arbetsgivare som deltar i EU:s talangreserv bör kunna filtrera profilerna för registrerade arbetssökande från tredjeländer så att de kan se dem som har erhållit ett EU-talangpartnerskapspass. Detta kan uppmuntra arbetsgivarna att erbjuda anställning i unionen. Medlemsstaterna bör, inom ramen för ett talangpartnerskap, fastställa villkoren för utfärdande av EU-talangpartnerskapspasset för EU:s talangreserv, inbegripet huruvida ett partnerlands nationella myndighet, en internationell organisation eller andra berörda parter bör stödja dess genomförande. Utfärdandet av ett EU-talangpartnerskapspass påverkar inte europeiska och nationella regler om tillträde till reglerade yrken.</w:t>
            </w:r>
          </w:p>
        </w:tc>
        <w:tc>
          <w:tcPr>
            <w:tcW w:w="4876" w:type="dxa"/>
            <w:tcBorders>
              <w:top w:val="nil"/>
              <w:left w:val="nil"/>
              <w:bottom w:val="nil"/>
              <w:right w:val="nil"/>
            </w:tcBorders>
          </w:tcPr>
          <w:p>
            <w:pPr>
              <w:pStyle w:val="Normal6a"/>
            </w:pPr>
            <w:r>
              <w:t>(19)</w:t>
            </w:r>
            <w:r>
              <w:tab/>
            </w:r>
            <w:r>
              <w:t xml:space="preserve">Inom ramen för talangpartnerskap får medborgare i utvalda tredjeländer stöd för utveckling och validering av kompetens inom en ram som godkänts av medlemsstater som deltar i ett talangpartnerskap och partnerländer. Därför bör den kompetens som utvecklats eller validerats inom ramen för ett talangpartnerskap certifieras genom EU-talangpartnerskapspasset, som är synligt i samband med EU:s talangreserv. Arbetsgivare som deltar i EU:s talangreserv bör kunna filtrera profilerna för registrerade arbetssökande från tredjeländer så att de kan se dem som har erhållit ett EU-talangpartnerskapspass. Detta kan uppmuntra arbetsgivarna att erbjuda anställning i unionen. Medlemsstaterna bör, inom ramen för ett talangpartnerskap </w:t>
            </w:r>
            <w:r>
              <w:rPr>
                <w:b/>
                <w:i/>
              </w:rPr>
              <w:t>och i enlighet med gemensamma harmoniserade riktlinjer som utfärdas av kommissionen enligt det rådgivande förfarande som avses i artikel 12.4 i överensstämmelse med artikel 22.2</w:t>
            </w:r>
            <w:r>
              <w:t>, fastställa villkoren för utfärdande av EU-talangpartnerskapspasset för EU:s talangreserv, inbegripet huruvida ett partnerlands nationella myndighet, en internationell organisation eller andra berörda parter bör stödja dess genomförande. Utfärdandet av ett EU-talangpartnerskapspass påverkar inte europeiska och nationella regler om tillträde till reglerade yrken.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Inom ramen för talangpartnerskap får medborgare i utvalda tredjeländer stöd för utveckling och validering av kompetens inom en ram som godkänts av medlemsstater som deltar i ett talangpartnerskap och partnerländer. Därför bör den kompetens som utvecklats eller validerats inom ramen för ett talangpartnerskap certifieras genom EU-talangpartnerskapspasset, som är synligt i samband med EU:s talangreserv. Arbetsgivare som deltar i EU:s talangreserv bör kunna filtrera profilerna för registrerade arbetssökande från tredjeländer så att de kan se dem som har erhållit ett EU-talangpartnerskapspass. Detta kan uppmuntra arbetsgivarna att erbjuda anställning i unionen. Medlemsstaterna bör, inom ramen för ett talangpartnerskap, fastställa villkoren för utfärdande av EU-talangpartnerskapspasset för EU:s talangreserv, inbegripet huruvida ett partnerlands nationella myndighet, en internationell organisation eller andra berörda parter bör stödja dess genomförande. Utfärdandet av ett EU-talangpartnerskapspass påverkar inte europeiska och nationella regler om tillträde till reglerade yrken.</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Inom ramen för talangpartnerskap får medborgare i utvalda tredjeländer stöd för utveckling och validering av kompetens inom en ram som godkänts av medlemsstater som deltar i ett talangpartnerskap och partnerländer. Därför bör den kompetens som utvecklats eller validerats inom ramen för ett talangpartnerskap certifieras genom </w:t>
            </w:r>
            <w:r>
              <w:rPr>
                <w:b/>
                <w:i/>
              </w:rPr>
              <w:t>EU-talangpartnerskapspasset</w:t>
            </w:r>
            <w:r>
              <w:t xml:space="preserve">, som är synligt i samband med EU:s talangreserv. Arbetsgivare som deltar i EU:s talangreserv bör kunna filtrera profilerna för registrerade arbetssökande från tredjeländer så att de kan se dem som har erhållit ett </w:t>
            </w:r>
            <w:r>
              <w:rPr>
                <w:b/>
                <w:i/>
              </w:rPr>
              <w:t>EU-talangpartnerskapspass</w:t>
            </w:r>
            <w:r>
              <w:t xml:space="preserve">. Detta kan uppmuntra arbetsgivarna att erbjuda anställning i unionen. Medlemsstaterna bör, inom ramen för ett talangpartnerskap, fastställa villkoren för utfärdande av </w:t>
            </w:r>
            <w:r>
              <w:rPr>
                <w:b/>
                <w:i/>
              </w:rPr>
              <w:t>EU-talangpartnerskapspasset</w:t>
            </w:r>
            <w:r>
              <w:t xml:space="preserve"> för EU:s talangreserv, inbegripet huruvida ett partnerlands nationella myndighet, en internationell organisation eller andra berörda parter bör stödja dess genomförande. Utfärdandet av ett </w:t>
            </w:r>
            <w:r>
              <w:rPr>
                <w:b/>
                <w:i/>
              </w:rPr>
              <w:t>EU-talangpartnerskapspass</w:t>
            </w:r>
            <w:r>
              <w:t xml:space="preserve"> påverkar inte europeiska och nationella regler om tillträde till reglerade yrken.</w:t>
            </w:r>
          </w:p>
        </w:tc>
        <w:tc>
          <w:tcPr>
            <w:tcW w:w="4876" w:type="dxa"/>
            <w:tcBorders>
              <w:top w:val="nil"/>
              <w:left w:val="nil"/>
              <w:bottom w:val="nil"/>
              <w:right w:val="nil"/>
            </w:tcBorders>
          </w:tcPr>
          <w:p>
            <w:pPr>
              <w:pStyle w:val="Normal6a"/>
            </w:pPr>
            <w:r>
              <w:t>(19)</w:t>
            </w:r>
            <w:r>
              <w:tab/>
            </w:r>
            <w:r>
              <w:t xml:space="preserve">Inom ramen för talangpartnerskap får medborgare i utvalda tredjeländer stöd för utveckling och validering av kompetens inom en ram som godkänts av medlemsstater som deltar i ett talangpartnerskap och partnerländer. Därför bör den kompetens som utvecklats eller validerats inom ramen för ett talangpartnerskap certifieras genom </w:t>
            </w:r>
            <w:r>
              <w:rPr>
                <w:b/>
                <w:i/>
              </w:rPr>
              <w:t>talangpartnerskapspasset</w:t>
            </w:r>
            <w:r>
              <w:t xml:space="preserve">, som är synligt i samband med EU:s talangreserv. Arbetsgivare som deltar i EU:s talangreserv bör kunna filtrera profilerna för registrerade arbetssökande från tredjeländer så att de kan se dem som har erhållit ett </w:t>
            </w:r>
            <w:r>
              <w:rPr>
                <w:b/>
                <w:i/>
              </w:rPr>
              <w:t>talangpartnerskapspass</w:t>
            </w:r>
            <w:r>
              <w:t xml:space="preserve">. Detta kan uppmuntra arbetsgivarna att erbjuda anställning i unionen. Medlemsstaterna bör, inom ramen för ett talangpartnerskap, fastställa villkoren för utfärdande av </w:t>
            </w:r>
            <w:r>
              <w:rPr>
                <w:b/>
                <w:i/>
              </w:rPr>
              <w:t>talangpartnerskapspasset</w:t>
            </w:r>
            <w:r>
              <w:t xml:space="preserve"> för EU:s talangreserv, inbegripet huruvida ett partnerlands nationella myndighet, en internationell organisation eller andra berörda parter bör stödja dess genomförande. Utfärdandet av ett </w:t>
            </w:r>
            <w:r>
              <w:rPr>
                <w:b/>
                <w:i/>
              </w:rPr>
              <w:t>talangpartnerskapspass</w:t>
            </w:r>
            <w:r>
              <w:t xml:space="preserve"> påverkar inte europeiska och nationella regler om tillträde till reglerade yrken.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Inom ramen för talangpartnerskap får medborgare i utvalda tredjeländer stöd för utveckling och validering av kompetens inom en ram som godkänts av medlemsstater som deltar i ett talangpartnerskap och partnerländer. Därför bör den kompetens som utvecklats eller validerats inom ramen för ett talangpartnerskap certifieras genom </w:t>
            </w:r>
            <w:r>
              <w:rPr>
                <w:b/>
                <w:i/>
              </w:rPr>
              <w:t>EU-talangpartnerskapspasset</w:t>
            </w:r>
            <w:r>
              <w:t xml:space="preserve">, som är synligt i samband med EU:s talangreserv. Arbetsgivare som deltar i EU:s talangreserv bör kunna filtrera profilerna för registrerade arbetssökande från tredjeländer så att de kan se dem som har erhållit ett </w:t>
            </w:r>
            <w:r>
              <w:rPr>
                <w:b/>
                <w:i/>
              </w:rPr>
              <w:t>EU-talangpartnerskapspass</w:t>
            </w:r>
            <w:r>
              <w:t xml:space="preserve">. Detta kan uppmuntra arbetsgivarna att erbjuda anställning i unionen. Medlemsstaterna bör, inom ramen för ett talangpartnerskap, fastställa villkoren för utfärdande av </w:t>
            </w:r>
            <w:r>
              <w:rPr>
                <w:b/>
                <w:i/>
              </w:rPr>
              <w:t>EU-talangpartnerskapspasset</w:t>
            </w:r>
            <w:r>
              <w:t xml:space="preserve"> för EU:s talangreserv, inbegripet huruvida ett partnerlands nationella myndighet, en internationell organisation eller andra berörda parter bör stödja dess genomförande. Utfärdandet av ett </w:t>
            </w:r>
            <w:r>
              <w:rPr>
                <w:b/>
                <w:i/>
              </w:rPr>
              <w:t>EU-talangpartnerskapspass</w:t>
            </w:r>
            <w:r>
              <w:t xml:space="preserve"> påverkar inte europeiska och nationella regler om tillträde till reglerade yrken.</w:t>
            </w:r>
          </w:p>
        </w:tc>
        <w:tc>
          <w:tcPr>
            <w:tcW w:w="4876" w:type="dxa"/>
            <w:tcBorders>
              <w:top w:val="nil"/>
              <w:left w:val="nil"/>
              <w:bottom w:val="nil"/>
              <w:right w:val="nil"/>
            </w:tcBorders>
          </w:tcPr>
          <w:p>
            <w:pPr>
              <w:pStyle w:val="Normal6a"/>
            </w:pPr>
            <w:r>
              <w:t>(19)</w:t>
            </w:r>
            <w:r>
              <w:tab/>
            </w:r>
            <w:r>
              <w:t xml:space="preserve">Inom ramen för talangpartnerskap får medborgare i utvalda tredjeländer stöd för utveckling och validering av kompetens inom en ram som godkänts av medlemsstater som deltar i ett talangpartnerskap och partnerländer. Därför bör den kompetens som utvecklats eller validerats inom ramen för ett talangpartnerskap certifieras genom </w:t>
            </w:r>
            <w:r>
              <w:rPr>
                <w:b/>
                <w:i/>
              </w:rPr>
              <w:t>talangpartnerskapspasset</w:t>
            </w:r>
            <w:r>
              <w:t xml:space="preserve">, som är synligt i samband med EU:s talangreserv. Arbetsgivare som deltar i EU:s talangreserv bör kunna filtrera profilerna för registrerade arbetssökande från tredjeländer så att de kan se dem som har erhållit ett </w:t>
            </w:r>
            <w:r>
              <w:rPr>
                <w:b/>
                <w:i/>
              </w:rPr>
              <w:t>talangpartnerskapspass</w:t>
            </w:r>
            <w:r>
              <w:t xml:space="preserve">. Detta kan uppmuntra arbetsgivarna att erbjuda anställning i unionen. Medlemsstaterna bör, inom ramen för ett talangpartnerskap, fastställa villkoren för utfärdande av </w:t>
            </w:r>
            <w:r>
              <w:rPr>
                <w:b/>
                <w:i/>
              </w:rPr>
              <w:t>talangpartnerskapspasset</w:t>
            </w:r>
            <w:r>
              <w:t xml:space="preserve"> för EU:s talangreserv, inbegripet huruvida ett partnerlands nationella myndighet, en internationell organisation eller andra berörda parter bör stödja dess genomförande. Utfärdandet av ett </w:t>
            </w:r>
            <w:r>
              <w:rPr>
                <w:b/>
                <w:i/>
              </w:rPr>
              <w:t>talangpartnerskapspass</w:t>
            </w:r>
            <w:r>
              <w:t xml:space="preserve"> påverkar inte europeiska och nationella regler om tillträde till reglerade yrken.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Arbetssökande från tredjeländer kan också få stöd genom nationella ramverk för utveckling och validering av kompetens i ett tredjeland.</w:t>
            </w:r>
            <w:r>
              <w:t xml:space="preserve"> </w:t>
            </w:r>
            <w:r>
              <w:rPr>
                <w:b/>
                <w:i/>
              </w:rPr>
              <w:t>Dessa ramverk får ekonomiskt stöd från en medlemsstat och/eller unionsfinansiering utanför ramen för ett talangpartnerskap.</w:t>
            </w:r>
            <w:r>
              <w:t xml:space="preserve"> </w:t>
            </w:r>
            <w:r>
              <w:rPr>
                <w:b/>
                <w:i/>
              </w:rPr>
              <w:t>Därför bör den kompetens som utvecklats eller validerats inom de nationella ramverken också certifieras genom talangpartnerskapspasset, som är synligt i samband med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Förteckningen över tredjeländer och medlemsstater som deltar i talangpartnerskap bör offentliggöras på it-plattformen för EU:s talangreserv tillsammans med de relevanta yrken som varje partnerskap är inriktat på.</w:t>
            </w:r>
          </w:p>
        </w:tc>
        <w:tc>
          <w:tcPr>
            <w:tcW w:w="4876" w:type="dxa"/>
            <w:tcBorders>
              <w:top w:val="nil"/>
              <w:left w:val="nil"/>
              <w:bottom w:val="nil"/>
              <w:right w:val="nil"/>
            </w:tcBorders>
          </w:tcPr>
          <w:p>
            <w:pPr>
              <w:pStyle w:val="Normal6a"/>
            </w:pPr>
            <w:r>
              <w:t>(20)</w:t>
            </w:r>
            <w:r>
              <w:tab/>
            </w:r>
            <w:r>
              <w:t xml:space="preserve">Förteckningen över tredjeländer och medlemsstater som deltar i talangpartnerskap bör offentliggöras på it-plattformen för EU:s talangreserv tillsammans med de relevanta yrken som varje partnerskap är inriktat på. </w:t>
            </w:r>
            <w:r>
              <w:rPr>
                <w:b/>
                <w:i/>
              </w:rPr>
              <w:t>När det gäller EU:s talangreserv bör det handla om yrken som kräver höga kvalifikationer eller hög kompetens.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Förteckningen över tredjeländer och medlemsstater som deltar i talangpartnerskap </w:t>
            </w:r>
            <w:r>
              <w:rPr>
                <w:b/>
                <w:i/>
              </w:rPr>
              <w:t>bör offentliggöras</w:t>
            </w:r>
            <w:r>
              <w:t xml:space="preserve"> på it-plattformen för EU:s talangreserv tillsammans med de relevanta yrken som varje partnerskap är inriktat på.</w:t>
            </w:r>
          </w:p>
        </w:tc>
        <w:tc>
          <w:tcPr>
            <w:tcW w:w="4876" w:type="dxa"/>
            <w:tcBorders>
              <w:top w:val="nil"/>
              <w:left w:val="nil"/>
              <w:bottom w:val="nil"/>
              <w:right w:val="nil"/>
            </w:tcBorders>
          </w:tcPr>
          <w:p>
            <w:pPr>
              <w:pStyle w:val="Normal6a"/>
            </w:pPr>
            <w:r>
              <w:t>(20)</w:t>
            </w:r>
            <w:r>
              <w:tab/>
            </w:r>
            <w:r>
              <w:rPr>
                <w:b/>
                <w:i/>
              </w:rPr>
              <w:t>Sekretariatet för EU:s talangreserv bör offentliggöra</w:t>
            </w:r>
            <w:r>
              <w:t xml:space="preserve"> förteckningen över tredjeländer och medlemsstater som deltar i talangpartnerskap på it-plattformen för EU:s talangreserv tillsammans med de relevanta yrken som varje partnerskap är inriktat på.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Inom ramen för ett talangpartnerskap får utveckling och validering av kompetens inriktas på arbetsmarknaden i en eller flera deltagande medlemsstater. Medlemsstaterna får bidra, även ekonomiskt, till att utveckla och genomföra det stöd till utveckling och validering av kompetens som erbjuds inom ramen för ett talangpartnerskap. </w:t>
            </w:r>
            <w:r>
              <w:rPr>
                <w:b/>
                <w:i/>
              </w:rPr>
              <w:t>Om så beslutas av de medlemsstater som deltar i talangpartnerskapet bör därför endast arbetsgivare som är etablerade i en eller flera medlemsstater som deltar i</w:t>
            </w:r>
            <w:r>
              <w:t xml:space="preserve"> ett talangpartnerskap</w:t>
            </w:r>
            <w:r>
              <w:rPr>
                <w:b/>
                <w:i/>
              </w:rPr>
              <w:t>, under en period på högst ett år, kunna söka efter registrerade arbetssökande som innehar ett EU-talangpartnerskapspass.</w:t>
            </w:r>
            <w:r>
              <w:t xml:space="preserve"> </w:t>
            </w:r>
            <w:r>
              <w:rPr>
                <w:b/>
                <w:i/>
              </w:rPr>
              <w:t>Denna möjlighet</w:t>
            </w:r>
            <w:r>
              <w:t xml:space="preserve"> skulle </w:t>
            </w:r>
            <w:r>
              <w:rPr>
                <w:b/>
                <w:i/>
              </w:rPr>
              <w:t>särskilt</w:t>
            </w:r>
            <w:r>
              <w:t xml:space="preserve"> kunna </w:t>
            </w:r>
            <w:r>
              <w:rPr>
                <w:b/>
                <w:i/>
              </w:rPr>
              <w:t>gälla i fall där kompetensutvecklingen var särskilt inriktad på en medlemsstats behov.</w:t>
            </w:r>
            <w:r>
              <w:t xml:space="preserve"> </w:t>
            </w:r>
            <w:r>
              <w:rPr>
                <w:b/>
                <w:i/>
              </w:rPr>
              <w:t>Information om huruvida denna möjlighet tillämpas och i vilka fall bör tillhandahållas</w:t>
            </w:r>
            <w:r>
              <w:t xml:space="preserve"> på it-plattformen för EU:s talangreserv</w:t>
            </w:r>
            <w:r>
              <w:rPr>
                <w:b/>
                <w:i/>
              </w:rPr>
              <w:t>,</w:t>
            </w:r>
            <w:r>
              <w:t xml:space="preserve"> för att </w:t>
            </w:r>
            <w:r>
              <w:rPr>
                <w:b/>
                <w:i/>
              </w:rPr>
              <w:t>informera registrerade arbetssökande från tredjeländer och arbetsgivare som deltar i EU:s talangreserv.</w:t>
            </w:r>
            <w:r>
              <w:t xml:space="preserve"> </w:t>
            </w:r>
            <w:r>
              <w:rPr>
                <w:b/>
                <w:i/>
              </w:rPr>
              <w:t>Alla arbetsgivare som deltar i EU:s talangreserv får söka efter profiler för registrerade arbetssökande som innehar ett EU-talangpartnerskapspass efter det att denna period har löpt ut. Arbetssökande från tredjeländer som fått stöd</w:t>
            </w:r>
            <w:r>
              <w:t xml:space="preserve"> inom ramen för ett </w:t>
            </w:r>
            <w:r>
              <w:rPr>
                <w:b/>
                <w:i/>
              </w:rPr>
              <w:t>talangpartnerskap bör alltid ha möjlighet att registrera sig i EU:s talangreserv som andra tredjelandsmedborgare, utan att behöva uppge att de har ett EU-talangpartnerskapspass, och därmed kunna söka arbete i andra medlemsstater</w:t>
            </w:r>
            <w:r>
              <w:t>.</w:t>
            </w:r>
          </w:p>
        </w:tc>
        <w:tc>
          <w:tcPr>
            <w:tcW w:w="4876" w:type="dxa"/>
            <w:tcBorders>
              <w:top w:val="nil"/>
              <w:left w:val="nil"/>
              <w:bottom w:val="nil"/>
              <w:right w:val="nil"/>
            </w:tcBorders>
          </w:tcPr>
          <w:p>
            <w:pPr>
              <w:pStyle w:val="Normal6a"/>
            </w:pPr>
            <w:r>
              <w:t>(21)</w:t>
            </w:r>
            <w:r>
              <w:tab/>
            </w:r>
            <w:r>
              <w:t xml:space="preserve">Inom ramen för ett talangpartnerskap får utveckling och validering av kompetens inriktas på arbetsmarknaden i en eller flera deltagande medlemsstater. Medlemsstaterna får bidra, även ekonomiskt, till att utveckla och genomföra det stöd till utveckling och validering av kompetens som erbjuds inom ramen för ett talangpartnerskap. </w:t>
            </w:r>
            <w:r>
              <w:rPr>
                <w:b/>
                <w:i/>
              </w:rPr>
              <w:t>Arbetssökande från tredjeländer som fått stöd inom ramen för</w:t>
            </w:r>
            <w:r>
              <w:t xml:space="preserve"> ett talangpartnerskap skulle kunna </w:t>
            </w:r>
            <w:r>
              <w:rPr>
                <w:b/>
                <w:i/>
              </w:rPr>
              <w:t>koppla sin profil till det certifierade EU-talangpartnerskapspasset</w:t>
            </w:r>
            <w:r>
              <w:t xml:space="preserve"> på it-plattformen för EU:s talangreserv för att </w:t>
            </w:r>
            <w:r>
              <w:rPr>
                <w:b/>
                <w:i/>
              </w:rPr>
              <w:t>styrka sin kompetens som utvecklats och validerats</w:t>
            </w:r>
            <w:r>
              <w:t xml:space="preserve"> inom ramen för ett </w:t>
            </w:r>
            <w:r>
              <w:rPr>
                <w:b/>
                <w:i/>
              </w:rPr>
              <w:t>EU-talangpartnerskap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Inom ramen för ett talangpartnerskap får utveckling och validering av kompetens inriktas på arbetsmarknaden i en eller flera deltagande medlemsstater. Medlemsstaterna får bidra, även ekonomiskt, till att utveckla och genomföra det stöd till utveckling och validering av kompetens som erbjuds inom ramen för ett talangpartnerskap. Om så beslutas av de medlemsstater som deltar i talangpartnerskapet bör därför endast arbetsgivare som är etablerade i en eller flera medlemsstater som deltar i ett talangpartnerskap</w:t>
            </w:r>
            <w:r>
              <w:rPr>
                <w:b/>
                <w:i/>
              </w:rPr>
              <w:t>, under en period på högst ett år,</w:t>
            </w:r>
            <w:r>
              <w:t xml:space="preserve"> kunna söka efter registrerade arbetssökande som innehar ett EU-talangpartnerskapspass. Denna möjlighet skulle särskilt kunna gälla i fall där kompetensutvecklingen var särskilt inriktad på en medlemsstats behov. Information om huruvida denna möjlighet tillämpas och i vilka fall bör tillhandahållas på it-plattformen för EU:s talangreserv, för att informera registrerade arbetssökande från tredjeländer och arbetsgivare som deltar i EU:s talangreserv. Alla arbetsgivare som deltar i EU:s talangreserv får söka efter profiler för registrerade arbetssökande som innehar ett EU-talangpartnerskapspass efter det att </w:t>
            </w:r>
            <w:r>
              <w:rPr>
                <w:b/>
                <w:i/>
              </w:rPr>
              <w:t>denna period har löpt ut. Arbetssökande från tredjeländer som fått stöd inom ramen för ett talangpartnerskap bör alltid ha möjlighet att registrera sig i EU:s talangreserv som andra tredjelandsmedborgare, utan att behöva uppge att de har ett EU-talangpartnerskapspass, och därmed kunna söka arbete i andra medlemsstater</w:t>
            </w:r>
            <w:r>
              <w:t>.</w:t>
            </w:r>
          </w:p>
        </w:tc>
        <w:tc>
          <w:tcPr>
            <w:tcW w:w="4876" w:type="dxa"/>
            <w:tcBorders>
              <w:top w:val="nil"/>
              <w:left w:val="nil"/>
              <w:bottom w:val="nil"/>
              <w:right w:val="nil"/>
            </w:tcBorders>
          </w:tcPr>
          <w:p>
            <w:pPr>
              <w:pStyle w:val="Normal6a"/>
            </w:pPr>
            <w:r>
              <w:t>(21)</w:t>
            </w:r>
            <w:r>
              <w:tab/>
            </w:r>
            <w:r>
              <w:t xml:space="preserve">Inom ramen för ett talangpartnerskap får utveckling och validering av kompetens inriktas på arbetsmarknaden i en eller flera deltagande medlemsstater. Medlemsstaterna får bidra, även ekonomiskt, till att utveckla och genomföra det stöd till utveckling och validering av kompetens som erbjuds inom ramen för ett talangpartnerskap. Om så beslutas av de medlemsstater som deltar i talangpartnerskapet bör därför endast arbetsgivare som är etablerade i en eller flera medlemsstater som deltar i ett talangpartnerskap kunna söka efter registrerade arbetssökande som innehar ett EU-talangpartnerskapspass. Denna möjlighet skulle särskilt kunna gälla i fall där kompetensutvecklingen var särskilt inriktad på en medlemsstats behov. Information om huruvida denna möjlighet tillämpas och i vilka fall bör tillhandahållas på it-plattformen för EU:s talangreserv, för att informera registrerade arbetssökande från tredjeländer och arbetsgivare som deltar i EU:s talangreserv. Alla arbetsgivare som deltar i EU:s talangreserv får söka efter profiler för registrerade arbetssökande som innehar ett EU-talangpartnerskapspass efter det att </w:t>
            </w:r>
            <w:r>
              <w:rPr>
                <w:b/>
                <w:i/>
              </w:rPr>
              <w:t>detta beslut har upphävts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Inom ramen för ett talangpartnerskap får utveckling och validering av kompetens inriktas på arbetsmarknaden i en eller flera deltagande medlemsstater. Medlemsstaterna får bidra, även ekonomiskt, till att utveckla och genomföra det stöd till utveckling och validering av kompetens som erbjuds inom ramen för ett talangpartnerskap. Om så beslutas av de medlemsstater som deltar i talangpartnerskapet bör därför endast arbetsgivare som är etablerade i en eller flera medlemsstater som deltar i ett talangpartnerskap, under en period på högst ett år, kunna söka efter registrerade arbetssökande som innehar ett </w:t>
            </w:r>
            <w:r>
              <w:rPr>
                <w:b/>
                <w:i/>
              </w:rPr>
              <w:t>EU-talangpartnerskapspass</w:t>
            </w:r>
            <w:r>
              <w:t xml:space="preserve">. Denna möjlighet skulle särskilt kunna gälla i fall där kompetensutvecklingen var särskilt inriktad på en medlemsstats behov. Information om huruvida denna möjlighet tillämpas och i vilka fall bör tillhandahållas på it-plattformen för EU:s talangreserv, för att informera registrerade arbetssökande från tredjeländer och arbetsgivare som deltar i EU:s talangreserv. Alla arbetsgivare som deltar i EU:s talangreserv får söka efter profiler för registrerade arbetssökande som innehar ett </w:t>
            </w:r>
            <w:r>
              <w:rPr>
                <w:b/>
                <w:i/>
              </w:rPr>
              <w:t>EU-talangpartnerskapspass</w:t>
            </w:r>
            <w:r>
              <w:t xml:space="preserve"> efter det att denna period har löpt ut. Arbetssökande från tredjeländer som fått stöd inom ramen för ett talangpartnerskap bör alltid ha möjlighet att registrera sig i EU:s talangreserv som andra tredjelandsmedborgare, utan att behöva uppge att de har ett </w:t>
            </w:r>
            <w:r>
              <w:rPr>
                <w:b/>
                <w:i/>
              </w:rPr>
              <w:t>EU-talangpartnerskapspass</w:t>
            </w:r>
            <w:r>
              <w:t>, och därmed kunna söka arbete i andra medlemsstater.</w:t>
            </w:r>
          </w:p>
        </w:tc>
        <w:tc>
          <w:tcPr>
            <w:tcW w:w="4876" w:type="dxa"/>
            <w:tcBorders>
              <w:top w:val="nil"/>
              <w:left w:val="nil"/>
              <w:bottom w:val="nil"/>
              <w:right w:val="nil"/>
            </w:tcBorders>
          </w:tcPr>
          <w:p>
            <w:pPr>
              <w:pStyle w:val="Normal6a"/>
            </w:pPr>
            <w:r>
              <w:t>(21)</w:t>
            </w:r>
            <w:r>
              <w:tab/>
            </w:r>
            <w:r>
              <w:t xml:space="preserve">Inom ramen för ett talangpartnerskap får utveckling och validering av kompetens inriktas på arbetsmarknaden i en eller flera deltagande medlemsstater. Medlemsstaterna får bidra, även ekonomiskt, till att utveckla och genomföra det stöd till utveckling och validering av kompetens som erbjuds inom ramen för ett talangpartnerskap. Om så beslutas av de medlemsstater som deltar i talangpartnerskapet bör därför endast arbetsgivare som är etablerade i en eller flera medlemsstater som deltar i ett talangpartnerskap, under en period på högst ett år, kunna söka efter registrerade arbetssökande som innehar ett </w:t>
            </w:r>
            <w:r>
              <w:rPr>
                <w:b/>
                <w:i/>
              </w:rPr>
              <w:t>talangpartnerskapspass</w:t>
            </w:r>
            <w:r>
              <w:t xml:space="preserve">. Denna möjlighet skulle särskilt kunna gälla i fall där kompetensutvecklingen var särskilt inriktad på en medlemsstats behov. Information om huruvida denna möjlighet tillämpas och i vilka fall bör tillhandahållas på it-plattformen för EU:s talangreserv, för att informera registrerade arbetssökande från tredjeländer och arbetsgivare som deltar i EU:s talangreserv. Alla arbetsgivare som deltar i EU:s talangreserv får söka efter profiler för registrerade arbetssökande som innehar ett </w:t>
            </w:r>
            <w:r>
              <w:rPr>
                <w:b/>
                <w:i/>
              </w:rPr>
              <w:t>talangpartnerskapspass</w:t>
            </w:r>
            <w:r>
              <w:t xml:space="preserve"> efter det att denna period har löpt ut. Arbetssökande från tredjeländer som fått stöd inom ramen för ett talangpartnerskap bör alltid ha möjlighet att registrera sig i EU:s talangreserv som andra tredjelandsmedborgare, utan att behöva uppge att de har ett </w:t>
            </w:r>
            <w:r>
              <w:rPr>
                <w:b/>
                <w:i/>
              </w:rPr>
              <w:t>talangpartnerskapspass</w:t>
            </w:r>
            <w:r>
              <w:t>, och därmed kunna söka arbete i andra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Inom ramen för ett talangpartnerskap får utveckling och validering av kompetens inriktas på arbetsmarknaden i en eller flera deltagande medlemsstater. Medlemsstaterna får bidra, även ekonomiskt, till att utveckla och genomföra det stöd till utveckling och validering av kompetens som erbjuds inom ramen för ett talangpartnerskap. Om så beslutas av de medlemsstater som deltar i talangpartnerskapet bör därför endast arbetsgivare som är etablerade i en eller flera medlemsstater som deltar i ett talangpartnerskap, under en period på högst ett år, kunna söka efter registrerade arbetssökande som innehar ett </w:t>
            </w:r>
            <w:r>
              <w:rPr>
                <w:b/>
                <w:i/>
              </w:rPr>
              <w:t>EU-talangpartnerskapspass</w:t>
            </w:r>
            <w:r>
              <w:t xml:space="preserve">. Denna möjlighet skulle särskilt kunna gälla i fall där kompetensutvecklingen var särskilt inriktad på en medlemsstats behov. Information om huruvida denna möjlighet tillämpas och i vilka fall bör tillhandahållas på it-plattformen för EU:s talangreserv, för att informera registrerade arbetssökande från tredjeländer och arbetsgivare som deltar i EU:s talangreserv. Alla arbetsgivare som deltar i EU:s talangreserv får söka efter profiler för registrerade arbetssökande som innehar ett </w:t>
            </w:r>
            <w:r>
              <w:rPr>
                <w:b/>
                <w:i/>
              </w:rPr>
              <w:t>EU-talangpartnerskapspass</w:t>
            </w:r>
            <w:r>
              <w:t xml:space="preserve"> efter det att denna period har löpt ut. Arbetssökande från tredjeländer som fått stöd inom ramen för ett talangpartnerskap bör alltid ha möjlighet att registrera sig i EU:s talangreserv som andra tredjelandsmedborgare, utan att behöva uppge att de har ett </w:t>
            </w:r>
            <w:r>
              <w:rPr>
                <w:b/>
                <w:i/>
              </w:rPr>
              <w:t>EU-talangpartnerskapspass</w:t>
            </w:r>
            <w:r>
              <w:t>, och därmed kunna söka arbete i andra medlemsstater.</w:t>
            </w:r>
          </w:p>
        </w:tc>
        <w:tc>
          <w:tcPr>
            <w:tcW w:w="4876" w:type="dxa"/>
            <w:tcBorders>
              <w:top w:val="nil"/>
              <w:left w:val="nil"/>
              <w:bottom w:val="nil"/>
              <w:right w:val="nil"/>
            </w:tcBorders>
          </w:tcPr>
          <w:p>
            <w:pPr>
              <w:pStyle w:val="Normal6a"/>
            </w:pPr>
            <w:r>
              <w:t>(21)</w:t>
            </w:r>
            <w:r>
              <w:tab/>
            </w:r>
            <w:r>
              <w:t xml:space="preserve">Inom ramen för ett talangpartnerskap får utveckling och validering av kompetens inriktas på arbetsmarknaden i en eller flera deltagande medlemsstater. Medlemsstaterna får bidra, även ekonomiskt, till att utveckla och genomföra det stöd till utveckling och validering av kompetens som erbjuds inom ramen för ett talangpartnerskap. Om så beslutas av de medlemsstater som deltar i talangpartnerskapet bör därför endast arbetsgivare som är etablerade i en eller flera medlemsstater som deltar i ett talangpartnerskap, under en period på högst ett år, kunna söka efter registrerade arbetssökande som innehar ett </w:t>
            </w:r>
            <w:r>
              <w:rPr>
                <w:b/>
                <w:i/>
              </w:rPr>
              <w:t>talangpartnerskapspass</w:t>
            </w:r>
            <w:r>
              <w:t xml:space="preserve">. Denna möjlighet skulle särskilt kunna gälla i fall där kompetensutvecklingen var särskilt inriktad på en medlemsstats behov. Information om huruvida denna möjlighet tillämpas och i vilka fall bör tillhandahållas på it-plattformen för EU:s talangreserv, för att informera registrerade arbetssökande från tredjeländer och arbetsgivare som deltar i EU:s talangreserv. Alla arbetsgivare som deltar i EU:s talangreserv får söka efter profiler för registrerade arbetssökande som innehar ett </w:t>
            </w:r>
            <w:r>
              <w:rPr>
                <w:b/>
                <w:i/>
              </w:rPr>
              <w:t>talangpartnerskapspass</w:t>
            </w:r>
            <w:r>
              <w:t xml:space="preserve"> efter det att denna period har löpt ut. Arbetssökande från tredjeländer som fått stöd inom ramen för ett talangpartnerskap bör alltid ha möjlighet att registrera sig i EU:s talangreserv som andra tredjelandsmedborgare, utan att behöva uppge att de har ett </w:t>
            </w:r>
            <w:r>
              <w:rPr>
                <w:b/>
                <w:i/>
              </w:rPr>
              <w:t>talangpartnerskapspass</w:t>
            </w:r>
            <w:r>
              <w:t>, och därmed kunna söka arbete i andra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Principerna i den europeiska pelaren för sociala rättigheter bör gälla för all verksamhet som bedrivs inom ramen för EU:s talangreserv, särskilt när det gäller rätten till rättvis och lika behandling i fråga om arbetsvillkor, minimilöner, tillgång till socialt skydd, utbildning och skydd av ungdomar i arbetslivet.</w:t>
            </w:r>
            <w:r>
              <w:t xml:space="preserve"> </w:t>
            </w:r>
            <w:r>
              <w:rPr>
                <w:b/>
                <w:i/>
              </w:rPr>
              <w:t>I enlighet med dessa principer bör EU:s talangreserv säkerställa sysselsättning av god kvalitet.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Principerna i den europeiska pelaren för sociala rättigheter bör gälla för all verksamhet som bedrivs inom ramen för EU:s talangreserv, särskilt när det gäller rätten till rättvis och lika behandling i fråga om arbetsvillkor, </w:t>
            </w:r>
            <w:r>
              <w:rPr>
                <w:b/>
                <w:i/>
              </w:rPr>
              <w:t>minimilöner</w:t>
            </w:r>
            <w:r>
              <w:t>, tillgång till socialt skydd, utbildning och skydd av ungdomar i arbetslivet. I enlighet med dessa principer bör EU:s talangreserv säkerställa sysselsättning av god kvalitet.</w:t>
            </w:r>
          </w:p>
        </w:tc>
        <w:tc>
          <w:tcPr>
            <w:tcW w:w="4876" w:type="dxa"/>
            <w:tcBorders>
              <w:top w:val="nil"/>
              <w:left w:val="nil"/>
              <w:bottom w:val="nil"/>
              <w:right w:val="nil"/>
            </w:tcBorders>
          </w:tcPr>
          <w:p>
            <w:pPr>
              <w:pStyle w:val="Normal6a"/>
            </w:pPr>
            <w:r>
              <w:t>(22)</w:t>
            </w:r>
            <w:r>
              <w:tab/>
            </w:r>
            <w:r>
              <w:t xml:space="preserve">Principerna i den europeiska pelaren för sociala rättigheter bör gälla för all verksamhet som bedrivs inom ramen för EU:s talangreserv, särskilt när det gäller rätten till rättvis och lika behandling i fråga om arbetsvillkor, </w:t>
            </w:r>
            <w:r>
              <w:rPr>
                <w:b/>
                <w:i/>
              </w:rPr>
              <w:t>ersättning</w:t>
            </w:r>
            <w:r>
              <w:t>, tillgång till socialt skydd, utbildning och skydd av ungdomar i arbetslivet</w:t>
            </w:r>
            <w:r>
              <w:rPr>
                <w:b/>
                <w:i/>
              </w:rPr>
              <w:t>, liksom behovet av bättre skydd av kvinnors rättigheter och jämställdhetsperspektivet och behovet att skydda personer med funktionsnedsättning och trygga deras rättigheter och tillgång till vård</w:t>
            </w:r>
            <w:r>
              <w:t>. I enlighet med dessa principer bör EU:s talangreserv säkerställa sysselsättning av god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Principerna i den europeiska pelaren för sociala rättigheter bör gälla för all verksamhet som bedrivs inom ramen för EU:s talangreserv, särskilt när det gäller rätten till rättvis och lika behandling i fråga om </w:t>
            </w:r>
            <w:r>
              <w:rPr>
                <w:b/>
                <w:i/>
              </w:rPr>
              <w:t>arbetsvillkor</w:t>
            </w:r>
            <w:r>
              <w:t>, minimilöner, tillgång till socialt skydd, utbildning och skydd av ungdomar i arbetslivet. I enlighet med dessa principer bör EU:s talangreserv säkerställa sysselsättning av god kvalitet.</w:t>
            </w:r>
          </w:p>
        </w:tc>
        <w:tc>
          <w:tcPr>
            <w:tcW w:w="4876" w:type="dxa"/>
            <w:tcBorders>
              <w:top w:val="nil"/>
              <w:left w:val="nil"/>
              <w:bottom w:val="nil"/>
              <w:right w:val="nil"/>
            </w:tcBorders>
          </w:tcPr>
          <w:p>
            <w:pPr>
              <w:pStyle w:val="Normal6a"/>
            </w:pPr>
            <w:r>
              <w:t>(22)</w:t>
            </w:r>
            <w:r>
              <w:tab/>
            </w:r>
            <w:r>
              <w:t>Principerna i den europeiska pelaren för sociala rättigheter bör gälla för all verksamhet som bedrivs inom ramen för EU:s talangreserv, särskilt när det gäller rätten till rättvis och lika behandling</w:t>
            </w:r>
            <w:r>
              <w:rPr>
                <w:b/>
                <w:i/>
              </w:rPr>
              <w:t>, bland annat</w:t>
            </w:r>
            <w:r>
              <w:t xml:space="preserve"> i fråga om </w:t>
            </w:r>
            <w:r>
              <w:rPr>
                <w:b/>
                <w:i/>
              </w:rPr>
              <w:t>arbets- och anställningsvillkor</w:t>
            </w:r>
            <w:r>
              <w:t xml:space="preserve">, minimilöner, </w:t>
            </w:r>
            <w:r>
              <w:rPr>
                <w:b/>
                <w:i/>
              </w:rPr>
              <w:t>ersättning,</w:t>
            </w:r>
            <w:r>
              <w:t xml:space="preserve"> tillgång till socialt skydd, </w:t>
            </w:r>
            <w:r>
              <w:rPr>
                <w:b/>
                <w:i/>
              </w:rPr>
              <w:t>yrkesutbildning, sociala förmåner och skatteförmåner, hälso- och sjukvård,</w:t>
            </w:r>
            <w:r>
              <w:t xml:space="preserve"> utbildning</w:t>
            </w:r>
            <w:r>
              <w:rPr>
                <w:b/>
                <w:i/>
              </w:rPr>
              <w:t>, fackliga rättigheter, tillgång till bostad</w:t>
            </w:r>
            <w:r>
              <w:t xml:space="preserve"> och skydd av ungdomar i arbetslivet. I enlighet med dessa principer bör EU:s talangreserv säkerställa sysselsättning av god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Principerna i den europeiska pelaren för sociala rättigheter bör gälla för all verksamhet som bedrivs inom ramen för EU:s talangreserv, </w:t>
            </w:r>
            <w:r>
              <w:rPr>
                <w:b/>
                <w:i/>
              </w:rPr>
              <w:t>särskilt när det gäller rätten till rättvis och lika behandling i fråga om arbetsvillkor, minimilöner, tillgång till socialt skydd, utbildning och skydd av ungdomar i arbetslivet</w:t>
            </w:r>
            <w:r>
              <w:t>. I enlighet med dessa principer bör EU:s talangreserv säkerställa sysselsättning av god kvalitet.</w:t>
            </w:r>
          </w:p>
        </w:tc>
        <w:tc>
          <w:tcPr>
            <w:tcW w:w="4876" w:type="dxa"/>
            <w:tcBorders>
              <w:top w:val="nil"/>
              <w:left w:val="nil"/>
              <w:bottom w:val="nil"/>
              <w:right w:val="nil"/>
            </w:tcBorders>
          </w:tcPr>
          <w:p>
            <w:pPr>
              <w:pStyle w:val="Normal6a"/>
            </w:pPr>
            <w:r>
              <w:t>(22)</w:t>
            </w:r>
            <w:r>
              <w:tab/>
            </w:r>
            <w:r>
              <w:t xml:space="preserve">Principerna i den europeiska pelaren för sociala rättigheter bör gälla för all verksamhet som bedrivs inom ramen för EU:s talangreserv, </w:t>
            </w:r>
            <w:r>
              <w:rPr>
                <w:b/>
                <w:i/>
              </w:rPr>
              <w:t>i enlighet med gällande nationell lagstiftning</w:t>
            </w:r>
            <w:r>
              <w:t>. I enlighet med dessa principer bör EU:s talangreserv säkerställa sysselsättning av god kvalitet.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Principerna i den europeiska pelaren för sociala rättigheter bör gälla för all verksamhet som bedrivs inom ramen för EU:s talangreserv, särskilt när det gäller rätten till rättvis och lika behandling i fråga om arbetsvillkor, minimilöner, tillgång till socialt skydd, utbildning och skydd av ungdomar i arbetslivet. I enlighet med dessa principer bör EU:s talangreserv säkerställa sysselsättning av god kvalitet.</w:t>
            </w:r>
          </w:p>
        </w:tc>
        <w:tc>
          <w:tcPr>
            <w:tcW w:w="4876" w:type="dxa"/>
            <w:tcBorders>
              <w:top w:val="nil"/>
              <w:left w:val="nil"/>
              <w:bottom w:val="nil"/>
              <w:right w:val="nil"/>
            </w:tcBorders>
          </w:tcPr>
          <w:p>
            <w:pPr>
              <w:pStyle w:val="Normal6a"/>
            </w:pPr>
            <w:r>
              <w:t>(22)</w:t>
            </w:r>
            <w:r>
              <w:tab/>
            </w:r>
            <w:r>
              <w:t>Principerna i den europeiska pelaren för sociala rättigheter bör gälla för all verksamhet som bedrivs inom ramen för EU:s talangreserv, särskilt när det gäller rätten till rättvis och lika behandling i fråga om arbetsvillkor, minimilöner, tillgång till socialt skydd, utbildning och skydd av ungdomar i arbetslivet</w:t>
            </w:r>
            <w:r>
              <w:rPr>
                <w:b/>
                <w:i/>
              </w:rPr>
              <w:t>, utan att det påverkar tillämpningen av nationella bestämmelser</w:t>
            </w:r>
            <w:r>
              <w:t>. I enlighet med dessa principer bör EU:s talangreserv säkerställa sysselsättning av god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Principerna i den europeiska pelaren för sociala rättigheter bör gälla för all verksamhet som bedrivs inom ramen för EU:s talangreserv, särskilt när det gäller rätten till rättvis och lika behandling i fråga om arbetsvillkor, minimilöner, tillgång till socialt skydd, utbildning och skydd av ungdomar i arbetslivet. I enlighet med dessa principer bör EU:s talangreserv säkerställa sysselsättning av god kvalitet.</w:t>
            </w:r>
          </w:p>
        </w:tc>
        <w:tc>
          <w:tcPr>
            <w:tcW w:w="4876" w:type="dxa"/>
            <w:tcBorders>
              <w:top w:val="nil"/>
              <w:left w:val="nil"/>
              <w:bottom w:val="nil"/>
              <w:right w:val="nil"/>
            </w:tcBorders>
          </w:tcPr>
          <w:p>
            <w:pPr>
              <w:pStyle w:val="Normal6a"/>
            </w:pPr>
            <w:r>
              <w:t>(22)</w:t>
            </w:r>
            <w:r>
              <w:tab/>
            </w:r>
            <w:r>
              <w:t>Principerna i den europeiska pelaren för sociala rättigheter bör gälla för all verksamhet som bedrivs inom ramen för EU:s talangreserv, särskilt när det gäller rätten till rättvis och lika behandling i fråga om arbetsvillkor, minimilöner, tillgång till socialt skydd, utbildning och skydd av ungdomar i arbetslivet</w:t>
            </w:r>
            <w:r>
              <w:rPr>
                <w:b/>
                <w:i/>
              </w:rPr>
              <w:t>, utan att det påverkar tillämpningen av nationella bestämmelser</w:t>
            </w:r>
            <w:r>
              <w:t>. I enlighet med dessa principer bör EU:s talangreserv säkerställa sysselsättning av god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Principerna i den europeiska pelaren för sociala rättigheter bör gälla för all verksamhet som bedrivs inom ramen för EU:s talangreserv, särskilt när det gäller rätten till rättvis och lika behandling i fråga om arbetsvillkor, minimilöner</w:t>
            </w:r>
            <w:r>
              <w:rPr>
                <w:b/>
                <w:i/>
              </w:rPr>
              <w:t>, tillgång till socialt skydd, utbildning</w:t>
            </w:r>
            <w:r>
              <w:t xml:space="preserve"> och skydd av ungdomar i arbetslivet. I enlighet med dessa principer bör EU:s talangreserv säkerställa sysselsättning av god kvalitet.</w:t>
            </w:r>
          </w:p>
        </w:tc>
        <w:tc>
          <w:tcPr>
            <w:tcW w:w="4876" w:type="dxa"/>
            <w:tcBorders>
              <w:top w:val="nil"/>
              <w:left w:val="nil"/>
              <w:bottom w:val="nil"/>
              <w:right w:val="nil"/>
            </w:tcBorders>
          </w:tcPr>
          <w:p>
            <w:pPr>
              <w:pStyle w:val="Normal6a"/>
            </w:pPr>
            <w:r>
              <w:t>(22)</w:t>
            </w:r>
            <w:r>
              <w:tab/>
            </w:r>
            <w:r>
              <w:t>Principerna i den europeiska pelaren för sociala rättigheter bör gälla för all verksamhet som bedrivs inom ramen för EU:s talangreserv, särskilt när det gäller rätten till rättvis och lika behandling i fråga om arbetsvillkor, minimilöner och skydd av ungdomar i arbetslivet. I enlighet med dessa principer bör EU:s talangreserv säkerställa sysselsättning av god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Principerna i den europeiska pelaren för sociala rättigheter bör gälla för all verksamhet som bedrivs inom ramen för EU:s talangreserv, särskilt när det gäller rätten till rättvis och lika behandling i fråga om arbetsvillkor, </w:t>
            </w:r>
            <w:r>
              <w:rPr>
                <w:b/>
                <w:i/>
              </w:rPr>
              <w:t>minimilöner</w:t>
            </w:r>
            <w:r>
              <w:t>, tillgång till socialt skydd, utbildning och skydd av ungdomar i arbetslivet. I enlighet med dessa principer bör EU:s talangreserv säkerställa sysselsättning av god kvalitet.</w:t>
            </w:r>
          </w:p>
        </w:tc>
        <w:tc>
          <w:tcPr>
            <w:tcW w:w="4876" w:type="dxa"/>
            <w:tcBorders>
              <w:top w:val="nil"/>
              <w:left w:val="nil"/>
              <w:bottom w:val="nil"/>
              <w:right w:val="nil"/>
            </w:tcBorders>
          </w:tcPr>
          <w:p>
            <w:pPr>
              <w:pStyle w:val="Normal6a"/>
            </w:pPr>
            <w:r>
              <w:t>(22)</w:t>
            </w:r>
            <w:r>
              <w:tab/>
            </w:r>
            <w:r>
              <w:t xml:space="preserve">Principerna i den europeiska pelaren för sociala rättigheter bör gälla för all verksamhet som bedrivs inom ramen för EU:s talangreserv, särskilt när det gäller rätten till rättvis och lika behandling i fråga om arbetsvillkor, </w:t>
            </w:r>
            <w:r>
              <w:rPr>
                <w:b/>
                <w:i/>
              </w:rPr>
              <w:t>lön</w:t>
            </w:r>
            <w:r>
              <w:t>, tillgång till socialt skydd, utbildning och skydd av ungdomar i arbetslivet. I enlighet med dessa principer bör EU:s talangreserv säkerställa sysselsättning av god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Principerna i den europeiska pelaren för sociala rättigheter bör gälla för all verksamhet som bedrivs inom ramen för EU:s talangreserv, särskilt när det gäller rätten till rättvis och lika behandling i fråga om arbetsvillkor, </w:t>
            </w:r>
            <w:r>
              <w:rPr>
                <w:b/>
                <w:i/>
              </w:rPr>
              <w:t>minimilöner</w:t>
            </w:r>
            <w:r>
              <w:t>, tillgång till socialt skydd, utbildning och skydd av ungdomar i arbetslivet. I enlighet med dessa principer bör EU:s talangreserv säkerställa sysselsättning av god kvalitet.</w:t>
            </w:r>
          </w:p>
        </w:tc>
        <w:tc>
          <w:tcPr>
            <w:tcW w:w="4876" w:type="dxa"/>
            <w:tcBorders>
              <w:top w:val="nil"/>
              <w:left w:val="nil"/>
              <w:bottom w:val="nil"/>
              <w:right w:val="nil"/>
            </w:tcBorders>
          </w:tcPr>
          <w:p>
            <w:pPr>
              <w:pStyle w:val="Normal6a"/>
            </w:pPr>
            <w:r>
              <w:t>(22)</w:t>
            </w:r>
            <w:r>
              <w:tab/>
            </w:r>
            <w:r>
              <w:t xml:space="preserve">Principerna i den europeiska pelaren för sociala rättigheter bör gälla för all verksamhet som bedrivs inom ramen för EU:s talangreserv, särskilt när det gäller rätten till rättvis och lika behandling i fråga om arbetsvillkor, </w:t>
            </w:r>
            <w:r>
              <w:rPr>
                <w:b/>
                <w:i/>
              </w:rPr>
              <w:t>löner</w:t>
            </w:r>
            <w:r>
              <w:t>, tillgång till socialt skydd, utbildning och skydd av ungdomar i arbetslivet. I enlighet med dessa principer bör EU:s talangreserv säkerställa sysselsättning av god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Internationella arbetsorganisationen fastställer i sina allmänna principer och operativa riktlinjer för rättvis rekrytering ett antal normer för adekvat skydd mot orättvis rekrytering för arbetssökande från tredjeländer. </w:t>
            </w:r>
            <w:r>
              <w:rPr>
                <w:b/>
                <w:i/>
              </w:rPr>
              <w:t>Arbetsgivarna bör följa tillämplig</w:t>
            </w:r>
            <w:r>
              <w:t xml:space="preserve"> unionsrätt och unionspraxis. Arbetsgivarna bör också säkerställa att arbetssökande från tredjeländer behandlas likadant som medborgarna i de deltagande medlemsstaterna i enlighet med direktiv 2011/98</w:t>
            </w:r>
            <w:r>
              <w:rPr>
                <w:vertAlign w:val="superscript"/>
              </w:rPr>
              <w:t>13</w:t>
            </w:r>
            <w:r>
              <w:t>, direktiv 2014/36/EU</w:t>
            </w:r>
            <w:r>
              <w:rPr>
                <w:vertAlign w:val="superscript"/>
              </w:rPr>
              <w:t>14</w:t>
            </w:r>
            <w:r>
              <w:t>, direktiv 2021/1883/EU</w:t>
            </w:r>
            <w:r>
              <w:rPr>
                <w:vertAlign w:val="superscript"/>
              </w:rPr>
              <w:t>15</w:t>
            </w:r>
            <w:r>
              <w:t>och direktiv 2016/801/EU</w:t>
            </w:r>
            <w:r>
              <w:rPr>
                <w:vertAlign w:val="superscript"/>
              </w:rPr>
              <w:t>16</w:t>
            </w:r>
            <w:r>
              <w:t>. I enlighet med direktiv (EU) 2019/1152</w:t>
            </w:r>
            <w:r>
              <w:rPr>
                <w:b/>
                <w:i/>
                <w:vertAlign w:val="superscript"/>
              </w:rPr>
              <w:t>17</w:t>
            </w:r>
            <w:r>
              <w:t xml:space="preserve">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plats </w:t>
            </w:r>
            <w:r>
              <w:rPr>
                <w:b/>
                <w:i/>
              </w:rPr>
              <w:t>och</w:t>
            </w:r>
            <w:r>
              <w:t xml:space="preserve"> typ av arbete, anställningstid, lön, arbetstid, betald ledighet och andra relevanta </w:t>
            </w:r>
            <w:r>
              <w:rPr>
                <w:b/>
                <w:i/>
              </w:rPr>
              <w:t>arbetsvillkor</w:t>
            </w:r>
            <w:r>
              <w:t>.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c>
          <w:tcPr>
            <w:tcW w:w="4876" w:type="dxa"/>
            <w:tcBorders>
              <w:top w:val="nil"/>
              <w:left w:val="nil"/>
              <w:bottom w:val="nil"/>
              <w:right w:val="nil"/>
            </w:tcBorders>
          </w:tcPr>
          <w:p>
            <w:pPr>
              <w:pStyle w:val="Normal6a"/>
            </w:pPr>
            <w:r>
              <w:t>(23)</w:t>
            </w:r>
            <w:r>
              <w:tab/>
            </w:r>
            <w:r>
              <w:t xml:space="preserve">Internationella arbetsorganisationen fastställer i sina allmänna principer och operativa riktlinjer för rättvis rekrytering ett antal normer för adekvat skydd mot orättvis rekrytering för arbetssökande från tredjeländer. </w:t>
            </w:r>
            <w:r>
              <w:rPr>
                <w:b/>
                <w:i/>
              </w:rPr>
              <w:t>EU:s talangreserv bör prioritera skyddet av migrerande arbetstagares rättigheter och säkerställa att alla rekryteringsförfaranden och efterföljande anställning följer</w:t>
            </w:r>
            <w:r>
              <w:t xml:space="preserve"> unionsrätt och unionspraxis </w:t>
            </w:r>
            <w:r>
              <w:rPr>
                <w:b/>
                <w:i/>
              </w:rPr>
              <w:t>som gäller i EU och nationellt, däribland respekt för kollektivavtal och rättvisa rekryteringsmetoder.</w:t>
            </w:r>
            <w:r>
              <w:t xml:space="preserve"> </w:t>
            </w:r>
            <w:r>
              <w:rPr>
                <w:b/>
                <w:i/>
              </w:rPr>
              <w:t>Arbetsgivare som konstateras bryta mot dessa bestämmelser bör uteslutas från plattformen</w:t>
            </w:r>
            <w:r>
              <w:t>. Arbetsgivarna bör också säkerställa att arbetssökande från tredjeländer behandlas likadant som medborgarna i de deltagande medlemsstaterna i enlighet med direktiv 2011/98</w:t>
            </w:r>
            <w:r>
              <w:rPr>
                <w:vertAlign w:val="superscript"/>
              </w:rPr>
              <w:t>13</w:t>
            </w:r>
            <w:r>
              <w:t>, direktiv 2014/36/EU</w:t>
            </w:r>
            <w:r>
              <w:rPr>
                <w:vertAlign w:val="superscript"/>
              </w:rPr>
              <w:t>14</w:t>
            </w:r>
            <w:r>
              <w:t>, direktiv 2021/1883/EU</w:t>
            </w:r>
            <w:r>
              <w:rPr>
                <w:vertAlign w:val="superscript"/>
              </w:rPr>
              <w:t>15</w:t>
            </w:r>
            <w:r>
              <w:t xml:space="preserve"> och direktiv 2016/801/EU</w:t>
            </w:r>
            <w:r>
              <w:rPr>
                <w:vertAlign w:val="superscript"/>
              </w:rPr>
              <w:t>16</w:t>
            </w:r>
            <w:r>
              <w:t xml:space="preserve">. I enlighet med direktiv (EU) 2019/1152 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w:t>
            </w:r>
            <w:r>
              <w:rPr>
                <w:b/>
                <w:i/>
              </w:rPr>
              <w:t>den</w:t>
            </w:r>
            <w:r>
              <w:t xml:space="preserve"> plats </w:t>
            </w:r>
            <w:r>
              <w:rPr>
                <w:b/>
                <w:i/>
              </w:rPr>
              <w:t>där arbetet vanligtvis utförs,</w:t>
            </w:r>
            <w:r>
              <w:t xml:space="preserve"> typ av arbete, anställningstid, lön, arbetstid, betald ledighet och andra relevanta </w:t>
            </w:r>
            <w:r>
              <w:rPr>
                <w:b/>
                <w:i/>
              </w:rPr>
              <w:t>arbets- och anställningsvillkor.</w:t>
            </w:r>
            <w:r>
              <w:t xml:space="preserve"> </w:t>
            </w:r>
            <w:r>
              <w:rPr>
                <w:b/>
                <w:i/>
              </w:rPr>
              <w:t>Det bör inte finnas några direkta eller indirekta kostnader eller avgifter för arbetssökande från tredjeländer i samband med deras deltagande i EU:s talangreserv eller deras rekrytering</w:t>
            </w:r>
            <w:r>
              <w:t xml:space="preserve">. Arbetsgivare bör varken ta ut någon rekryteringsavgift eller </w:t>
            </w:r>
            <w:r>
              <w:rPr>
                <w:b/>
                <w:i/>
              </w:rPr>
              <w:t>kostnader för resor, arbetsutrustning och boende eller</w:t>
            </w:r>
            <w:r>
              <w:t xml:space="preserve">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xml:space="preserve">,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 </w:t>
            </w:r>
            <w:r>
              <w:rPr>
                <w:b/>
                <w:i/>
              </w:rPr>
              <w:t>För att förhindra falska utstationeringar bör EU:s talangreserv inte användas för att underlätta rekryteringar där arbetstagare anställs enbart i syfte att utstationeras.</w:t>
            </w:r>
            <w:r>
              <w:t xml:space="preserve"> </w:t>
            </w:r>
            <w:r>
              <w:rPr>
                <w:b/>
                <w:i/>
              </w:rPr>
              <w:t>Detta kräver att arbetsgivarna följer direktiv 2014/67 vad gäller huruvida en faktisk utstationering föreligger, för att förhindra att reglerna missbrukas eller kringgås.</w:t>
            </w:r>
            <w:r>
              <w:t xml:space="preserve"> </w:t>
            </w:r>
            <w:r>
              <w:rPr>
                <w:b/>
                <w:i/>
              </w:rPr>
              <w:t>En tillsynsmekanism bör inrättas för att övervaka användningen av EU:s talangreserv, utreda klagomål och säkerställa att plattformen inte används för att underlätta arbetskraftsexploatering eller undergräva arbetstagarnas rättigheter.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 1, ELI: http://data.europa.eu/eli/dir/2011/98/oj?locale=sv).</w:t>
            </w:r>
          </w:p>
        </w:tc>
        <w:tc>
          <w:tcPr>
            <w:tcW w:w="4876" w:type="dxa"/>
            <w:tcBorders>
              <w:top w:val="nil"/>
              <w:left w:val="nil"/>
              <w:bottom w:val="nil"/>
              <w:right w:val="nil"/>
            </w:tcBorders>
          </w:tcPr>
          <w:p>
            <w:pPr>
              <w:pStyle w:val="Normal6a"/>
            </w:pPr>
            <w:r>
              <w:rPr>
                <w:vertAlign w:val="superscript"/>
              </w:rPr>
              <w:t>13</w:t>
            </w:r>
            <w:r>
              <w:t xml:space="preserve"> </w:t>
            </w:r>
            <w: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 1, ELI: http://data.europa.eu/eli/dir/2011/98/oj?locale=sv).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Europaparlamentets och rådets direktiv (EU) 2019/1152 av den 20 juni 2019 om tydliga och förutsägbara arbetsvillkor i Europeiska unionen (EUT L 186, 11.7.2019, s.</w:t>
            </w:r>
            <w:r>
              <w:t xml:space="preserve"> </w:t>
            </w:r>
            <w:r>
              <w:rPr>
                <w:b/>
                <w:i/>
              </w:rPr>
              <w:t>105, ELI: http://data.europa.eu/eli/dir/2019/1152/oj?locale=sv).</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Arbetsgivarna bör också säkerställa att arbetssökande från tredjeländer behandlas likadant som medborgarna i de deltagande medlemsstaterna i enlighet med direktiv 2011/98</w:t>
            </w:r>
            <w:r>
              <w:rPr>
                <w:vertAlign w:val="superscript"/>
              </w:rPr>
              <w:t>13</w:t>
            </w:r>
            <w:r>
              <w:t>, direktiv 2014/36/EU</w:t>
            </w:r>
            <w:r>
              <w:rPr>
                <w:vertAlign w:val="superscript"/>
              </w:rPr>
              <w:t>14</w:t>
            </w:r>
            <w:r>
              <w:t>, direktiv 2021/1883/EU</w:t>
            </w:r>
            <w:r>
              <w:rPr>
                <w:vertAlign w:val="superscript"/>
              </w:rPr>
              <w:t>15</w:t>
            </w:r>
            <w:r>
              <w:t>och direktiv 2016/801/EU</w:t>
            </w:r>
            <w:r>
              <w:rPr>
                <w:vertAlign w:val="superscript"/>
              </w:rPr>
              <w:t>16</w:t>
            </w:r>
            <w:r>
              <w:t>. I enlighet med direktiv (EU) 2019/1152</w:t>
            </w:r>
            <w:r>
              <w:rPr>
                <w:vertAlign w:val="superscript"/>
              </w:rPr>
              <w:t>17</w:t>
            </w:r>
            <w:r>
              <w:t>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plats och typ av arbete, anställningstid,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c>
          <w:tcPr>
            <w:tcW w:w="4876" w:type="dxa"/>
            <w:tcBorders>
              <w:top w:val="nil"/>
              <w:left w:val="nil"/>
              <w:bottom w:val="nil"/>
              <w:right w:val="nil"/>
            </w:tcBorders>
          </w:tcPr>
          <w:p>
            <w:pPr>
              <w:pStyle w:val="Normal6a"/>
            </w:pPr>
            <w:r>
              <w:t>(23)</w:t>
            </w:r>
            <w:r>
              <w:tab/>
            </w:r>
            <w:r>
              <w:t>Internationella arbetsorganisationen fastställer i sina allmänna principer och operativa riktlinjer för rättvis rekrytering ett antal normer för adekvat skydd mot orättvis rekrytering för arbetssökande från tredjeländer</w:t>
            </w:r>
            <w:r>
              <w:rPr>
                <w:b/>
                <w:i/>
              </w:rPr>
              <w:t>, däribland principen att inga rekryteringsavgifter eller relaterade kostnader ska betalas av arbetstagare eller arbetssökande.</w:t>
            </w:r>
            <w:r>
              <w:t xml:space="preserve"> </w:t>
            </w:r>
            <w:r>
              <w:rPr>
                <w:b/>
                <w:i/>
              </w:rPr>
              <w:t>Därför bör deltagandet i talangreserven vara avgiftsfritt för arbetssökande</w:t>
            </w:r>
            <w:r>
              <w:t>. Arbetsgivarna bör följa tillämplig unionsrätt och unionspraxis. Arbetsgivarna bör också säkerställa att arbetssökande från tredjeländer behandlas likadant som medborgarna i de deltagande medlemsstaterna i enlighet med direktiv 2011/98</w:t>
            </w:r>
            <w:r>
              <w:rPr>
                <w:vertAlign w:val="superscript"/>
              </w:rPr>
              <w:t>13</w:t>
            </w:r>
            <w:r>
              <w:t>, direktiv 2014/36/EU</w:t>
            </w:r>
            <w:r>
              <w:rPr>
                <w:vertAlign w:val="superscript"/>
              </w:rPr>
              <w:t>14</w:t>
            </w:r>
            <w:r>
              <w:t>, direktiv 2021/1883/EU</w:t>
            </w:r>
            <w:r>
              <w:rPr>
                <w:vertAlign w:val="superscript"/>
              </w:rPr>
              <w:t>15</w:t>
            </w:r>
            <w:r>
              <w:t xml:space="preserve"> och direktiv 2016/801/EU</w:t>
            </w:r>
            <w:r>
              <w:rPr>
                <w:vertAlign w:val="superscript"/>
              </w:rPr>
              <w:t>16</w:t>
            </w:r>
            <w:r>
              <w:t>. I enlighet med direktiv (EU) 2019/1152</w:t>
            </w:r>
            <w:r>
              <w:rPr>
                <w:vertAlign w:val="superscript"/>
              </w:rPr>
              <w:t>17</w:t>
            </w:r>
            <w:r>
              <w:t xml:space="preserve"> 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plats och typ av arbete, anställningstid, lön, arbetstid, betald ledighet och andra relevanta arbetsvillkor. Arbetsgivare bör varken ta ut någon rekryteringsavgift eller </w:t>
            </w:r>
            <w:r>
              <w:rPr>
                <w:b/>
                <w:i/>
              </w:rPr>
              <w:t>relaterade kostnader eller</w:t>
            </w:r>
            <w:r>
              <w:t xml:space="preserve">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xml:space="preserve">,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 </w:t>
            </w:r>
            <w:r>
              <w:rPr>
                <w:b/>
                <w:i/>
              </w:rPr>
              <w:t>Arbetsgivare och förmedlare bör vara skyldiga att uppge att de tillämpar rättvis rekrytering i enlighet med internationella arbetsnormer när de registrerar en ledig plats.</w:t>
            </w:r>
            <w:r>
              <w:t xml:space="preserve"> </w:t>
            </w:r>
            <w:r>
              <w:rPr>
                <w:b/>
                <w:i/>
              </w:rPr>
              <w:t>Principen att inga arbetstagare eller arbetssökande ska betala rekryteringsavgifter eller relaterade kostnader bör anges tydligt på plattformen och i meddelanden om lediga platser. Proaktiv övervakning av arbetsgivarnas efterlevnad bör säkerställas av de nationella kontaktpunkterna, i tillämpliga fall i samordning med arbetsmarknadens parter.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 1, ELI: http://data.europa.eu/eli/dir/2011/98/oj?locale=sv).</w:t>
            </w:r>
          </w:p>
        </w:tc>
        <w:tc>
          <w:tcPr>
            <w:tcW w:w="4876" w:type="dxa"/>
            <w:tcBorders>
              <w:top w:val="nil"/>
              <w:left w:val="nil"/>
              <w:bottom w:val="nil"/>
              <w:right w:val="nil"/>
            </w:tcBorders>
          </w:tcPr>
          <w:p>
            <w:pPr>
              <w:pStyle w:val="Normal6a"/>
            </w:pPr>
            <w:r>
              <w:rPr>
                <w:vertAlign w:val="superscript"/>
              </w:rPr>
              <w:t>13</w:t>
            </w:r>
            <w:r>
              <w:t xml:space="preserve"> </w:t>
            </w:r>
            <w: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 1, ELI: http://data.europa.eu/eli/dir/2011/98/oj?locale=sv).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Arbetsgivarna bör också säkerställa att arbetssökande från tredjeländer behandlas likadant som medborgarna i de deltagande medlemsstaterna i enlighet med direktiv 2011/98</w:t>
            </w:r>
            <w:r>
              <w:rPr>
                <w:vertAlign w:val="superscript"/>
              </w:rPr>
              <w:t>13</w:t>
            </w:r>
            <w:r>
              <w:t>, direktiv 2014/36/EU</w:t>
            </w:r>
            <w:r>
              <w:rPr>
                <w:vertAlign w:val="superscript"/>
              </w:rPr>
              <w:t>14</w:t>
            </w:r>
            <w:r>
              <w:t>, direktiv 2021/1883/EU</w:t>
            </w:r>
            <w:r>
              <w:rPr>
                <w:vertAlign w:val="superscript"/>
              </w:rPr>
              <w:t>15</w:t>
            </w:r>
            <w:r>
              <w:t>och direktiv 2016/801/EU</w:t>
            </w:r>
            <w:r>
              <w:rPr>
                <w:vertAlign w:val="superscript"/>
              </w:rPr>
              <w:t>16</w:t>
            </w:r>
            <w:r>
              <w:t>. I enlighet med direktiv (EU) 2019/1152</w:t>
            </w:r>
            <w:r>
              <w:rPr>
                <w:vertAlign w:val="superscript"/>
              </w:rPr>
              <w:t>17</w:t>
            </w:r>
            <w:r>
              <w:t>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plats och typ av arbete, anställningstid,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rPr>
                <w:b/>
                <w:i/>
              </w:rPr>
              <w:t>,</w:t>
            </w:r>
            <w:r>
              <w:t xml:space="preserve">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c>
          <w:tcPr>
            <w:tcW w:w="4876" w:type="dxa"/>
            <w:tcBorders>
              <w:top w:val="nil"/>
              <w:left w:val="nil"/>
              <w:bottom w:val="nil"/>
              <w:right w:val="nil"/>
            </w:tcBorders>
          </w:tcPr>
          <w:p>
            <w:pPr>
              <w:pStyle w:val="Normal6a"/>
            </w:pPr>
            <w:r>
              <w:t>(23)</w:t>
            </w:r>
            <w:r>
              <w:tab/>
            </w:r>
            <w:r>
              <w:t>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Arbetsgivarna bör också säkerställa att arbetssökande från tredjeländer behandlas likadant som medborgarna i de deltagande medlemsstaterna i enlighet med direktiv 2011/98</w:t>
            </w:r>
            <w:r>
              <w:rPr>
                <w:vertAlign w:val="superscript"/>
              </w:rPr>
              <w:t>13</w:t>
            </w:r>
            <w:r>
              <w:t>, direktiv 2014/36/EU</w:t>
            </w:r>
            <w:r>
              <w:rPr>
                <w:vertAlign w:val="superscript"/>
              </w:rPr>
              <w:t>14</w:t>
            </w:r>
            <w:r>
              <w:t>, direktiv 2021/1883/EU</w:t>
            </w:r>
            <w:r>
              <w:rPr>
                <w:vertAlign w:val="superscript"/>
              </w:rPr>
              <w:t>15</w:t>
            </w:r>
            <w:r>
              <w:t xml:space="preserve"> och direktiv 2016/801/EU</w:t>
            </w:r>
            <w:r>
              <w:rPr>
                <w:vertAlign w:val="superscript"/>
              </w:rPr>
              <w:t>16</w:t>
            </w:r>
            <w:r>
              <w:t>. I enlighet med direktiv (EU) 2019/1152</w:t>
            </w:r>
            <w:r>
              <w:rPr>
                <w:vertAlign w:val="superscript"/>
              </w:rPr>
              <w:t>17</w:t>
            </w:r>
            <w:r>
              <w:t xml:space="preserve"> bör arbetsgivare som deltar i EU:s talangreserv tillhandahålla skriftlig information till registrerade arbetssökande från tredjeländer på ett begripligt språk </w:t>
            </w:r>
            <w:r>
              <w:rPr>
                <w:b/>
                <w:i/>
              </w:rPr>
              <w:t>(när det är tekniskt möjligt åtminstone på de officiella språken i alla EU:s medlemsstater samt på de officiella språken i tredjeländer som deltar i talangpartnerskapen och de officiella språken för de tio nationaliteter som har fått flest kombinerade tillstånd inom EU under de senaste tre åren) </w:t>
            </w:r>
            <w:r>
              <w:t>om deras rättigheter och skyldigheter enligt anställningsförhållandet när anställningen börjar. Denna information bör åtminstone omfatta plats och typ av arbete, anställningstid,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xml:space="preserve">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 1, ELI: http://data.europa.eu/eli/dir/2011/98/oj?locale=sv).</w:t>
            </w:r>
          </w:p>
        </w:tc>
        <w:tc>
          <w:tcPr>
            <w:tcW w:w="4876" w:type="dxa"/>
            <w:tcBorders>
              <w:top w:val="nil"/>
              <w:left w:val="nil"/>
              <w:bottom w:val="nil"/>
              <w:right w:val="nil"/>
            </w:tcBorders>
          </w:tcPr>
          <w:p>
            <w:pPr>
              <w:pStyle w:val="Normal6a"/>
            </w:pPr>
            <w:r>
              <w:rPr>
                <w:vertAlign w:val="superscript"/>
              </w:rPr>
              <w:t>13</w:t>
            </w:r>
            <w:r>
              <w:t xml:space="preserve"> </w:t>
            </w:r>
            <w: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 1, ELI: http://data.europa.eu/eli/dir/2011/98/oj?locale=sv).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w:t>
            </w:r>
            <w:r>
              <w:rPr>
                <w:b/>
                <w:i/>
              </w:rPr>
              <w:t>Arbetsgivarna bör också säkerställa att arbetssökande från tredjeländer behandlas likadant som medborgarna i de deltagande medlemsstaterna i enlighet med direktiv 2011/98</w:t>
            </w:r>
            <w:r>
              <w:rPr>
                <w:b/>
                <w:i/>
                <w:vertAlign w:val="superscript"/>
              </w:rPr>
              <w:t>13</w:t>
            </w:r>
            <w:r>
              <w:rPr>
                <w:b/>
                <w:i/>
              </w:rPr>
              <w:t>, direktiv 2014/36/EU</w:t>
            </w:r>
            <w:r>
              <w:rPr>
                <w:b/>
                <w:i/>
                <w:vertAlign w:val="superscript"/>
              </w:rPr>
              <w:t>14</w:t>
            </w:r>
            <w:r>
              <w:rPr>
                <w:b/>
                <w:i/>
              </w:rPr>
              <w:t>, direktiv 2021/1883/EU</w:t>
            </w:r>
            <w:r>
              <w:rPr>
                <w:b/>
                <w:i/>
                <w:vertAlign w:val="superscript"/>
              </w:rPr>
              <w:t>15</w:t>
            </w:r>
            <w:r>
              <w:rPr>
                <w:b/>
                <w:i/>
              </w:rPr>
              <w:t>och direktiv 2016/801/EU</w:t>
            </w:r>
            <w:r>
              <w:rPr>
                <w:b/>
                <w:i/>
                <w:vertAlign w:val="superscript"/>
              </w:rPr>
              <w:t>16</w:t>
            </w:r>
            <w:r>
              <w:rPr>
                <w:b/>
                <w:i/>
              </w:rPr>
              <w:t>.</w:t>
            </w:r>
            <w:r>
              <w:t xml:space="preserve"> I enlighet med direktiv (EU) 2019/1152</w:t>
            </w:r>
            <w:r>
              <w:rPr>
                <w:b/>
                <w:i/>
                <w:vertAlign w:val="superscript"/>
              </w:rPr>
              <w:t>17</w:t>
            </w:r>
            <w:r>
              <w:t>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plats och typ av arbete, anställningstid,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c>
          <w:tcPr>
            <w:tcW w:w="4876" w:type="dxa"/>
            <w:tcBorders>
              <w:top w:val="nil"/>
              <w:left w:val="nil"/>
              <w:bottom w:val="nil"/>
              <w:right w:val="nil"/>
            </w:tcBorders>
          </w:tcPr>
          <w:p>
            <w:pPr>
              <w:pStyle w:val="Normal6a"/>
            </w:pPr>
            <w:r>
              <w:t>(23)</w:t>
            </w:r>
            <w:r>
              <w:tab/>
            </w:r>
            <w:r>
              <w:t>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I enlighet med direktiv (EU) 2019/1152</w:t>
            </w:r>
            <w:r>
              <w:rPr>
                <w:vertAlign w:val="superscript"/>
              </w:rPr>
              <w:t>17</w:t>
            </w:r>
            <w:r>
              <w:rPr>
                <w:b/>
                <w:i/>
              </w:rPr>
              <w:t> </w:t>
            </w:r>
            <w:r>
              <w:t>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plats och typ av arbete, anställningstid,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w:t>
            </w:r>
            <w:r>
              <w:t xml:space="preserve"> </w:t>
            </w:r>
            <w:r>
              <w:rPr>
                <w:b/>
                <w:i/>
              </w:rPr>
              <w:t>1, ELI: http://data.europa.eu/eli/dir/2011/98/oj?locale=sv).</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Europaparlamentets och rådets direktiv 2014/36/EU av den 26 februari 2014 om villkor för tredjelandsmedborgares inresa och vistelse för säsongsanställning (EUT L 94, 28.3.2014, s.</w:t>
            </w:r>
            <w:r>
              <w:t xml:space="preserve"> </w:t>
            </w:r>
            <w:r>
              <w:rPr>
                <w:b/>
                <w:i/>
              </w:rPr>
              <w:t>375, ELI: http://data.europa.eu/eli/dir/2014/36/oj?locale=sv).</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Europaparlamentets och rådets direktiv (EU) 2021/1883 av den 20 oktober 2021 om villkor för tredjelandsmedborgares inresa och vistelse för högkvalificerad anställning och om upphävande av rådets direktiv 2009/50/EG (EUT L 382, 28.10.2021, s.</w:t>
            </w:r>
            <w:r>
              <w:t xml:space="preserve"> </w:t>
            </w:r>
            <w:r>
              <w:rPr>
                <w:b/>
                <w:i/>
              </w:rPr>
              <w:t>1, ELI: http://data.europa.eu/eli/dir/2021/1883/oj?locale=sv).</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w:t>
            </w:r>
            <w:r>
              <w:t xml:space="preserve"> </w:t>
            </w:r>
            <w:r>
              <w:rPr>
                <w:b/>
                <w:i/>
              </w:rPr>
              <w:t>21, ELI: http://data.europa.eu/eli/dir/2016/801/oj?locale=sv).</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Europaparlamentets och rådets direktiv (EU) 2019/1152 av den 20 juni 2019 om tydliga och förutsägbara arbetsvillkor i Europeiska unionen (EUT L 186, 11.7.2019, s.</w:t>
            </w:r>
            <w:r>
              <w:t xml:space="preserve"> </w:t>
            </w:r>
            <w:r>
              <w:rPr>
                <w:b/>
                <w:i/>
              </w:rPr>
              <w:t>105, ELI: http://data.europa.eu/eli/dir/2019/1152/oj?locale=sv).</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Syftet med EU:s talangreserv är att hjälpa deltagande medlemsstater att komma till rätta med den befintliga och framtida bristen på arbetskraft och kompetens genom att möjliggöra rekrytering av tredjelandsmedborgare enbart i de fall då det inte räcker med aktivering av den inhemska arbetskraften och rörlighet inom EU för att uppnå detta mål (se skäl 5), och därför bör arbetsgivare främja rörlighet inom EU innan de rekryterar personer från tredjeländer.</w:t>
      </w:r>
    </w:p>
    <w:p>
      <w:r>
        <w:rPr>
          <w:rStyle w:val="HideTWBExt"/>
        </w:rPr>
        <w:t>&lt;/AmendB&gt;</w:t>
      </w:r>
    </w:p>
    <w:p>
      <w:pPr>
        <w:pStyle w:val="AmNumberTabs"/>
      </w:pPr>
      <w:r>
        <w:rPr>
          <w:rStyle w:val="HideTWBExt"/>
        </w:rPr>
        <w:t>&lt;AmendB&gt;</w:t>
      </w:r>
      <w:r>
        <w:t>Ändringsförslag</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Arbetsgivarna bör också säkerställa att arbetssökande från tredjeländer behandlas likadant som medborgarna i de deltagande medlemsstaterna i enlighet med direktiv </w:t>
            </w:r>
            <w:r>
              <w:rPr>
                <w:b/>
                <w:i/>
              </w:rPr>
              <w:t>2011/98</w:t>
            </w:r>
            <w:r>
              <w:rPr>
                <w:vertAlign w:val="superscript"/>
              </w:rPr>
              <w:t>13</w:t>
            </w:r>
            <w:r>
              <w:t>, direktiv 2014/36/EU</w:t>
            </w:r>
            <w:r>
              <w:rPr>
                <w:vertAlign w:val="superscript"/>
              </w:rPr>
              <w:t>14</w:t>
            </w:r>
            <w:r>
              <w:t>, direktiv 2021/1883/EU</w:t>
            </w:r>
            <w:r>
              <w:rPr>
                <w:vertAlign w:val="superscript"/>
              </w:rPr>
              <w:t>15</w:t>
            </w:r>
            <w:r>
              <w:t>och direktiv 2016/801/EU</w:t>
            </w:r>
            <w:r>
              <w:rPr>
                <w:vertAlign w:val="superscript"/>
              </w:rPr>
              <w:t>16</w:t>
            </w:r>
            <w:r>
              <w:t>. I enlighet med direktiv (EU) 2019/1152</w:t>
            </w:r>
            <w:r>
              <w:rPr>
                <w:vertAlign w:val="superscript"/>
              </w:rPr>
              <w:t>17</w:t>
            </w:r>
            <w:r>
              <w:t xml:space="preserve">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plats </w:t>
            </w:r>
            <w:r>
              <w:rPr>
                <w:b/>
                <w:i/>
              </w:rPr>
              <w:t>och</w:t>
            </w:r>
            <w:r>
              <w:t xml:space="preserve"> typ av arbete, anställningstid,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rPr>
                <w:b/>
                <w:i/>
              </w:rPr>
              <w:t>,</w:t>
            </w:r>
            <w:r>
              <w:t xml:space="preserve">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c>
          <w:tcPr>
            <w:tcW w:w="4876" w:type="dxa"/>
            <w:tcBorders>
              <w:top w:val="nil"/>
              <w:left w:val="nil"/>
              <w:bottom w:val="nil"/>
              <w:right w:val="nil"/>
            </w:tcBorders>
          </w:tcPr>
          <w:p>
            <w:pPr>
              <w:pStyle w:val="Normal6a"/>
            </w:pPr>
            <w:r>
              <w:t>(23)</w:t>
            </w:r>
            <w:r>
              <w:tab/>
            </w:r>
            <w:r>
              <w:t xml:space="preserve">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Arbetsgivarna bör också säkerställa att arbetssökande från tredjeländer behandlas likadant som medborgarna i de deltagande medlemsstaterna i enlighet med direktiv </w:t>
            </w:r>
            <w:r>
              <w:rPr>
                <w:b/>
                <w:i/>
              </w:rPr>
              <w:t>2024/1233</w:t>
            </w:r>
            <w:r>
              <w:rPr>
                <w:vertAlign w:val="superscript"/>
              </w:rPr>
              <w:t>13</w:t>
            </w:r>
            <w:r>
              <w:t>, direktiv 2014/36/EU</w:t>
            </w:r>
            <w:r>
              <w:rPr>
                <w:vertAlign w:val="superscript"/>
              </w:rPr>
              <w:t>14</w:t>
            </w:r>
            <w:r>
              <w:t>, direktiv 2021/1883/EU</w:t>
            </w:r>
            <w:r>
              <w:rPr>
                <w:vertAlign w:val="superscript"/>
              </w:rPr>
              <w:t>15</w:t>
            </w:r>
            <w:r>
              <w:t xml:space="preserve"> och direktiv 2016/801/EU</w:t>
            </w:r>
            <w:r>
              <w:rPr>
                <w:vertAlign w:val="superscript"/>
              </w:rPr>
              <w:t>16</w:t>
            </w:r>
            <w:r>
              <w:t>. I enlighet med direktiv (EU) 2019/1152</w:t>
            </w:r>
            <w:r>
              <w:rPr>
                <w:vertAlign w:val="superscript"/>
              </w:rPr>
              <w:t>17</w:t>
            </w:r>
            <w:r>
              <w:t xml:space="preserve"> 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w:t>
            </w:r>
            <w:r>
              <w:rPr>
                <w:b/>
                <w:i/>
              </w:rPr>
              <w:t>den</w:t>
            </w:r>
            <w:r>
              <w:t xml:space="preserve"> plats </w:t>
            </w:r>
            <w:r>
              <w:rPr>
                <w:b/>
                <w:i/>
              </w:rPr>
              <w:t>där arbetet vanligtvis utförs,</w:t>
            </w:r>
            <w:r>
              <w:t xml:space="preserve"> typ av arbete, anställningstid, lön, arbetstid, betald ledighet och andra relevanta arbetsvillkor. </w:t>
            </w:r>
            <w:r>
              <w:rPr>
                <w:b/>
                <w:i/>
              </w:rPr>
              <w:t>Det bör inte finnas några direkta eller indirekta kostnader eller avgifter för arbetssökande från tredjeländer i samband med deras deltagande i EU:s talangreserv eller i samband med deras rekrytering.</w:t>
            </w:r>
            <w:r>
              <w:t xml:space="preserve">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xml:space="preserve">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Europaparlamentets och rådets direktiv </w:t>
            </w:r>
            <w:r>
              <w:rPr>
                <w:b/>
                <w:i/>
              </w:rPr>
              <w:t>2011/98/EU</w:t>
            </w:r>
            <w:r>
              <w:t xml:space="preserve"> av den </w:t>
            </w:r>
            <w:r>
              <w:rPr>
                <w:b/>
                <w:i/>
              </w:rPr>
              <w:t>13 december 2011</w:t>
            </w:r>
            <w:r>
              <w:t xml:space="preserve"> om ett enda ansökningsförfarande för ett kombinerat tillstånd för tredjelandsmedborgare att vistas och arbeta på en medlemsstats territorium och om en gemensam uppsättning rättigheter för arbetstagare från tredjeland som vistas lagligen i en medlemsstat (EUT L </w:t>
            </w:r>
            <w:r>
              <w:rPr>
                <w:b/>
                <w:i/>
              </w:rPr>
              <w:t>343, 23.12.2011</w:t>
            </w:r>
            <w:r>
              <w:t>, s. 1, ELI: http://data.europa.</w:t>
            </w:r>
            <w:r>
              <w:rPr>
                <w:b/>
                <w:i/>
              </w:rPr>
              <w:t>eu/eli/dir/2011/98/oj</w:t>
            </w:r>
            <w:r>
              <w:t>?locale=sv).</w:t>
            </w:r>
          </w:p>
        </w:tc>
        <w:tc>
          <w:tcPr>
            <w:tcW w:w="4876" w:type="dxa"/>
            <w:tcBorders>
              <w:top w:val="nil"/>
              <w:left w:val="nil"/>
              <w:bottom w:val="nil"/>
              <w:right w:val="nil"/>
            </w:tcBorders>
          </w:tcPr>
          <w:p>
            <w:pPr>
              <w:pStyle w:val="Normal6a"/>
            </w:pPr>
            <w:r>
              <w:rPr>
                <w:vertAlign w:val="superscript"/>
              </w:rPr>
              <w:t>13</w:t>
            </w:r>
            <w:r>
              <w:t xml:space="preserve"> </w:t>
            </w:r>
            <w:r>
              <w:rPr>
                <w:b/>
                <w:i/>
              </w:rPr>
              <w:t> </w:t>
            </w:r>
            <w:r>
              <w:t xml:space="preserve">Europaparlamentets och rådets direktiv </w:t>
            </w:r>
            <w:r>
              <w:rPr>
                <w:b/>
                <w:i/>
              </w:rPr>
              <w:t>(EU) 2024/1233</w:t>
            </w:r>
            <w:r>
              <w:t xml:space="preserve"> av den </w:t>
            </w:r>
            <w:r>
              <w:rPr>
                <w:b/>
                <w:i/>
              </w:rPr>
              <w:t>24 april 2024</w:t>
            </w:r>
            <w:r>
              <w:t xml:space="preserve"> om ett enda ansökningsförfarande för ett kombinerat tillstånd för tredjelandsmedborgare att vistas och arbeta på en medlemsstats territorium och om en gemensam uppsättning rättigheter för arbetstagare från tredjeland som vistas lagligen i en medlemsstat </w:t>
            </w:r>
            <w:r>
              <w:rPr>
                <w:b/>
                <w:i/>
              </w:rPr>
              <w:t>(omarbetning)</w:t>
            </w:r>
            <w:r>
              <w:t xml:space="preserve"> (EUT L </w:t>
            </w:r>
            <w:r>
              <w:rPr>
                <w:b/>
                <w:i/>
              </w:rPr>
              <w:t>1233, 30.4.2024</w:t>
            </w:r>
            <w:r>
              <w:t>, s. 1, ELI: http://data.europa.</w:t>
            </w:r>
            <w:r>
              <w:rPr>
                <w:b/>
                <w:i/>
              </w:rPr>
              <w:t>eu/eli/dir/2024/1233/oj</w:t>
            </w:r>
            <w:r>
              <w:t>?locale=sv).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Arbetsgivarna bör också säkerställa att arbetssökande från tredjeländer behandlas likadant som medborgarna i de deltagande medlemsstaterna i enlighet med direktiv 2011/98</w:t>
            </w:r>
            <w:r>
              <w:rPr>
                <w:vertAlign w:val="superscript"/>
              </w:rPr>
              <w:t>13</w:t>
            </w:r>
            <w:r>
              <w:t>, direktiv 2014/36/EU</w:t>
            </w:r>
            <w:r>
              <w:rPr>
                <w:vertAlign w:val="superscript"/>
              </w:rPr>
              <w:t>14</w:t>
            </w:r>
            <w:r>
              <w:t>, direktiv 2021/1883/EU</w:t>
            </w:r>
            <w:r>
              <w:rPr>
                <w:vertAlign w:val="superscript"/>
              </w:rPr>
              <w:t>15</w:t>
            </w:r>
            <w:r>
              <w:t>och direktiv 2016/801/EU</w:t>
            </w:r>
            <w:r>
              <w:rPr>
                <w:vertAlign w:val="superscript"/>
              </w:rPr>
              <w:t>16</w:t>
            </w:r>
            <w:r>
              <w:t>. I enlighet med direktiv (EU) 2019/1152</w:t>
            </w:r>
            <w:r>
              <w:rPr>
                <w:vertAlign w:val="superscript"/>
              </w:rPr>
              <w:t>17</w:t>
            </w:r>
            <w:r>
              <w:t>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plats och typ av arbete, anställningstid,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c>
          <w:tcPr>
            <w:tcW w:w="4876" w:type="dxa"/>
            <w:tcBorders>
              <w:top w:val="nil"/>
              <w:left w:val="nil"/>
              <w:bottom w:val="nil"/>
              <w:right w:val="nil"/>
            </w:tcBorders>
          </w:tcPr>
          <w:p>
            <w:pPr>
              <w:pStyle w:val="Normal6a"/>
            </w:pPr>
            <w:r>
              <w:t>(23)</w:t>
            </w:r>
            <w:r>
              <w:tab/>
            </w:r>
            <w:r>
              <w:t>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Arbetsgivarna bör också säkerställa att arbetssökande från tredjeländer behandlas likadant som medborgarna i de deltagande medlemsstaterna i enlighet med direktiv 2011/98</w:t>
            </w:r>
            <w:r>
              <w:rPr>
                <w:vertAlign w:val="superscript"/>
              </w:rPr>
              <w:t>13</w:t>
            </w:r>
            <w:r>
              <w:t>, direktiv 2014/36/EU</w:t>
            </w:r>
            <w:r>
              <w:rPr>
                <w:vertAlign w:val="superscript"/>
              </w:rPr>
              <w:t>14</w:t>
            </w:r>
            <w:r>
              <w:t>, direktiv 2021/1883/EU</w:t>
            </w:r>
            <w:r>
              <w:rPr>
                <w:vertAlign w:val="superscript"/>
              </w:rPr>
              <w:t>15</w:t>
            </w:r>
            <w:r>
              <w:t xml:space="preserve"> och direktiv 2016/801/EU</w:t>
            </w:r>
            <w:r>
              <w:rPr>
                <w:vertAlign w:val="superscript"/>
              </w:rPr>
              <w:t>16</w:t>
            </w:r>
            <w:r>
              <w:t>. I enlighet med direktiv (EU) 2019/1152</w:t>
            </w:r>
            <w:r>
              <w:rPr>
                <w:vertAlign w:val="superscript"/>
              </w:rPr>
              <w:t>17</w:t>
            </w:r>
            <w:r>
              <w:t xml:space="preserve"> 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plats och typ av arbete, anställningstid</w:t>
            </w:r>
            <w:r>
              <w:rPr>
                <w:b/>
                <w:i/>
              </w:rPr>
              <w:t>, uppsägningsrätt</w:t>
            </w:r>
            <w:r>
              <w:t>,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 1, ELI: http://data.europa.eu/eli/dir/2011/98/oj?locale=sv).</w:t>
            </w:r>
          </w:p>
        </w:tc>
        <w:tc>
          <w:tcPr>
            <w:tcW w:w="4876" w:type="dxa"/>
            <w:tcBorders>
              <w:top w:val="nil"/>
              <w:left w:val="nil"/>
              <w:bottom w:val="nil"/>
              <w:right w:val="nil"/>
            </w:tcBorders>
          </w:tcPr>
          <w:p>
            <w:pPr>
              <w:pStyle w:val="Normal6a"/>
            </w:pPr>
            <w:r>
              <w:rPr>
                <w:vertAlign w:val="superscript"/>
              </w:rPr>
              <w:t>13</w:t>
            </w:r>
            <w:r>
              <w:t xml:space="preserve"> </w:t>
            </w:r>
            <w: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 1, ELI: http://data.europa.eu/eli/dir/2011/98/oj?locale=sv).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Arbetsgivarna bör också säkerställa att arbetssökande från tredjeländer behandlas likadant som medborgarna i de deltagande medlemsstaterna i enlighet med direktiv 2011/98</w:t>
            </w:r>
            <w:r>
              <w:rPr>
                <w:vertAlign w:val="superscript"/>
              </w:rPr>
              <w:t>13</w:t>
            </w:r>
            <w:r>
              <w:t>, direktiv 2014/36/EU</w:t>
            </w:r>
            <w:r>
              <w:rPr>
                <w:vertAlign w:val="superscript"/>
              </w:rPr>
              <w:t>14</w:t>
            </w:r>
            <w:r>
              <w:t>, direktiv 2021/1883/EU</w:t>
            </w:r>
            <w:r>
              <w:rPr>
                <w:vertAlign w:val="superscript"/>
              </w:rPr>
              <w:t>15</w:t>
            </w:r>
            <w:r>
              <w:t>och direktiv 2016/801/EU</w:t>
            </w:r>
            <w:r>
              <w:rPr>
                <w:vertAlign w:val="superscript"/>
              </w:rPr>
              <w:t>16</w:t>
            </w:r>
            <w:r>
              <w:t>. I enlighet med direktiv (EU) 2019/1152</w:t>
            </w:r>
            <w:r>
              <w:rPr>
                <w:vertAlign w:val="superscript"/>
              </w:rPr>
              <w:t>17</w:t>
            </w:r>
            <w:r>
              <w:t xml:space="preserve">bör arbetsgivare som deltar i EU:s talangreserv tillhandahålla skriftlig information till registrerade arbetssökande från tredjeländer på ett </w:t>
            </w:r>
            <w:r>
              <w:rPr>
                <w:b/>
                <w:i/>
              </w:rPr>
              <w:t>begripligt</w:t>
            </w:r>
            <w:r>
              <w:t xml:space="preserve"> språk om deras rättigheter och skyldigheter enligt anställningsförhållandet när anställningen börjar. Denna information bör åtminstone omfatta plats och typ av arbete, anställningstid,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c>
          <w:tcPr>
            <w:tcW w:w="4876" w:type="dxa"/>
            <w:tcBorders>
              <w:top w:val="nil"/>
              <w:left w:val="nil"/>
              <w:bottom w:val="nil"/>
              <w:right w:val="nil"/>
            </w:tcBorders>
          </w:tcPr>
          <w:p>
            <w:pPr>
              <w:pStyle w:val="Normal6a"/>
            </w:pPr>
            <w:r>
              <w:t>(23)</w:t>
            </w:r>
            <w:r>
              <w:tab/>
            </w:r>
            <w:r>
              <w:t>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Arbetsgivarna bör också säkerställa att arbetssökande från tredjeländer behandlas likadant som medborgarna i de deltagande medlemsstaterna i enlighet med direktiv 2011/98</w:t>
            </w:r>
            <w:r>
              <w:rPr>
                <w:vertAlign w:val="superscript"/>
              </w:rPr>
              <w:t>13</w:t>
            </w:r>
            <w:r>
              <w:t>, direktiv 2014/36/EU</w:t>
            </w:r>
            <w:r>
              <w:rPr>
                <w:vertAlign w:val="superscript"/>
              </w:rPr>
              <w:t>14</w:t>
            </w:r>
            <w:r>
              <w:t>, direktiv 2021/1883/EU</w:t>
            </w:r>
            <w:r>
              <w:rPr>
                <w:vertAlign w:val="superscript"/>
              </w:rPr>
              <w:t>15</w:t>
            </w:r>
            <w:r>
              <w:t xml:space="preserve"> och direktiv 2016/801/EU</w:t>
            </w:r>
            <w:r>
              <w:rPr>
                <w:vertAlign w:val="superscript"/>
              </w:rPr>
              <w:t>16</w:t>
            </w:r>
            <w:r>
              <w:t>. I enlighet med direktiv (EU) 2019/1152</w:t>
            </w:r>
            <w:r>
              <w:rPr>
                <w:vertAlign w:val="superscript"/>
              </w:rPr>
              <w:t>17</w:t>
            </w:r>
            <w:r>
              <w:t xml:space="preserve"> bör arbetsgivare som deltar i EU:s talangreserv tillhandahålla skriftlig information till registrerade arbetssökande från tredjeländer på ett </w:t>
            </w:r>
            <w:r>
              <w:rPr>
                <w:b/>
                <w:i/>
              </w:rPr>
              <w:t>av EU:s officiella</w:t>
            </w:r>
            <w:r>
              <w:t xml:space="preserve"> språk om deras rättigheter och skyldigheter enligt anställningsförhållandet när anställningen börjar. Denna information bör åtminstone omfatta plats och typ av arbete, anställningstid,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 1, ELI: http://data.europa.eu/eli/dir/2011/98/oj?locale=sv).</w:t>
            </w:r>
          </w:p>
        </w:tc>
        <w:tc>
          <w:tcPr>
            <w:tcW w:w="4876" w:type="dxa"/>
            <w:tcBorders>
              <w:top w:val="nil"/>
              <w:left w:val="nil"/>
              <w:bottom w:val="nil"/>
              <w:right w:val="nil"/>
            </w:tcBorders>
          </w:tcPr>
          <w:p>
            <w:pPr>
              <w:pStyle w:val="Normal6a"/>
            </w:pPr>
            <w:r>
              <w:rPr>
                <w:vertAlign w:val="superscript"/>
              </w:rPr>
              <w:t>13</w:t>
            </w:r>
            <w:r>
              <w:t xml:space="preserve"> </w:t>
            </w:r>
            <w: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 1, ELI: http://data.europa.eu/eli/dir/2011/98/oj?locale=sv).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Arbetsgivarna bör också säkerställa att arbetssökande från tredjeländer behandlas likadant som medborgarna i de deltagande medlemsstaterna i enlighet med direktiv </w:t>
            </w:r>
            <w:r>
              <w:rPr>
                <w:b/>
                <w:i/>
              </w:rPr>
              <w:t>2011/98</w:t>
            </w:r>
            <w:r>
              <w:rPr>
                <w:b/>
                <w:i/>
                <w:vertAlign w:val="superscript"/>
              </w:rPr>
              <w:t>13</w:t>
            </w:r>
            <w:r>
              <w:t>, direktiv 2014/36/EU</w:t>
            </w:r>
            <w:r>
              <w:rPr>
                <w:vertAlign w:val="superscript"/>
              </w:rPr>
              <w:t>14</w:t>
            </w:r>
            <w:r>
              <w:t>, direktiv 2021/1883/EU</w:t>
            </w:r>
            <w:r>
              <w:rPr>
                <w:vertAlign w:val="superscript"/>
              </w:rPr>
              <w:t>15</w:t>
            </w:r>
            <w:r>
              <w:t>och direktiv 2016/801/EU</w:t>
            </w:r>
            <w:r>
              <w:rPr>
                <w:vertAlign w:val="superscript"/>
              </w:rPr>
              <w:t>16</w:t>
            </w:r>
            <w:r>
              <w:t>. I enlighet med direktiv (EU) 2019/1152</w:t>
            </w:r>
            <w:r>
              <w:rPr>
                <w:vertAlign w:val="superscript"/>
              </w:rPr>
              <w:t>17</w:t>
            </w:r>
            <w:r>
              <w:t xml:space="preserve">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plats </w:t>
            </w:r>
            <w:r>
              <w:rPr>
                <w:b/>
                <w:i/>
              </w:rPr>
              <w:t>och</w:t>
            </w:r>
            <w:r>
              <w:t xml:space="preserve"> typ av arbete, anställningstid,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c>
          <w:tcPr>
            <w:tcW w:w="4876" w:type="dxa"/>
            <w:tcBorders>
              <w:top w:val="nil"/>
              <w:left w:val="nil"/>
              <w:bottom w:val="nil"/>
              <w:right w:val="nil"/>
            </w:tcBorders>
          </w:tcPr>
          <w:p>
            <w:pPr>
              <w:pStyle w:val="Normal6a"/>
            </w:pPr>
            <w:r>
              <w:t>(23)</w:t>
            </w:r>
            <w:r>
              <w:tab/>
            </w:r>
            <w:r>
              <w:t xml:space="preserve">Internationella arbetsorganisationen fastställer i sina allmänna principer och operativa riktlinjer för rättvis rekrytering ett antal normer för adekvat skydd mot orättvis rekrytering för arbetssökande från tredjeländer. Arbetsgivarna bör följa tillämplig unionsrätt och unionspraxis. Arbetsgivarna bör också säkerställa att arbetssökande från tredjeländer behandlas likadant som medborgarna i de deltagande medlemsstaterna i enlighet med direktiv </w:t>
            </w:r>
            <w:r>
              <w:rPr>
                <w:b/>
                <w:i/>
              </w:rPr>
              <w:t>2024/1233</w:t>
            </w:r>
            <w:r>
              <w:t>, direktiv 2014/36/EU</w:t>
            </w:r>
            <w:r>
              <w:rPr>
                <w:vertAlign w:val="superscript"/>
              </w:rPr>
              <w:t>14</w:t>
            </w:r>
            <w:r>
              <w:t>, direktiv 2021/1883/EU</w:t>
            </w:r>
            <w:r>
              <w:rPr>
                <w:vertAlign w:val="superscript"/>
              </w:rPr>
              <w:t>15</w:t>
            </w:r>
            <w:r>
              <w:t xml:space="preserve"> och direktiv 2016/801/EU</w:t>
            </w:r>
            <w:r>
              <w:rPr>
                <w:vertAlign w:val="superscript"/>
              </w:rPr>
              <w:t>16</w:t>
            </w:r>
            <w:r>
              <w:t>. I enlighet med direktiv (EU) 2019/1152</w:t>
            </w:r>
            <w:r>
              <w:rPr>
                <w:vertAlign w:val="superscript"/>
              </w:rPr>
              <w:t>17</w:t>
            </w:r>
            <w:r>
              <w:t xml:space="preserve"> bör arbetsgivare som deltar i EU:s talangreserv tillhandahålla skriftlig information till registrerade arbetssökande från tredjeländer på ett begripligt språk om deras rättigheter och skyldigheter enligt anställningsförhållandet när anställningen börjar. Denna information bör åtminstone omfatta </w:t>
            </w:r>
            <w:r>
              <w:rPr>
                <w:b/>
                <w:i/>
              </w:rPr>
              <w:t>den </w:t>
            </w:r>
            <w:r>
              <w:t>plats </w:t>
            </w:r>
            <w:r>
              <w:rPr>
                <w:b/>
                <w:i/>
              </w:rPr>
              <w:t>där arbetet vanligtvis utförs,</w:t>
            </w:r>
            <w:r>
              <w:t> typ av arbete, anställningstid, lön, arbetstid, betald ledighet och andra relevanta arbetsvillkor. Arbetsgivare bör varken ta ut någon rekryteringsavgift eller hindra en arbetstagare från att ta anställning hos andra arbetsgivare, utanför det arbetsschema som den arbetsgivaren har fastställt, eller utsätta arbetstagare för ogynnsam behandling i sådana fall. Arbetsgivare som deltar i EU:s talangreserv bör följa direktiv 96/71/EG</w:t>
            </w:r>
            <w:r>
              <w:rPr>
                <w:vertAlign w:val="superscript"/>
              </w:rPr>
              <w:t>18</w:t>
            </w:r>
            <w:r>
              <w:t>, ändrat genom direktiv (EU) 2018/957, när de utstationerar arbetstagare i samband med tillhandahållande av tjänster, särskilt när det gäller arbets- och anställningsvillkor som fastställts på detta sätt, såsom kravet på att arbetstagare från tredjeland endast kan utstationeras till en medlemsstat om de är lagligen och stadigvarande sysselsatta i en annan medlemsstat.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Europaparlamentets och rådets direktiv 2011/98/EU av den 13 december 2011 om ett enda ansökningsförfarande för ett kombinerat tillstånd för tredjelandsmedborgare att vistas och arbeta på en medlemsstats territorium och om en gemensam uppsättning rättigheter för arbetstagare från tredjeland som vistas lagligen i en medlemsstat (EUT L 343, 23.12.2011, s.</w:t>
            </w:r>
            <w:r>
              <w:t xml:space="preserve"> </w:t>
            </w:r>
            <w:r>
              <w:rPr>
                <w:b/>
                <w:i/>
              </w:rPr>
              <w:t>1, ELI: http://data.europa.eu/eli/dir/2011/98/oj?locale=sv).</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c>
          <w:tcPr>
            <w:tcW w:w="4876" w:type="dxa"/>
            <w:tcBorders>
              <w:top w:val="nil"/>
              <w:left w:val="nil"/>
              <w:bottom w:val="nil"/>
              <w:right w:val="nil"/>
            </w:tcBorders>
          </w:tcPr>
          <w:p>
            <w:pPr>
              <w:pStyle w:val="Normal6a"/>
            </w:pPr>
            <w:r>
              <w:rPr>
                <w:vertAlign w:val="superscript"/>
              </w:rPr>
              <w:t>14</w:t>
            </w:r>
            <w:r>
              <w:t xml:space="preserve"> </w:t>
            </w:r>
            <w:r>
              <w:t>Europaparlamentets och rådets direktiv 2014/36/EU av den 26 februari 2014 om villkor för tredjelandsmedborgares inresa och vistelse för säsongsanställning (EUT L 94, 28.3.2014, s. 375, ELI: http://data.europa.eu/eli/dir/2014/36/oj?locale=sv).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c>
          <w:tcPr>
            <w:tcW w:w="4876" w:type="dxa"/>
            <w:tcBorders>
              <w:top w:val="nil"/>
              <w:left w:val="nil"/>
              <w:bottom w:val="nil"/>
              <w:right w:val="nil"/>
            </w:tcBorders>
          </w:tcPr>
          <w:p>
            <w:pPr>
              <w:pStyle w:val="Normal6a"/>
            </w:pPr>
            <w:r>
              <w:rPr>
                <w:vertAlign w:val="superscript"/>
              </w:rPr>
              <w:t>15</w:t>
            </w:r>
            <w:r>
              <w:t xml:space="preserve"> </w:t>
            </w:r>
            <w:r>
              <w:t>Europaparlamentets och rådets direktiv (EU) 2021/1883 av den 20 oktober 2021 om villkor för tredjelandsmedborgares inresa och vistelse för högkvalificerad anställning och om upphävande av rådets direktiv 2009/50/EG (EUT L 382, 28.10.2021, s. 1, ELI: http://data.europa.eu/eli/dir/2021/1883/oj?locale=sv).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c>
          <w:tcPr>
            <w:tcW w:w="4876" w:type="dxa"/>
            <w:tcBorders>
              <w:top w:val="nil"/>
              <w:left w:val="nil"/>
              <w:bottom w:val="nil"/>
              <w:right w:val="nil"/>
            </w:tcBorders>
          </w:tcPr>
          <w:p>
            <w:pPr>
              <w:pStyle w:val="Normal6a"/>
            </w:pPr>
            <w:r>
              <w:rPr>
                <w:vertAlign w:val="superscript"/>
              </w:rPr>
              <w:t>16</w:t>
            </w:r>
            <w:r>
              <w:t xml:space="preserve"> </w:t>
            </w:r>
            <w:r>
              <w:t>Europaparlamentets och rådets direktiv (EU) 2016/801 av den 11 maj 2016 om villkoren för tredjelandsmedborgares inresa och vistelse för forskning, studier, praktik, volontärarbete, deltagande i elevutbytesprogram eller utbildningsprojekt och för au pairarbete (omarbetning) (EUT L 132, 21.5.2016, s. 21, ELI: http://data.europa.eu/eli/dir/2016/801/oj?locale=sv).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c>
          <w:tcPr>
            <w:tcW w:w="4876" w:type="dxa"/>
            <w:tcBorders>
              <w:top w:val="nil"/>
              <w:left w:val="nil"/>
              <w:bottom w:val="nil"/>
              <w:right w:val="nil"/>
            </w:tcBorders>
          </w:tcPr>
          <w:p>
            <w:pPr>
              <w:pStyle w:val="Normal6a"/>
            </w:pPr>
            <w:r>
              <w:rPr>
                <w:vertAlign w:val="superscript"/>
              </w:rPr>
              <w:t>17</w:t>
            </w:r>
            <w:r>
              <w:t xml:space="preserve"> </w:t>
            </w:r>
            <w:r>
              <w:t>Europaparlamentets och rådets direktiv (EU) 2019/1152 av den 20 juni 2019 om tydliga och förutsägbara arbetsvillkor i Europeiska unionen (EUT L 186, 11.7.2019, s. 105, ELI: http://data.europa.eu/eli/dir/2019/1152/oj?locale=sv).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c>
          <w:tcPr>
            <w:tcW w:w="4876" w:type="dxa"/>
            <w:tcBorders>
              <w:top w:val="nil"/>
              <w:left w:val="nil"/>
              <w:bottom w:val="nil"/>
              <w:right w:val="nil"/>
            </w:tcBorders>
          </w:tcPr>
          <w:p>
            <w:pPr>
              <w:pStyle w:val="Normal6a"/>
            </w:pPr>
            <w:r>
              <w:rPr>
                <w:vertAlign w:val="superscript"/>
              </w:rPr>
              <w:t>18</w:t>
            </w:r>
            <w:r>
              <w:t xml:space="preserve"> </w:t>
            </w:r>
            <w:r>
              <w:t>Europaparlamentets och rådets direktiv 96/71/EG av den 16 december 1996 om utstationering av arbetstagare i samband med tillhandahållande av tjänster (EGT L 18, 21.1.1997, s. 1, ELI: http://data.europa.eu/eli/dir/1996/71/oj?locale=sv).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För att säkerställa matchning av hög kvalitet bör registrerade arbetssökande från tredjeländer och arbetsgivare som deltar i EU:s talangreserv få en förteckning över föreslagna registrerade arbetssökarprofiler och lediga platser, som baseras på relevansen av de arbetssökandes kompetens, kvalifikationer och arbetslivserfarenhet för den lediga platsen. Förteckningen genereras av det automatiska matchningsverktyget på it-plattformen för EU:s talangreserv.</w:t>
            </w:r>
          </w:p>
        </w:tc>
        <w:tc>
          <w:tcPr>
            <w:tcW w:w="4876" w:type="dxa"/>
            <w:tcBorders>
              <w:top w:val="nil"/>
              <w:left w:val="nil"/>
              <w:bottom w:val="nil"/>
              <w:right w:val="nil"/>
            </w:tcBorders>
          </w:tcPr>
          <w:p>
            <w:pPr>
              <w:pStyle w:val="Normal6a"/>
            </w:pPr>
            <w:r>
              <w:t>(24)</w:t>
            </w:r>
            <w:r>
              <w:tab/>
            </w:r>
            <w:r>
              <w:t>För att säkerställa matchning av hög kvalitet bör registrerade arbetssökande från tredjeländer och arbetsgivare som deltar i EU:s talangreserv få en förteckning över föreslagna registrerade arbetssökarprofiler och lediga platser, som baseras på relevansen av de arbetssökandes kompetens, kvalifikationer och arbetslivserfarenhet för den lediga platsen. Förteckningen genereras av det automatiska matchningsverktyget på it-plattformen för EU:s talangreserv</w:t>
            </w:r>
            <w:r>
              <w:rPr>
                <w:b/>
                <w:i/>
              </w:rPr>
              <w:t>, eller av andra matchningsalgoritmer som körs på plattformen om arbetssökande och arbetsgivare går med på att använda dessa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För att säkerställa matchning av hög kvalitet bör registrerade arbetssökande från tredjeländer och arbetsgivare som deltar i EU:s talangreserv få en förteckning över föreslagna registrerade arbetssökarprofiler och lediga platser, som baseras på relevansen av de arbetssökandes kompetens, kvalifikationer och arbetslivserfarenhet för den lediga platsen. Förteckningen genereras av det automatiska matchningsverktyget på it-plattformen för EU:s talangreserv.</w:t>
            </w:r>
          </w:p>
        </w:tc>
        <w:tc>
          <w:tcPr>
            <w:tcW w:w="4876" w:type="dxa"/>
            <w:tcBorders>
              <w:top w:val="nil"/>
              <w:left w:val="nil"/>
              <w:bottom w:val="nil"/>
              <w:right w:val="nil"/>
            </w:tcBorders>
          </w:tcPr>
          <w:p>
            <w:pPr>
              <w:pStyle w:val="Normal6a"/>
            </w:pPr>
            <w:r>
              <w:t>(24)</w:t>
            </w:r>
            <w:r>
              <w:tab/>
            </w:r>
            <w:r>
              <w:t xml:space="preserve">För att säkerställa matchning av hög kvalitet bör registrerade arbetssökande från tredjeländer och arbetsgivare som deltar i EU:s talangreserv få en förteckning över föreslagna registrerade arbetssökarprofiler och lediga platser, som baseras på relevansen av de arbetssökandes kompetens, </w:t>
            </w:r>
            <w:r>
              <w:rPr>
                <w:b/>
                <w:i/>
              </w:rPr>
              <w:t>tillgänglighet,</w:t>
            </w:r>
            <w:r>
              <w:t xml:space="preserve"> kvalifikationer och arbetslivserfarenhet för den lediga platsen. Förteckningen genereras av det automatiska matchningsverktyget på it-plattformen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w:t>
            </w:r>
            <w:r>
              <w:rPr>
                <w:b/>
                <w:i/>
              </w:rPr>
              <w:t>medlemsstaternas insatser för att ta itu med</w:t>
            </w:r>
            <w:r>
              <w:t xml:space="preserve"> befintlig och framtida brist på arbetskraft bör EU:s talangreserv </w:t>
            </w:r>
            <w:r>
              <w:rPr>
                <w:b/>
                <w:i/>
              </w:rPr>
              <w:t>inriktas på specifika yrken på alla kompetensnivåer, baserat på</w:t>
            </w:r>
            <w:r>
              <w:t xml:space="preserve"> de vanligaste bristyrkena i unionen och </w:t>
            </w:r>
            <w:r>
              <w:rPr>
                <w:b/>
                <w:i/>
              </w:rPr>
              <w:t>på</w:t>
            </w:r>
            <w:r>
              <w:t xml:space="preserve"> yrken som bidrar direkt till den gröna och den digitala omställningen, </w:t>
            </w:r>
            <w:r>
              <w:rPr>
                <w:b/>
                <w:i/>
              </w:rPr>
              <w:t>som</w:t>
            </w:r>
            <w:r>
              <w:t xml:space="preserve"> anges i bilagan till denna förordning. </w:t>
            </w:r>
            <w:r>
              <w:rPr>
                <w:b/>
                <w:i/>
              </w:rPr>
              <w:t>För att anpassa de lediga platserna till de nationella arbetsmarknadernas särskilda behov och med utgångspunkt i den förteckning över bristyrken i hela EU som anges i bilagan får de deltagande medlemsstaterna underrätta</w:t>
            </w:r>
            <w:r>
              <w:t xml:space="preserve"> sekretariatet för EU:s talangreserv om de vill lägga till eller ta bort särskilda bristyrken</w:t>
            </w:r>
            <w:r>
              <w:rPr>
                <w:b/>
                <w:i/>
              </w:rPr>
              <w:t>.</w:t>
            </w:r>
            <w:r>
              <w:t xml:space="preserve"> </w:t>
            </w:r>
            <w:r>
              <w:rPr>
                <w:b/>
                <w:i/>
              </w:rPr>
              <w:t>Sådana underrättelser bör endast påverka matchningarna för lediga platser som lämnats in av respektive medlemsstat.</w:t>
            </w:r>
            <w:r>
              <w:t xml:space="preserve"> </w:t>
            </w:r>
            <w:r>
              <w:rPr>
                <w:b/>
                <w:i/>
              </w:rPr>
              <w:t>Varken förteckningen över bristyrken i hela EU eller medlemsstaternas underrättelser bör påverka principen om företräde för unionsmedborgare</w:t>
            </w:r>
            <w:r>
              <w:t>.</w:t>
            </w:r>
          </w:p>
        </w:tc>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w:t>
            </w:r>
            <w:r>
              <w:rPr>
                <w:b/>
                <w:i/>
              </w:rPr>
              <w:t>medlemsstater och arbetssökande i identifieringen av</w:t>
            </w:r>
            <w:r>
              <w:t xml:space="preserve"> befintlig och framtida brist på arbetskraft bör EU:s talangreserv </w:t>
            </w:r>
            <w:r>
              <w:rPr>
                <w:b/>
                <w:i/>
              </w:rPr>
              <w:t>innehålla en förteckning över bristyrken i hela EU med</w:t>
            </w:r>
            <w:r>
              <w:t xml:space="preserve"> de vanligaste bristyrkena i unionen och yrken som bidrar direkt till den gröna och den digitala omställningen, </w:t>
            </w:r>
            <w:r>
              <w:rPr>
                <w:b/>
                <w:i/>
              </w:rPr>
              <w:t>och denna förteckning</w:t>
            </w:r>
            <w:r>
              <w:t xml:space="preserve"> anges i bilagan till denna förordning. </w:t>
            </w:r>
            <w:r>
              <w:rPr>
                <w:b/>
                <w:i/>
              </w:rPr>
              <w:t>Medlemsstaterna bör informera</w:t>
            </w:r>
            <w:r>
              <w:t xml:space="preserve"> sekretariatet för EU:s talangreserv om de vill lägga till eller ta bort särskilda bristyrken </w:t>
            </w:r>
            <w:r>
              <w:rPr>
                <w:b/>
                <w:i/>
              </w:rPr>
              <w:t>i förteckningen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Plattformen för EU:s talangreserv bör tillgodose fastställda </w:t>
            </w:r>
            <w:r>
              <w:rPr>
                <w:b/>
                <w:i/>
              </w:rPr>
              <w:t>behov på arbetsmarknaden</w:t>
            </w:r>
            <w:r>
              <w:t xml:space="preserve">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bör EU:s talangreserv inriktas på specifika yrken </w:t>
            </w:r>
            <w:r>
              <w:rPr>
                <w:b/>
                <w:i/>
              </w:rPr>
              <w:t>på alla kompetensnivåer</w:t>
            </w:r>
            <w:r>
              <w:t xml:space="preserve">, baserat på </w:t>
            </w:r>
            <w:r>
              <w:rPr>
                <w:b/>
                <w:i/>
              </w:rPr>
              <w:t>de vanligaste bristyrkena i unionen och på</w:t>
            </w:r>
            <w:r>
              <w:t xml:space="preserve"> yrken som bidrar </w:t>
            </w:r>
            <w:r>
              <w:rPr>
                <w:b/>
                <w:i/>
              </w:rPr>
              <w:t>direkt</w:t>
            </w:r>
            <w:r>
              <w:t xml:space="preserve"> till den gröna och den digitala omställningen</w:t>
            </w:r>
            <w:r>
              <w:rPr>
                <w:b/>
                <w:i/>
              </w:rPr>
              <w:t>, som anges i bilagan till denna förordning.</w:t>
            </w:r>
            <w:r>
              <w:t xml:space="preserve"> </w:t>
            </w:r>
            <w:r>
              <w:rPr>
                <w:b/>
                <w:i/>
              </w:rPr>
              <w:t>För att anpassa de lediga platserna till de nationella arbetsmarknadernas särskilda behov och med utgångspunkt i den förteckning över bristyrken i hela EU som anges i bilagan får de deltagande medlemsstaterna underrätta sekretariatet för</w:t>
            </w:r>
            <w:r>
              <w:t xml:space="preserve"> EU:s talangreserv </w:t>
            </w:r>
            <w:r>
              <w:rPr>
                <w:b/>
                <w:i/>
              </w:rPr>
              <w:t>om de vill lägga till eller ta bort särskilda bristyrken.</w:t>
            </w:r>
            <w:r>
              <w:t xml:space="preserve"> </w:t>
            </w:r>
            <w:r>
              <w:rPr>
                <w:b/>
                <w:i/>
              </w:rPr>
              <w:t>Sådana underrättelser bör endast påverka matchningarna</w:t>
            </w:r>
            <w:r>
              <w:t xml:space="preserve"> för lediga platser </w:t>
            </w:r>
            <w:r>
              <w:rPr>
                <w:b/>
                <w:i/>
              </w:rPr>
              <w:t>som lämnats in av respektive medlemsstat.</w:t>
            </w:r>
            <w:r>
              <w:t xml:space="preserve"> </w:t>
            </w:r>
            <w:r>
              <w:rPr>
                <w:b/>
                <w:i/>
              </w:rPr>
              <w:t>Varken förteckningen över bristyrken i hela EU eller medlemsstaternas underrättelser bör påverka principen om företräde för unionsmedborgare</w:t>
            </w:r>
            <w:r>
              <w:t>.</w:t>
            </w:r>
          </w:p>
        </w:tc>
        <w:tc>
          <w:tcPr>
            <w:tcW w:w="4876" w:type="dxa"/>
            <w:tcBorders>
              <w:top w:val="nil"/>
              <w:left w:val="nil"/>
              <w:bottom w:val="nil"/>
              <w:right w:val="nil"/>
            </w:tcBorders>
          </w:tcPr>
          <w:p>
            <w:pPr>
              <w:pStyle w:val="Normal6a"/>
            </w:pPr>
            <w:r>
              <w:t>(25)</w:t>
            </w:r>
            <w:r>
              <w:tab/>
            </w:r>
            <w:r>
              <w:t xml:space="preserve">Plattformen för EU:s talangreserv bör tillgodose fastställda </w:t>
            </w:r>
            <w:r>
              <w:rPr>
                <w:b/>
                <w:i/>
              </w:rPr>
              <w:t>arbetsmarknadsbehov</w:t>
            </w:r>
            <w:r>
              <w:t xml:space="preserve">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bör EU:s talangreserv inriktas på specifika yrken, baserat på </w:t>
            </w:r>
            <w:r>
              <w:rPr>
                <w:b/>
                <w:i/>
              </w:rPr>
              <w:t>bristyrken och</w:t>
            </w:r>
            <w:r>
              <w:t xml:space="preserve"> yrken som bidrar till den gröna och den digitala omställningen </w:t>
            </w:r>
            <w:r>
              <w:rPr>
                <w:b/>
                <w:i/>
              </w:rPr>
              <w:t>i medlemsstaterna.</w:t>
            </w:r>
            <w:r>
              <w:t xml:space="preserve"> EU:s talangreserv </w:t>
            </w:r>
            <w:r>
              <w:rPr>
                <w:b/>
                <w:i/>
              </w:rPr>
              <w:t>bör inte påverka principen om företräde för unionsmedborgare och bör därför användas</w:t>
            </w:r>
            <w:r>
              <w:t xml:space="preserve"> för lediga platser </w:t>
            </w:r>
            <w:r>
              <w:rPr>
                <w:b/>
                <w:i/>
              </w:rPr>
              <w:t>och rekrytering endast om en ledig plats inte kan tillsättas genom rekrytering i unionen med hjälp av nationella arbetsförmedlingar och Eures-portalen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bör EU:s talangreserv inriktas på specifika yrken på alla kompetensnivåer, baserat på de vanligaste bristyrkena i unionen och på yrken som bidrar direkt till den gröna och den digitala omställningen, som anges i bilagan till denna förordning. För att anpassa de lediga platserna till de nationella arbetsmarknadernas särskilda behov och med utgångspunkt i den förteckning över bristyrken i hela EU som anges i bilagan får de deltagande medlemsstaterna underrätta sekretariatet för EU:s talangreserv om de vill lägga till eller ta bort särskilda bristyrken. Sådana underrättelser bör endast påverka matchningarna för lediga platser som lämnats in av respektive medlemsstat. Varken förteckningen över bristyrken i hela EU eller medlemsstaternas underrättelser bör påverka principen om företräde för unionsmedborgare.</w:t>
            </w:r>
          </w:p>
        </w:tc>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bör EU:s talangreserv inriktas på specifika yrken på alla kompetensnivåer, baserat på de vanligaste bristyrkena i unionen och på yrken som bidrar direkt till den gröna och den digitala omställningen, som anges i bilagan till denna förordning. För att anpassa de lediga platserna till de nationella arbetsmarknadernas särskilda behov och med utgångspunkt i den förteckning över bristyrken i hela EU som anges i bilagan får de deltagande medlemsstaterna underrätta sekretariatet för EU:s talangreserv om de vill lägga till eller ta bort särskilda bristyrken. Sådana underrättelser bör endast påverka matchningarna för lediga platser som lämnats in av respektive medlemsstat. </w:t>
            </w:r>
            <w:r>
              <w:rPr>
                <w:b/>
                <w:i/>
              </w:rPr>
              <w:t>Med tanke på att förteckningen över bristyrken baseras på gemensamma bristyrken på nationell nivå bör medlemsstaterna inte tillämpa arbetsmarknadsprövning när de beviljar uppehållstillstånd och arbetstillstånd för arbetssökande från tredjeländer som har valts ut för en ledig plats som offentliggjorts på plattformen för EU:s talangreserv.</w:t>
            </w:r>
            <w:r>
              <w:t xml:space="preserve"> Varken förteckningen över bristyrken i hela EU eller medlemsstaternas underrättelser bör påverka principen om företräde för unionsmedborgare.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bör EU:s talangreserv inriktas på specifika yrken </w:t>
            </w:r>
            <w:r>
              <w:rPr>
                <w:b/>
                <w:i/>
              </w:rPr>
              <w:t>på alla kompetensnivåer, baserat på de vanligaste bristyrkena i unionen och på yrken som bidrar direkt till den gröna och den digitala omställningen,</w:t>
            </w:r>
            <w:r>
              <w:t xml:space="preserve"> som anges i </w:t>
            </w:r>
            <w:r>
              <w:rPr>
                <w:b/>
                <w:i/>
              </w:rPr>
              <w:t>bilagan</w:t>
            </w:r>
            <w:r>
              <w:t xml:space="preserve"> till denna förordning. För att anpassa de lediga platserna till de nationella arbetsmarknadernas särskilda behov </w:t>
            </w:r>
            <w:r>
              <w:rPr>
                <w:b/>
                <w:i/>
              </w:rPr>
              <w:t>och med utgångspunkt i den förteckning över bristyrken i hela EU som anges i bilagan</w:t>
            </w:r>
            <w:r>
              <w:t xml:space="preserve"> får de deltagande medlemsstaterna underrätta sekretariatet för EU:s talangreserv om de vill lägga till eller ta bort särskilda bristyrken. Sådana underrättelser bör endast påverka matchningarna för lediga platser som lämnats in av respektive medlemsstat. </w:t>
            </w:r>
            <w:r>
              <w:rPr>
                <w:b/>
                <w:i/>
              </w:rPr>
              <w:t>Varken förteckningen över bristyrken i hela EU eller medlemsstaternas underrättelser bör påverka principen om företräde för unionsmedborgare</w:t>
            </w:r>
            <w:r>
              <w:t>.</w:t>
            </w:r>
          </w:p>
        </w:tc>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bör EU:s talangreserv inriktas på specifika yrken </w:t>
            </w:r>
            <w:r>
              <w:rPr>
                <w:b/>
                <w:i/>
              </w:rPr>
              <w:t>enligt de krav från medlemsstaterna</w:t>
            </w:r>
            <w:r>
              <w:t xml:space="preserve"> som anges i </w:t>
            </w:r>
            <w:r>
              <w:rPr>
                <w:b/>
                <w:i/>
              </w:rPr>
              <w:t>bilagorna</w:t>
            </w:r>
            <w:r>
              <w:t xml:space="preserve"> till denna förordning. För att anpassa de lediga platserna till de nationella arbetsmarknadernas särskilda behov får de deltagande medlemsstaterna underrätta sekretariatet för EU:s talangreserv om de vill lägga till eller ta bort särskilda bristyrken. Sådana underrättelser bör endast påverka matchningarna för lediga platser som lämnats in av respektive medlemsstat. </w:t>
            </w:r>
            <w:r>
              <w:rPr>
                <w:b/>
                <w:i/>
              </w:rPr>
              <w:t>EU:s talangreserv bör inte påverka principen om företräde för unionsmedborgare och bör inte bidra till att på ett oproportionerligt sätt öka invandringen till unionen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w:t>
            </w:r>
            <w:r>
              <w:rPr>
                <w:b/>
                <w:i/>
              </w:rPr>
              <w:t>bör EU:s talangreserv inriktas på specifika yrken på alla kompetensnivåer, baserat på de vanligaste bristyrkena i unionen och</w:t>
            </w:r>
            <w:r>
              <w:t xml:space="preserve"> på yrken </w:t>
            </w:r>
            <w:r>
              <w:rPr>
                <w:b/>
                <w:i/>
              </w:rPr>
              <w:t>som bidrar direkt till den gröna och den digitala omställningen, som anges i bilagan till denna förordning</w:t>
            </w:r>
            <w:r>
              <w:t xml:space="preserve">. För att anpassa de lediga platserna till de nationella arbetsmarknadernas särskilda behov och med utgångspunkt i den förteckning över bristyrken i hela EU </w:t>
            </w:r>
            <w:r>
              <w:rPr>
                <w:b/>
                <w:i/>
              </w:rPr>
              <w:t>som anges i bilagan</w:t>
            </w:r>
            <w:r>
              <w:t xml:space="preserve"> får de deltagande medlemsstaterna underrätta sekretariatet för EU:s talangreserv om de vill lägga till eller ta bort särskilda bristyrken. Sådana underrättelser bör endast påverka matchningarna för lediga platser som lämnats in av respektive medlemsstat. Varken förteckningen över bristyrken i hela EU eller medlemsstaternas underrättelser bör påverka principen om företräde för unionsmedborgare.</w:t>
            </w:r>
          </w:p>
        </w:tc>
        <w:tc>
          <w:tcPr>
            <w:tcW w:w="4876" w:type="dxa"/>
            <w:tcBorders>
              <w:top w:val="nil"/>
              <w:left w:val="nil"/>
              <w:bottom w:val="nil"/>
              <w:right w:val="nil"/>
            </w:tcBorders>
          </w:tcPr>
          <w:p>
            <w:pPr>
              <w:pStyle w:val="Normal6a"/>
            </w:pPr>
            <w:r>
              <w:t>(25)</w:t>
            </w:r>
            <w:r>
              <w:tab/>
            </w:r>
            <w:r>
              <w:t>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w:t>
            </w:r>
            <w:r>
              <w:rPr>
                <w:b/>
                <w:i/>
              </w:rPr>
              <w:t>och säkerställa att arbetskraftsmigrationen medför ekonomiska nettovinster för ekonomin bör EU:s talangreserv inriktas framför allt</w:t>
            </w:r>
            <w:r>
              <w:t xml:space="preserve"> på yrken </w:t>
            </w:r>
            <w:r>
              <w:rPr>
                <w:b/>
                <w:i/>
              </w:rPr>
              <w:t>på höga kompetensnivåer där det råder brist på arbetskraft</w:t>
            </w:r>
            <w:r>
              <w:t>. För att anpassa de lediga platserna till de nationella arbetsmarknadernas särskilda behov och med utgångspunkt i den förteckning över bristyrken i hela EU får de deltagande medlemsstaterna underrätta sekretariatet för EU:s talangreserv om de vill lägga till eller ta bort särskilda bristyrken. Sådana underrättelser bör endast påverka matchningarna för lediga platser som lämnats in av respektive medlemsstat. Varken förteckningen över bristyrken i hela EU eller medlemsstaternas underrättelser bör påverka principen om företräde för unionsmedborgare.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bör EU:s talangreserv inriktas på </w:t>
            </w:r>
            <w:r>
              <w:rPr>
                <w:b/>
                <w:i/>
              </w:rPr>
              <w:t>specifika yrken på alla kompetensnivåer, baserat på</w:t>
            </w:r>
            <w:r>
              <w:t xml:space="preserve"> de vanligaste bristyrkena i unionen och på yrken som bidrar direkt till den gröna och den digitala omställningen, som anges i bilagan till denna förordning. </w:t>
            </w:r>
            <w:r>
              <w:rPr>
                <w:b/>
                <w:i/>
              </w:rPr>
              <w:t>För att anpassa de lediga platserna till</w:t>
            </w:r>
            <w:r>
              <w:t xml:space="preserve"> de nationella arbetsmarknadernas särskilda behov och med utgångspunkt i den förteckning över bristyrken i hela EU som anges i bilagan får de deltagande medlemsstaterna </w:t>
            </w:r>
            <w:r>
              <w:rPr>
                <w:b/>
                <w:i/>
              </w:rPr>
              <w:t>underrätta sekretariatet för EU:s talangreserv om de vill lägga till eller ta bort särskilda</w:t>
            </w:r>
            <w:r>
              <w:t xml:space="preserve"> bristyrken. </w:t>
            </w:r>
            <w:r>
              <w:rPr>
                <w:b/>
                <w:i/>
              </w:rPr>
              <w:t>Sådana underrättelser bör endast påverka matchningarna för lediga platser som lämnats in av respektive medlemsstat.</w:t>
            </w:r>
            <w:r>
              <w:t xml:space="preserve"> Varken förteckningen över bristyrken i hela EU eller medlemsstaternas </w:t>
            </w:r>
            <w:r>
              <w:rPr>
                <w:b/>
                <w:i/>
              </w:rPr>
              <w:t>underrättelser</w:t>
            </w:r>
            <w:r>
              <w:t xml:space="preserve"> bör påverka principen om företräde för unionsmedborgare.</w:t>
            </w:r>
          </w:p>
        </w:tc>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bör EU:s talangreserv inriktas på </w:t>
            </w:r>
            <w:r>
              <w:rPr>
                <w:b/>
                <w:i/>
              </w:rPr>
              <w:t>alla kompetensnivåer.</w:t>
            </w:r>
            <w:r>
              <w:t xml:space="preserve"> </w:t>
            </w:r>
            <w:r>
              <w:rPr>
                <w:b/>
                <w:i/>
              </w:rPr>
              <w:t>Detta bör ske med hänsyn till, men inte bara på grundval av,</w:t>
            </w:r>
            <w:r>
              <w:t xml:space="preserve"> de vanligaste bristyrkena i unionen och på yrken som bidrar direkt till den gröna och den digitala omställningen, som anges i bilagan till denna förordning. </w:t>
            </w:r>
            <w:r>
              <w:rPr>
                <w:b/>
                <w:i/>
              </w:rPr>
              <w:t>Förteckningen över EU-omfattande bristyrken bör ge en indikation till tredjelandsmedborgare om de mest eftertraktade yrkena inom EU, utan att göra anspråk på att vara exklusiv eller uttömmande.</w:t>
            </w:r>
            <w:r>
              <w:t xml:space="preserve"> </w:t>
            </w:r>
            <w:r>
              <w:rPr>
                <w:b/>
                <w:i/>
              </w:rPr>
              <w:t>För att förmedla</w:t>
            </w:r>
            <w:r>
              <w:t xml:space="preserve"> de nationella arbetsmarknadernas särskilda behov och med utgångspunkt i den förteckning över bristyrken i hela EU som anges i bilagan får de deltagande medlemsstaterna </w:t>
            </w:r>
            <w:r>
              <w:rPr>
                <w:b/>
                <w:i/>
              </w:rPr>
              <w:t>offentliggöra nationella förteckningar över</w:t>
            </w:r>
            <w:r>
              <w:t xml:space="preserve"> bristyrken. Varken förteckningen över bristyrken i hela EU eller medlemsstaternas </w:t>
            </w:r>
            <w:r>
              <w:rPr>
                <w:b/>
                <w:i/>
              </w:rPr>
              <w:t>förteckningar</w:t>
            </w:r>
            <w:r>
              <w:t xml:space="preserve"> bör påverka principen om företräde för unionsmedborgare.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bör EU:s talangreserv inriktas på specifika yrken på alla kompetensnivåer, baserat på de vanligaste bristyrkena i unionen och på yrken som bidrar direkt till den gröna och den digitala omställningen, som anges i bilagan till denna förordning. För att anpassa de lediga platserna till de nationella arbetsmarknadernas särskilda behov och med utgångspunkt i den förteckning över bristyrken i hela EU som anges i bilagan får de deltagande medlemsstaterna underrätta sekretariatet för EU:s talangreserv om de vill lägga till eller ta bort särskilda bristyrken. Sådana underrättelser bör endast påverka matchningarna för lediga platser som lämnats in av respektive medlemsstat. Varken förteckningen över bristyrken i hela EU eller medlemsstaternas underrättelser bör påverka principen om företräde för unionsmedborgare.</w:t>
            </w:r>
          </w:p>
        </w:tc>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w:t>
            </w:r>
            <w:r>
              <w:rPr>
                <w:b/>
                <w:i/>
              </w:rPr>
              <w:t>och stärka konkurrenskraften</w:t>
            </w:r>
            <w:r>
              <w:t xml:space="preserve"> bör EU:s talangreserv inriktas på specifika yrken på alla kompetensnivåer, baserat på de vanligaste bristyrkena i unionen och på yrken som bidrar direkt till den gröna och den digitala omställningen, som anges i bilagan till denna förordning. För att anpassa de lediga platserna till de nationella arbetsmarknadernas särskilda behov och med utgångspunkt i den förteckning över bristyrken i hela EU som anges i bilagan får de deltagande medlemsstaterna underrätta sekretariatet för EU:s talangreserv om de vill lägga till eller ta bort särskilda bristyrken. Sådana underrättelser bör endast påverka matchningarna för lediga platser som lämnats in av respektive medlemsstat. Varken förteckningen över bristyrken i hela EU eller medlemsstaternas underrättelser bör påverka principen om företräde för unionsmedborgare.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bör EU:s talangreserv inriktas på specifika yrken på alla kompetensnivåer, baserat på de vanligaste bristyrkena i unionen och på yrken som bidrar direkt till den gröna och den digitala omställningen, som anges i bilagan till denna förordning. För att anpassa de lediga platserna till de nationella arbetsmarknadernas särskilda behov och med utgångspunkt i den förteckning över bristyrken i hela EU som anges i bilagan får de deltagande medlemsstaterna underrätta sekretariatet för EU:s talangreserv om de vill lägga till eller ta bort särskilda bristyrken. Sådana underrättelser bör endast påverka matchningarna för lediga platser som lämnats in av respektive medlemsstat. Varken förteckningen över bristyrken i hela EU eller medlemsstaternas underrättelser bör påverka principen om företräde för unionsmedborgare.</w:t>
            </w:r>
          </w:p>
        </w:tc>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w:t>
            </w:r>
            <w:r>
              <w:rPr>
                <w:b/>
                <w:i/>
              </w:rPr>
              <w:t>och förbättra konkurrenskraften</w:t>
            </w:r>
            <w:r>
              <w:t xml:space="preserve"> bör EU:s talangreserv inriktas på specifika yrken på alla kompetensnivåer, baserat på de vanligaste bristyrkena i unionen och på yrken som bidrar direkt till den gröna och den digitala omställningen, som anges i bilagan till denna förordning. För att anpassa de lediga platserna till de nationella arbetsmarknadernas särskilda behov och med utgångspunkt i den förteckning över bristyrken i hela EU som anges i bilagan får de deltagande medlemsstaterna underrätta sekretariatet för EU:s talangreserv om de vill lägga till eller ta bort särskilda bristyrken. Sådana underrättelser bör endast påverka matchningarna för lediga platser som lämnats in av respektive medlemsstat. Varken förteckningen över bristyrken i hela EU eller medlemsstaternas underrättelser bör påverka principen om företräde för unionsmedborgare.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För att bättre stödja medlemsstaternas insatser för att ta itu med befintlig och framtida brist på arbetskraft bör EU:s talangreserv inriktas på specifika yrken på alla kompetensnivåer, baserat på de vanligaste bristyrkena i unionen </w:t>
            </w:r>
            <w:r>
              <w:rPr>
                <w:b/>
                <w:i/>
              </w:rPr>
              <w:t>och på yrken som bidrar direkt till den gröna och den digitala omställningen</w:t>
            </w:r>
            <w:r>
              <w:t>, som anges i bilagan till denna förordning. För att anpassa de lediga platserna till de nationella arbetsmarknadernas särskilda behov och med utgångspunkt i den förteckning över bristyrken i hela EU som anges i bilagan får de deltagande medlemsstaterna underrätta sekretariatet för EU:s talangreserv om de vill lägga till eller ta bort särskilda bristyrken. Sådana underrättelser bör endast påverka matchningarna för lediga platser som lämnats in av respektive medlemsstat. Varken förteckningen över bristyrken i hela EU eller medlemsstaternas underrättelser bör påverka principen om företräde för unionsmedborgare.</w:t>
            </w:r>
          </w:p>
        </w:tc>
        <w:tc>
          <w:tcPr>
            <w:tcW w:w="4876" w:type="dxa"/>
            <w:tcBorders>
              <w:top w:val="nil"/>
              <w:left w:val="nil"/>
              <w:bottom w:val="nil"/>
              <w:right w:val="nil"/>
            </w:tcBorders>
          </w:tcPr>
          <w:p>
            <w:pPr>
              <w:pStyle w:val="Normal6a"/>
            </w:pPr>
            <w:r>
              <w:t>(25)</w:t>
            </w:r>
            <w:r>
              <w:tab/>
            </w:r>
            <w:r>
              <w:t xml:space="preserve">Plattformen för EU:s talangreserv bör tillgodose fastställda behov på arbetsmarknaden och inte fungera som ett sätt att fördriva eller negativt påverka den befintliga arbetskraften eller på annat sätt undergräva anständigt arbete eller rättvis konkurrens </w:t>
            </w:r>
            <w:r>
              <w:rPr>
                <w:b/>
                <w:i/>
              </w:rPr>
              <w:t>eller medföra kompetensflykt från tredjeländer</w:t>
            </w:r>
            <w:r>
              <w:t>. För att bättre stödja medlemsstaternas insatser för att ta itu med befintlig och framtida brist på arbetskraft bör EU:s talangreserv inriktas på specifika yrken på alla kompetensnivåer, baserat på de vanligaste bristyrkena i unionen, som anges i bilagan till denna förordning. För att anpassa de lediga platserna till de nationella arbetsmarknadernas särskilda behov och med utgångspunkt i den förteckning över bristyrken i hela EU som anges i bilagan får de deltagande medlemsstaterna underrätta sekretariatet för EU:s talangreserv om de vill lägga till eller ta bort särskilda bristyrken. Sådana underrättelser bör endast påverka matchningarna för lediga platser som lämnats in av respektive medlemsstat. Varken förteckningen över bristyrken i hela EU eller medlemsstaternas underrättelser bör påverka principen om företräde för unionsmedborgare.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för utskottet för medborgerliga fri- och rättigheter samt rättsliga och inrikes frågor</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För närvarande har inte alla medlemsstater sådana förteckningar eller en tydlig metod för att identifiera bristyrken.</w:t>
            </w:r>
            <w:r>
              <w:t xml:space="preserve"> </w:t>
            </w:r>
            <w:r>
              <w:rPr>
                <w:b/>
                <w:i/>
              </w:rPr>
              <w:t>Förteckningarna uppdateras inte heller lika rigoröst och ofta i alla medlemsstater.</w:t>
            </w:r>
            <w:r>
              <w:t xml:space="preserve"> </w:t>
            </w:r>
            <w:r>
              <w:rPr>
                <w:b/>
                <w:i/>
              </w:rPr>
              <w:t>Kommissionen bör därför uppmuntra detta arbete genom utbyte av bästa praxis för att säkerställa att dessa förteckningar, på unionsnivå eller nationell nivå, speglar verkligheten på arbetsmarknaden i den berörda medlemsstaten.</w:t>
            </w:r>
            <w:r>
              <w:t xml:space="preserve"> </w:t>
            </w:r>
            <w:r>
              <w:rPr>
                <w:b/>
                <w:i/>
              </w:rPr>
              <w:t>Vidare måste hänsyn tas till att utarbetandet av sådana förteckningar inte alltid faller inom medlemsstatens nationella behörighet.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Deltagande medlemsstater bör </w:t>
            </w:r>
            <w:r>
              <w:rPr>
                <w:b/>
                <w:i/>
              </w:rPr>
              <w:t>göra</w:t>
            </w:r>
            <w:r>
              <w:t xml:space="preserve"> information om EU:s talangreserv och dess funktion lättillgänglig för arbetssökande från tredjeländer och arbetsgivare, särskilt information om de behöriga myndigheterna i de deltagande medlemsstaterna. Sådan information bör omfatta villkoren och förfarandena för deltagande i EU:s talangreserv.</w:t>
            </w:r>
          </w:p>
        </w:tc>
        <w:tc>
          <w:tcPr>
            <w:tcW w:w="4876" w:type="dxa"/>
            <w:tcBorders>
              <w:top w:val="nil"/>
              <w:left w:val="nil"/>
              <w:bottom w:val="nil"/>
              <w:right w:val="nil"/>
            </w:tcBorders>
          </w:tcPr>
          <w:p>
            <w:pPr>
              <w:pStyle w:val="Normal6a"/>
            </w:pPr>
            <w:r>
              <w:t>(26)</w:t>
            </w:r>
            <w:r>
              <w:tab/>
            </w:r>
            <w:r>
              <w:t xml:space="preserve">Deltagande medlemsstater bör </w:t>
            </w:r>
            <w:r>
              <w:rPr>
                <w:b/>
                <w:i/>
              </w:rPr>
              <w:t>säkerställa att omfattande och användarvänlig</w:t>
            </w:r>
            <w:r>
              <w:t xml:space="preserve"> information om EU:s talangreserv och dess funktion </w:t>
            </w:r>
            <w:r>
              <w:rPr>
                <w:b/>
                <w:i/>
              </w:rPr>
              <w:t>finns</w:t>
            </w:r>
            <w:r>
              <w:t xml:space="preserve"> lättillgänglig för arbetssökande från tredjeländer och arbetsgivare, särskilt information om de behöriga myndigheterna i de deltagande medlemsstaterna. Sådan information bör omfatta </w:t>
            </w:r>
            <w:r>
              <w:rPr>
                <w:b/>
                <w:i/>
              </w:rPr>
              <w:t>detaljerade förklaringar om</w:t>
            </w:r>
            <w:r>
              <w:t xml:space="preserve"> villkoren</w:t>
            </w:r>
            <w:r>
              <w:rPr>
                <w:b/>
                <w:i/>
              </w:rPr>
              <w:t>, behörighetskriterierna</w:t>
            </w:r>
            <w:r>
              <w:t xml:space="preserve"> och förfarandena för deltagande i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Deltagande medlemsstater bör göra information om EU:s talangreserv och dess funktion lättillgänglig för arbetssökande från tredjeländer och arbetsgivare, särskilt information om de behöriga myndigheterna i de deltagande medlemsstaterna. Sådan information bör omfatta villkoren och förfarandena för deltagande i EU:s talangreserv.</w:t>
            </w:r>
          </w:p>
        </w:tc>
        <w:tc>
          <w:tcPr>
            <w:tcW w:w="4876" w:type="dxa"/>
            <w:tcBorders>
              <w:top w:val="nil"/>
              <w:left w:val="nil"/>
              <w:bottom w:val="nil"/>
              <w:right w:val="nil"/>
            </w:tcBorders>
          </w:tcPr>
          <w:p>
            <w:pPr>
              <w:pStyle w:val="Normal6a"/>
            </w:pPr>
            <w:r>
              <w:t>(26)</w:t>
            </w:r>
            <w:r>
              <w:tab/>
            </w:r>
            <w:r>
              <w:t>Deltagande medlemsstater bör göra information om EU:s talangreserv och dess funktion lättillgänglig för arbetssökande från tredjeländer och arbetsgivare, särskilt information om de behöriga myndigheterna i de deltagande medlemsstaterna. Sådan information bör omfatta villkoren och förfarandena för deltagande i EU:s talangreserv</w:t>
            </w:r>
            <w:r>
              <w:rPr>
                <w:b/>
                <w:i/>
              </w:rPr>
              <w:t>, samt skyldigheterna att fullgöra och kontrollerna att genomgå</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Deltagande medlemsstater</w:t>
            </w:r>
            <w:r>
              <w:t xml:space="preserve"> bör göra information om EU:s talangreserv och dess funktion lättillgänglig för arbetssökande från tredjeländer och arbetsgivare, särskilt information om de behöriga myndigheterna i </w:t>
            </w:r>
            <w:r>
              <w:rPr>
                <w:b/>
                <w:i/>
              </w:rPr>
              <w:t>de deltagande</w:t>
            </w:r>
            <w:r>
              <w:t xml:space="preserve"> medlemsstaterna. Sådan information bör omfatta villkoren och förfarandena för deltagande i EU:s talangreserv.</w:t>
            </w:r>
          </w:p>
        </w:tc>
        <w:tc>
          <w:tcPr>
            <w:tcW w:w="4876" w:type="dxa"/>
            <w:tcBorders>
              <w:top w:val="nil"/>
              <w:left w:val="nil"/>
              <w:bottom w:val="nil"/>
              <w:right w:val="nil"/>
            </w:tcBorders>
          </w:tcPr>
          <w:p>
            <w:pPr>
              <w:pStyle w:val="Normal6a"/>
            </w:pPr>
            <w:r>
              <w:t>(26)</w:t>
            </w:r>
            <w:r>
              <w:tab/>
            </w:r>
            <w:r>
              <w:rPr>
                <w:b/>
                <w:i/>
              </w:rPr>
              <w:t>Medlemsstaterna</w:t>
            </w:r>
            <w:r>
              <w:t xml:space="preserve"> bör göra information om EU:s talangreserv och dess funktion lättillgänglig för arbetssökande från tredjeländer och arbetsgivare, särskilt information om de behöriga myndigheterna i medlemsstaterna. Sådan information bör omfatta villkoren och förfarandena för deltagande i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För att effektivt marknadsföra och synliggöra EU:s talangreserv bland arbetsgivare i EU och bland internationella arbetssökande bör en omfattande kampanj på och utanför nätet genomföras på EU-nivå, nationell nivå och internationell nivå.</w:t>
            </w:r>
            <w:r>
              <w:t xml:space="preserve"> </w:t>
            </w:r>
            <w:r>
              <w:rPr>
                <w:b/>
                <w:i/>
              </w:rPr>
              <w:t>Sekretariatet för EU:s talangreserv och medlemsstaterna bör ansvara för samordningen av marknadsföringsverksamheten.</w:t>
            </w:r>
            <w:r>
              <w:t xml:space="preserve"> </w:t>
            </w:r>
            <w:r>
              <w:rPr>
                <w:b/>
                <w:i/>
              </w:rPr>
              <w:t>Särskilda initiativ bör även rikta in sig på tredjeländer, bland annat genom partnerskap med Europeiska unionens delegationer och med nationella ambassader.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Sekretariatet för EU:s talangreserv </w:t>
            </w:r>
            <w:r>
              <w:rPr>
                <w:b/>
                <w:i/>
              </w:rPr>
              <w:t>bör</w:t>
            </w:r>
            <w:r>
              <w:t xml:space="preserve"> säkerställa att lättillgänglig information om invandringsförfaranden, erkännande av kvalifikationer och validering av kompetens, tredjelandsmedborgares rättigheter, levnads- och arbetsvillkor </w:t>
            </w:r>
            <w:r>
              <w:rPr>
                <w:b/>
                <w:i/>
              </w:rPr>
              <w:t>samt</w:t>
            </w:r>
            <w:r>
              <w:t xml:space="preserve"> tillgängliga prövningsmekanismer vid fall av arbetskraftsexploatering och orättvis rekrytering i de deltagande medlemsstaterna </w:t>
            </w:r>
            <w:r>
              <w:rPr>
                <w:b/>
                <w:i/>
              </w:rPr>
              <w:t>finns</w:t>
            </w:r>
            <w:r>
              <w:t xml:space="preserve"> tillgänglig på it-plattformen för EU:s talangreserv. De nationella kontaktpunkterna för EU:s talangreserv bör förse sekretariatet för EU:s talangreserv med relevant information, så att den kan offentliggöras på it-plattformen för EU:s talangreserv. Onlineinformation om stöd för arbetssökande i behov av internationellt skydd som befinner sig i tredjeländer bör också finnas tillgänglig på it-plattformen för EU:s talangreserv. Stödåtgärderna i medlemsstaterna skulle kunna omfatta särskilda informationskampanjer, hjälp med att få en resehandling och integrationsstöd vid ankomsten.</w:t>
            </w:r>
          </w:p>
        </w:tc>
        <w:tc>
          <w:tcPr>
            <w:tcW w:w="4876" w:type="dxa"/>
            <w:tcBorders>
              <w:top w:val="nil"/>
              <w:left w:val="nil"/>
              <w:bottom w:val="nil"/>
              <w:right w:val="nil"/>
            </w:tcBorders>
          </w:tcPr>
          <w:p>
            <w:pPr>
              <w:pStyle w:val="Normal6a"/>
            </w:pPr>
            <w:r>
              <w:t>(27)</w:t>
            </w:r>
            <w:r>
              <w:tab/>
            </w:r>
            <w:r>
              <w:rPr>
                <w:b/>
                <w:i/>
              </w:rPr>
              <w:t>För att främja rättvis rekrytering och öka transparensen gentemot tredjelandsmedborgare bör</w:t>
            </w:r>
            <w:r>
              <w:t xml:space="preserve"> sekretariatet för EU:s talangreserv </w:t>
            </w:r>
            <w:r>
              <w:rPr>
                <w:b/>
                <w:i/>
              </w:rPr>
              <w:t>i samarbete med de nationella kontaktpunkterna</w:t>
            </w:r>
            <w:r>
              <w:t xml:space="preserve"> säkerställa att lättillgänglig information om </w:t>
            </w:r>
            <w:r>
              <w:rPr>
                <w:b/>
                <w:i/>
              </w:rPr>
              <w:t>alla medlemsstater finns tillgänglig på it-plattformen för EU:s talangreserv.</w:t>
            </w:r>
            <w:r>
              <w:t xml:space="preserve"> </w:t>
            </w:r>
            <w:r>
              <w:rPr>
                <w:b/>
                <w:i/>
              </w:rPr>
              <w:t>Informationen bör bland annat omfatta anställningsförfaranden,</w:t>
            </w:r>
            <w:r>
              <w:t xml:space="preserve"> invandringsförfaranden </w:t>
            </w:r>
            <w:r>
              <w:rPr>
                <w:b/>
                <w:i/>
              </w:rPr>
              <w:t>och administrativa förfaranden</w:t>
            </w:r>
            <w:r>
              <w:t>, erkännande av kvalifikationer och validering av kompetens, tredjelandsmedborgares rättigheter, levnads- och arbetsvillkor</w:t>
            </w:r>
            <w:r>
              <w:rPr>
                <w:b/>
                <w:i/>
              </w:rPr>
              <w:t>, bland annat information till stöd för integrering av tredjelandsmedborgare och deras familjer såsom bostad, skola, språkkurser, yrkesutbildningar och möjligheter till omskolning och kompetenshöjning, tillgång till rättslig prövning och effektiva rättsmedel och information om</w:t>
            </w:r>
            <w:r>
              <w:t xml:space="preserve"> tillgängliga prövningsmekanismer vid fall av arbetskraftsexploatering och orättvis rekrytering i de deltagande medlemsstaterna</w:t>
            </w:r>
            <w:r>
              <w:rPr>
                <w:b/>
                <w:i/>
              </w:rPr>
              <w:t>.</w:t>
            </w:r>
            <w:r>
              <w:t xml:space="preserve"> </w:t>
            </w:r>
            <w:r>
              <w:rPr>
                <w:b/>
                <w:i/>
              </w:rPr>
              <w:t>En direkt tillgänglig klagomålsmekanism mot olagliga och otillbörliga anställningsmetoder för registrerade arbetssökande och arbetstagare som anställs via EU:s talangreserv bör också finnas</w:t>
            </w:r>
            <w:r>
              <w:t xml:space="preserve"> tillgänglig på it-plattformen för EU:s talangreserv. De nationella kontaktpunkterna för EU:s talangreserv bör förse sekretariatet för EU:s talangreserv med relevant information, så att den kan offentliggöras på it-plattformen för EU:s talangreserv. Onlineinformation om stöd för arbetssökande i behov av internationellt skydd som befinner sig i tredjeländer bör också finnas tillgänglig på it-plattformen för EU:s talangreserv. Stödåtgärderna i medlemsstaterna skulle kunna omfatta särskilda informationskampanjer, hjälp med att få en resehandling och integrationsstöd vid ankomsten.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Sekretariatet för EU:s talangreserv bör säkerställa att lättillgänglig information om invandringsförfaranden, erkännande av kvalifikationer och validering av kompetens, tredjelandsmedborgares rättigheter, levnads- och arbetsvillkor samt tillgängliga prövningsmekanismer vid fall av arbetskraftsexploatering och orättvis rekrytering i de deltagande medlemsstaterna finns tillgänglig på it-plattformen för EU:s talangreserv. De nationella kontaktpunkterna för EU:s talangreserv bör förse sekretariatet för EU:s talangreserv med relevant information, så att den kan offentliggöras på it-plattformen för EU:s talangreserv. </w:t>
            </w:r>
            <w:r>
              <w:rPr>
                <w:b/>
                <w:i/>
              </w:rPr>
              <w:t>Onlineinformation om stöd för arbetssökande i behov av internationellt skydd som befinner sig i tredjeländer bör också finnas tillgänglig på it-plattformen för EU:s talangreserv.</w:t>
            </w:r>
            <w:r>
              <w:t xml:space="preserve"> </w:t>
            </w:r>
            <w:r>
              <w:rPr>
                <w:b/>
                <w:i/>
              </w:rPr>
              <w:t>Stödåtgärderna i medlemsstaterna skulle kunna omfatta särskilda informationskampanjer, hjälp med att få en resehandling och integrationsstöd vid ankomsten.</w:t>
            </w:r>
          </w:p>
        </w:tc>
        <w:tc>
          <w:tcPr>
            <w:tcW w:w="4876" w:type="dxa"/>
            <w:tcBorders>
              <w:top w:val="nil"/>
              <w:left w:val="nil"/>
              <w:bottom w:val="nil"/>
              <w:right w:val="nil"/>
            </w:tcBorders>
          </w:tcPr>
          <w:p>
            <w:pPr>
              <w:pStyle w:val="Normal6a"/>
            </w:pPr>
            <w:r>
              <w:t>(27)</w:t>
            </w:r>
            <w:r>
              <w:tab/>
            </w:r>
            <w:r>
              <w:t>Sekretariatet för EU:s talangreserv bör säkerställa att lättillgänglig information om invandringsförfaranden, erkännande av kvalifikationer och validering av kompetens, tredjelandsmedborgares rättigheter, levnads- och arbetsvillkor samt tillgängliga prövningsmekanismer vid fall av arbetskraftsexploatering och orättvis rekrytering i de deltagande medlemsstaterna finns tillgänglig på it-plattformen för EU:s talangreserv. De nationella kontaktpunkterna för EU:s talangreserv bör förse sekretariatet för EU:s talangreserv med relevant information, så att den kan offentliggöras på it-plattformen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Sekretariatet för EU:s talangreserv bör säkerställa att lättillgänglig information om invandringsförfaranden, erkännande av kvalifikationer och validering av kompetens, tredjelandsmedborgares rättigheter, levnads- och arbetsvillkor samt tillgängliga prövningsmekanismer vid fall av arbetskraftsexploatering och orättvis rekrytering i de deltagande medlemsstaterna finns tillgänglig på it-plattformen för EU:s talangreserv. De nationella kontaktpunkterna för EU:s talangreserv bör förse sekretariatet för EU:s talangreserv med relevant information, så att den kan offentliggöras på it-plattformen för EU:s talangreserv. </w:t>
            </w:r>
            <w:r>
              <w:rPr>
                <w:b/>
                <w:i/>
              </w:rPr>
              <w:t>Onlineinformation om stöd för arbetssökande i behov av internationellt skydd som befinner sig i tredjeländer bör också finnas tillgänglig på it-plattformen för EU:s talangreserv.</w:t>
            </w:r>
            <w:r>
              <w:t xml:space="preserve"> </w:t>
            </w:r>
            <w:r>
              <w:rPr>
                <w:b/>
                <w:i/>
              </w:rPr>
              <w:t>Stödåtgärderna i medlemsstaterna skulle kunna omfatta särskilda informationskampanjer, hjälp med att få en resehandling och integrationsstöd vid ankomsten.</w:t>
            </w:r>
          </w:p>
        </w:tc>
        <w:tc>
          <w:tcPr>
            <w:tcW w:w="4876" w:type="dxa"/>
            <w:tcBorders>
              <w:top w:val="nil"/>
              <w:left w:val="nil"/>
              <w:bottom w:val="nil"/>
              <w:right w:val="nil"/>
            </w:tcBorders>
          </w:tcPr>
          <w:p>
            <w:pPr>
              <w:pStyle w:val="Normal6a"/>
            </w:pPr>
            <w:r>
              <w:t>(27)</w:t>
            </w:r>
            <w:r>
              <w:tab/>
            </w:r>
            <w:r>
              <w:t>Sekretariatet för EU:s talangreserv bör säkerställa att lättillgänglig information om invandringsförfaranden, erkännande av kvalifikationer och validering av kompetens, tredjelandsmedborgares rättigheter, levnads- och arbetsvillkor samt tillgängliga prövningsmekanismer vid fall av arbetskraftsexploatering och orättvis rekrytering i de deltagande medlemsstaterna finns tillgänglig på it-plattformen för EU:s talangreserv. De nationella kontaktpunkterna för EU:s talangreserv bör förse sekretariatet för EU:s talangreserv med relevant information, så att den kan offentliggöras på it-plattformen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Sekretariatet för EU:s talangreserv bör säkerställa att lättillgänglig information om invandringsförfaranden, erkännande av kvalifikationer och validering av kompetens, tredjelandsmedborgares rättigheter</w:t>
            </w:r>
            <w:r>
              <w:rPr>
                <w:b/>
                <w:i/>
              </w:rPr>
              <w:t>, levnads- och arbetsvillkor</w:t>
            </w:r>
            <w:r>
              <w:t xml:space="preserve"> samt tillgängliga prövningsmekanismer vid fall av arbetskraftsexploatering och orättvis rekrytering i de deltagande medlemsstaterna </w:t>
            </w:r>
            <w:r>
              <w:rPr>
                <w:b/>
                <w:i/>
              </w:rPr>
              <w:t>finns tillgänglig på it-plattformen för EU:s talangreserv</w:t>
            </w:r>
            <w:r>
              <w:t>. De nationella kontaktpunkterna för EU:s talangreserv bör förse sekretariatet för EU:s talangreserv med relevant information, så att den kan offentliggöras på it-plattformen för EU:s talangreserv. Onlineinformation om stöd för arbetssökande i behov av internationellt skydd som befinner sig i tredjeländer bör också finnas tillgänglig på it-plattformen för EU:s talangreserv. Stödåtgärderna i medlemsstaterna skulle kunna omfatta särskilda informationskampanjer, hjälp med att få en resehandling och integrationsstöd vid ankomsten.</w:t>
            </w:r>
          </w:p>
        </w:tc>
        <w:tc>
          <w:tcPr>
            <w:tcW w:w="4876" w:type="dxa"/>
            <w:tcBorders>
              <w:top w:val="nil"/>
              <w:left w:val="nil"/>
              <w:bottom w:val="nil"/>
              <w:right w:val="nil"/>
            </w:tcBorders>
          </w:tcPr>
          <w:p>
            <w:pPr>
              <w:pStyle w:val="Normal6a"/>
            </w:pPr>
            <w:r>
              <w:t>(27)</w:t>
            </w:r>
            <w:r>
              <w:tab/>
            </w:r>
            <w:r>
              <w:t>Sekretariatet för EU:s talangreserv bör säkerställa att lättillgänglig</w:t>
            </w:r>
            <w:r>
              <w:rPr>
                <w:b/>
                <w:i/>
              </w:rPr>
              <w:t>, flerspråkig information om arbetstagarrättigheter, sociala trygghetsförmåner, levnads- och arbetsvillkor och fackföreningsrepresentation i varje deltagande medlemsstat finns tillgänglig för migrerande arbetstagare på it-plattformen för EU:s talangreserv.</w:t>
            </w:r>
            <w:r>
              <w:t xml:space="preserve"> </w:t>
            </w:r>
            <w:r>
              <w:rPr>
                <w:b/>
                <w:i/>
              </w:rPr>
              <w:t>Plattformen för EU:s talangreserv bör även innehålla detaljerad</w:t>
            </w:r>
            <w:r>
              <w:t xml:space="preserve"> information om invandringsförfaranden, erkännande av kvalifikationer och validering av kompetens, tredjelandsmedborgares rättigheter </w:t>
            </w:r>
            <w:r>
              <w:rPr>
                <w:b/>
                <w:i/>
              </w:rPr>
              <w:t>och relaterade avgifter</w:t>
            </w:r>
            <w:r>
              <w:t xml:space="preserve"> samt tillgängliga prövningsmekanismer vid fall av arbetskraftsexploatering och orättvis rekrytering i de deltagande medlemsstaterna. De nationella kontaktpunkterna för EU:s talangreserv bör förse sekretariatet för EU:s talangreserv med relevant information, så att den kan offentliggöras på it-plattformen för EU:s talangreserv. Onlineinformation om stöd för arbetssökande i behov av internationellt skydd som befinner sig i tredjeländer bör också finnas tillgänglig på it-plattformen för EU:s talangreserv. Stödåtgärderna i medlemsstaterna skulle kunna omfatta särskilda informationskampanjer, hjälp med att få en resehandling och integrationsstöd vid ankomsten.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Sekretariatet för EU:s talangreserv bör säkerställa att lättillgänglig information om invandringsförfaranden, erkännande av kvalifikationer och validering av kompetens, tredjelandsmedborgares rättigheter, levnads- och arbetsvillkor samt tillgängliga prövningsmekanismer vid fall av arbetskraftsexploatering och orättvis rekrytering i de deltagande medlemsstaterna finns tillgänglig på it-plattformen för EU:s talangreserv. De nationella kontaktpunkterna för EU:s talangreserv bör förse sekretariatet för EU:s talangreserv med relevant information, så att den kan offentliggöras </w:t>
            </w:r>
            <w:r>
              <w:rPr>
                <w:b/>
                <w:i/>
              </w:rPr>
              <w:t>på it-plattformen för EU:s talangreserv.</w:t>
            </w:r>
            <w:r>
              <w:t xml:space="preserve"> </w:t>
            </w:r>
            <w:r>
              <w:rPr>
                <w:b/>
                <w:i/>
              </w:rPr>
              <w:t>Onlineinformation om stöd för arbetssökande i behov av internationellt skydd som befinner sig i tredjeländer bör också finnas tillgänglig</w:t>
            </w:r>
            <w:r>
              <w:t xml:space="preserve"> på it-plattformen för EU:s talangreserv. Stödåtgärderna i medlemsstaterna skulle kunna omfatta särskilda informationskampanjer, hjälp med att få en resehandling och integrationsstöd vid ankomsten.</w:t>
            </w:r>
          </w:p>
        </w:tc>
        <w:tc>
          <w:tcPr>
            <w:tcW w:w="4876" w:type="dxa"/>
            <w:tcBorders>
              <w:top w:val="nil"/>
              <w:left w:val="nil"/>
              <w:bottom w:val="nil"/>
              <w:right w:val="nil"/>
            </w:tcBorders>
          </w:tcPr>
          <w:p>
            <w:pPr>
              <w:pStyle w:val="Normal6a"/>
            </w:pPr>
            <w:r>
              <w:t>(27)</w:t>
            </w:r>
            <w:r>
              <w:tab/>
            </w:r>
            <w:r>
              <w:t xml:space="preserve">Sekretariatet för EU:s talangreserv bör säkerställa att lättillgänglig information om invandringsförfaranden, erkännande av kvalifikationer och validering av kompetens, tredjelandsmedborgares rättigheter </w:t>
            </w:r>
            <w:r>
              <w:rPr>
                <w:b/>
                <w:i/>
              </w:rPr>
              <w:t>och skyldigheter</w:t>
            </w:r>
            <w:r>
              <w:t>, levnads-</w:t>
            </w:r>
            <w:r>
              <w:rPr>
                <w:b/>
                <w:i/>
              </w:rPr>
              <w:t>, inrese-, uppehålls-</w:t>
            </w:r>
            <w:r>
              <w:t xml:space="preserve"> och arbetsvillkor samt tillgängliga prövningsmekanismer vid fall av arbetskraftsexploatering och orättvis rekrytering i de deltagande medlemsstaterna finns tillgänglig på it-plattformen för EU:s talangreserv. De nationella kontaktpunkterna för EU:s talangreserv bör förse sekretariatet för EU:s talangreserv med relevant information, så att den kan offentliggöras på it-plattformen för EU:s talangreserv. Stödåtgärderna i medlemsstaterna skulle kunna omfatta särskilda informationskampanjer, hjälp med att få en resehandling och integrationsstöd vid ankomsten.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Sekretariatet för EU:s talangreserv bör säkerställa att lättillgänglig information om invandringsförfaranden, erkännande av kvalifikationer och validering av kompetens, tredjelandsmedborgares rättigheter, levnads- och arbetsvillkor samt tillgängliga prövningsmekanismer vid fall av arbetskraftsexploatering och orättvis rekrytering i de deltagande medlemsstaterna finns tillgänglig på it-plattformen för EU:s talangreserv. De nationella kontaktpunkterna för EU:s talangreserv bör förse sekretariatet för EU:s talangreserv med relevant information, så att den kan offentliggöras på it-plattformen för EU:s talangreserv. </w:t>
            </w:r>
            <w:r>
              <w:rPr>
                <w:b/>
                <w:i/>
              </w:rPr>
              <w:t>Onlineinformation om stöd för arbetssökande i behov av internationellt skydd som befinner sig i tredjeländer bör också finnas tillgänglig på it-plattformen för EU:s talangreserv.</w:t>
            </w:r>
            <w:r>
              <w:t xml:space="preserve"> Stödåtgärderna i medlemsstaterna skulle kunna omfatta särskilda informationskampanjer, hjälp med att få en resehandling och integrationsstöd vid ankomsten.</w:t>
            </w:r>
          </w:p>
        </w:tc>
        <w:tc>
          <w:tcPr>
            <w:tcW w:w="4876" w:type="dxa"/>
            <w:tcBorders>
              <w:top w:val="nil"/>
              <w:left w:val="nil"/>
              <w:bottom w:val="nil"/>
              <w:right w:val="nil"/>
            </w:tcBorders>
          </w:tcPr>
          <w:p>
            <w:pPr>
              <w:pStyle w:val="Normal6a"/>
            </w:pPr>
            <w:r>
              <w:t>(27)</w:t>
            </w:r>
            <w:r>
              <w:tab/>
            </w:r>
            <w:r>
              <w:t>Sekretariatet för EU:s talangreserv bör säkerställa att lättillgänglig information om invandringsförfaranden, erkännande av kvalifikationer och validering av kompetens, tredjelandsmedborgares rättigheter, levnads- och arbetsvillkor samt tillgängliga prövningsmekanismer vid fall av arbetskraftsexploatering och orättvis rekrytering i de deltagande medlemsstaterna finns tillgänglig på it-plattformen för EU:s talangreserv. De nationella kontaktpunkterna för EU:s talangreserv bör förse sekretariatet för EU:s talangreserv med relevant information, så att den kan offentliggöras på it-plattformen för EU:s talangreserv. Stödåtgärderna i medlemsstaterna skulle kunna omfatta särskilda informationskampanjer, hjälp med att få en resehandling och integrationsstöd vid ankomsten.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Information på it-plattformen för EU:s talangreserv bör göras tillgänglig åtminstone på de </w:t>
            </w:r>
            <w:r>
              <w:rPr>
                <w:b/>
                <w:i/>
              </w:rPr>
              <w:t>deltagande medlemsstaternas</w:t>
            </w:r>
            <w:r>
              <w:t xml:space="preserve"> officiella </w:t>
            </w:r>
            <w:r>
              <w:rPr>
                <w:b/>
                <w:i/>
              </w:rPr>
              <w:t>språk</w:t>
            </w:r>
            <w:r>
              <w:t>.</w:t>
            </w:r>
          </w:p>
        </w:tc>
        <w:tc>
          <w:tcPr>
            <w:tcW w:w="4876" w:type="dxa"/>
            <w:tcBorders>
              <w:top w:val="nil"/>
              <w:left w:val="nil"/>
              <w:bottom w:val="nil"/>
              <w:right w:val="nil"/>
            </w:tcBorders>
          </w:tcPr>
          <w:p>
            <w:pPr>
              <w:pStyle w:val="Normal6a"/>
            </w:pPr>
            <w:r>
              <w:t>(28)</w:t>
            </w:r>
            <w:r>
              <w:tab/>
            </w:r>
            <w:r>
              <w:t xml:space="preserve">Information på it-plattformen för EU:s talangreserv bör </w:t>
            </w:r>
            <w:r>
              <w:rPr>
                <w:b/>
                <w:i/>
              </w:rPr>
              <w:t>när det är tekniskt möjligt</w:t>
            </w:r>
            <w:r>
              <w:t xml:space="preserve"> göras tillgänglig åtminstone på de </w:t>
            </w:r>
            <w:r>
              <w:rPr>
                <w:b/>
                <w:i/>
              </w:rPr>
              <w:t>officiella språken i alla EU:s medlemsstater samt på de</w:t>
            </w:r>
            <w:r>
              <w:t xml:space="preserve"> officiella </w:t>
            </w:r>
            <w:r>
              <w:rPr>
                <w:b/>
                <w:i/>
              </w:rPr>
              <w:t>språken i de tredjeländer som deltar i talangpartnerskapen och de officiella språken för de tio nationaliteter som har fått flest kombinerade tillstånd inom EU under de senaste tre åren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Information på it-plattformen för EU:s talangreserv bör göras tillgänglig åtminstone på </w:t>
            </w:r>
            <w:r>
              <w:rPr>
                <w:b/>
                <w:i/>
              </w:rPr>
              <w:t>de deltagande</w:t>
            </w:r>
            <w:r>
              <w:t xml:space="preserve"> medlemsstaternas officiella språk.</w:t>
            </w:r>
          </w:p>
        </w:tc>
        <w:tc>
          <w:tcPr>
            <w:tcW w:w="4876" w:type="dxa"/>
            <w:tcBorders>
              <w:top w:val="nil"/>
              <w:left w:val="nil"/>
              <w:bottom w:val="nil"/>
              <w:right w:val="nil"/>
            </w:tcBorders>
          </w:tcPr>
          <w:p>
            <w:pPr>
              <w:pStyle w:val="Normal6a"/>
            </w:pPr>
            <w:r>
              <w:t>(28)</w:t>
            </w:r>
            <w:r>
              <w:tab/>
            </w:r>
            <w:r>
              <w:t>Information på it-plattformen för EU:s talangreserv bör göras tillgänglig åtminstone på medlemsstaternas officiella språk.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EU-delegationerna bör stödja tillhandahållandet av information till arbetssökande från tredjeländer om EU:s talangreserv och dess funktion, liksom de deltagande medlemsstaterna.</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EU-delegationerna bör stödja tillhandahållandet av information till arbetssökande från tredjeländer om EU:s talangreserv och </w:t>
            </w:r>
            <w:r>
              <w:rPr>
                <w:b/>
                <w:i/>
              </w:rPr>
              <w:t>dess funktion</w:t>
            </w:r>
            <w:r>
              <w:t>, liksom de deltagande medlemsstaterna.</w:t>
            </w:r>
          </w:p>
        </w:tc>
        <w:tc>
          <w:tcPr>
            <w:tcW w:w="4876" w:type="dxa"/>
            <w:tcBorders>
              <w:top w:val="nil"/>
              <w:left w:val="nil"/>
              <w:bottom w:val="nil"/>
              <w:right w:val="nil"/>
            </w:tcBorders>
          </w:tcPr>
          <w:p>
            <w:pPr>
              <w:pStyle w:val="Normal6a"/>
            </w:pPr>
            <w:r>
              <w:t>(29)</w:t>
            </w:r>
            <w:r>
              <w:tab/>
            </w:r>
            <w:r>
              <w:t>EU-delegationerna bör</w:t>
            </w:r>
            <w:r>
              <w:rPr>
                <w:b/>
                <w:i/>
              </w:rPr>
              <w:t>, i samarbete med medlemsstaterna, spela en aktiv roll för att</w:t>
            </w:r>
            <w:r>
              <w:t xml:space="preserve"> stödja tillhandahållandet av information till arbetssökande från tredjeländer om EU:s talangreserv och </w:t>
            </w:r>
            <w:r>
              <w:rPr>
                <w:b/>
                <w:i/>
              </w:rPr>
              <w:t>hur den fungerar</w:t>
            </w:r>
            <w:r>
              <w:t xml:space="preserve">, liksom de deltagande medlemsstaterna. </w:t>
            </w:r>
            <w:r>
              <w:rPr>
                <w:b/>
                <w:i/>
              </w:rPr>
              <w:t>Informationen från EU-delegationerna om hur EU:s talangreserv fungerar bör bidra till övervakningen av talangreserven.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EU-delegationerna bör stödja tillhandahållandet av information till arbetssökande från tredjeländer om EU:s talangreserv och dess funktion, liksom </w:t>
            </w:r>
            <w:r>
              <w:rPr>
                <w:b/>
                <w:i/>
              </w:rPr>
              <w:t>de deltagande</w:t>
            </w:r>
            <w:r>
              <w:t xml:space="preserve"> medlemsstaterna.</w:t>
            </w:r>
          </w:p>
        </w:tc>
        <w:tc>
          <w:tcPr>
            <w:tcW w:w="4876" w:type="dxa"/>
            <w:tcBorders>
              <w:top w:val="nil"/>
              <w:left w:val="nil"/>
              <w:bottom w:val="nil"/>
              <w:right w:val="nil"/>
            </w:tcBorders>
          </w:tcPr>
          <w:p>
            <w:pPr>
              <w:pStyle w:val="Normal6a"/>
            </w:pPr>
            <w:r>
              <w:t>(29)</w:t>
            </w:r>
            <w:r>
              <w:tab/>
            </w:r>
            <w:r>
              <w:t>EU-delegationerna bör stödja tillhandahållandet av information till arbetssökande från tredjeländer om EU:s talangreserv och dess funktion, liksom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På begäran av registrerade arbetssökande från tredjeländer och arbetsgivare som deltar i EU:s talangreserv </w:t>
            </w:r>
            <w:r>
              <w:rPr>
                <w:b/>
                <w:i/>
              </w:rPr>
              <w:t>kan</w:t>
            </w:r>
            <w:r>
              <w:t xml:space="preserve"> de nationella kontaktpunkterna för EU:s talangreserv ge ytterligare stöd. Ytterligare stöd bör inbegripa anpassad information om relevanta viseringar och uppehållstillstånd för arbetsändamål i </w:t>
            </w:r>
            <w:r>
              <w:rPr>
                <w:b/>
                <w:i/>
              </w:rPr>
              <w:t>den deltagande</w:t>
            </w:r>
            <w:r>
              <w:t xml:space="preserve"> medlemsstaten, inbegripet om tredjelandsmedborgares rättigheter och skyldigheter såsom tillgång till sociala förmåner, hälso- och sjukvård, utbildning och bostad. Särskild vägledning och information kan också ges om förfaranden för familjeåterförening och familjemedlemmars rättigheter samt befintliga åtgärder för att underlätta integrationen i den mottagande medlemsstaten, såsom språkkurser och yrkesutbildning. Sådan information bör även omfatta tillgängliga prövningsmekanismer vid fall av arbetskraftsexploatering och orättvis rekrytering i </w:t>
            </w:r>
            <w:r>
              <w:rPr>
                <w:b/>
                <w:i/>
              </w:rPr>
              <w:t>de deltagande</w:t>
            </w:r>
            <w:r>
              <w:t xml:space="preserve">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w:t>
            </w:r>
          </w:p>
        </w:tc>
        <w:tc>
          <w:tcPr>
            <w:tcW w:w="4876" w:type="dxa"/>
            <w:tcBorders>
              <w:top w:val="nil"/>
              <w:left w:val="nil"/>
              <w:bottom w:val="nil"/>
              <w:right w:val="nil"/>
            </w:tcBorders>
          </w:tcPr>
          <w:p>
            <w:pPr>
              <w:pStyle w:val="Normal6a"/>
            </w:pPr>
            <w:r>
              <w:t>(30)</w:t>
            </w:r>
            <w:r>
              <w:tab/>
            </w:r>
            <w:r>
              <w:rPr>
                <w:b/>
                <w:i/>
              </w:rPr>
              <w:t>För att lyckas behålla och integrera tredjelandsmedborgare som kommer till unionen via EU:s talangreserv är det viktigt att de får adekvat stöd och adekvata möjligheter.</w:t>
            </w:r>
            <w:r>
              <w:t xml:space="preserve"> På begäran av registrerade arbetssökande från tredjeländer och arbetsgivare som deltar i EU:s talangreserv </w:t>
            </w:r>
            <w:r>
              <w:rPr>
                <w:b/>
                <w:i/>
              </w:rPr>
              <w:t>bör</w:t>
            </w:r>
            <w:r>
              <w:t xml:space="preserve"> de nationella kontaktpunkterna för EU:s talangreserv ge ytterligare stöd. Ytterligare stöd bör inbegripa anpassad information om relevanta viseringar och uppehållstillstånd för arbetsändamål i medlemsstaten, inbegripet om tredjelandsmedborgares rättigheter och skyldigheter såsom tillgång till sociala förmåner, hälso- och sjukvård, utbildning och bostad. Särskild vägledning och information kan också ges om förfaranden för familjeåterförening och familjemedlemmars rättigheter samt befintliga åtgärder för att underlätta integrationen i den mottagande medlemsstaten, såsom språkkurser och yrkesutbildning. Sådan information bör även omfatta tillgängliga prövningsmekanismer vid fall av arbetskraftsexploatering och orättvis rekrytering i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 </w:t>
            </w:r>
            <w:r>
              <w:rPr>
                <w:b/>
                <w:i/>
              </w:rPr>
              <w:t>Särskild information om tredjelandsmedborgares rättigheter och skyldigheter, såsom tillgång till sociala förmåner, hälso- och sjukvård, utbildning och bostad, bör lämnas automatiskt till arbetssökande som får ett erbjudande om anställning.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På begäran av registrerade arbetssökande från tredjeländer och arbetsgivare som deltar i EU:s talangreserv kan de nationella kontaktpunkterna för EU:s talangreserv ge ytterligare stöd. Ytterligare stöd bör inbegripa anpassad information om relevanta viseringar och uppehållstillstånd för arbetsändamål i den deltagande medlemsstaten, inbegripet om tredjelandsmedborgares rättigheter och skyldigheter </w:t>
            </w:r>
            <w:r>
              <w:rPr>
                <w:b/>
                <w:i/>
              </w:rPr>
              <w:t>såsom tillgång till sociala förmåner, hälso- och sjukvård, utbildning och bostad</w:t>
            </w:r>
            <w:r>
              <w:t xml:space="preserve">. Särskild vägledning och information kan också ges om </w:t>
            </w:r>
            <w:r>
              <w:rPr>
                <w:b/>
                <w:i/>
              </w:rPr>
              <w:t>förfaranden för familjeåterförening och familjemedlemmars rättigheter samt</w:t>
            </w:r>
            <w:r>
              <w:t xml:space="preserve"> befintliga åtgärder för att underlätta integrationen i den mottagande medlemsstaten, såsom språkkurser och yrkesutbildning. Sådan information bör även omfatta tillgängliga prövningsmekanismer vid fall av arbetskraftsexploatering och orättvis rekrytering i de deltagande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w:t>
            </w:r>
          </w:p>
        </w:tc>
        <w:tc>
          <w:tcPr>
            <w:tcW w:w="4876" w:type="dxa"/>
            <w:tcBorders>
              <w:top w:val="nil"/>
              <w:left w:val="nil"/>
              <w:bottom w:val="nil"/>
              <w:right w:val="nil"/>
            </w:tcBorders>
          </w:tcPr>
          <w:p>
            <w:pPr>
              <w:pStyle w:val="Normal6a"/>
            </w:pPr>
            <w:r>
              <w:t>(30)</w:t>
            </w:r>
            <w:r>
              <w:tab/>
            </w:r>
            <w:r>
              <w:t>På begäran av registrerade arbetssökande från tredjeländer och arbetsgivare som deltar i EU:s talangreserv kan de nationella kontaktpunkterna för EU:s talangreserv ge ytterligare stöd. Ytterligare stöd bör inbegripa anpassad information om relevanta viseringar och uppehållstillstånd för arbetsändamål i den deltagande medlemsstaten, inbegripet om tredjelandsmedborgares rättigheter och skyldigheter. Särskild vägledning och information kan också ges om befintliga åtgärder för att underlätta integrationen i den mottagande medlemsstaten, såsom språkkurser och yrkesutbildning. Sådan information bör även omfatta tillgängliga prövningsmekanismer vid fall av arbetskraftsexploatering och orättvis rekrytering i de deltagande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På begäran av registrerade arbetssökande från tredjeländer och arbetsgivare som deltar i EU:s talangreserv kan de nationella kontaktpunkterna för EU:s talangreserv ge ytterligare stöd. Ytterligare stöd bör inbegripa anpassad information om relevanta viseringar och uppehållstillstånd för arbetsändamål i den deltagande medlemsstaten, inbegripet om tredjelandsmedborgares rättigheter och skyldigheter </w:t>
            </w:r>
            <w:r>
              <w:rPr>
                <w:b/>
                <w:i/>
              </w:rPr>
              <w:t>såsom tillgång till sociala förmåner, hälso- och sjukvård, utbildning och bostad</w:t>
            </w:r>
            <w:r>
              <w:t xml:space="preserve">. Särskild vägledning och information kan också ges om </w:t>
            </w:r>
            <w:r>
              <w:rPr>
                <w:b/>
                <w:i/>
              </w:rPr>
              <w:t>förfaranden för familjeåterförening och familjemedlemmars rättigheter samt</w:t>
            </w:r>
            <w:r>
              <w:t xml:space="preserve"> befintliga åtgärder för att underlätta integrationen i den mottagande medlemsstaten, såsom språkkurser och yrkesutbildning. Sådan information bör även omfatta tillgängliga prövningsmekanismer vid fall av arbetskraftsexploatering och orättvis rekrytering i de deltagande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w:t>
            </w:r>
          </w:p>
        </w:tc>
        <w:tc>
          <w:tcPr>
            <w:tcW w:w="4876" w:type="dxa"/>
            <w:tcBorders>
              <w:top w:val="nil"/>
              <w:left w:val="nil"/>
              <w:bottom w:val="nil"/>
              <w:right w:val="nil"/>
            </w:tcBorders>
          </w:tcPr>
          <w:p>
            <w:pPr>
              <w:pStyle w:val="Normal6a"/>
            </w:pPr>
            <w:r>
              <w:t>(30)</w:t>
            </w:r>
            <w:r>
              <w:tab/>
            </w:r>
            <w:r>
              <w:t>På begäran av registrerade arbetssökande från tredjeländer och arbetsgivare som deltar i EU:s talangreserv kan de nationella kontaktpunkterna för EU:s talangreserv ge ytterligare stöd. Ytterligare stöd bör inbegripa anpassad information om relevanta viseringar och uppehållstillstånd för arbetsändamål i den deltagande medlemsstaten, inbegripet om tredjelandsmedborgares rättigheter och skyldigheter. Särskild vägledning och information kan också ges om befintliga åtgärder för att underlätta integrationen i den mottagande medlemsstaten, såsom språkkurser och yrkesutbildning. Sådan information bör även omfatta tillgängliga prövningsmekanismer vid fall av arbetskraftsexploatering och orättvis rekrytering i de deltagande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På begäran av registrerade arbetssökande från tredjeländer och arbetsgivare som deltar i EU:s talangreserv kan de nationella kontaktpunkterna för EU:s talangreserv ge ytterligare stöd. Ytterligare stöd bör inbegripa anpassad information om relevanta viseringar och uppehållstillstånd för arbetsändamål i den deltagande medlemsstaten, inbegripet om tredjelandsmedborgares rättigheter och skyldigheter </w:t>
            </w:r>
            <w:r>
              <w:rPr>
                <w:b/>
                <w:i/>
              </w:rPr>
              <w:t>såsom tillgång till sociala förmåner, hälso- och sjukvård, utbildning och bostad</w:t>
            </w:r>
            <w:r>
              <w:t xml:space="preserve">. Särskild vägledning och information kan också ges om </w:t>
            </w:r>
            <w:r>
              <w:rPr>
                <w:b/>
                <w:i/>
              </w:rPr>
              <w:t>förfaranden för familjeåterförening och familjemedlemmars rättigheter samt</w:t>
            </w:r>
            <w:r>
              <w:t xml:space="preserve"> befintliga åtgärder för att underlätta integrationen i den mottagande medlemsstaten, såsom språkkurser och yrkesutbildning. Sådan information bör även omfatta tillgängliga prövningsmekanismer vid fall av arbetskraftsexploatering och orättvis rekrytering i de deltagande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w:t>
            </w:r>
          </w:p>
        </w:tc>
        <w:tc>
          <w:tcPr>
            <w:tcW w:w="4876" w:type="dxa"/>
            <w:tcBorders>
              <w:top w:val="nil"/>
              <w:left w:val="nil"/>
              <w:bottom w:val="nil"/>
              <w:right w:val="nil"/>
            </w:tcBorders>
          </w:tcPr>
          <w:p>
            <w:pPr>
              <w:pStyle w:val="Normal6a"/>
            </w:pPr>
            <w:r>
              <w:t>(30)</w:t>
            </w:r>
            <w:r>
              <w:tab/>
            </w:r>
            <w:r>
              <w:t>På begäran av registrerade arbetssökande från tredjeländer och arbetsgivare som deltar i EU:s talangreserv kan de nationella kontaktpunkterna för EU:s talangreserv ge ytterligare stöd. Ytterligare stöd bör inbegripa anpassad information om relevanta viseringar och uppehållstillstånd för arbetsändamål i den deltagande medlemsstaten, inbegripet om tredjelandsmedborgares rättigheter och skyldigheter</w:t>
            </w:r>
            <w:r>
              <w:rPr>
                <w:b/>
                <w:i/>
              </w:rPr>
              <w:t>, i enlighet med gällande nationell lagstiftning</w:t>
            </w:r>
            <w:r>
              <w:t>. Särskild vägledning och information kan också ges om befintliga åtgärder för att underlätta integrationen i den mottagande medlemsstaten, såsom språkkurser och yrkesutbildning. Sådan information bör även omfatta tillgängliga prövningsmekanismer vid fall av arbetskraftsexploatering och orättvis rekrytering i de deltagande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På begäran av registrerade arbetssökande från tredjeländer och arbetsgivare som deltar i EU:s talangreserv kan de nationella kontaktpunkterna för EU:s talangreserv ge ytterligare stöd. Ytterligare stöd bör inbegripa anpassad information om relevanta viseringar och uppehållstillstånd för arbetsändamål i den deltagande medlemsstaten, inbegripet om tredjelandsmedborgares rättigheter och skyldigheter </w:t>
            </w:r>
            <w:r>
              <w:rPr>
                <w:b/>
                <w:i/>
              </w:rPr>
              <w:t>såsom tillgång till sociala förmåner, hälso- och sjukvård, utbildning och bostad</w:t>
            </w:r>
            <w:r>
              <w:t xml:space="preserve">. </w:t>
            </w:r>
            <w:r>
              <w:rPr>
                <w:b/>
                <w:i/>
              </w:rPr>
              <w:t>Särskild vägledning och</w:t>
            </w:r>
            <w:r>
              <w:t xml:space="preserve"> information kan också ges om förfaranden för familjeåterförening och familjemedlemmars rättigheter samt befintliga åtgärder för att underlätta integrationen i den mottagande medlemsstaten, såsom språkkurser och yrkesutbildning. Sådan information bör även omfatta tillgängliga prövningsmekanismer vid fall av arbetskraftsexploatering och orättvis rekrytering i de deltagande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w:t>
            </w:r>
          </w:p>
        </w:tc>
        <w:tc>
          <w:tcPr>
            <w:tcW w:w="4876" w:type="dxa"/>
            <w:tcBorders>
              <w:top w:val="nil"/>
              <w:left w:val="nil"/>
              <w:bottom w:val="nil"/>
              <w:right w:val="nil"/>
            </w:tcBorders>
          </w:tcPr>
          <w:p>
            <w:pPr>
              <w:pStyle w:val="Normal6a"/>
            </w:pPr>
            <w:r>
              <w:t>(30)</w:t>
            </w:r>
            <w:r>
              <w:tab/>
            </w:r>
            <w:r>
              <w:t>På begäran av registrerade arbetssökande från tredjeländer och arbetsgivare som deltar i EU:s talangreserv kan de nationella kontaktpunkterna för EU:s talangreserv ge ytterligare stöd. Ytterligare stöd bör inbegripa anpassad information om relevanta viseringar och uppehållstillstånd för arbetsändamål i den deltagande medlemsstaten, inbegripet om tredjelandsmedborgares rättigheter och skyldigheter. Information kan också ges om förfaranden för familjeåterförening och familjemedlemmars rättigheter samt befintliga åtgärder för att underlätta integrationen i den mottagande medlemsstaten, såsom språkkurser och yrkesutbildning. Sådan information bör även omfatta tillgängliga prövningsmekanismer vid fall av arbetskraftsexploatering och orättvis rekrytering i de deltagande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På begäran av registrerade arbetssökande från tredjeländer och arbetsgivare som deltar i EU:s talangreserv kan de nationella kontaktpunkterna för EU:s talangreserv ge ytterligare stöd. Ytterligare stöd bör inbegripa anpassad information om relevanta viseringar och uppehållstillstånd för arbetsändamål i den deltagande medlemsstaten, inbegripet om tredjelandsmedborgares rättigheter och skyldigheter såsom tillgång till sociala förmåner, hälso- och sjukvård, utbildning och bostad. Särskild vägledning och information kan också ges om förfaranden för familjeåterförening och familjemedlemmars rättigheter samt befintliga åtgärder för att underlätta integrationen i den mottagande medlemsstaten, såsom språkkurser och yrkesutbildning. Sådan information bör även omfatta tillgängliga prövningsmekanismer vid fall av arbetskraftsexploatering och orättvis rekrytering i de deltagande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w:t>
            </w:r>
          </w:p>
        </w:tc>
        <w:tc>
          <w:tcPr>
            <w:tcW w:w="4876" w:type="dxa"/>
            <w:tcBorders>
              <w:top w:val="nil"/>
              <w:left w:val="nil"/>
              <w:bottom w:val="nil"/>
              <w:right w:val="nil"/>
            </w:tcBorders>
          </w:tcPr>
          <w:p>
            <w:pPr>
              <w:pStyle w:val="Normal6a"/>
            </w:pPr>
            <w:r>
              <w:t>(30)</w:t>
            </w:r>
            <w:r>
              <w:tab/>
            </w:r>
            <w:r>
              <w:t xml:space="preserve">På begäran av registrerade arbetssökande från tredjeländer och arbetsgivare som deltar i EU:s talangreserv kan de nationella kontaktpunkterna för EU:s talangreserv ge ytterligare stöd. Ytterligare stöd bör inbegripa anpassad information om relevanta viseringar och uppehållstillstånd för arbetsändamål i den deltagande medlemsstaten, inbegripet om tredjelandsmedborgares rättigheter och skyldigheter såsom tillgång till sociala förmåner, hälso- och sjukvård, utbildning och bostad. Särskild vägledning och information kan också ges om förfaranden för familjeåterförening och familjemedlemmars rättigheter </w:t>
            </w:r>
            <w:r>
              <w:rPr>
                <w:b/>
                <w:i/>
              </w:rPr>
              <w:t>och skyldigheter</w:t>
            </w:r>
            <w:r>
              <w:t xml:space="preserve"> samt befintliga åtgärder för att underlätta integrationen i den mottagande medlemsstaten, såsom språkkurser och yrkesutbildning. Sådan information bör även omfatta tillgängliga prövningsmekanismer vid fall av arbetskraftsexploatering och orättvis rekrytering i de deltagande medlemsstaterna. De nationella kontaktpunkterna för EU:s talangreserv bör informera arbetsgivare som deltar i EU:s talangreserv om deras rättigheter och skyldigheter i fråga om social trygghet, aktiva arbetsmarknadsåtgärder, beskattning samt frågor som rör anställningsavtal, pensionsrättigheter och sjukförsäkring.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30a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Medlemsstaterna bör tillhandahålla särskild standardiserad information till registrerade arbetssökande som har valts ut för en ledig plats i EU:s talangreserv, bland annat genom att hänvisa till befintliga källor.</w:t>
            </w:r>
            <w:r>
              <w:t xml:space="preserve"> </w:t>
            </w:r>
            <w:r>
              <w:rPr>
                <w:b/>
                <w:i/>
              </w:rPr>
              <w:t>Dessutom bör de nationella kontaktpunkterna kunna hänvisa till lämpliga informationskällor och/eller behöriga myndigheter.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30a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Fackliga nätverk med rådgivningstjänster för migrerande och mobila arbetstagare spelar en viktig roll för att tillhandahålla information och rådgivning till tredjelandsmedborgare.</w:t>
            </w:r>
            <w:r>
              <w:t xml:space="preserve"> </w:t>
            </w:r>
            <w:r>
              <w:rPr>
                <w:b/>
                <w:i/>
              </w:rPr>
              <w:t>Sådana nätverk bör få stadigvarande, tillräcklig EU-finansiering.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För att uppnå målet för denna förordning bör ett effektivt genomförande av EU:s regelverk om laglig migration säkerställas.</w:t>
            </w:r>
            <w:r>
              <w:t xml:space="preserve"> </w:t>
            </w:r>
            <w:r>
              <w:rPr>
                <w:b/>
                <w:i/>
              </w:rPr>
              <w:t>För att det ska bli snabbare och lättare för arbetsgivare att rekrytera arbetssökande från tredjeländer som är bosatta utanför unionen får de deltagande medlemsstaterna dessutom införa påskyndade invandringsförfaranden, särskilt när det gäller erhållande av visering och uppehållstillstånd för arbetsändamål och undantag från principen om företräde för unionsmedborgare.</w:t>
            </w:r>
            <w:r>
              <w:t xml:space="preserve"> </w:t>
            </w:r>
            <w:r>
              <w:rPr>
                <w:b/>
                <w:i/>
              </w:rPr>
              <w:t>Genomförandet av påskyndade invandringsförfaranden skulle kunna diskuteras i styrgruppen för EU:s talangreserv, särskilt för att stödja utbytet av bästa praxis mellan medlemsstaterna.</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För att </w:t>
            </w:r>
            <w:r>
              <w:rPr>
                <w:b/>
                <w:i/>
              </w:rPr>
              <w:t>det ska bli snabbare och lättare för arbetsgivare att rekrytera</w:t>
            </w:r>
            <w:r>
              <w:t xml:space="preserve"> arbetssökande från tredjeländer som är bosatta utanför unionen </w:t>
            </w:r>
            <w:r>
              <w:rPr>
                <w:b/>
                <w:i/>
              </w:rPr>
              <w:t>får</w:t>
            </w:r>
            <w:r>
              <w:t xml:space="preserve"> de deltagande medlemsstaterna dessutom införa påskyndade invandringsförfaranden, särskilt när det gäller erhållande av visering och uppehållstillstånd för arbetsändamål och undantag från principen om företräde för unionsmedborgare. Genomförandet av påskyndade invandringsförfaranden </w:t>
            </w:r>
            <w:r>
              <w:rPr>
                <w:b/>
                <w:i/>
              </w:rPr>
              <w:t>skulle kunna</w:t>
            </w:r>
            <w:r>
              <w:t xml:space="preserve"> diskuteras i styrgruppen för EU:s talangreserv, särskilt för att stödja utbytet av bästa praxis mellan medlemsstaterna.</w:t>
            </w:r>
          </w:p>
        </w:tc>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För att </w:t>
            </w:r>
            <w:r>
              <w:rPr>
                <w:b/>
                <w:i/>
              </w:rPr>
              <w:t>underlätta och påskynda rekryteringen av</w:t>
            </w:r>
            <w:r>
              <w:t xml:space="preserve"> arbetssökande från tredjeländer som är bosatta utanför unionen </w:t>
            </w:r>
            <w:r>
              <w:rPr>
                <w:b/>
                <w:i/>
              </w:rPr>
              <w:t>både för arbetsgivarna och för de arbetssökande själva bör</w:t>
            </w:r>
            <w:r>
              <w:t xml:space="preserve"> de deltagande medlemsstaterna dessutom införa </w:t>
            </w:r>
            <w:r>
              <w:rPr>
                <w:b/>
                <w:i/>
              </w:rPr>
              <w:t>bestämmelser som möjliggör</w:t>
            </w:r>
            <w:r>
              <w:t xml:space="preserve"> påskyndade invandringsförfaranden, särskilt när det gäller </w:t>
            </w:r>
            <w:r>
              <w:rPr>
                <w:b/>
                <w:i/>
              </w:rPr>
              <w:t>icke-tillämpning av arbetsmarknadsprövningar och erkännande av kvalifikationer och färdigheter som utvecklats eller validerats inom ramen för ett EU-talangpartnerskap eller inom en nationell ram och som certifierats genom ett "talangpartnerskapspass".</w:t>
            </w:r>
            <w:r>
              <w:t xml:space="preserve"> </w:t>
            </w:r>
            <w:r>
              <w:rPr>
                <w:b/>
                <w:i/>
              </w:rPr>
              <w:t>Medlemsstaterna får även införa bestämmelser som underlättar</w:t>
            </w:r>
            <w:r>
              <w:t xml:space="preserve"> erhållande av visering och uppehållstillstånd för arbetsändamål och undantag från principen om företräde för unionsmedborgare. Genomförandet av påskyndade invandringsförfaranden </w:t>
            </w:r>
            <w:r>
              <w:rPr>
                <w:b/>
                <w:i/>
              </w:rPr>
              <w:t>bör</w:t>
            </w:r>
            <w:r>
              <w:t xml:space="preserve"> diskuteras i styrgruppen för EU:s talangreserv, särskilt för att stödja utbytet av bästa praxis mellan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För att uppnå målet för denna förordning </w:t>
            </w:r>
            <w:r>
              <w:rPr>
                <w:b/>
                <w:i/>
              </w:rPr>
              <w:t>bör ett effektivt genomförande av EU:s regelverk om laglig migration säkerställas.</w:t>
            </w:r>
            <w:r>
              <w:t xml:space="preserve"> </w:t>
            </w:r>
            <w:r>
              <w:rPr>
                <w:b/>
                <w:i/>
              </w:rPr>
              <w:t>För att det ska bli snabbare och lättare för arbetsgivare att rekrytera arbetssökande från tredjeländer som är bosatta utanför unionen</w:t>
            </w:r>
            <w:r>
              <w:t xml:space="preserve"> får de deltagande medlemsstaterna </w:t>
            </w:r>
            <w:r>
              <w:rPr>
                <w:b/>
                <w:i/>
              </w:rPr>
              <w:t>dessutom införa påskyndade invandringsförfaranden, särskilt när det gäller erhållande av visering och uppehållstillstånd för arbetsändamål och undantag från principen om företräde för unionsmedborgare.</w:t>
            </w:r>
            <w:r>
              <w:t xml:space="preserve"> </w:t>
            </w:r>
            <w:r>
              <w:rPr>
                <w:b/>
                <w:i/>
              </w:rPr>
              <w:t>Genomförandet av påskyndade invandringsförfaranden skulle kunna diskuteras i styrgruppen för EU:s talangreserv, särskilt för att stödja utbytet av bästa praxis mellan medlemsstaterna</w:t>
            </w:r>
            <w:r>
              <w:t>.</w:t>
            </w:r>
          </w:p>
        </w:tc>
        <w:tc>
          <w:tcPr>
            <w:tcW w:w="4876" w:type="dxa"/>
            <w:tcBorders>
              <w:top w:val="nil"/>
              <w:left w:val="nil"/>
              <w:bottom w:val="nil"/>
              <w:right w:val="nil"/>
            </w:tcBorders>
          </w:tcPr>
          <w:p>
            <w:pPr>
              <w:pStyle w:val="Normal6a"/>
            </w:pPr>
            <w:r>
              <w:t>(31)</w:t>
            </w:r>
            <w:r>
              <w:tab/>
            </w:r>
            <w:r>
              <w:t xml:space="preserve">För att uppnå målet för denna förordning får de deltagande medlemsstaterna </w:t>
            </w:r>
            <w:r>
              <w:rPr>
                <w:b/>
                <w:i/>
              </w:rPr>
              <w:t>vidta åtgärder som varje medlemsstat fastställer i enlighet med sina särskilda sociala, ekonomiska och sysselsättningsmässiga behov och särdrag</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w:t>
            </w:r>
            <w:r>
              <w:rPr>
                <w:b/>
                <w:i/>
              </w:rPr>
              <w:t>För att det ska bli snabbare och lättare för arbetsgivare att rekrytera arbetssökande från tredjeländer som är bosatta utanför unionen får de deltagande medlemsstaterna dessutom införa påskyndade invandringsförfaranden, särskilt när det gäller erhållande av visering och uppehållstillstånd för arbetsändamål och undantag från principen om företräde för unionsmedborgare.</w:t>
            </w:r>
            <w:r>
              <w:t xml:space="preserve"> </w:t>
            </w:r>
            <w:r>
              <w:rPr>
                <w:b/>
                <w:i/>
              </w:rPr>
              <w:t>Genomförandet av påskyndade invandringsförfaranden skulle kunna diskuteras i styrgruppen för EU:s talangreserv, särskilt för att stödja utbytet av bästa praxis mellan medlemsstaterna</w:t>
            </w:r>
            <w:r>
              <w:t>.</w:t>
            </w:r>
          </w:p>
        </w:tc>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w:t>
            </w:r>
            <w:r>
              <w:rPr>
                <w:b/>
                <w:i/>
              </w:rPr>
              <w:t>Förordningen utgör inte en ny laglig migrationsväg, och medlemsstaterna behåller rätten att bestämma hur många tredjelandsmedborgare som får beviljas inresa till deras territorium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w:t>
            </w:r>
            <w:r>
              <w:rPr>
                <w:b/>
                <w:i/>
              </w:rPr>
              <w:t>För att det ska bli snabbare och lättare för arbetsgivare att rekrytera arbetssökande från tredjeländer som är bosatta utanför unionen får de deltagande medlemsstaterna dessutom införa påskyndade invandringsförfaranden</w:t>
            </w:r>
            <w:r>
              <w:t xml:space="preserve">, </w:t>
            </w:r>
            <w:r>
              <w:rPr>
                <w:b/>
                <w:i/>
              </w:rPr>
              <w:t>särskilt när det gäller erhållande av visering och uppehållstillstånd för arbetsändamål och undantag från principen om företräde för unionsmedborgare.</w:t>
            </w:r>
            <w:r>
              <w:t xml:space="preserve"> </w:t>
            </w:r>
            <w:r>
              <w:rPr>
                <w:b/>
                <w:i/>
              </w:rPr>
              <w:t>Genomförandet av påskyndade invandringsförfaranden skulle kunna diskuteras i styrgruppen för EU:s talangreserv, särskilt för att stödja utbytet av bästa praxis mellan medlemsstaterna</w:t>
            </w:r>
            <w:r>
              <w:t>.</w:t>
            </w:r>
          </w:p>
        </w:tc>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w:t>
            </w:r>
            <w:r>
              <w:rPr>
                <w:b/>
                <w:i/>
              </w:rPr>
              <w:t>Förordningen utgör inte en ny laglig migrationsväg</w:t>
            </w:r>
            <w:r>
              <w:t xml:space="preserve">, </w:t>
            </w:r>
            <w:r>
              <w:rPr>
                <w:b/>
                <w:i/>
              </w:rPr>
              <w:t>och medlemsstaterna behåller således rätten att bestämma hur många tredjelandsmedborgare som får beviljas inresa till deras territorier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För att </w:t>
            </w:r>
            <w:r>
              <w:rPr>
                <w:b/>
                <w:i/>
              </w:rPr>
              <w:t>det ska bli snabbare och lättare för arbetsgivare att rekrytera arbetssökande från tredjeländer som är bosatta utanför unionen får de deltagande</w:t>
            </w:r>
            <w:r>
              <w:t xml:space="preserve"> medlemsstaterna dessutom </w:t>
            </w:r>
            <w:r>
              <w:rPr>
                <w:b/>
                <w:i/>
              </w:rPr>
              <w:t>införa påskyndade invandringsförfaranden, särskilt när det gäller erhållande av visering och uppehållstillstånd för arbetsändamål och undantag från principen om företräde för unionsmedborgare.</w:t>
            </w:r>
            <w:r>
              <w:t xml:space="preserve"> </w:t>
            </w:r>
            <w:r>
              <w:rPr>
                <w:b/>
                <w:i/>
              </w:rPr>
              <w:t>Genomförandet av påskyndade invandringsförfaranden skulle kunna diskuteras i styrgruppen för EU:s talangreserv, särskilt för att stödja utbytet av bästa praxis mellan medlemsstaterna</w:t>
            </w:r>
            <w:r>
              <w:t>.</w:t>
            </w:r>
          </w:p>
        </w:tc>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För att </w:t>
            </w:r>
            <w:r>
              <w:rPr>
                <w:b/>
                <w:i/>
              </w:rPr>
              <w:t>undvika säkerhetsrisker bör</w:t>
            </w:r>
            <w:r>
              <w:t xml:space="preserve"> medlemsstaterna dessutom </w:t>
            </w:r>
            <w:r>
              <w:rPr>
                <w:b/>
                <w:i/>
              </w:rPr>
              <w:t>genomföra nödvändiga säkerhetskontroller enligt nationell rätt, däribland kontroller i EU-databaser såsom Schengens informationssystem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För att det ska bli snabbare och lättare för arbetsgivare att rekrytera arbetssökande från tredjeländer som är bosatta utanför unionen </w:t>
            </w:r>
            <w:r>
              <w:rPr>
                <w:b/>
                <w:i/>
              </w:rPr>
              <w:t>får</w:t>
            </w:r>
            <w:r>
              <w:t xml:space="preserve"> de deltagande medlemsstaterna dessutom införa påskyndade invandringsförfaranden, särskilt när det gäller erhållande av visering och uppehållstillstånd för arbetsändamål och undantag från principen om företräde för unionsmedborgare. Genomförandet av påskyndade invandringsförfaranden skulle kunna diskuteras i styrgruppen för EU:s talangreserv, särskilt för att stödja utbytet av bästa praxis mellan medlemsstaterna.</w:t>
            </w:r>
          </w:p>
        </w:tc>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För att det ska bli snabbare och lättare för arbetsgivare att rekrytera arbetssökande från tredjeländer som är bosatta utanför unionen </w:t>
            </w:r>
            <w:r>
              <w:rPr>
                <w:b/>
                <w:i/>
              </w:rPr>
              <w:t>bör</w:t>
            </w:r>
            <w:r>
              <w:t xml:space="preserve"> de deltagande medlemsstaterna dessutom införa påskyndade invandringsförfaranden, särskilt när det gäller erhållande av visering och uppehållstillstånd för arbetsändamål och undantag från principen om företräde för unionsmedborgare</w:t>
            </w:r>
            <w:r>
              <w:rPr>
                <w:b/>
                <w:i/>
              </w:rPr>
              <w:t>.</w:t>
            </w:r>
            <w:r>
              <w:t xml:space="preserve"> </w:t>
            </w:r>
            <w:r>
              <w:rPr>
                <w:b/>
                <w:i/>
              </w:rPr>
              <w:t>Medlemsstaterna bör företrädesvis utfärda arbetstillstånd och uppehållstillstånd enligt direktiv (EU) 2024/1233</w:t>
            </w:r>
            <w:r>
              <w:rPr>
                <w:b/>
                <w:i/>
                <w:vertAlign w:val="superscript"/>
              </w:rPr>
              <w:t>18a</w:t>
            </w:r>
            <w:r>
              <w:t xml:space="preserve"> </w:t>
            </w:r>
            <w:r>
              <w:rPr>
                <w:b/>
                <w:i/>
              </w:rPr>
              <w:t>för att säkerställa ett smidigt och harmoniserat invandringsförfarande, öka flexibiliteten på den europeiska arbetsmarknaden och tillhandahålla ett säkerhetsnät för anställda vid avslutande av eller en övergång mellan anställningar</w:t>
            </w:r>
            <w:r>
              <w:t>. Genomförandet av påskyndade invandringsförfaranden skulle kunna diskuteras i styrgruppen för EU:s talangreserv, särskilt för att stödja utbytet av bästa praxis mellan medlemsstaterna.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Europaparlamentets och rådets direktiv (EU) 2024/1233 av den 24 april 2024 om ett enda ansökningsförfarande för ett kombinerat tillstånd för tredjelandsmedborgare att vistas och arbeta på en medlemsstats territorium och om en gemensam uppsättning rättigheter för arbetstagare från tredjeland som vistas lagligen i en medlemsstat (omarbetning).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För att det ska bli snabbare och lättare för arbetsgivare att rekrytera arbetssökande från tredjeländer som är bosatta utanför unionen får de deltagande medlemsstaterna dessutom införa påskyndade invandringsförfaranden, särskilt när det gäller erhållande av visering och uppehållstillstånd för arbetsändamål </w:t>
            </w:r>
            <w:r>
              <w:rPr>
                <w:b/>
                <w:i/>
              </w:rPr>
              <w:t>och undantag från principen om företräde för unionsmedborgare.</w:t>
            </w:r>
            <w:r>
              <w:t xml:space="preserve"> </w:t>
            </w:r>
            <w:r>
              <w:rPr>
                <w:b/>
                <w:i/>
              </w:rPr>
              <w:t>Genomförandet av påskyndade invandringsförfaranden skulle kunna diskuteras i styrgruppen för EU:s talangreserv, särskilt för att stödja utbytet av bästa praxis mellan medlemsstaterna</w:t>
            </w:r>
            <w:r>
              <w:t>.</w:t>
            </w:r>
          </w:p>
        </w:tc>
        <w:tc>
          <w:tcPr>
            <w:tcW w:w="4876" w:type="dxa"/>
            <w:tcBorders>
              <w:top w:val="nil"/>
              <w:left w:val="nil"/>
              <w:bottom w:val="nil"/>
              <w:right w:val="nil"/>
            </w:tcBorders>
          </w:tcPr>
          <w:p>
            <w:pPr>
              <w:pStyle w:val="Normal6a"/>
            </w:pPr>
            <w:r>
              <w:t>(31)</w:t>
            </w:r>
            <w:r>
              <w:tab/>
            </w:r>
            <w:r>
              <w:t>För att uppnå målet för denna förordning bör ett effektivt genomförande av EU:s regelverk om laglig migration säkerställas. För att det ska bli snabbare och lättare för arbetsgivare att rekrytera arbetssökande från tredjeländer som är bosatta utanför unionen får de deltagande medlemsstaterna dessutom införa påskyndade invandringsförfaranden, särskilt när det gäller erhållande av visering och uppehållstillstånd för arbetsändamål.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För att det ska bli snabbare och lättare för arbetsgivare att rekrytera arbetssökande från tredjeländer som är bosatta utanför unionen får de deltagande medlemsstaterna dessutom införa påskyndade invandringsförfaranden, särskilt när det gäller erhållande av visering och uppehållstillstånd för arbetsändamål </w:t>
            </w:r>
            <w:r>
              <w:rPr>
                <w:b/>
                <w:i/>
              </w:rPr>
              <w:t>och undantag från principen om företräde för unionsmedborgare</w:t>
            </w:r>
            <w:r>
              <w:t>. Genomförandet av påskyndade invandringsförfaranden skulle kunna diskuteras i styrgruppen för EU:s talangreserv, särskilt för att stödja utbytet av bästa praxis mellan medlemsstaterna.</w:t>
            </w:r>
          </w:p>
        </w:tc>
        <w:tc>
          <w:tcPr>
            <w:tcW w:w="4876" w:type="dxa"/>
            <w:tcBorders>
              <w:top w:val="nil"/>
              <w:left w:val="nil"/>
              <w:bottom w:val="nil"/>
              <w:right w:val="nil"/>
            </w:tcBorders>
          </w:tcPr>
          <w:p>
            <w:pPr>
              <w:pStyle w:val="Normal6a"/>
            </w:pPr>
            <w:r>
              <w:t>(31)</w:t>
            </w:r>
            <w:r>
              <w:tab/>
            </w:r>
            <w:r>
              <w:t>För att uppnå målet för denna förordning bör ett effektivt genomförande av EU:s regelverk om laglig migration säkerställas. För att det ska bli snabbare och lättare för arbetsgivare att rekrytera arbetssökande från tredjeländer som är bosatta utanför unionen får de deltagande medlemsstaterna dessutom införa påskyndade invandringsförfaranden, särskilt när det gäller erhållande av visering och uppehållstillstånd för arbetsändamål. Genomförandet av påskyndade invandringsförfaranden skulle kunna diskuteras i styrgruppen för EU:s talangreserv, särskilt för att stödja utbytet av bästa praxis mellan medlemsstaterna.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För att uppnå målet för denna förordning bör ett effektivt genomförande av EU:s regelverk om laglig migration säkerställas. För att det ska bli snabbare och lättare för arbetsgivare att rekrytera arbetssökande från tredjeländer som är bosatta utanför unionen får de deltagande medlemsstaterna dessutom införa påskyndade invandringsförfaranden</w:t>
            </w:r>
            <w:r>
              <w:rPr>
                <w:b/>
                <w:i/>
              </w:rPr>
              <w:t>,</w:t>
            </w:r>
            <w:r>
              <w:t xml:space="preserve"> särskilt när det gäller erhållande av visering och uppehållstillstånd för arbetsändamål </w:t>
            </w:r>
            <w:r>
              <w:rPr>
                <w:b/>
                <w:i/>
              </w:rPr>
              <w:t>och undantag från principen om företräde för unionsmedborgare.</w:t>
            </w:r>
            <w:r>
              <w:t xml:space="preserve"> Genomförandet av påskyndade invandringsförfaranden </w:t>
            </w:r>
            <w:r>
              <w:rPr>
                <w:b/>
                <w:i/>
              </w:rPr>
              <w:t>skulle</w:t>
            </w:r>
            <w:r>
              <w:t xml:space="preserve"> kunna diskuteras i styrgruppen för EU:s talangreserv, särskilt för att stödja utbytet av bästa praxis mellan medlemsstaterna.</w:t>
            </w:r>
          </w:p>
        </w:tc>
        <w:tc>
          <w:tcPr>
            <w:tcW w:w="4876" w:type="dxa"/>
            <w:tcBorders>
              <w:top w:val="nil"/>
              <w:left w:val="nil"/>
              <w:bottom w:val="nil"/>
              <w:right w:val="nil"/>
            </w:tcBorders>
          </w:tcPr>
          <w:p>
            <w:pPr>
              <w:pStyle w:val="Normal6a"/>
            </w:pPr>
            <w:r>
              <w:t>(31)</w:t>
            </w:r>
            <w:r>
              <w:tab/>
            </w:r>
            <w:r>
              <w:t>För att uppnå målet för denna förordning bör ett effektivt genomförande av EU:s regelverk om laglig migration säkerställas. För att det ska bli snabbare och lättare för arbetsgivare att rekrytera arbetssökande från tredjeländer som är bosatta utanför unionen får de deltagande medlemsstaterna dessutom</w:t>
            </w:r>
            <w:r>
              <w:rPr>
                <w:b/>
                <w:i/>
              </w:rPr>
              <w:t>, i enlighet med nationell lagstiftning,</w:t>
            </w:r>
            <w:r>
              <w:t xml:space="preserve"> införa påskyndade invandringsförfaranden särskilt när det gäller erhållande av visering och uppehållstillstånd för arbetsändamål</w:t>
            </w:r>
            <w:r>
              <w:rPr>
                <w:b/>
                <w:i/>
              </w:rPr>
              <w:t>.</w:t>
            </w:r>
            <w:r>
              <w:t xml:space="preserve"> </w:t>
            </w:r>
            <w:r>
              <w:rPr>
                <w:b/>
                <w:i/>
              </w:rPr>
              <w:t>Utan att det påverkar medlemsstaternas befogenheter skulle</w:t>
            </w:r>
            <w:r>
              <w:t xml:space="preserve"> genomförandet av påskyndade invandringsförfaranden kunna diskuteras i styrgruppen för EU:s talangreserv, särskilt för att stödja utbytet av bästa praxis mellan medlemsstaterna.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För att det ska bli snabbare och lättare för arbetsgivare att rekrytera arbetssökande från tredjeländer som är bosatta utanför unionen </w:t>
            </w:r>
            <w:r>
              <w:rPr>
                <w:b/>
                <w:i/>
              </w:rPr>
              <w:t>får de deltagande</w:t>
            </w:r>
            <w:r>
              <w:t xml:space="preserve"> medlemsstaterna dessutom införa påskyndade invandringsförfaranden, särskilt när det gäller erhållande av visering och uppehållstillstånd för arbetsändamål och undantag från principen om företräde för unionsmedborgare. Genomförandet av påskyndade invandringsförfaranden skulle kunna diskuteras i styrgruppen för EU:s talangreserv, särskilt för att stödja utbytet av bästa praxis mellan medlemsstaterna.</w:t>
            </w:r>
          </w:p>
        </w:tc>
        <w:tc>
          <w:tcPr>
            <w:tcW w:w="4876" w:type="dxa"/>
            <w:tcBorders>
              <w:top w:val="nil"/>
              <w:left w:val="nil"/>
              <w:bottom w:val="nil"/>
              <w:right w:val="nil"/>
            </w:tcBorders>
          </w:tcPr>
          <w:p>
            <w:pPr>
              <w:pStyle w:val="Normal6a"/>
            </w:pPr>
            <w:r>
              <w:t>(31)</w:t>
            </w:r>
            <w:r>
              <w:tab/>
            </w:r>
            <w:r>
              <w:t xml:space="preserve">För att uppnå målet för denna förordning bör ett effektivt genomförande av EU:s regelverk om laglig migration säkerställas. För att det ska bli snabbare och lättare för arbetsgivare att rekrytera arbetssökande från tredjeländer som är bosatta utanför unionen </w:t>
            </w:r>
            <w:r>
              <w:rPr>
                <w:b/>
                <w:i/>
              </w:rPr>
              <w:t>bör</w:t>
            </w:r>
            <w:r>
              <w:t xml:space="preserve"> medlemsstaterna dessutom </w:t>
            </w:r>
            <w:r>
              <w:rPr>
                <w:b/>
                <w:i/>
              </w:rPr>
              <w:t>överväga att</w:t>
            </w:r>
            <w:r>
              <w:t xml:space="preserve"> införa påskyndade invandringsförfaranden, särskilt när det gäller erhållande av visering och uppehållstillstånd för arbetsändamål och undantag från principen om företräde för unionsmedborgare. Genomförandet av påskyndade invandringsförfaranden skulle kunna diskuteras i styrgruppen för EU:s talangreserv, särskilt för att stödja utbytet av bästa praxis mellan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Eftersom målen för denna förordning, nämligen att inrätta en unionsomfattande plattform som syftar till att avhjälpa bristen på arbetskraft på unionsnivå genom att underlätta rekryteringen av tredjelandsmedborgare till arbete inom yrken där det råder en brist i hela EU, inte i tillräcklig utsträckning kan uppnås av medlemsstaterna på grund av bristen på effektiva kanaler och begränsad synlighet på global nivå, utan snarare, på grund av åtgärdens omfattning, kan uppnås bättre på unionsnivå, kan unionen vidta åtgärder i enlighet med subsidiaritetsprincipen i artikel 5 i fördraget om Europeiska unionen.</w:t>
            </w:r>
            <w:r>
              <w:t xml:space="preserve"> </w:t>
            </w:r>
            <w:r>
              <w:rPr>
                <w:b/>
                <w:i/>
              </w:rPr>
              <w:t>I enlighet med proportionalitetsprincipen i samma artikel går denna förordning inte utöver vad som är nödvändigt för att uppnå dessa mål.</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Eftersom målen för denna förordning, nämligen att inrätta en unionsomfattande plattform som syftar till att avhjälpa bristen på arbetskraft på unionsnivå genom att underlätta rekryteringen av tredjelandsmedborgare till arbete </w:t>
            </w:r>
            <w:r>
              <w:rPr>
                <w:b/>
                <w:i/>
              </w:rPr>
              <w:t>inom yrken där det råder en brist i hela</w:t>
            </w:r>
            <w:r>
              <w:t xml:space="preserve"> EU, inte i tillräcklig utsträckning kan uppnås av medlemsstaterna på grund av bristen på effektiva kanaler och begränsad synlighet på global nivå, utan snarare, på grund av åtgärdens omfattning,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dessa mål.</w:t>
            </w:r>
          </w:p>
        </w:tc>
        <w:tc>
          <w:tcPr>
            <w:tcW w:w="4876" w:type="dxa"/>
            <w:tcBorders>
              <w:top w:val="nil"/>
              <w:left w:val="nil"/>
              <w:bottom w:val="nil"/>
              <w:right w:val="nil"/>
            </w:tcBorders>
          </w:tcPr>
          <w:p>
            <w:pPr>
              <w:pStyle w:val="Normal6a"/>
            </w:pPr>
            <w:r>
              <w:t>(32)</w:t>
            </w:r>
            <w:r>
              <w:tab/>
            </w:r>
            <w:r>
              <w:t xml:space="preserve">Eftersom målen för denna förordning, nämligen att inrätta en unionsomfattande plattform som syftar till att avhjälpa bristen på arbetskraft på unionsnivå genom att underlätta rekryteringen av tredjelandsmedborgare till arbete </w:t>
            </w:r>
            <w:r>
              <w:rPr>
                <w:b/>
                <w:i/>
              </w:rPr>
              <w:t>i</w:t>
            </w:r>
            <w:r>
              <w:t xml:space="preserve"> EU, inte i tillräcklig utsträckning kan uppnås av medlemsstaterna på grund av bristen på effektiva kanaler och begränsad synlighet på global nivå, utan snarare, på grund av åtgärdens omfattning,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dessa 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För att uppfylla målen för denna förordning om att underlätta internationell rekrytering bör befogenheten att anta akter i enlighet med artikel 290 i fördraget om Europeiska unionens funktionssätt delegeras till kommissionen för att ändra denna förordning med avseende på bilagan med en förteckning över bristyrken i hela EU.</w:t>
            </w:r>
            <w:r>
              <w:t xml:space="preserve"> </w:t>
            </w:r>
            <w:r>
              <w:rPr>
                <w:b/>
                <w:i/>
              </w:rPr>
              <w:t>Det är särskilt viktigt att kommissionen genomför lämpliga samråd under sitt förberedande arbete, inklusive på expertnivå, och att dessa samråd genomförs i enlighet med principerna i det interinstitutionella avtalet om bättre lagstiftning av den 13 april 2016</w:t>
            </w:r>
            <w:r>
              <w:rPr>
                <w:b/>
                <w:i/>
                <w:vertAlign w:val="superscript"/>
              </w:rPr>
              <w:t>19</w:t>
            </w:r>
            <w:r>
              <w:rPr>
                <w:b/>
                <w:i/>
              </w:rPr>
              <w:t>.</w:t>
            </w:r>
            <w:r>
              <w:t xml:space="preserve"> </w:t>
            </w:r>
            <w:r>
              <w:rPr>
                <w:b/>
                <w:i/>
              </w:rPr>
              <w:t>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Interinstitutionellt avtal mellan Europaparlamentet, Europeiska unionens råd och Europeiska kommissionen om bättre lagstiftning (EUT L 123, 12.5.2016, s.</w:t>
            </w:r>
            <w:r>
              <w:t xml:space="preserve"> </w:t>
            </w:r>
            <w:r>
              <w:rPr>
                <w:b/>
                <w:i/>
              </w:rPr>
              <w:t>1, ELI: http://data.europa.eu/eli/agree_interinstit/2016/512/oj?locale=sv).</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För att uppfylla målen för denna förordning om att underlätta internationell rekrytering bör befogenheten att anta akter i enlighet med artikel 290 i fördraget om Europeiska unionens funktionssätt delegeras till kommissionen för att ändra denna förordning med avseende på bilagan med en förteckning över bristyrken i hela EU.</w:t>
            </w:r>
            <w:r>
              <w:t xml:space="preserve"> </w:t>
            </w:r>
            <w:r>
              <w:rPr>
                <w:b/>
                <w:i/>
              </w:rPr>
              <w:t>Det är särskilt viktigt att kommissionen genomför lämpliga samråd under sitt förberedande arbete, inklusive på expertnivå, och att dessa samråd genomförs i enlighet med principerna i det interinstitutionella avtalet om bättre lagstiftning av den 13 april 2016</w:t>
            </w:r>
            <w:r>
              <w:rPr>
                <w:b/>
                <w:i/>
                <w:vertAlign w:val="superscript"/>
              </w:rPr>
              <w:t>19</w:t>
            </w:r>
            <w:r>
              <w:rPr>
                <w:b/>
                <w:i/>
              </w:rPr>
              <w:t>.</w:t>
            </w:r>
            <w:r>
              <w:t xml:space="preserve"> </w:t>
            </w:r>
            <w:r>
              <w:rPr>
                <w:b/>
                <w:i/>
              </w:rPr>
              <w:t>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Interinstitutionellt avtal mellan Europaparlamentet, Europeiska unionens råd och Europeiska kommissionen om bättre lagstiftning (EUT L 123, 12.5.2016, s.</w:t>
            </w:r>
            <w:r>
              <w:t xml:space="preserve"> </w:t>
            </w:r>
            <w:r>
              <w:rPr>
                <w:b/>
                <w:i/>
              </w:rPr>
              <w:t>1, ELI: http://data.europa.eu/eli/agree_interinstit/2016/512/oj?locale=sv).</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För att uppfylla målen för denna förordning om att underlätta internationell rekrytering bör befogenheten att anta akter i enlighet med artikel 290 i fördraget om Europeiska unionens funktionssätt delegeras till kommissionen för att ändra denna förordning med avseende på bilagan med en förteckning över bristyrken i hela EU.</w:t>
            </w:r>
            <w:r>
              <w:t xml:space="preserve"> </w:t>
            </w:r>
            <w:r>
              <w:rPr>
                <w:b/>
                <w:i/>
              </w:rPr>
              <w:t>Det är särskilt viktigt att kommissionen genomför lämpliga samråd under sitt förberedande arbete, inklusive på expertnivå, och att dessa samråd genomförs i enlighet med principerna i det interinstitutionella avtalet om bättre lagstiftning av den 13 april 2016</w:t>
            </w:r>
            <w:r>
              <w:rPr>
                <w:b/>
                <w:i/>
                <w:vertAlign w:val="superscript"/>
              </w:rPr>
              <w:t>19</w:t>
            </w:r>
            <w:r>
              <w:rPr>
                <w:b/>
                <w:i/>
              </w:rPr>
              <w:t xml:space="preserve"> .</w:t>
            </w:r>
            <w:r>
              <w:t xml:space="preserve"> </w:t>
            </w:r>
            <w:r>
              <w:rPr>
                <w:b/>
                <w:i/>
              </w:rPr>
              <w:t>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Interinstitutionellt avtal mellan Europaparlamentet, Europeiska unionens råd och Europeiska kommissionen om bättre lagstiftning (EUT L 123, 12.5.2016, s.</w:t>
            </w:r>
            <w:r>
              <w:t xml:space="preserve"> </w:t>
            </w:r>
            <w:r>
              <w:rPr>
                <w:b/>
                <w:i/>
              </w:rPr>
              <w:t>1, ELI: http://data.europa.eu/eli/agree_interinstit/2016/512/oj?locale=sv).</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För att säkerställa enhetliga villkor för genomförandet av denna förordning bör kommissionen tilldelas genomförandebefogenheter.</w:t>
            </w:r>
            <w:r>
              <w:t xml:space="preserve"> </w:t>
            </w:r>
            <w:r>
              <w:rPr>
                <w:b/>
                <w:i/>
              </w:rPr>
              <w:t>Dessa befogenheter bör utövas i enlighet med Europaparlamentets och rådets förordning (EU) nr 182/2011</w:t>
            </w:r>
            <w:r>
              <w:rPr>
                <w:b/>
                <w:i/>
                <w:vertAlign w:val="superscript"/>
              </w:rPr>
              <w:t>20</w:t>
            </w:r>
            <w:r>
              <w:rPr>
                <w:b/>
                <w:i/>
              </w:rPr>
              <w:t xml:space="preserve"> .</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Europaparlamentets och rådets förordning (EU) nr 182/2011 av den 16 februari 2011 om fastställande av allmänna regler och principer för medlemsstaternas kontroll av kommissionens utövande av sina genomförandebefogenheter (EUT L 55, 28.2.2011, s.</w:t>
            </w:r>
            <w:r>
              <w:t xml:space="preserve"> </w:t>
            </w:r>
            <w:r>
              <w:rPr>
                <w:b/>
                <w:i/>
              </w:rPr>
              <w:t>13, ELI: http://data.europa.eu/eli/reg/2011/182/oj?locale=sv).</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Det rådgivande förfarandet bör användas för att anta mallarna för utformningen av EU-talangpartnerskapspasset. Granskningsförfarandet bör användas för att anta och uppdatera de tekniska standarderna för datautbyte, dataformat samt format för lediga platser och profiler för arbetssökande från tredjeländer. </w:t>
            </w:r>
            <w:r>
              <w:rPr>
                <w:b/>
                <w:i/>
              </w:rPr>
              <w:t>Granskningsförfarandet bör också användas för att anta</w:t>
            </w:r>
            <w:r>
              <w:t xml:space="preserve"> tekniska </w:t>
            </w:r>
            <w:r>
              <w:rPr>
                <w:b/>
                <w:i/>
              </w:rPr>
              <w:t>standarder</w:t>
            </w:r>
            <w:r>
              <w:t xml:space="preserve"> för de underkategorier av personuppgifter som ska behandlas och regler om de personuppgiftsansvarigas ansvar, inbegripet om eventuell användning av ett eller flera personuppgiftsbiträden, samt om villkoren för tillgång till personuppgifter och registrerade arbetssökandes möjlighet att begränsa tillgången till sina personuppgifter på it-plattformen för EU:s talangreserv.</w:t>
            </w:r>
          </w:p>
        </w:tc>
        <w:tc>
          <w:tcPr>
            <w:tcW w:w="4876" w:type="dxa"/>
            <w:tcBorders>
              <w:top w:val="nil"/>
              <w:left w:val="nil"/>
              <w:bottom w:val="nil"/>
              <w:right w:val="nil"/>
            </w:tcBorders>
          </w:tcPr>
          <w:p>
            <w:pPr>
              <w:pStyle w:val="Normal6a"/>
            </w:pPr>
            <w:r>
              <w:t>(35)</w:t>
            </w:r>
            <w:r>
              <w:tab/>
            </w:r>
            <w:r>
              <w:t xml:space="preserve">Det rådgivande förfarandet bör användas för att anta mallarna för utformningen av EU-talangpartnerskapspasset. Granskningsförfarandet bör användas för att anta och uppdatera de tekniska standarderna för datautbyte, dataformat samt format för lediga platser och profiler för arbetssökande från tredjeländer. </w:t>
            </w:r>
            <w:r>
              <w:rPr>
                <w:b/>
                <w:i/>
              </w:rPr>
              <w:t>Delegerade akter bör antas för de</w:t>
            </w:r>
            <w:r>
              <w:t xml:space="preserve"> tekniska </w:t>
            </w:r>
            <w:r>
              <w:rPr>
                <w:b/>
                <w:i/>
              </w:rPr>
              <w:t>standarderna</w:t>
            </w:r>
            <w:r>
              <w:t xml:space="preserve"> för de underkategorier av personuppgifter som ska behandlas och regler om de personuppgiftsansvarigas ansvar, inbegripet om eventuell användning av ett eller flera personuppgiftsbiträden, samt om villkoren för tillgång till personuppgifter och registrerade arbetssökandes möjlighet att begränsa tillgången till sina personuppgifter på it-plattformen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De deltagande</w:t>
            </w:r>
            <w:r>
              <w:t xml:space="preserve"> medlemsstaterna bör genomföra denna förordning i full överensstämmelse med alla skyldigheter enligt EU:s stadga om de grundläggande rättigheterna, särskilt utan diskriminering på grund av kön, ras, hudfärg, etniskt eller socialt ursprung, genetiska särdrag, språk, religion eller övertygelse, politisk eller annan åskådning, tillhörighet till nationell minoritet, förmögenhet, börd, funktionsnedsättning, ålder eller sexuell läggning. Respekten för rättvisa arbetsförhållanden och skyddet av ungdomar i arbetslivet bör säkerställas.</w:t>
            </w:r>
          </w:p>
        </w:tc>
        <w:tc>
          <w:tcPr>
            <w:tcW w:w="4876" w:type="dxa"/>
            <w:tcBorders>
              <w:top w:val="nil"/>
              <w:left w:val="nil"/>
              <w:bottom w:val="nil"/>
              <w:right w:val="nil"/>
            </w:tcBorders>
          </w:tcPr>
          <w:p>
            <w:pPr>
              <w:pStyle w:val="Normal6a"/>
            </w:pPr>
            <w:r>
              <w:t>(37)</w:t>
            </w:r>
            <w:r>
              <w:tab/>
            </w:r>
            <w:r>
              <w:t xml:space="preserve">Medlemsstaterna bör genomföra denna förordning i full överensstämmelse med alla skyldigheter enligt EU:s stadga om de grundläggande rättigheterna, särskilt utan diskriminering på grund av kön, ras, hudfärg, etniskt eller socialt ursprung, genetiska särdrag, språk, religion eller övertygelse, politisk eller annan åskådning, tillhörighet till nationell minoritet, förmögenhet, börd, funktionsnedsättning, ålder eller sexuell läggning. Respekten för rättvisa arbetsförhållanden och skyddet av ungdomar </w:t>
            </w:r>
            <w:r>
              <w:rPr>
                <w:b/>
                <w:i/>
              </w:rPr>
              <w:t>och jämställdhet</w:t>
            </w:r>
            <w:r>
              <w:t xml:space="preserve"> i arbetslivet bör säkerställas.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De deltagande</w:t>
            </w:r>
            <w:r>
              <w:t xml:space="preserve"> medlemsstaterna bör genomföra denna förordning i full överensstämmelse med alla skyldigheter enligt EU:s stadga om de grundläggande rättigheterna, särskilt utan diskriminering på grund av kön, ras, hudfärg, etniskt eller socialt ursprung, genetiska särdrag, språk, religion eller övertygelse, politisk eller annan åskådning, tillhörighet till nationell minoritet, förmögenhet, börd, funktionsnedsättning, ålder eller sexuell läggning. Respekten för rättvisa arbetsförhållanden och skyddet av ungdomar i arbetslivet bör säkerställas.</w:t>
            </w:r>
          </w:p>
        </w:tc>
        <w:tc>
          <w:tcPr>
            <w:tcW w:w="4876" w:type="dxa"/>
            <w:tcBorders>
              <w:top w:val="nil"/>
              <w:left w:val="nil"/>
              <w:bottom w:val="nil"/>
              <w:right w:val="nil"/>
            </w:tcBorders>
          </w:tcPr>
          <w:p>
            <w:pPr>
              <w:pStyle w:val="Normal6a"/>
            </w:pPr>
            <w:r>
              <w:t>(37)</w:t>
            </w:r>
            <w:r>
              <w:tab/>
            </w:r>
            <w:r>
              <w:t>Medlemsstaterna bör genomföra denna förordning i full överensstämmelse med alla skyldigheter enligt EU:s stadga om de grundläggande rättigheterna, särskilt utan diskriminering på grund av kön, ras, hudfärg, etniskt eller socialt ursprung, genetiska särdrag, språk, religion eller övertygelse, politisk eller annan åskådning, tillhörighet till nationell minoritet, förmögenhet, börd, funktionsnedsättning, ålder eller sexuell läggning. Respekten för rättvisa arbetsförhållanden och skyddet av ungdomar i arbetslivet bör säkerställas.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Genom denna förordning inrättas en EU-talangreserv som är tillgänglig för alla medlemsstater för att </w:t>
            </w:r>
            <w:r>
              <w:rPr>
                <w:b/>
                <w:i/>
              </w:rPr>
              <w:t>underlätta</w:t>
            </w:r>
            <w:r>
              <w:t xml:space="preserve"> rekrytering av arbetssökande från tredjeländer som är bosatta utanför unionen.</w:t>
            </w:r>
          </w:p>
        </w:tc>
        <w:tc>
          <w:tcPr>
            <w:tcW w:w="4876" w:type="dxa"/>
            <w:tcBorders>
              <w:top w:val="nil"/>
              <w:left w:val="nil"/>
              <w:bottom w:val="nil"/>
              <w:right w:val="nil"/>
            </w:tcBorders>
          </w:tcPr>
          <w:p>
            <w:pPr>
              <w:pStyle w:val="Normal6a"/>
            </w:pPr>
            <w:r>
              <w:t>1.</w:t>
            </w:r>
            <w:r>
              <w:tab/>
            </w:r>
            <w:r>
              <w:t xml:space="preserve">Genom denna förordning inrättas en EU-talangreserv som är tillgänglig för alla medlemsstater för att </w:t>
            </w:r>
            <w:r>
              <w:rPr>
                <w:b/>
                <w:i/>
              </w:rPr>
              <w:t>främja</w:t>
            </w:r>
            <w:r>
              <w:t xml:space="preserve"> rekrytering av arbetssökande </w:t>
            </w:r>
            <w:r>
              <w:rPr>
                <w:b/>
                <w:i/>
              </w:rPr>
              <w:t>med en viss kompetens eller särskild sakkunskap</w:t>
            </w:r>
            <w:r>
              <w:t xml:space="preserve"> från tredjeländer som är bosatta utanför unionen</w:t>
            </w:r>
            <w:r>
              <w:rPr>
                <w:b/>
                <w:i/>
              </w:rPr>
              <w:t>, och detta enbart till de medlemsstater som bestämmer sig för att använda sig av den.</w:t>
            </w:r>
            <w:r>
              <w:t xml:space="preserve"> </w:t>
            </w:r>
            <w:r>
              <w:rPr>
                <w:b/>
                <w:i/>
              </w:rPr>
              <w:t>Detta verktyg bör endast ses som en frivillig och tillfällig lösning för att möta efterfrågan på arbetsmarknaden, stadd i ständig förändring.</w:t>
            </w:r>
            <w:r>
              <w:t xml:space="preserve"> </w:t>
            </w:r>
            <w:r>
              <w:rPr>
                <w:b/>
                <w:i/>
              </w:rPr>
              <w:t>I detta avseende ger EU:s talangreserv medlemsstaterna den tid de behöver för att utbilda sina egna medborgare och vidta nödvändiga åtgärder för att främja full sysselsättning på nationell nivå</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r>
        <w:rPr>
          <w:rStyle w:val="HideTWBExt"/>
          <w:b w:val="0"/>
        </w:rPr>
        <w:t>&lt;AuNomDe&gt;</w:t>
      </w:r>
      <w:r>
        <w:rPr>
          <w:rStyle w:val="HideTWBInt"/>
        </w:rPr>
        <w:t>{Greens/EFA}</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Genom denna förordning inrättas en EU-talangreserv som är tillgänglig för alla medlemsstater </w:t>
            </w:r>
            <w:r>
              <w:rPr>
                <w:b/>
                <w:i/>
              </w:rPr>
              <w:t>för att underlätta rekrytering av arbetssökande</w:t>
            </w:r>
            <w:r>
              <w:t xml:space="preserve"> från tredjeländer </w:t>
            </w:r>
            <w:r>
              <w:rPr>
                <w:b/>
                <w:i/>
              </w:rPr>
              <w:t>som är bosatta utanför unionen</w:t>
            </w:r>
            <w:r>
              <w:t>.</w:t>
            </w:r>
          </w:p>
        </w:tc>
        <w:tc>
          <w:tcPr>
            <w:tcW w:w="4876" w:type="dxa"/>
            <w:tcBorders>
              <w:top w:val="nil"/>
              <w:left w:val="nil"/>
              <w:bottom w:val="nil"/>
              <w:right w:val="nil"/>
            </w:tcBorders>
          </w:tcPr>
          <w:p>
            <w:pPr>
              <w:pStyle w:val="Normal6a"/>
            </w:pPr>
            <w:r>
              <w:t>1.</w:t>
            </w:r>
            <w:r>
              <w:tab/>
            </w:r>
            <w:r>
              <w:t>Genom denna förordning inrättas en EU-talangreserv</w:t>
            </w:r>
            <w:r>
              <w:rPr>
                <w:b/>
                <w:i/>
              </w:rPr>
              <w:t>, som en enda kontaktpunkt</w:t>
            </w:r>
            <w:r>
              <w:t xml:space="preserve"> som är tillgänglig för alla medlemsstater</w:t>
            </w:r>
            <w:r>
              <w:rPr>
                <w:b/>
                <w:i/>
              </w:rPr>
              <w:t>, med målet att öka unionens attraktionskraft och arbetskraftens rörlighet för talanger</w:t>
            </w:r>
            <w:r>
              <w:t xml:space="preserve"> från tredjeländer</w:t>
            </w:r>
            <w:r>
              <w:rPr>
                <w:b/>
                <w:i/>
              </w:rPr>
              <w:t>, åtgärda befintliga brister på arbetsmarknaden samt stödja den dubbla gröna och digitala omställningen genom att underlätta matchningsprocessen mellan arbetsgivare i EU och arbetssökande från tredjeländer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Genom denna förordning inrättas en EU-talangreserv som är tillgänglig för </w:t>
            </w:r>
            <w:r>
              <w:rPr>
                <w:b/>
                <w:i/>
              </w:rPr>
              <w:t>alla</w:t>
            </w:r>
            <w:r>
              <w:t xml:space="preserve"> medlemsstater för att underlätta rekrytering av arbetssökande från tredjeländer som är bosatta utanför unionen.</w:t>
            </w:r>
          </w:p>
        </w:tc>
        <w:tc>
          <w:tcPr>
            <w:tcW w:w="4876" w:type="dxa"/>
            <w:tcBorders>
              <w:top w:val="nil"/>
              <w:left w:val="nil"/>
              <w:bottom w:val="nil"/>
              <w:right w:val="nil"/>
            </w:tcBorders>
          </w:tcPr>
          <w:p>
            <w:pPr>
              <w:pStyle w:val="Normal6a"/>
            </w:pPr>
            <w:r>
              <w:t>1.</w:t>
            </w:r>
            <w:r>
              <w:tab/>
            </w:r>
            <w:r>
              <w:t xml:space="preserve">Genom denna förordning inrättas en EU-talangreserv som är tillgänglig för </w:t>
            </w:r>
            <w:r>
              <w:rPr>
                <w:b/>
                <w:i/>
              </w:rPr>
              <w:t>frivilligt deltagande</w:t>
            </w:r>
            <w:r>
              <w:t xml:space="preserve"> medlemsstater för att underlätta rekrytering av arbetssökande</w:t>
            </w:r>
            <w:r>
              <w:rPr>
                <w:b/>
                <w:i/>
              </w:rPr>
              <w:t>, i vissa sektorer och i enlighet med deras kompetensnivå,</w:t>
            </w:r>
            <w:r>
              <w:t xml:space="preserve"> från tredjeländer som är bosatta utanför unionen.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Genom denna förordning inrättas en EU-talangreserv som är tillgänglig för alla medlemsstater för att underlätta rekrytering av arbetssökande från tredjeländer som är bosatta utanför unionen.</w:t>
            </w:r>
          </w:p>
        </w:tc>
        <w:tc>
          <w:tcPr>
            <w:tcW w:w="4876" w:type="dxa"/>
            <w:tcBorders>
              <w:top w:val="nil"/>
              <w:left w:val="nil"/>
              <w:bottom w:val="nil"/>
              <w:right w:val="nil"/>
            </w:tcBorders>
          </w:tcPr>
          <w:p>
            <w:pPr>
              <w:pStyle w:val="Normal6a"/>
            </w:pPr>
            <w:r>
              <w:t>1.</w:t>
            </w:r>
            <w:r>
              <w:tab/>
            </w:r>
            <w:r>
              <w:t xml:space="preserve">Genom denna förordning inrättas en </w:t>
            </w:r>
            <w:r>
              <w:rPr>
                <w:b/>
                <w:i/>
              </w:rPr>
              <w:t>tillfällig</w:t>
            </w:r>
            <w:r>
              <w:t xml:space="preserve"> EU-talangreserv som är tillgänglig för alla medlemsstater för att underlätta rekrytering av </w:t>
            </w:r>
            <w:r>
              <w:rPr>
                <w:b/>
                <w:i/>
              </w:rPr>
              <w:t>högkvalificerade</w:t>
            </w:r>
            <w:r>
              <w:t> arbetssökande från tredjeländer som är bosatta utanför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Genom denna förordning inrättas en EU-talangreserv som är tillgänglig för alla medlemsstater för att underlätta rekrytering av arbetssökande </w:t>
            </w:r>
            <w:r>
              <w:rPr>
                <w:b/>
                <w:i/>
              </w:rPr>
              <w:t>från tredjeländer som är bosatta utanför unionen</w:t>
            </w:r>
            <w:r>
              <w:t>.</w:t>
            </w:r>
          </w:p>
        </w:tc>
        <w:tc>
          <w:tcPr>
            <w:tcW w:w="4876" w:type="dxa"/>
            <w:tcBorders>
              <w:top w:val="nil"/>
              <w:left w:val="nil"/>
              <w:bottom w:val="nil"/>
              <w:right w:val="nil"/>
            </w:tcBorders>
          </w:tcPr>
          <w:p>
            <w:pPr>
              <w:pStyle w:val="Normal6a"/>
            </w:pPr>
            <w:r>
              <w:t>1.</w:t>
            </w:r>
            <w:r>
              <w:tab/>
            </w:r>
            <w:r>
              <w:t xml:space="preserve">Genom denna förordning inrättas en EU-talangreserv som är tillgänglig för alla medlemsstater för att underlätta rekrytering av arbetssökande </w:t>
            </w:r>
            <w:r>
              <w:rPr>
                <w:b/>
                <w:i/>
              </w:rPr>
              <w:t>som täcker alla nivåer av färdigheter och kvalifikationer från tredjeländer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Genom denna förordning inrättas en EU-talangreserv som är </w:t>
            </w:r>
            <w:r>
              <w:rPr>
                <w:b/>
                <w:i/>
              </w:rPr>
              <w:t>tillgänglig</w:t>
            </w:r>
            <w:r>
              <w:t xml:space="preserve"> för alla medlemsstater för att underlätta rekrytering av arbetssökande från tredjeländer som är bosatta utanför unionen.</w:t>
            </w:r>
          </w:p>
        </w:tc>
        <w:tc>
          <w:tcPr>
            <w:tcW w:w="4876" w:type="dxa"/>
            <w:tcBorders>
              <w:top w:val="nil"/>
              <w:left w:val="nil"/>
              <w:bottom w:val="nil"/>
              <w:right w:val="nil"/>
            </w:tcBorders>
          </w:tcPr>
          <w:p>
            <w:pPr>
              <w:pStyle w:val="Normal6a"/>
            </w:pPr>
            <w:r>
              <w:t>1.</w:t>
            </w:r>
            <w:r>
              <w:tab/>
            </w:r>
            <w:r>
              <w:t>Genom denna förordning inrättas en EU-talangreserv</w:t>
            </w:r>
            <w:r>
              <w:rPr>
                <w:b/>
                <w:i/>
              </w:rPr>
              <w:t>, ett frivilligt verktyg</w:t>
            </w:r>
            <w:r>
              <w:t xml:space="preserve"> som är </w:t>
            </w:r>
            <w:r>
              <w:rPr>
                <w:b/>
                <w:i/>
              </w:rPr>
              <w:t>tillgängligt</w:t>
            </w:r>
            <w:r>
              <w:t xml:space="preserve"> för alla medlemsstater för att underlätta rekrytering av arbetssökande från tredjeländer som är bosatta utanför unionen.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2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villkor och förfaranden för deltagande i EU:s talangreserv för arbetssökande från tredjeländer och arbetsgivare,</w:t>
            </w:r>
          </w:p>
        </w:tc>
        <w:tc>
          <w:tcPr>
            <w:tcW w:w="4876" w:type="dxa"/>
            <w:tcBorders>
              <w:top w:val="nil"/>
              <w:left w:val="nil"/>
              <w:bottom w:val="nil"/>
              <w:right w:val="nil"/>
            </w:tcBorders>
          </w:tcPr>
          <w:p>
            <w:pPr>
              <w:pStyle w:val="Normal6a"/>
            </w:pPr>
            <w:r>
              <w:t>c)</w:t>
            </w:r>
            <w:r>
              <w:tab/>
            </w:r>
            <w:r>
              <w:t xml:space="preserve">villkor och förfaranden för deltagande i EU:s talangreserv för </w:t>
            </w:r>
            <w:r>
              <w:rPr>
                <w:b/>
                <w:i/>
              </w:rPr>
              <w:t>högkvalificerade </w:t>
            </w:r>
            <w:r>
              <w:t>arbetssökande från tredjeländer och arbetsgivare,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2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underlättande av rekrytering av arbetssökande från tredjeländer som deltar i ett talangpartnerskap.</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2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underlättande av rekrytering av arbetssökande från tredjeländer som deltar i ett talangpartnerskap.</w:t>
            </w:r>
          </w:p>
        </w:tc>
        <w:tc>
          <w:tcPr>
            <w:tcW w:w="4876" w:type="dxa"/>
            <w:tcBorders>
              <w:top w:val="nil"/>
              <w:left w:val="nil"/>
              <w:bottom w:val="nil"/>
              <w:right w:val="nil"/>
            </w:tcBorders>
          </w:tcPr>
          <w:p>
            <w:pPr>
              <w:pStyle w:val="Normal6a"/>
            </w:pPr>
            <w:r>
              <w:t>d)</w:t>
            </w:r>
            <w:r>
              <w:tab/>
            </w:r>
            <w:r>
              <w:t>underlättande av rekrytering av arbetssökande från tredjeländer som deltar i ett talangpartnerskap</w:t>
            </w:r>
            <w:r>
              <w:rPr>
                <w:b/>
                <w:i/>
              </w:rPr>
              <w:t> eller ett nationellt ramverk för utveckling och validering av färdigheter i ett tredjeland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2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underlättande av rekrytering av arbetssökande från tredjeländer som deltar i ett talangpartnerskap.</w:t>
            </w:r>
          </w:p>
        </w:tc>
        <w:tc>
          <w:tcPr>
            <w:tcW w:w="4876" w:type="dxa"/>
            <w:tcBorders>
              <w:top w:val="nil"/>
              <w:left w:val="nil"/>
              <w:bottom w:val="nil"/>
              <w:right w:val="nil"/>
            </w:tcBorders>
          </w:tcPr>
          <w:p>
            <w:pPr>
              <w:pStyle w:val="Normal6a"/>
            </w:pPr>
            <w:r>
              <w:t>d)</w:t>
            </w:r>
            <w:r>
              <w:tab/>
            </w:r>
            <w:r>
              <w:t xml:space="preserve">underlättande av rekrytering av </w:t>
            </w:r>
            <w:r>
              <w:rPr>
                <w:b/>
                <w:i/>
              </w:rPr>
              <w:t>högkvalificerade </w:t>
            </w:r>
            <w:r>
              <w:t>arbetssökande från tredjeländer som deltar i ett talangpartnerskap.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2 – led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tillämpning av principen om likabehandling och skydd av rättigheterna för arbetssökande som använder, har använt eller har rekryterats via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2 – led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skydd av arbetssökande och arbetstagare som rekryteras via EU:s talangreserv och tillämpning av principen om likabehandling.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2 – led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tillämpning av principen om likabehandling och skydd av rättigheterna för arbetssökande som använder eller har använt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Genom denna förordning fastställs den rättsliga grunden för en användarvänlig plattform som möjliggör kontinuerliga tekniska förbättringar för att främja samarbete och bygga upp förtroende mellan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Denna förordning ska tillämpas på arbetssökande från tredjeländer som är bosatta utanför unionen och arbetsgivare som är etablerade i de deltagande medlemsstaterna.</w:t>
            </w:r>
          </w:p>
        </w:tc>
        <w:tc>
          <w:tcPr>
            <w:tcW w:w="4876" w:type="dxa"/>
            <w:tcBorders>
              <w:top w:val="nil"/>
              <w:left w:val="nil"/>
              <w:bottom w:val="nil"/>
              <w:right w:val="nil"/>
            </w:tcBorders>
          </w:tcPr>
          <w:p>
            <w:pPr>
              <w:pStyle w:val="Normal6a"/>
            </w:pPr>
            <w:r>
              <w:t>1.</w:t>
            </w:r>
            <w:r>
              <w:tab/>
            </w:r>
            <w:r>
              <w:t xml:space="preserve">Denna förordning ska tillämpas på arbetssökande från tredjeländer som är bosatta utanför unionen och arbetsgivare som är etablerade i de deltagande medlemsstaterna </w:t>
            </w:r>
            <w:r>
              <w:rPr>
                <w:b/>
                <w:i/>
              </w:rPr>
              <w:t>och som har betydande affärsverksamhet i den berörda medlemsstaten.</w:t>
            </w:r>
            <w:r>
              <w:t xml:space="preserve"> </w:t>
            </w:r>
            <w:r>
              <w:rPr>
                <w:b/>
                <w:i/>
              </w:rPr>
              <w:t>EU:s talangreserv får användas för lediga platser och rekrytering endast om en ledig plats inte kan tillsättas genom rekrytering i unionen med hjälp av nationella arbetsförmedlingar eller Eures-portalen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Denna förordning ska tillämpas på arbetssökande från tredjeländer som är </w:t>
            </w:r>
            <w:r>
              <w:rPr>
                <w:b/>
                <w:i/>
              </w:rPr>
              <w:t>bosatta utanför</w:t>
            </w:r>
            <w:r>
              <w:t xml:space="preserve"> unionen </w:t>
            </w:r>
            <w:r>
              <w:rPr>
                <w:b/>
                <w:i/>
              </w:rPr>
              <w:t>och arbetsgivare som är etablerade i de deltagande medlemsstaterna</w:t>
            </w:r>
            <w:r>
              <w:t>.</w:t>
            </w:r>
          </w:p>
        </w:tc>
        <w:tc>
          <w:tcPr>
            <w:tcW w:w="4876" w:type="dxa"/>
            <w:tcBorders>
              <w:top w:val="nil"/>
              <w:left w:val="nil"/>
              <w:bottom w:val="nil"/>
              <w:right w:val="nil"/>
            </w:tcBorders>
          </w:tcPr>
          <w:p>
            <w:pPr>
              <w:pStyle w:val="Normal6a"/>
            </w:pPr>
            <w:r>
              <w:t>1.</w:t>
            </w:r>
            <w:r>
              <w:tab/>
            </w:r>
            <w:r>
              <w:t xml:space="preserve">Denna förordning ska tillämpas på </w:t>
            </w:r>
            <w:r>
              <w:rPr>
                <w:b/>
                <w:i/>
              </w:rPr>
              <w:t>alla medlemsstater,</w:t>
            </w:r>
            <w:r>
              <w:t xml:space="preserve"> arbetssökande från tredjeländer</w:t>
            </w:r>
            <w:r>
              <w:rPr>
                <w:b/>
                <w:i/>
              </w:rPr>
              <w:t>, arbetsgivare och förmedlare</w:t>
            </w:r>
            <w:r>
              <w:t xml:space="preserve"> som är </w:t>
            </w:r>
            <w:r>
              <w:rPr>
                <w:b/>
                <w:i/>
              </w:rPr>
              <w:t>etablerade i</w:t>
            </w:r>
            <w:r>
              <w:t xml:space="preserve"> unionen </w:t>
            </w:r>
            <w:r>
              <w:rPr>
                <w:b/>
                <w:i/>
              </w:rPr>
              <w:t>samt tredjepartsplattformar för matchning som tillhandahåller automatiska matchningsalgoritmer som körs på plattformen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Denna förordning ska tillämpas på arbetssökande från tredjeländer som är bosatta utanför unionen och arbetsgivare som är etablerade i de deltagande medlemsstaterna.</w:t>
            </w:r>
          </w:p>
        </w:tc>
        <w:tc>
          <w:tcPr>
            <w:tcW w:w="4876" w:type="dxa"/>
            <w:tcBorders>
              <w:top w:val="nil"/>
              <w:left w:val="nil"/>
              <w:bottom w:val="nil"/>
              <w:right w:val="nil"/>
            </w:tcBorders>
          </w:tcPr>
          <w:p>
            <w:pPr>
              <w:pStyle w:val="Normal6a"/>
            </w:pPr>
            <w:r>
              <w:t>1.</w:t>
            </w:r>
            <w:r>
              <w:tab/>
            </w:r>
            <w:r>
              <w:t xml:space="preserve">Denna förordning ska tillämpas på arbetssökande från tredjeländer som är bosatta utanför unionen </w:t>
            </w:r>
            <w:r>
              <w:rPr>
                <w:b/>
                <w:i/>
              </w:rPr>
              <w:t>oavsett kvalifikationsnivå</w:t>
            </w:r>
            <w:r>
              <w:t xml:space="preserve"> och arbetsgivare som är etablerade i de deltagande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Denna förordning ska tillämpas på arbetssökande från tredjeländer som är bosatta utanför unionen och arbetsgivare som är etablerade i de deltagande medlemsstaterna.</w:t>
            </w:r>
          </w:p>
        </w:tc>
        <w:tc>
          <w:tcPr>
            <w:tcW w:w="4876" w:type="dxa"/>
            <w:tcBorders>
              <w:top w:val="nil"/>
              <w:left w:val="nil"/>
              <w:bottom w:val="nil"/>
              <w:right w:val="nil"/>
            </w:tcBorders>
          </w:tcPr>
          <w:p>
            <w:pPr>
              <w:pStyle w:val="Normal6a"/>
            </w:pPr>
            <w:r>
              <w:t>1.</w:t>
            </w:r>
            <w:r>
              <w:tab/>
            </w:r>
            <w:r>
              <w:t xml:space="preserve">Denna förordning ska tillämpas på arbetssökande från tredjeländer som är bosatta utanför unionen och arbetsgivare som är etablerade i de deltagande medlemsstaterna </w:t>
            </w:r>
            <w:r>
              <w:rPr>
                <w:b/>
                <w:i/>
              </w:rPr>
              <w:t>avseende deras EU-baserade arbetstillfällen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Denna förordning ska tillämpas på arbetssökande </w:t>
            </w:r>
            <w:r>
              <w:rPr>
                <w:b/>
                <w:i/>
              </w:rPr>
              <w:t>från tredjeländer som är bosatta utanför unionen</w:t>
            </w:r>
            <w:r>
              <w:t xml:space="preserve"> och arbetsgivare som är etablerade i de deltagande medlemsstaterna.</w:t>
            </w:r>
          </w:p>
        </w:tc>
        <w:tc>
          <w:tcPr>
            <w:tcW w:w="4876" w:type="dxa"/>
            <w:tcBorders>
              <w:top w:val="nil"/>
              <w:left w:val="nil"/>
              <w:bottom w:val="nil"/>
              <w:right w:val="nil"/>
            </w:tcBorders>
          </w:tcPr>
          <w:p>
            <w:pPr>
              <w:pStyle w:val="Normal6a"/>
            </w:pPr>
            <w:r>
              <w:t>1.</w:t>
            </w:r>
            <w:r>
              <w:tab/>
            </w:r>
            <w:r>
              <w:t xml:space="preserve">Denna förordning ska tillämpas på arbetssökande </w:t>
            </w:r>
            <w:r>
              <w:rPr>
                <w:b/>
                <w:i/>
              </w:rPr>
              <w:t>som täcker alla nivåer av färdigheter och kvalifikationer från tredjeländer</w:t>
            </w:r>
            <w:r>
              <w:t xml:space="preserve"> och arbetsgivare som är etablerade i de deltagande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Denna förordning ska tillämpas på arbetssökande från tredjeländer som är bosatta utanför unionen och arbetsgivare som är etablerade i de deltagande medlemsstaterna.</w:t>
            </w:r>
          </w:p>
        </w:tc>
        <w:tc>
          <w:tcPr>
            <w:tcW w:w="4876" w:type="dxa"/>
            <w:tcBorders>
              <w:top w:val="nil"/>
              <w:left w:val="nil"/>
              <w:bottom w:val="nil"/>
              <w:right w:val="nil"/>
            </w:tcBorders>
          </w:tcPr>
          <w:p>
            <w:pPr>
              <w:pStyle w:val="Normal6a"/>
            </w:pPr>
            <w:r>
              <w:t>1.</w:t>
            </w:r>
            <w:r>
              <w:tab/>
            </w:r>
            <w:r>
              <w:t xml:space="preserve">Denna förordning ska tillämpas på </w:t>
            </w:r>
            <w:r>
              <w:rPr>
                <w:b/>
                <w:i/>
              </w:rPr>
              <w:t>högkvalificerade </w:t>
            </w:r>
            <w:r>
              <w:t>arbetssökande från tredjeländer som är bosatta utanför unionen och arbetsgivare som är etablerade i de deltagande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Deltagande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En medlemsstat får när som helst besluta att delta i EU:s talangreserv.</w:t>
            </w:r>
            <w:r>
              <w:rPr>
                <w:b/>
                <w:i/>
              </w:rPr>
              <w:t xml:space="preserve"> </w:t>
            </w:r>
            <w:r>
              <w:rPr>
                <w:b/>
                <w:i/>
              </w:rPr>
              <w:t>Den ska meddela sitt beslut till kommissionen senast nio månader före den dag från och med vilken den avser att delta.</w:t>
            </w:r>
            <w:r>
              <w:rPr>
                <w:b/>
                <w:i/>
              </w:rPr>
              <w:t xml:space="preserve"> </w:t>
            </w:r>
            <w:r>
              <w:rPr>
                <w:b/>
                <w:i/>
              </w:rPr>
              <w:t>Från och med den första dagen av deltagandet får lediga platser hos arbetsgivare som är etablerade i den medlemsstaten överföras till it-plattformen för EU:s talangreserv.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Information om deltagande medlemsstater ska offentliggöras på it-plattformen för EU:s talangreserv.</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Deltagande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En medlemsstat får när som helst besluta att delta i EU:s talangreserv.</w:t>
            </w:r>
            <w:r>
              <w:rPr>
                <w:b/>
                <w:i/>
              </w:rPr>
              <w:t xml:space="preserve"> </w:t>
            </w:r>
            <w:r>
              <w:rPr>
                <w:b/>
                <w:i/>
              </w:rPr>
              <w:t>Den ska meddela sitt beslut till kommissionen senast nio månader före den dag från och med vilken den avser att delta.</w:t>
            </w:r>
            <w:r>
              <w:rPr>
                <w:b/>
                <w:i/>
              </w:rPr>
              <w:t xml:space="preserve"> </w:t>
            </w:r>
            <w:r>
              <w:rPr>
                <w:b/>
                <w:i/>
              </w:rPr>
              <w:t>Från och med den första dagen av deltagandet får lediga platser hos arbetsgivare som är etablerade i den medlemsstaten överföras till it-plattformen för EU:s talangreserv.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Information om deltagande medlemsstater ska offentliggöras på it-plattformen för EU:s talangreserv.</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Deltagande</w:t>
            </w:r>
          </w:p>
        </w:tc>
        <w:tc>
          <w:tcPr>
            <w:tcW w:w="4876" w:type="dxa"/>
            <w:tcBorders>
              <w:top w:val="nil"/>
              <w:left w:val="nil"/>
              <w:bottom w:val="nil"/>
              <w:right w:val="nil"/>
            </w:tcBorders>
          </w:tcPr>
          <w:p>
            <w:pPr>
              <w:pStyle w:val="Normal6a"/>
            </w:pPr>
            <w:r>
              <w:t>Deltagande</w:t>
            </w:r>
            <w:r>
              <w:rPr>
                <w:b/>
                <w:i/>
              </w:rPr>
              <w:t>, utträde och upphörande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Deltagande</w:t>
            </w:r>
          </w:p>
        </w:tc>
        <w:tc>
          <w:tcPr>
            <w:tcW w:w="4876" w:type="dxa"/>
            <w:tcBorders>
              <w:top w:val="nil"/>
              <w:left w:val="nil"/>
              <w:bottom w:val="nil"/>
              <w:right w:val="nil"/>
            </w:tcBorders>
          </w:tcPr>
          <w:p>
            <w:pPr>
              <w:pStyle w:val="Normal6a"/>
            </w:pPr>
            <w:r>
              <w:t>Deltagande</w:t>
            </w:r>
            <w:r>
              <w:rPr>
                <w:b/>
                <w:i/>
              </w:rPr>
              <w:t>, utträde och upphörande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En medlemsstat får när som helst besluta att delta i EU:s talangreserv. Den ska meddela sitt beslut till kommissionen senast </w:t>
            </w:r>
            <w:r>
              <w:rPr>
                <w:b/>
                <w:i/>
              </w:rPr>
              <w:t>nio</w:t>
            </w:r>
            <w:r>
              <w:t xml:space="preserve"> månader före den dag från och med vilken den avser att delta. Från och med den första dagen av deltagandet får lediga platser hos arbetsgivare som är etablerade i den medlemsstaten överföras till it-plattformen för EU:s talangreserv.</w:t>
            </w:r>
          </w:p>
        </w:tc>
        <w:tc>
          <w:tcPr>
            <w:tcW w:w="4876" w:type="dxa"/>
            <w:tcBorders>
              <w:top w:val="nil"/>
              <w:left w:val="nil"/>
              <w:bottom w:val="nil"/>
              <w:right w:val="nil"/>
            </w:tcBorders>
          </w:tcPr>
          <w:p>
            <w:pPr>
              <w:pStyle w:val="Normal6a"/>
            </w:pPr>
            <w:r>
              <w:t>1.</w:t>
            </w:r>
            <w:r>
              <w:tab/>
            </w:r>
            <w:r>
              <w:t xml:space="preserve">En medlemsstat får när som helst besluta att delta i EU:s talangreserv. </w:t>
            </w:r>
            <w:r>
              <w:rPr>
                <w:b/>
                <w:i/>
              </w:rPr>
              <w:t>Deltagande i talangreserven får inte medföra någon skyldighet att harmonisera nationella förfaranden för arbetskraftsmigration eller att erkänna specifika yrkesgrupper.</w:t>
            </w:r>
            <w:r>
              <w:t xml:space="preserve"> Den ska meddela sitt beslut till kommissionen senast </w:t>
            </w:r>
            <w:r>
              <w:rPr>
                <w:b/>
                <w:i/>
              </w:rPr>
              <w:t>sex</w:t>
            </w:r>
            <w:r>
              <w:t xml:space="preserve"> månader före den dag från och med vilken den avser att delta. Från och med den första dagen av deltagandet får lediga platser hos arbetsgivare som är etablerade i den medlemsstaten överföras till it-plattformen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 medlemsstat får när som helst besluta att delta i EU:s talangreserv. Den ska meddela sitt beslut till kommissionen senast nio månader före den dag från och med vilken den avser att delta. Från och med den första dagen av deltagandet får lediga platser hos arbetsgivare som är etablerade i den medlemsstaten överföras till it-plattformen för EU:s talangreserv.</w:t>
            </w:r>
          </w:p>
        </w:tc>
        <w:tc>
          <w:tcPr>
            <w:tcW w:w="4876" w:type="dxa"/>
            <w:tcBorders>
              <w:top w:val="nil"/>
              <w:left w:val="nil"/>
              <w:bottom w:val="nil"/>
              <w:right w:val="nil"/>
            </w:tcBorders>
          </w:tcPr>
          <w:p>
            <w:pPr>
              <w:pStyle w:val="Normal6a"/>
            </w:pPr>
            <w:r>
              <w:t>1.</w:t>
            </w:r>
            <w:r>
              <w:tab/>
            </w:r>
            <w:r>
              <w:t xml:space="preserve">En medlemsstat får när som helst besluta att delta i EU:s talangreserv </w:t>
            </w:r>
            <w:r>
              <w:rPr>
                <w:b/>
                <w:i/>
              </w:rPr>
              <w:t>om den staten har anordnat en folkomröstning om detta och utfallet var positivt, omröstningen skall bekostas från EU budgeten</w:t>
            </w:r>
            <w:r>
              <w:t>. Den ska meddela sitt beslut till kommissionen senast nio månader före den dag från och med vilken den avser att delta. Från och med den första dagen av deltagandet får lediga platser hos arbetsgivare som är etablerade i den medlemsstaten överföras till it-plattformen för EU:s talangreserv.</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En medlemsstat får när som helst besluta att</w:t>
            </w:r>
            <w:r>
              <w:t xml:space="preserve"> delta i EU:s talangreserv. </w:t>
            </w:r>
            <w:r>
              <w:rPr>
                <w:b/>
                <w:i/>
              </w:rPr>
              <w:t>Den ska meddela sitt beslut till kommissionen senast nio månader före den dag från och med vilken den avser att delta.</w:t>
            </w:r>
            <w:r>
              <w:t xml:space="preserve"> Från och med den första dagen av deltagandet </w:t>
            </w:r>
            <w:r>
              <w:rPr>
                <w:b/>
                <w:i/>
              </w:rPr>
              <w:t>får</w:t>
            </w:r>
            <w:r>
              <w:t xml:space="preserve"> lediga platser hos arbetsgivare som är etablerade i den medlemsstaten överföras till it-plattformen för EU:s talangreserv.</w:t>
            </w:r>
          </w:p>
        </w:tc>
        <w:tc>
          <w:tcPr>
            <w:tcW w:w="4876" w:type="dxa"/>
            <w:tcBorders>
              <w:top w:val="nil"/>
              <w:left w:val="nil"/>
              <w:bottom w:val="nil"/>
              <w:right w:val="nil"/>
            </w:tcBorders>
          </w:tcPr>
          <w:p>
            <w:pPr>
              <w:pStyle w:val="Normal6a"/>
            </w:pPr>
            <w:r>
              <w:t>1.</w:t>
            </w:r>
            <w:r>
              <w:tab/>
            </w:r>
            <w:r>
              <w:rPr>
                <w:b/>
                <w:i/>
              </w:rPr>
              <w:t>Medlemsstaterna ska</w:t>
            </w:r>
            <w:r>
              <w:t xml:space="preserve"> delta i EU:s talangreserv. Från och med den första dagen av deltagandet </w:t>
            </w:r>
            <w:r>
              <w:rPr>
                <w:b/>
                <w:i/>
              </w:rPr>
              <w:t>ska</w:t>
            </w:r>
            <w:r>
              <w:t xml:space="preserve"> lediga platser hos arbetsgivare som är etablerade i den medlemsstaten överföras till it-plattformen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 medlemsstat får när som helst besluta att delta i EU:s talangreserv. Den ska meddela sitt beslut till kommissionen senast nio månader före den dag från och med vilken den avser att delta. Från och med den första dagen av deltagandet får lediga platser hos arbetsgivare som är etablerade i den medlemsstaten överföras till it-plattformen för EU:s talangreserv.</w:t>
            </w:r>
          </w:p>
        </w:tc>
        <w:tc>
          <w:tcPr>
            <w:tcW w:w="4876" w:type="dxa"/>
            <w:tcBorders>
              <w:top w:val="nil"/>
              <w:left w:val="nil"/>
              <w:bottom w:val="nil"/>
              <w:right w:val="nil"/>
            </w:tcBorders>
          </w:tcPr>
          <w:p>
            <w:pPr>
              <w:pStyle w:val="Normal6a"/>
            </w:pPr>
            <w:r>
              <w:t>1.</w:t>
            </w:r>
            <w:r>
              <w:tab/>
            </w:r>
            <w:r>
              <w:t>En medlemsstat får</w:t>
            </w:r>
            <w:r>
              <w:rPr>
                <w:b/>
                <w:i/>
              </w:rPr>
              <w:t>, efter samråd med arbetsmarknadens parter,</w:t>
            </w:r>
            <w:r>
              <w:t xml:space="preserve"> när som helst besluta att delta i EU:s talangreserv. Den ska meddela sitt beslut till kommissionen senast nio månader före den dag från och med vilken den avser att delta. Från och med den första dagen av deltagandet får lediga platser hos arbetsgivare som är etablerade i den </w:t>
            </w:r>
            <w:r>
              <w:rPr>
                <w:b/>
                <w:i/>
              </w:rPr>
              <w:t>berörda</w:t>
            </w:r>
            <w:r>
              <w:t xml:space="preserve"> medlemsstaten överföras till it-plattformen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 medlemsstat får när som helst besluta att delta i EU:s talangreserv. Den ska meddela sitt beslut till kommissionen senast nio månader före den dag från och med vilken den avser att delta. Från och med den första dagen av deltagandet får lediga platser hos arbetsgivare som är etablerade i den medlemsstaten överföras till it-plattformen för EU:s talangreserv.</w:t>
            </w:r>
          </w:p>
        </w:tc>
        <w:tc>
          <w:tcPr>
            <w:tcW w:w="4876" w:type="dxa"/>
            <w:tcBorders>
              <w:top w:val="nil"/>
              <w:left w:val="nil"/>
              <w:bottom w:val="nil"/>
              <w:right w:val="nil"/>
            </w:tcBorders>
          </w:tcPr>
          <w:p>
            <w:pPr>
              <w:pStyle w:val="Normal6a"/>
            </w:pPr>
            <w:r>
              <w:t>1.</w:t>
            </w:r>
            <w:r>
              <w:tab/>
            </w:r>
            <w:r>
              <w:t xml:space="preserve">En medlemsstat får när som helst </w:t>
            </w:r>
            <w:r>
              <w:rPr>
                <w:b/>
                <w:i/>
              </w:rPr>
              <w:t>fritt</w:t>
            </w:r>
            <w:r>
              <w:t xml:space="preserve"> besluta att delta i EU:s talangreserv. Den ska meddela sitt beslut till kommissionen senast nio månader före den dag från och med vilken den avser att delta. Från och med den första dagen av deltagandet får lediga platser hos arbetsgivare som är etablerade i den medlemsstaten överföras till it-plattformen för EU:s talangreserv.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En deltagande medlemsstat får när som helst besluta att utträda ur EU:s talangreserv.</w:t>
            </w:r>
            <w:r>
              <w:t xml:space="preserve"> </w:t>
            </w:r>
            <w:r>
              <w:rPr>
                <w:b/>
                <w:i/>
              </w:rPr>
              <w:t>Den ska underrätta kommissionen om sitt beslut med angivande av den dag då utträdet träder i kraft.</w:t>
            </w:r>
            <w:r>
              <w:t xml:space="preserve"> </w:t>
            </w:r>
            <w:r>
              <w:rPr>
                <w:b/>
                <w:i/>
              </w:rPr>
              <w:t>Från den dagen ska eventuella lediga platser hos arbetsgivare som är etablerade i den medlemsstaten tas bort från it-plattformen för EU:s talangreserv.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stycke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Användning av talangreserven ska ske på villkor att alla nödvändiga åtgärder vidtas för att utbilda europeiska arbetstagare, främja sysselsättning inom bristyrken och förbättra nationella arbetssökandes återinträde på arbetsmarknaden.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Varje medlemsstat får när som helst besluta att utträda ur EU:s talangreserv.</w:t>
            </w:r>
            <w:r>
              <w:t xml:space="preserve"> </w:t>
            </w:r>
            <w:r>
              <w:rPr>
                <w:b/>
                <w:i/>
              </w:rPr>
              <w:t>Den ska meddela sitt beslut till kommissionen senast tre månader före den dag från och med vilken den avser att avsluta sitt deltagande.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En deltagande medlemsstat får när som helst besluta att utträda ur EU:s talangreserv.</w:t>
            </w:r>
            <w:r>
              <w:t xml:space="preserve"> </w:t>
            </w:r>
            <w:r>
              <w:rPr>
                <w:b/>
                <w:i/>
              </w:rPr>
              <w:t>Den ska meddela kommissionen ett sådant beslut senast sex månader före den dag från och med vilken den avser att utträda.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Kommissionen ska lägga fram ett förslag om att it-plattformen för EU:s talangreserv och förordningen i sin helhet ska upphöra att gälla om det förutsatta minimiantalet på elva medlemsstater inte har börjat delta fem år efter förordningens ikraftträdande eller om efterföljande övervakning och rapportering i enlighet med artiklarna 20 och 23 visar att förordningens mål inte uppnås i tillräcklig utsträckning och att EU:s talangreserv inte är kostnadseffektiv.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stycke 1b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Medlemsstater med hög arbetslöshet, inbegripet bland migranter som redan är bosatta på det nationella territoriet, bör ges begränsad tillgång till EU:s talangreserv.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Kommissionen ska lägga fram ett förslag om att it-plattformen för EU:s talangreserv och förordningen i sin helhet ska upphöra att gälla om det förutsatta minimiantalet på elva medlemsstater inte har börjat delta fem år efter förordningens ikraftträdande eller om efterföljande övervakning och rapportering i enlighet med artiklarna 20 och 23 visar att förordningens mål inte uppnås i tillräcklig utsträckning och att EU:s talangreserv inte är kostnadseffektiv.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deltagande medlemsstater:</w:t>
            </w:r>
            <w:r>
              <w:t xml:space="preserve"> </w:t>
            </w:r>
            <w:r>
              <w:rPr>
                <w:b/>
                <w:i/>
              </w:rPr>
              <w:t>medlemsstater som deltar i EU:s talangreserv.</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deltagande medlemsstater:</w:t>
            </w:r>
            <w:r>
              <w:t xml:space="preserve"> </w:t>
            </w:r>
            <w:r>
              <w:rPr>
                <w:b/>
                <w:i/>
              </w:rPr>
              <w:t>medlemsstater som deltar i EU:s talangreserv.</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arbetssökande från ett tredjeland: en person som är bosatt utanför unionen och som inte är unionsmedborgare i den mening som avses i artikel 20.1 i EUF-fördraget </w:t>
            </w:r>
            <w:r>
              <w:rPr>
                <w:b/>
                <w:i/>
              </w:rPr>
              <w:t>och</w:t>
            </w:r>
            <w:r>
              <w:t xml:space="preserve"> som söker arbete i unionen.</w:t>
            </w:r>
          </w:p>
        </w:tc>
        <w:tc>
          <w:tcPr>
            <w:tcW w:w="4876" w:type="dxa"/>
            <w:tcBorders>
              <w:top w:val="nil"/>
              <w:left w:val="nil"/>
              <w:bottom w:val="nil"/>
              <w:right w:val="nil"/>
            </w:tcBorders>
          </w:tcPr>
          <w:p>
            <w:pPr>
              <w:pStyle w:val="Normal6a"/>
            </w:pPr>
            <w:r>
              <w:t>(2)</w:t>
            </w:r>
            <w:r>
              <w:tab/>
            </w:r>
            <w:r>
              <w:rPr>
                <w:b/>
                <w:i/>
              </w:rPr>
              <w:t>högkvalificerad</w:t>
            </w:r>
            <w:r>
              <w:t xml:space="preserve"> arbetssökande från ett tredjeland: en person som är bosatt utanför unionen och som inte är unionsmedborgare i den mening som avses i artikel 20.1 i EUF-fördraget</w:t>
            </w:r>
            <w:r>
              <w:rPr>
                <w:b/>
                <w:i/>
              </w:rPr>
              <w:t>,</w:t>
            </w:r>
            <w:r>
              <w:t xml:space="preserve"> som söker arbete i unionen </w:t>
            </w:r>
            <w:r>
              <w:rPr>
                <w:b/>
                <w:i/>
              </w:rPr>
              <w:t>och som har de kvalifikationer från högre utbildning eller den yrkeskompetens som krävs enligt definitionen i artikel 2 i direktiv (EU) 2021/1883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arbetssökande från ett tredjeland: en person som är bosatt utanför unionen och som inte är unionsmedborgare i den mening som avses i artikel 20.1 i EUF-fördraget och som söker arbete i unionen.</w:t>
            </w:r>
          </w:p>
        </w:tc>
        <w:tc>
          <w:tcPr>
            <w:tcW w:w="4876" w:type="dxa"/>
            <w:tcBorders>
              <w:top w:val="nil"/>
              <w:left w:val="nil"/>
              <w:bottom w:val="nil"/>
              <w:right w:val="nil"/>
            </w:tcBorders>
          </w:tcPr>
          <w:p>
            <w:pPr>
              <w:pStyle w:val="Normal6a"/>
            </w:pPr>
            <w:r>
              <w:t>(2)</w:t>
            </w:r>
            <w:r>
              <w:tab/>
            </w:r>
            <w:r>
              <w:t xml:space="preserve">arbetssökande från ett tredjeland: en </w:t>
            </w:r>
            <w:r>
              <w:rPr>
                <w:b/>
                <w:i/>
              </w:rPr>
              <w:t>enligt nationell rätt myndig</w:t>
            </w:r>
            <w:r>
              <w:t xml:space="preserve"> person som är bosatt </w:t>
            </w:r>
            <w:r>
              <w:rPr>
                <w:b/>
                <w:i/>
              </w:rPr>
              <w:t>i eller</w:t>
            </w:r>
            <w:r>
              <w:t xml:space="preserve"> utanför unionen och som inte är unionsmedborgare i den mening som avses i artikel 20.1 i EUF-fördraget och som söker arbete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arbetssökande från ett tredjeland: en person som är bosatt utanför unionen och som inte är unionsmedborgare i den mening som avses i artikel 20.1 i EUF-fördraget och som söker arbete i unionen.</w:t>
            </w:r>
          </w:p>
        </w:tc>
        <w:tc>
          <w:tcPr>
            <w:tcW w:w="4876" w:type="dxa"/>
            <w:tcBorders>
              <w:top w:val="nil"/>
              <w:left w:val="nil"/>
              <w:bottom w:val="nil"/>
              <w:right w:val="nil"/>
            </w:tcBorders>
          </w:tcPr>
          <w:p>
            <w:pPr>
              <w:pStyle w:val="Normal6a"/>
            </w:pPr>
            <w:r>
              <w:t>(2)</w:t>
            </w:r>
            <w:r>
              <w:tab/>
            </w:r>
            <w:r>
              <w:t xml:space="preserve">arbetssökande från ett tredjeland: en </w:t>
            </w:r>
            <w:r>
              <w:rPr>
                <w:b/>
                <w:i/>
              </w:rPr>
              <w:t>fysisk</w:t>
            </w:r>
            <w:r>
              <w:t xml:space="preserve"> person som är bosatt utanför unionen och som inte är unionsmedborgare i den mening som avses i artikel 20.1 i EUF-fördraget och som söker arbete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arbetsgivare:</w:t>
            </w:r>
            <w:r>
              <w:t xml:space="preserve"> </w:t>
            </w:r>
            <w:r>
              <w:rPr>
                <w:b/>
                <w:i/>
              </w:rPr>
              <w:t>varje fysisk person eller juridisk person som är etablerad i en deltagande medlemsstat under vars ledning eller tillsyn arbetet utförs samt privata arbetsförmedlingar, bemanningsföretag och arbetskraftsförmedlare.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i största möjliga utsträckning hålla nere antalet ändringsförslag som lämnas in bör den definition som används här tillämpas konsekvent i hela texten i stället för ”arbetsgivare”.</w:t>
      </w:r>
    </w:p>
    <w:p>
      <w:r>
        <w:rPr>
          <w:rStyle w:val="HideTWBExt"/>
        </w:rPr>
        <w:t>&lt;/AmendB&gt;</w:t>
      </w:r>
    </w:p>
    <w:p>
      <w:pPr>
        <w:pStyle w:val="AmNumberTabs"/>
      </w:pPr>
      <w:r>
        <w:rPr>
          <w:rStyle w:val="HideTWBExt"/>
        </w:rPr>
        <w:t>&lt;AmendB&gt;</w:t>
      </w:r>
      <w:r>
        <w:t>Ändringsförslag</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arbetsgivare:</w:t>
            </w:r>
            <w:r>
              <w:t xml:space="preserve"> </w:t>
            </w:r>
            <w:r>
              <w:rPr>
                <w:b/>
                <w:i/>
              </w:rPr>
              <w:t>varje fysisk person eller juridisk person som är etablerad i en deltagande medlemsstat under vars ledning eller tillsyn arbetet utförs samt privata arbetsförmedlingar, bemanningsföretag och arbetskraftsförmedlare.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arbetsgivare: </w:t>
            </w:r>
            <w:r>
              <w:rPr>
                <w:b/>
                <w:i/>
              </w:rPr>
              <w:t>varje</w:t>
            </w:r>
            <w:r>
              <w:t xml:space="preserve"> fysisk </w:t>
            </w:r>
            <w:r>
              <w:rPr>
                <w:b/>
                <w:i/>
              </w:rPr>
              <w:t>person</w:t>
            </w:r>
            <w:r>
              <w:t xml:space="preserve"> eller juridisk person som </w:t>
            </w:r>
            <w:r>
              <w:rPr>
                <w:b/>
                <w:i/>
              </w:rPr>
              <w:t>är etablerad i</w:t>
            </w:r>
            <w:r>
              <w:t xml:space="preserve"> en deltagande medlemsstat under vars ledning eller tillsyn arbetet utförs samt privata arbetsförmedlingar</w:t>
            </w:r>
            <w:r>
              <w:rPr>
                <w:b/>
                <w:i/>
              </w:rPr>
              <w:t>, bemanningsföretag</w:t>
            </w:r>
            <w:r>
              <w:t xml:space="preserve"> och arbetskraftsförmedlare.</w:t>
            </w:r>
          </w:p>
        </w:tc>
        <w:tc>
          <w:tcPr>
            <w:tcW w:w="4876" w:type="dxa"/>
            <w:tcBorders>
              <w:top w:val="nil"/>
              <w:left w:val="nil"/>
              <w:bottom w:val="nil"/>
              <w:right w:val="nil"/>
            </w:tcBorders>
          </w:tcPr>
          <w:p>
            <w:pPr>
              <w:pStyle w:val="Normal6a"/>
            </w:pPr>
            <w:r>
              <w:t>(3)</w:t>
            </w:r>
            <w:r>
              <w:tab/>
            </w:r>
            <w:r>
              <w:t xml:space="preserve">arbetsgivare: fysisk eller juridisk person som </w:t>
            </w:r>
            <w:r>
              <w:rPr>
                <w:b/>
                <w:i/>
              </w:rPr>
              <w:t>faktiskt bedriver betydande verksamhet på territoriet för</w:t>
            </w:r>
            <w:r>
              <w:t xml:space="preserve"> en deltagande medlemsstat </w:t>
            </w:r>
            <w:r>
              <w:rPr>
                <w:b/>
                <w:i/>
              </w:rPr>
              <w:t>där den är etablerad och där den arbetssökande från ett tredjeland är anställd och</w:t>
            </w:r>
            <w:r>
              <w:t xml:space="preserve"> under vars ledning eller tillsyn arbetet utförs</w:t>
            </w:r>
            <w:r>
              <w:rPr>
                <w:b/>
                <w:i/>
              </w:rPr>
              <w:t>.</w:t>
            </w:r>
            <w:r>
              <w:t xml:space="preserve"> </w:t>
            </w:r>
            <w:r>
              <w:rPr>
                <w:b/>
                <w:i/>
              </w:rPr>
              <w:t>Vid tillämpningen av denna förordning ska bemanningsföretag – enligt definitionen i artikel 3.1 b i direktiv 2008/104/EG –</w:t>
            </w:r>
            <w:r>
              <w:t xml:space="preserve"> samt privata arbetsförmedlingar och arbetskraftsförmedlare </w:t>
            </w:r>
            <w:r>
              <w:rPr>
                <w:b/>
                <w:i/>
              </w:rPr>
              <w:t>undantas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arbetsgivare: varje fysisk person eller juridisk person som </w:t>
            </w:r>
            <w:r>
              <w:rPr>
                <w:b/>
                <w:i/>
              </w:rPr>
              <w:t>är etablerad i en deltagande</w:t>
            </w:r>
            <w:r>
              <w:t xml:space="preserve"> medlemsstat under vars ledning eller tillsyn arbetet utförs </w:t>
            </w:r>
            <w:r>
              <w:rPr>
                <w:b/>
                <w:i/>
              </w:rPr>
              <w:t>samt privata arbetsförmedlingar, bemanningsföretag och arbetskraftsförmedlare</w:t>
            </w:r>
            <w:r>
              <w:t>.</w:t>
            </w:r>
          </w:p>
        </w:tc>
        <w:tc>
          <w:tcPr>
            <w:tcW w:w="4876" w:type="dxa"/>
            <w:tcBorders>
              <w:top w:val="nil"/>
              <w:left w:val="nil"/>
              <w:bottom w:val="nil"/>
              <w:right w:val="nil"/>
            </w:tcBorders>
          </w:tcPr>
          <w:p>
            <w:pPr>
              <w:pStyle w:val="Normal6a"/>
            </w:pPr>
            <w:r>
              <w:t>(3)</w:t>
            </w:r>
            <w:r>
              <w:tab/>
            </w:r>
            <w:r>
              <w:rPr>
                <w:b/>
                <w:i/>
              </w:rPr>
              <w:t>deltagande</w:t>
            </w:r>
            <w:r>
              <w:t xml:space="preserve"> arbetsgivare: varje fysisk person eller juridisk person som </w:t>
            </w:r>
            <w:r>
              <w:rPr>
                <w:b/>
                <w:i/>
              </w:rPr>
              <w:t>bedriver laglig verksamhet i en</w:t>
            </w:r>
            <w:r>
              <w:t xml:space="preserve"> medlemsstat </w:t>
            </w:r>
            <w:r>
              <w:rPr>
                <w:b/>
                <w:i/>
              </w:rPr>
              <w:t>och</w:t>
            </w:r>
            <w:r>
              <w:t xml:space="preserve"> under vars ledning eller tillsyn arbetet utförs.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arbetsgivare: varje fysisk person eller juridisk person som är etablerad i en deltagande medlemsstat </w:t>
            </w:r>
            <w:r>
              <w:rPr>
                <w:b/>
                <w:i/>
              </w:rPr>
              <w:t>under vars ledning</w:t>
            </w:r>
            <w:r>
              <w:t xml:space="preserve"> eller </w:t>
            </w:r>
            <w:r>
              <w:rPr>
                <w:b/>
                <w:i/>
              </w:rPr>
              <w:t>tillsyn arbetet utförs samt privata arbetsförmedlingar, bemanningsföretag och arbetskraftsförmedlare</w:t>
            </w:r>
            <w:r>
              <w:t>.</w:t>
            </w:r>
          </w:p>
        </w:tc>
        <w:tc>
          <w:tcPr>
            <w:tcW w:w="4876" w:type="dxa"/>
            <w:tcBorders>
              <w:top w:val="nil"/>
              <w:left w:val="nil"/>
              <w:bottom w:val="nil"/>
              <w:right w:val="nil"/>
            </w:tcBorders>
          </w:tcPr>
          <w:p>
            <w:pPr>
              <w:pStyle w:val="Normal6a"/>
            </w:pPr>
            <w:r>
              <w:t>(3)</w:t>
            </w:r>
            <w:r>
              <w:tab/>
            </w:r>
            <w:r>
              <w:t xml:space="preserve">arbetsgivare: varje fysisk person eller juridisk person som är etablerad i en deltagande medlemsstat </w:t>
            </w:r>
            <w:r>
              <w:rPr>
                <w:b/>
                <w:i/>
              </w:rPr>
              <w:t>och som har betydande affärsverksamhet utöver rent intern förvaltning eller administrativ verksamhet och har ingått</w:t>
            </w:r>
            <w:r>
              <w:t xml:space="preserve"> eller </w:t>
            </w:r>
            <w:r>
              <w:rPr>
                <w:b/>
                <w:i/>
              </w:rPr>
              <w:t>avser att ingå ett direkt anställningsförhållande med en arbetssökande från ett tredjeland i den medlemsstaten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arbetsgivare: varje fysisk person eller juridisk person som är etablerad i en deltagande medlemsstat under vars ledning </w:t>
            </w:r>
            <w:r>
              <w:rPr>
                <w:b/>
                <w:i/>
              </w:rPr>
              <w:t>eller</w:t>
            </w:r>
            <w:r>
              <w:t xml:space="preserve"> tillsyn arbetet utförs </w:t>
            </w:r>
            <w:r>
              <w:rPr>
                <w:b/>
                <w:i/>
              </w:rPr>
              <w:t>samt privata arbetsförmedlingar, bemanningsföretag och arbetskraftsförmedlare</w:t>
            </w:r>
            <w:r>
              <w:t>.</w:t>
            </w:r>
          </w:p>
        </w:tc>
        <w:tc>
          <w:tcPr>
            <w:tcW w:w="4876" w:type="dxa"/>
            <w:tcBorders>
              <w:top w:val="nil"/>
              <w:left w:val="nil"/>
              <w:bottom w:val="nil"/>
              <w:right w:val="nil"/>
            </w:tcBorders>
          </w:tcPr>
          <w:p>
            <w:pPr>
              <w:pStyle w:val="Normal6a"/>
            </w:pPr>
            <w:r>
              <w:t>(3)</w:t>
            </w:r>
            <w:r>
              <w:tab/>
            </w:r>
            <w:r>
              <w:t>arbetsgivare: varje fysisk person eller juridisk person</w:t>
            </w:r>
            <w:r>
              <w:rPr>
                <w:b/>
                <w:i/>
              </w:rPr>
              <w:t>, inbegripet bemanningsföretag,</w:t>
            </w:r>
            <w:r>
              <w:t xml:space="preserve"> som är etablerad i en deltagande medlemsstat </w:t>
            </w:r>
            <w:r>
              <w:rPr>
                <w:b/>
                <w:i/>
              </w:rPr>
              <w:t>och för vilken eller</w:t>
            </w:r>
            <w:r>
              <w:t xml:space="preserve"> under vars ledning </w:t>
            </w:r>
            <w:r>
              <w:rPr>
                <w:b/>
                <w:i/>
              </w:rPr>
              <w:t>och/eller</w:t>
            </w:r>
            <w:r>
              <w:t xml:space="preserve"> tillsyn arbetet utförs.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arbetsgivare: varje fysisk person eller juridisk person som är etablerad i en </w:t>
            </w:r>
            <w:r>
              <w:rPr>
                <w:b/>
                <w:i/>
              </w:rPr>
              <w:t>deltagande</w:t>
            </w:r>
            <w:r>
              <w:t xml:space="preserve"> medlemsstat under vars ledning eller tillsyn arbetet utförs samt privata arbetsförmedlingar, bemanningsföretag och arbetskraftsförmedlare.</w:t>
            </w:r>
          </w:p>
        </w:tc>
        <w:tc>
          <w:tcPr>
            <w:tcW w:w="4876" w:type="dxa"/>
            <w:tcBorders>
              <w:top w:val="nil"/>
              <w:left w:val="nil"/>
              <w:bottom w:val="nil"/>
              <w:right w:val="nil"/>
            </w:tcBorders>
          </w:tcPr>
          <w:p>
            <w:pPr>
              <w:pStyle w:val="Normal6a"/>
            </w:pPr>
            <w:r>
              <w:t>(3)</w:t>
            </w:r>
            <w:r>
              <w:tab/>
            </w:r>
            <w:r>
              <w:t xml:space="preserve">arbetsgivare: varje fysisk person eller juridisk person som är etablerad i en medlemsstat </w:t>
            </w:r>
            <w:r>
              <w:rPr>
                <w:b/>
                <w:i/>
              </w:rPr>
              <w:t>och</w:t>
            </w:r>
            <w:r>
              <w:t xml:space="preserve"> under vars ledning eller tillsyn arbetet utförs samt privata arbetsförmedlingar, bemanningsföretag och arbetskraftsförmedlare.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deltagande arbetsgivare: en arbetsgivare vars lediga platser är tillgängliga på it-plattformen för EU:s talangreserv så som de överförts av den nationella kontaktpunkten i den medlemsstat där arbetsgivaren är etablerad.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i största möjliga utsträckning hålla nere antalet ändringsförslag som lämnas in bör den definition som används här tillämpas konsekvent i hela texten i stället för ”arbetsgivare”.</w:t>
      </w:r>
    </w:p>
    <w:p>
      <w:r>
        <w:rPr>
          <w:rStyle w:val="HideTWBExt"/>
        </w:rPr>
        <w:t>&lt;/AmendB&gt;</w:t>
      </w:r>
    </w:p>
    <w:p>
      <w:pPr>
        <w:pStyle w:val="AmNumberTabs"/>
      </w:pPr>
      <w:r>
        <w:rPr>
          <w:rStyle w:val="HideTWBExt"/>
        </w:rPr>
        <w:t>&lt;AmendB&gt;</w:t>
      </w:r>
      <w:r>
        <w:t>Ändringsförslag</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förmedlare: en privat arbetsförmedling eller mellanhand på arbetsmarknaden som lagligen bedriver verksamhet i en medlemsstat och som tillhandahåller tjänster för arbetstagare som söker anställning och för arbetsgivare som vill rekrytera arbetstagare.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 – led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deltagande arbetsgivare: en arbetsgivare vars lediga platser är tillgängliga på it-plattformen för EU:s talangreserv så som de överförts av den nationella kontaktpunkten i den medlemsstat där arbetsgivaren är etablerad.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174</w:t>
    </w:r>
    <w:r>
      <w:fldChar w:fldCharType="end"/>
    </w:r>
    <w:r>
      <w:t>/</w:t>
    </w:r>
    <w:r>
      <w:fldChar w:fldCharType="begin"/>
    </w:r>
    <w:r>
      <w:instrText xml:space="preserve"> NUMPAGES </w:instrText>
    </w:r>
    <w:r>
      <w:fldChar w:fldCharType="separate"/>
    </w:r>
    <w:r>
      <w:t>174</w:t>
    </w:r>
    <w:r>
      <w:fldChar w:fldCharType="end"/>
    </w:r>
    <w:r>
      <w:tab/>
    </w:r>
    <w:r>
      <w:rPr>
        <w:rStyle w:val="HideTWBExt"/>
      </w:rPr>
      <w:t>&lt;PathFdR&gt;</w:t>
    </w:r>
    <w:r>
      <w:t>AM\1314134SV.docx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AM\1314134SV.docx</w:t>
    </w:r>
    <w:r>
      <w:rPr>
        <w:rStyle w:val="HideTWBExt"/>
      </w:rPr>
      <w:t>&lt;/PathFdR&gt;</w:t>
    </w:r>
    <w:r>
      <w:tab/>
    </w:r>
    <w:r>
      <w:fldChar w:fldCharType="begin"/>
    </w:r>
    <w:r>
      <w:instrText xml:space="preserve"> PAGE </w:instrText>
    </w:r>
    <w:r>
      <w:fldChar w:fldCharType="separate"/>
    </w:r>
    <w:r>
      <w:t>173</w:t>
    </w:r>
    <w:r>
      <w:fldChar w:fldCharType="end"/>
    </w:r>
    <w:r>
      <w:t>/</w:t>
    </w:r>
    <w:r>
      <w:fldChar w:fldCharType="begin"/>
    </w:r>
    <w:r>
      <w:instrText xml:space="preserve"> NUMPAGES </w:instrText>
    </w:r>
    <w:r>
      <w:fldChar w:fldCharType="separate"/>
    </w:r>
    <w:r>
      <w:t>174</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AM\1314134SV.docx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174</Pages>
  <Words>46337</Words>
  <Characters>311116</Characters>
  <Application>Microsoft Office Word</Application>
  <DocSecurity>0</DocSecurity>
  <Lines>1</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136571</vt:lpwstr>
  </property>
  <property fmtid="{D5CDD505-2E9C-101B-9397-08002B2CF9AE}" pid="7" name="dmxml.render.traceId">
    <vt:lpwstr>67c18531cc31bd6f72e1dd9bc62a7c88</vt:lpwstr>
  </property>
  <property fmtid="{D5CDD505-2E9C-101B-9397-08002B2CF9AE}" pid="8" name="FooterPath">
    <vt:lpwstr>AM\1314134SV.docx</vt:lpwstr>
  </property>
  <property fmtid="{D5CDD505-2E9C-101B-9397-08002B2CF9AE}" pid="9" name="PE Number">
    <vt:lpwstr>768.050</vt:lpwstr>
  </property>
  <property fmtid="{D5CDD505-2E9C-101B-9397-08002B2CF9AE}" pid="10" name="UID">
    <vt:lpwstr>eu.europa.europarl-DIN1-2025-0000011132_02.00-sv-01.00_text-xml</vt:lpwstr>
  </property>
</Properties>
</file>