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Европейски парламент</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{LIBE}</w:t>
      </w:r>
      <w:r>
        <w:t>Комисия по граждански свободи, правосъдие и вътрешни работи</w:t>
      </w:r>
      <w:r>
        <w:rPr>
          <w:rStyle w:val="HideTWBExt"/>
        </w:rPr>
        <w:t>&lt;/Commission&gt;</w:t>
      </w:r>
    </w:p>
    <w:p>
      <w:pPr>
        <w:pStyle w:val="LineBottom"/>
      </w:pPr>
      <w:r>
        <w:t xml:space="preserve"> </w:t>
      </w:r>
    </w:p>
    <w:p>
      <w:pPr>
        <w:pStyle w:val="CoverReference"/>
      </w:pPr>
      <w:r>
        <w:rPr>
          <w:rStyle w:val="HideTWBExt"/>
        </w:rPr>
        <w:t>&lt;RefProc&gt;</w:t>
      </w:r>
      <w:r>
        <w:t>2023/0404</w:t>
      </w:r>
      <w:r>
        <w:rPr>
          <w:rStyle w:val="HideTWBExt"/>
        </w:rPr>
        <w:t>&lt;/RefProc&gt;</w:t>
      </w:r>
      <w:r>
        <w:rPr>
          <w:rStyle w:val="HideTWBExt"/>
        </w:rPr>
        <w:t>&lt;RefTypeProc&gt;</w:t>
      </w:r>
      <w:r>
        <w:t>(COD)</w:t>
      </w:r>
      <w:r>
        <w:rPr>
          <w:rStyle w:val="HideTWBExt"/>
        </w:rPr>
        <w:t>&lt;/RefTypeProc&gt;</w:t>
      </w:r>
    </w:p>
    <w:p>
      <w:pPr>
        <w:pStyle w:val="CoverDate"/>
      </w:pPr>
      <w:r>
        <w:rPr>
          <w:rStyle w:val="HideTWBExt"/>
        </w:rPr>
        <w:t>&lt;Date&gt;</w:t>
      </w:r>
      <w:r>
        <w:rPr>
          <w:rStyle w:val="HideTWBInt"/>
        </w:rPr>
        <w:t>{29/01/2025}</w:t>
      </w:r>
      <w:r>
        <w:t>29.1.2025</w:t>
      </w:r>
      <w:r>
        <w:rPr>
          <w:rStyle w:val="HideTWBExt"/>
        </w:rPr>
        <w:t>&lt;/Date&gt;</w:t>
      </w:r>
    </w:p>
    <w:p>
      <w:pPr>
        <w:pStyle w:val="CoverDocType"/>
      </w:pPr>
      <w:r>
        <w:rPr>
          <w:rStyle w:val="HideTWBExt"/>
        </w:rPr>
        <w:t>&lt;TypeAM&gt;</w:t>
      </w:r>
      <w:r>
        <w:t>ИЗМЕНЕНИЯ</w:t>
      </w:r>
      <w:r>
        <w:rPr>
          <w:rStyle w:val="HideTWBExt"/>
        </w:rPr>
        <w:t>&lt;/TypeAM&gt;</w:t>
      </w:r>
    </w:p>
    <w:p>
      <w:pPr>
        <w:pStyle w:val="CoverDocType24a"/>
      </w:pPr>
      <w:r>
        <w:rPr>
          <w:rStyle w:val="HideTWBExt"/>
        </w:rPr>
        <w:t>&lt;RangeAM&gt;</w:t>
      </w:r>
      <w:r>
        <w:t>362</w:t>
      </w:r>
      <w:r>
        <w:t xml:space="preserve"> - </w:t>
      </w:r>
      <w:r>
        <w:t>761</w:t>
      </w:r>
      <w:r>
        <w:rPr>
          <w:rStyle w:val="HideTWBExt"/>
        </w:rPr>
        <w:t>&lt;/RangeAM&gt;</w:t>
      </w:r>
    </w:p>
    <w:p>
      <w:pPr>
        <w:pStyle w:val="CoverBold"/>
      </w:pPr>
      <w:r>
        <w:rPr>
          <w:rStyle w:val="HideTWBExt"/>
        </w:rPr>
        <w:t>&lt;TitreType&gt;</w:t>
      </w:r>
      <w:r>
        <w:t>Проект на доклад</w:t>
      </w:r>
      <w:r>
        <w:rPr>
          <w:rStyle w:val="HideTWBExt"/>
        </w:rPr>
        <w:t>&lt;/TitreType&gt;</w:t>
      </w:r>
    </w:p>
    <w:p>
      <w:pPr>
        <w:pStyle w:val="CoverBold"/>
      </w:pPr>
      <w:r>
        <w:rPr>
          <w:rStyle w:val="HideTWBExt"/>
        </w:rPr>
        <w:t>&lt;Rapporteur&gt;</w:t>
      </w:r>
      <w:r>
        <w:t>Абир Ал-Сахлани</w:t>
      </w:r>
      <w:r>
        <w:rPr>
          <w:rStyle w:val="HideTWBExt"/>
        </w:rPr>
        <w:t>&lt;/Rapporteur&gt;</w:t>
      </w:r>
    </w:p>
    <w:p>
      <w:pPr>
        <w:pStyle w:val="CoverNormal24a"/>
      </w:pPr>
      <w:r>
        <w:rPr>
          <w:rStyle w:val="HideTWBExt"/>
        </w:rPr>
        <w:t>&lt;DocRefPE&gt;</w:t>
      </w:r>
      <w:r>
        <w:t>(PE766.973v01-00)</w:t>
      </w:r>
      <w:r>
        <w:rPr>
          <w:rStyle w:val="HideTWBExt"/>
        </w:rPr>
        <w:t>&lt;/DocRefPE&gt;</w:t>
      </w:r>
    </w:p>
    <w:p>
      <w:pPr>
        <w:pStyle w:val="CoverNormal24a"/>
      </w:pPr>
      <w:r>
        <w:rPr>
          <w:rStyle w:val="HideTWBExt"/>
        </w:rPr>
        <w:t>&lt;Titre&gt;</w:t>
      </w:r>
      <w:r>
        <w:t>Създаване на резерв на ЕС от таланти</w:t>
      </w:r>
      <w:r>
        <w:rPr>
          <w:rStyle w:val="HideTWBExt"/>
        </w:rPr>
        <w:t>&lt;/Titre&gt;</w:t>
      </w:r>
    </w:p>
    <w:p>
      <w:pPr>
        <w:pStyle w:val="CoverNormal"/>
      </w:pPr>
      <w:r>
        <w:rPr>
          <w:rStyle w:val="HideTWBExt"/>
        </w:rPr>
        <w:t>&lt;DocAmend&gt;</w:t>
      </w:r>
      <w:r>
        <w:t>Предложение за регламент</w:t>
      </w:r>
      <w:r>
        <w:rPr>
          <w:rStyle w:val="HideTWBExt"/>
        </w:rPr>
        <w:t>&lt;/DocAmend&gt;</w:t>
      </w:r>
    </w:p>
    <w:p>
      <w:pPr>
        <w:pStyle w:val="CoverNormal24a"/>
      </w:pPr>
      <w:r>
        <w:rPr>
          <w:rStyle w:val="HideTWBExt"/>
        </w:rPr>
        <w:t>&lt;DocRef&gt;</w:t>
      </w:r>
      <w:r>
        <w:t>(COM(2023)0716 – C9-0413/2023 – 2023/0404(COD))</w:t>
      </w:r>
      <w:r>
        <w:rPr>
          <w:rStyle w:val="HideTWBExt"/>
        </w:rPr>
        <w:t>&lt;/DocRef&gt;</w:t>
      </w:r>
    </w:p>
    <w:p>
      <w:r>
        <w:br w:type="page"/>
      </w:r>
      <w:r>
        <w:t>AM_Com_LegReport</w:t>
      </w:r>
    </w:p>
    <w:p>
      <w:pPr>
        <w:pStyle w:val="AmNumberTabs"/>
      </w:pPr>
      <w:r>
        <w:br w:type="page"/>
      </w:r>
      <w:r>
        <w:rPr>
          <w:rStyle w:val="HideTWBExt"/>
        </w:rPr>
        <w:t>&lt;RepeatBlock-Amend&gt;</w:t>
      </w:r>
      <w:r>
        <w:rPr>
          <w:rStyle w:val="HideTWBExt"/>
        </w:rPr>
        <w:t>&lt;Amend&gt;</w:t>
      </w:r>
      <w:r>
        <w:t>Изменение</w:t>
      </w:r>
      <w:r>
        <w:tab/>
      </w:r>
      <w:r>
        <w:tab/>
      </w:r>
      <w:r>
        <w:rPr>
          <w:rStyle w:val="HideTWBExt"/>
        </w:rPr>
        <w:t>&lt;NumAm&gt;</w:t>
      </w:r>
      <w:r>
        <w:t>362</w:t>
      </w:r>
      <w:r>
        <w:rPr>
          <w:rStyle w:val="HideTWBExt"/>
        </w:rPr>
        <w:t>&lt;/NumAm&gt;</w:t>
      </w:r>
    </w:p>
    <w:p>
      <w:pPr>
        <w:pStyle w:val="NormalBold"/>
      </w:pPr>
      <w:r>
        <w:rPr>
          <w:rStyle w:val="HideTWBExt"/>
          <w:b w:val="0"/>
        </w:rPr>
        <w:t>&lt;RepeatBlock-By&gt;</w:t>
      </w:r>
      <w:r>
        <w:rPr>
          <w:rStyle w:val="HideTWBExt"/>
          <w:b w:val="0"/>
        </w:rPr>
        <w:t>&lt;Members&gt;</w:t>
      </w:r>
      <w:r>
        <w:t>Алис Теодореску Мове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4 – параграф 1 – точка 3 б (нова)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(3б)</w:t>
            </w:r>
            <w:r>
              <w:tab/>
            </w:r>
            <w:r>
              <w:rPr>
                <w:b/>
                <w:i/>
              </w:rPr>
              <w:t>„друго участващо образувание“ означава агенция за временна заетост, частно бюро по труда или посредник на пазара на труда, чиито свободни работни места се обявяват на ИТ платформата на резерва на ЕС от таланти съгласно информацията, подадена от националното звено за контакт на държавата членка, в която е установено другото участващо образувание.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363</w:t>
      </w:r>
      <w:r>
        <w:rPr>
          <w:rStyle w:val="HideTWBExt"/>
        </w:rPr>
        <w:t>&lt;/NumAm&gt;</w:t>
      </w:r>
    </w:p>
    <w:p>
      <w:pPr>
        <w:pStyle w:val="NormalBold"/>
      </w:pPr>
      <w:r>
        <w:rPr>
          <w:rStyle w:val="HideTWBExt"/>
          <w:b w:val="0"/>
        </w:rPr>
        <w:t>&lt;RepeatBlock-By&gt;</w:t>
      </w:r>
      <w:r>
        <w:rPr>
          <w:rStyle w:val="HideTWBExt"/>
          <w:b w:val="0"/>
        </w:rPr>
        <w:t>&lt;Members&gt;</w:t>
      </w:r>
      <w:r>
        <w:t>Хавиер Морено Санчес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4 – параграф 1 – точка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„профил“ означава информацията, предоставена от търсещо работа лице от трета държава чрез стандартен формат за данни с цел търсене на работа чрез ИТ платформата на резерва на ЕС от таланти;</w:t>
            </w:r>
          </w:p>
        </w:tc>
        <w:tc>
          <w:tcPr>
            <w:tcW w:w="4876" w:type="dxa"/>
            <w:tcBorders>
              <w:top w:val="nil"/>
              <w:left w:val="nil"/>
              <w:bottom w:val="nil"/>
              <w:right w:val="nil"/>
            </w:tcBorders>
          </w:tcPr>
          <w:p>
            <w:pPr>
              <w:pStyle w:val="Normal6a"/>
            </w:pPr>
            <w:r>
              <w:t>(4)</w:t>
            </w:r>
            <w:r>
              <w:tab/>
            </w:r>
            <w:r>
              <w:t xml:space="preserve">„профил“ означава информацията, предоставена от търсещо работа лице от трета държава </w:t>
            </w:r>
            <w:r>
              <w:rPr>
                <w:b/>
                <w:i/>
              </w:rPr>
              <w:t>или от работодател</w:t>
            </w:r>
            <w:r>
              <w:t xml:space="preserve"> чрез стандартен формат за данни с цел търсене на работа </w:t>
            </w:r>
            <w:r>
              <w:rPr>
                <w:b/>
                <w:i/>
              </w:rPr>
              <w:t>или регистриране в платформата на резерва на ЕС от таланти</w:t>
            </w:r>
            <w:r>
              <w:t xml:space="preserve"> чрез ИТ платформата на резерва на ЕС от таланти;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364</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4 – параграф 1 – точка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„профил“ означава информацията, предоставена от търсещо работа лице от трета държава чрез стандартен формат за данни с цел </w:t>
            </w:r>
            <w:r>
              <w:rPr>
                <w:b/>
                <w:i/>
              </w:rPr>
              <w:t>търсене на работа чрез</w:t>
            </w:r>
            <w:r>
              <w:t xml:space="preserve"> ИТ платформата на резерва на ЕС от таланти;</w:t>
            </w:r>
          </w:p>
        </w:tc>
        <w:tc>
          <w:tcPr>
            <w:tcW w:w="4876" w:type="dxa"/>
            <w:tcBorders>
              <w:top w:val="nil"/>
              <w:left w:val="nil"/>
              <w:bottom w:val="nil"/>
              <w:right w:val="nil"/>
            </w:tcBorders>
          </w:tcPr>
          <w:p>
            <w:pPr>
              <w:pStyle w:val="Normal6a"/>
            </w:pPr>
            <w:r>
              <w:t>(4)</w:t>
            </w:r>
            <w:r>
              <w:tab/>
            </w:r>
            <w:r>
              <w:t>„профил“ означава информацията, предоставена от търсещо работа лице от трета държава</w:t>
            </w:r>
            <w:r>
              <w:rPr>
                <w:b/>
                <w:i/>
              </w:rPr>
              <w:t>, участващ работодател или посредник,</w:t>
            </w:r>
            <w:r>
              <w:t xml:space="preserve"> чрез стандартен формат за данни с цел </w:t>
            </w:r>
            <w:r>
              <w:rPr>
                <w:b/>
                <w:i/>
              </w:rPr>
              <w:t>използване на</w:t>
            </w:r>
            <w:r>
              <w:t xml:space="preserve"> ИТ платформата на резерва на ЕС от таланти;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365</w:t>
      </w:r>
      <w:r>
        <w:rPr>
          <w:rStyle w:val="HideTWBExt"/>
        </w:rPr>
        <w:t>&lt;/NumAm&gt;</w:t>
      </w:r>
    </w:p>
    <w:p>
      <w:pPr>
        <w:pStyle w:val="NormalBold"/>
      </w:pPr>
      <w:r>
        <w:rPr>
          <w:rStyle w:val="HideTWBExt"/>
          <w:b w:val="0"/>
        </w:rPr>
        <w:t>&lt;RepeatBlock-By&gt;</w:t>
      </w:r>
      <w:r>
        <w:rPr>
          <w:rStyle w:val="HideTWBExt"/>
          <w:b w:val="0"/>
        </w:rPr>
        <w:t>&lt;Members&gt;</w:t>
      </w:r>
      <w:r>
        <w:t>Лена Дюпон, Томас Тобé, Алис Теодореску Мове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4 – параграф 1 – точка 4 a (нова)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(4а)</w:t>
            </w:r>
            <w:r>
              <w:tab/>
            </w:r>
            <w:r>
              <w:rPr>
                <w:b/>
                <w:i/>
              </w:rPr>
              <w:t>„друго участващо образувание“ означава агенция за временна заетост, частно бюро по труда или посредник на пазара на труда, чиито свободни работни места се обявяват на ИТ платформата на резерва на ЕС от таланти съгласно информацията, подадена от националното звено за контакт на държавата членка, в която е установено другото участващо образувание.</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Обосновка</w:t>
      </w:r>
      <w:r>
        <w:rPr>
          <w:rStyle w:val="HideTWBExt"/>
        </w:rPr>
        <w:t>&lt;/TitreJust&gt;</w:t>
      </w:r>
    </w:p>
    <w:p>
      <w:pPr>
        <w:pStyle w:val="AmJustText"/>
      </w:pPr>
      <w:r>
        <w:t>За да се намали броят на измененията, които трябва да бъдат представени до необходимия минимум, използваното тук определение трябва да се прилага последователно в целия текст и да замести „работодател“.</w:t>
      </w:r>
    </w:p>
    <w:p>
      <w:r>
        <w:rPr>
          <w:rStyle w:val="HideTWBExt"/>
        </w:rPr>
        <w:t>&lt;/Amend&gt;</w:t>
      </w:r>
    </w:p>
    <w:p>
      <w:pPr>
        <w:pStyle w:val="AmNumberTabs"/>
      </w:pPr>
      <w:r>
        <w:rPr>
          <w:rStyle w:val="HideTWBExt"/>
        </w:rPr>
        <w:t>&lt;Amend&gt;</w:t>
      </w:r>
      <w:r>
        <w:t>Изменение</w:t>
      </w:r>
      <w:r>
        <w:tab/>
      </w:r>
      <w:r>
        <w:tab/>
      </w:r>
      <w:r>
        <w:rPr>
          <w:rStyle w:val="HideTWBExt"/>
        </w:rPr>
        <w:t>&lt;NumAm&gt;</w:t>
      </w:r>
      <w:r>
        <w:t>366</w:t>
      </w:r>
      <w:r>
        <w:rPr>
          <w:rStyle w:val="HideTWBExt"/>
        </w:rPr>
        <w:t>&lt;/NumAm&gt;</w:t>
      </w:r>
    </w:p>
    <w:p>
      <w:pPr>
        <w:pStyle w:val="NormalBold"/>
      </w:pPr>
      <w:r>
        <w:rPr>
          <w:rStyle w:val="HideTWBExt"/>
          <w:b w:val="0"/>
        </w:rPr>
        <w:t>&lt;RepeatBlock-By&gt;</w:t>
      </w:r>
      <w:r>
        <w:rPr>
          <w:rStyle w:val="HideTWBExt"/>
          <w:b w:val="0"/>
        </w:rPr>
        <w:t>&lt;Members&gt;</w:t>
      </w:r>
      <w:r>
        <w:t>Ян-Кристоф Йотен, Абир Ал-Сахлани, Луция Яр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4 – параграф 1 – точка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„един-единствен координиран канал“ означава ИТ услугата, която е създадена за предаване на свободни работни места от </w:t>
            </w:r>
            <w:r>
              <w:rPr>
                <w:b/>
                <w:i/>
              </w:rPr>
              <w:t>участващите държави</w:t>
            </w:r>
            <w:r>
              <w:t xml:space="preserve"> членки на ИТ платформата на резерва на ЕС от таланти в съответствие с единна система и при използване на необходимата техническа инфраструктура.</w:t>
            </w:r>
          </w:p>
        </w:tc>
        <w:tc>
          <w:tcPr>
            <w:tcW w:w="4876" w:type="dxa"/>
            <w:tcBorders>
              <w:top w:val="nil"/>
              <w:left w:val="nil"/>
              <w:bottom w:val="nil"/>
              <w:right w:val="nil"/>
            </w:tcBorders>
          </w:tcPr>
          <w:p>
            <w:pPr>
              <w:pStyle w:val="Normal6a"/>
            </w:pPr>
            <w:r>
              <w:t>(5)</w:t>
            </w:r>
            <w:r>
              <w:tab/>
            </w:r>
            <w:r>
              <w:t xml:space="preserve">„един-единствен координиран канал“ означава ИТ услугата, която е създадена за предаване на свободни работни места от </w:t>
            </w:r>
            <w:r>
              <w:rPr>
                <w:b/>
                <w:i/>
              </w:rPr>
              <w:t>държавите</w:t>
            </w:r>
            <w:r>
              <w:t xml:space="preserve"> членки на ИТ платформата на резерва на ЕС от таланти в съответствие с единна система и при използване на необходимата техническа инфраструктура.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367</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4 – параграф 1 – точка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w:t>
            </w:r>
            <w:r>
              <w:rPr>
                <w:b/>
                <w:i/>
              </w:rPr>
              <w:t>един-единствен координиран канал</w:t>
            </w:r>
            <w:r>
              <w:t xml:space="preserve">“ означава ИТ услугата, която е създадена за предаване на свободни работни места от </w:t>
            </w:r>
            <w:r>
              <w:rPr>
                <w:b/>
                <w:i/>
              </w:rPr>
              <w:t>участващите държави</w:t>
            </w:r>
            <w:r>
              <w:t xml:space="preserve"> членки на ИТ платформата на резерва на ЕС от таланти в съответствие с единна система и при използване на необходимата техническа инфраструктура.</w:t>
            </w:r>
          </w:p>
        </w:tc>
        <w:tc>
          <w:tcPr>
            <w:tcW w:w="4876" w:type="dxa"/>
            <w:tcBorders>
              <w:top w:val="nil"/>
              <w:left w:val="nil"/>
              <w:bottom w:val="nil"/>
              <w:right w:val="nil"/>
            </w:tcBorders>
          </w:tcPr>
          <w:p>
            <w:pPr>
              <w:pStyle w:val="Normal6a"/>
            </w:pPr>
            <w:r>
              <w:t>(5)</w:t>
            </w:r>
            <w:r>
              <w:tab/>
            </w:r>
            <w:r>
              <w:t>„</w:t>
            </w:r>
            <w:r>
              <w:rPr>
                <w:b/>
                <w:i/>
              </w:rPr>
              <w:t>обща ИТ платформа</w:t>
            </w:r>
            <w:r>
              <w:t xml:space="preserve">“ означава ИТ услугата, която е създадена </w:t>
            </w:r>
            <w:r>
              <w:rPr>
                <w:b/>
                <w:i/>
              </w:rPr>
              <w:t>на равнището на Съюза</w:t>
            </w:r>
            <w:r>
              <w:t xml:space="preserve"> за предаване на свободни работни места от </w:t>
            </w:r>
            <w:r>
              <w:rPr>
                <w:b/>
                <w:i/>
              </w:rPr>
              <w:t>държавите</w:t>
            </w:r>
            <w:r>
              <w:t xml:space="preserve"> членки на ИТ платформата на резерва на ЕС от таланти в съответствие с единна система и при използване на необходимата техническа инфраструктура.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368</w:t>
      </w:r>
      <w:r>
        <w:rPr>
          <w:rStyle w:val="HideTWBExt"/>
        </w:rPr>
        <w:t>&lt;/NumAm&gt;</w:t>
      </w:r>
    </w:p>
    <w:p>
      <w:pPr>
        <w:pStyle w:val="NormalBold"/>
      </w:pPr>
      <w:r>
        <w:rPr>
          <w:rStyle w:val="HideTWBExt"/>
          <w:b w:val="0"/>
        </w:rPr>
        <w:t>&lt;RepeatBlock-By&gt;</w:t>
      </w:r>
      <w:r>
        <w:rPr>
          <w:rStyle w:val="HideTWBExt"/>
          <w:b w:val="0"/>
        </w:rPr>
        <w:t>&lt;Members&gt;</w:t>
      </w:r>
      <w:r>
        <w:t>Хавиер Морено Санчес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4 – параграф 1 – точка 5 a (нова)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(5а)</w:t>
            </w:r>
            <w:r>
              <w:tab/>
            </w:r>
            <w:r>
              <w:rPr>
                <w:b/>
                <w:i/>
              </w:rPr>
              <w:t>„свободно работно място“ означава предложение за работа, което би позволило на търсещо работа лице, ако то бъде наето, да встъпи в трудово правоотношение в участващата държава членка, в която е установен участващият работодател и в която търсещите работа лица обичайно ще работят;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369</w:t>
      </w:r>
      <w:r>
        <w:rPr>
          <w:rStyle w:val="HideTWBExt"/>
        </w:rPr>
        <w:t>&lt;/NumAm&gt;</w:t>
      </w:r>
    </w:p>
    <w:p>
      <w:pPr>
        <w:pStyle w:val="NormalBold"/>
      </w:pPr>
      <w:r>
        <w:rPr>
          <w:rStyle w:val="HideTWBExt"/>
          <w:b w:val="0"/>
        </w:rPr>
        <w:t>&lt;RepeatBlock-By&gt;</w:t>
      </w:r>
      <w:r>
        <w:rPr>
          <w:rStyle w:val="HideTWBExt"/>
          <w:b w:val="0"/>
        </w:rPr>
        <w:t>&lt;Members&gt;</w:t>
      </w:r>
      <w:r>
        <w:t>Ян-Кристоф Йотен, Абир Ал-Сахлани, Хилде Вотманс, Ирена Йовева, Луция Яр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5 – параграф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Създава се ИТ платформата на резерва на ЕС от таланти за улесняване на наемането на търсещи работа лица от трети държави.</w:t>
            </w:r>
          </w:p>
        </w:tc>
        <w:tc>
          <w:tcPr>
            <w:tcW w:w="4876" w:type="dxa"/>
            <w:tcBorders>
              <w:top w:val="nil"/>
              <w:left w:val="nil"/>
              <w:bottom w:val="nil"/>
              <w:right w:val="nil"/>
            </w:tcBorders>
          </w:tcPr>
          <w:p>
            <w:pPr>
              <w:pStyle w:val="Normal6a"/>
            </w:pPr>
            <w:r>
              <w:t>1.</w:t>
            </w:r>
            <w:r>
              <w:tab/>
            </w:r>
            <w:r>
              <w:t xml:space="preserve">Създава се ИТ платформата на резерва на ЕС от таланти за улесняване на наемането на търсещи работа лица от трети държави. </w:t>
            </w:r>
            <w:r>
              <w:rPr>
                <w:b/>
                <w:i/>
              </w:rPr>
              <w:t>Информацията на платформата ще бъде достъпна, когато това е технически възможно, поне на официалните езици на всички държави членки, както и на официалните езици на трети държави, участващи в партньорствата в подкрепа на талантите, и на официалните езици на десетте националности, които са получили най-голям брой единни разрешения в рамките на ЕС през последните три години.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370</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5 – параграф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Създава се ИТ платформата на резерва на ЕС от таланти за улесняване на наемането на търсещи работа лица от трети държави.</w:t>
            </w:r>
          </w:p>
        </w:tc>
        <w:tc>
          <w:tcPr>
            <w:tcW w:w="4876" w:type="dxa"/>
            <w:tcBorders>
              <w:top w:val="nil"/>
              <w:left w:val="nil"/>
              <w:bottom w:val="nil"/>
              <w:right w:val="nil"/>
            </w:tcBorders>
          </w:tcPr>
          <w:p>
            <w:pPr>
              <w:pStyle w:val="Normal6a"/>
            </w:pPr>
            <w:r>
              <w:t>1.</w:t>
            </w:r>
            <w:r>
              <w:tab/>
            </w:r>
            <w:r>
              <w:t xml:space="preserve">Създава се ИТ платформата на резерва на ЕС от таланти за улесняване на наемането на търсещи работа лица от трети държави </w:t>
            </w:r>
            <w:r>
              <w:rPr>
                <w:b/>
                <w:i/>
              </w:rPr>
              <w:t>и за улесняване на свързването им с участващите работодатели</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371</w:t>
      </w:r>
      <w:r>
        <w:rPr>
          <w:rStyle w:val="HideTWBExt"/>
        </w:rPr>
        <w:t>&lt;/NumAm&gt;</w:t>
      </w:r>
    </w:p>
    <w:p>
      <w:pPr>
        <w:pStyle w:val="NormalBold"/>
      </w:pPr>
      <w:r>
        <w:rPr>
          <w:rStyle w:val="HideTWBExt"/>
          <w:b w:val="0"/>
        </w:rPr>
        <w:t>&lt;RepeatBlock-By&gt;</w:t>
      </w:r>
      <w:r>
        <w:rPr>
          <w:rStyle w:val="HideTWBExt"/>
          <w:b w:val="0"/>
        </w:rPr>
        <w:t>&lt;Members&gt;</w:t>
      </w:r>
      <w:r>
        <w:t>Том Вандендрисе, Петра Щегер, Ярослав Бжох, Фабрис Леджери, Антонио Танжер Кореа,  Хорхе Бусаде Виялба, Марике Елерс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5 – параграф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Създава се ИТ платформата на резерва на ЕС от таланти за улесняване на наемането на търсещи работа лица от трети държави.</w:t>
            </w:r>
          </w:p>
        </w:tc>
        <w:tc>
          <w:tcPr>
            <w:tcW w:w="4876" w:type="dxa"/>
            <w:tcBorders>
              <w:top w:val="nil"/>
              <w:left w:val="nil"/>
              <w:bottom w:val="nil"/>
              <w:right w:val="nil"/>
            </w:tcBorders>
          </w:tcPr>
          <w:p>
            <w:pPr>
              <w:pStyle w:val="Normal6a"/>
            </w:pPr>
            <w:r>
              <w:t>1.</w:t>
            </w:r>
            <w:r>
              <w:tab/>
            </w:r>
            <w:r>
              <w:t xml:space="preserve">Създава се ИТ платформата на резерва на ЕС от таланти за улесняване на наемането на </w:t>
            </w:r>
            <w:r>
              <w:rPr>
                <w:b/>
                <w:i/>
              </w:rPr>
              <w:t>висококвалифицирани</w:t>
            </w:r>
            <w:r>
              <w:t xml:space="preserve"> търсещи работа лица от трети държави.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372</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5 – параграф 2 – буква 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а</w:t>
            </w:r>
            <w:r>
              <w:t>)</w:t>
            </w:r>
            <w:r>
              <w:tab/>
            </w:r>
            <w:r>
              <w:rPr>
                <w:b/>
                <w:i/>
              </w:rPr>
              <w:t>един-единствен координиран канал, който</w:t>
            </w:r>
            <w:r>
              <w:t xml:space="preserve"> позволява на участващите държави членки да прехвърлят свободни работни места в базата данни на резерва на ЕС от таланти;</w:t>
            </w:r>
          </w:p>
        </w:tc>
        <w:tc>
          <w:tcPr>
            <w:tcW w:w="4876" w:type="dxa"/>
            <w:tcBorders>
              <w:top w:val="nil"/>
              <w:left w:val="nil"/>
              <w:bottom w:val="nil"/>
              <w:right w:val="nil"/>
            </w:tcBorders>
          </w:tcPr>
          <w:p>
            <w:pPr>
              <w:pStyle w:val="Normal6a"/>
            </w:pPr>
            <w:r>
              <w:rPr>
                <w:b/>
                <w:i/>
              </w:rPr>
              <w:t>a</w:t>
            </w:r>
            <w:r>
              <w:t>)</w:t>
            </w:r>
            <w:r>
              <w:tab/>
            </w:r>
            <w:r>
              <w:rPr>
                <w:b/>
                <w:i/>
              </w:rPr>
              <w:t>общата ИТ платформа, която</w:t>
            </w:r>
            <w:r>
              <w:t xml:space="preserve"> позволява на участващите </w:t>
            </w:r>
            <w:r>
              <w:rPr>
                <w:b/>
                <w:i/>
              </w:rPr>
              <w:t>работодатели, посредници и</w:t>
            </w:r>
            <w:r>
              <w:t xml:space="preserve"> държави членки </w:t>
            </w:r>
            <w:r>
              <w:rPr>
                <w:b/>
                <w:i/>
              </w:rPr>
              <w:t>чрез техните национални звена за контакт</w:t>
            </w:r>
            <w:r>
              <w:t xml:space="preserve"> да прехвърлят свободни работни места в базата данни на резерва на ЕС от таланти;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373</w:t>
      </w:r>
      <w:r>
        <w:rPr>
          <w:rStyle w:val="HideTWBExt"/>
        </w:rPr>
        <w:t>&lt;/NumAm&gt;</w:t>
      </w:r>
    </w:p>
    <w:p>
      <w:pPr>
        <w:pStyle w:val="NormalBold"/>
      </w:pPr>
      <w:r>
        <w:rPr>
          <w:rStyle w:val="HideTWBExt"/>
          <w:b w:val="0"/>
        </w:rPr>
        <w:t>&lt;RepeatBlock-By&gt;</w:t>
      </w:r>
      <w:r>
        <w:rPr>
          <w:rStyle w:val="HideTWBExt"/>
          <w:b w:val="0"/>
        </w:rPr>
        <w:t>&lt;Members&gt;</w:t>
      </w:r>
      <w:r>
        <w:t>Хавиер Морено Санчес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5 – параграф 2 – буква 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а</w:t>
            </w:r>
            <w:r>
              <w:t>)</w:t>
            </w:r>
            <w:r>
              <w:tab/>
            </w:r>
            <w:r>
              <w:t>един-единствен координиран канал, който позволява на участващите държави членки да прехвърлят свободни работни места в базата данни на резерва на ЕС от таланти;</w:t>
            </w:r>
          </w:p>
        </w:tc>
        <w:tc>
          <w:tcPr>
            <w:tcW w:w="4876" w:type="dxa"/>
            <w:tcBorders>
              <w:top w:val="nil"/>
              <w:left w:val="nil"/>
              <w:bottom w:val="nil"/>
              <w:right w:val="nil"/>
            </w:tcBorders>
          </w:tcPr>
          <w:p>
            <w:pPr>
              <w:pStyle w:val="Normal6a"/>
            </w:pPr>
            <w:r>
              <w:rPr>
                <w:b/>
                <w:i/>
              </w:rPr>
              <w:t>a</w:t>
            </w:r>
            <w:r>
              <w:t>)</w:t>
            </w:r>
            <w:r>
              <w:tab/>
            </w:r>
            <w:r>
              <w:t xml:space="preserve">един-единствен координиран канал, който позволява на участващите държави членки да прехвърлят свободни работни места </w:t>
            </w:r>
            <w:r>
              <w:rPr>
                <w:b/>
                <w:i/>
              </w:rPr>
              <w:t>и регистрирани работодатели</w:t>
            </w:r>
            <w:r>
              <w:t xml:space="preserve"> в базата данни на резерва на ЕС от таланти;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374</w:t>
      </w:r>
      <w:r>
        <w:rPr>
          <w:rStyle w:val="HideTWBExt"/>
        </w:rPr>
        <w:t>&lt;/NumAm&gt;</w:t>
      </w:r>
    </w:p>
    <w:p>
      <w:pPr>
        <w:pStyle w:val="NormalBold"/>
      </w:pPr>
      <w:r>
        <w:rPr>
          <w:rStyle w:val="HideTWBExt"/>
          <w:b w:val="0"/>
        </w:rPr>
        <w:t>&lt;RepeatBlock-By&gt;</w:t>
      </w:r>
      <w:r>
        <w:rPr>
          <w:rStyle w:val="HideTWBExt"/>
          <w:b w:val="0"/>
        </w:rPr>
        <w:t>&lt;Members&gt;</w:t>
      </w:r>
      <w:r>
        <w:t>Ян-Кристоф Йотен, Абир Ал-Сахлани, Луция Яр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5 – параграф 2 – буква 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а</w:t>
            </w:r>
            <w:r>
              <w:t>)</w:t>
            </w:r>
            <w:r>
              <w:tab/>
            </w:r>
            <w:r>
              <w:t xml:space="preserve">един-единствен координиран канал, който позволява на </w:t>
            </w:r>
            <w:r>
              <w:rPr>
                <w:b/>
                <w:i/>
              </w:rPr>
              <w:t>участващите държави</w:t>
            </w:r>
            <w:r>
              <w:t xml:space="preserve"> членки да прехвърлят свободни работни места в базата данни на резерва на ЕС от таланти;</w:t>
            </w:r>
          </w:p>
        </w:tc>
        <w:tc>
          <w:tcPr>
            <w:tcW w:w="4876" w:type="dxa"/>
            <w:tcBorders>
              <w:top w:val="nil"/>
              <w:left w:val="nil"/>
              <w:bottom w:val="nil"/>
              <w:right w:val="nil"/>
            </w:tcBorders>
          </w:tcPr>
          <w:p>
            <w:pPr>
              <w:pStyle w:val="Normal6a"/>
            </w:pPr>
            <w:r>
              <w:rPr>
                <w:b/>
                <w:i/>
              </w:rPr>
              <w:t>a</w:t>
            </w:r>
            <w:r>
              <w:t>)</w:t>
            </w:r>
            <w:r>
              <w:tab/>
            </w:r>
            <w:r>
              <w:t xml:space="preserve">един-единствен координиран канал, който позволява на </w:t>
            </w:r>
            <w:r>
              <w:rPr>
                <w:b/>
                <w:i/>
              </w:rPr>
              <w:t>държавите</w:t>
            </w:r>
            <w:r>
              <w:t xml:space="preserve"> членки да прехвърлят свободни работни места в базата данни на резерва на ЕС от таланти;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375</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5 – параграф 2 – буква 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б)</w:t>
            </w:r>
            <w:r>
              <w:tab/>
            </w:r>
            <w:r>
              <w:t xml:space="preserve">техническа инфраструктура, позволяваща на базата данни на резерва на ЕС от таланти да получава свободните работни места от участващите </w:t>
            </w:r>
            <w:r>
              <w:rPr>
                <w:b/>
                <w:i/>
              </w:rPr>
              <w:t>държави членки</w:t>
            </w:r>
            <w:r>
              <w:t>;</w:t>
            </w:r>
          </w:p>
        </w:tc>
        <w:tc>
          <w:tcPr>
            <w:tcW w:w="4876" w:type="dxa"/>
            <w:tcBorders>
              <w:top w:val="nil"/>
              <w:left w:val="nil"/>
              <w:bottom w:val="nil"/>
              <w:right w:val="nil"/>
            </w:tcBorders>
          </w:tcPr>
          <w:p>
            <w:pPr>
              <w:pStyle w:val="Normal6a"/>
            </w:pPr>
            <w:r>
              <w:t>б)</w:t>
            </w:r>
            <w:r>
              <w:tab/>
            </w:r>
            <w:r>
              <w:t xml:space="preserve">техническа инфраструктура, позволяваща на базата данни на резерва на ЕС от таланти да получава свободните работни места от </w:t>
            </w:r>
            <w:r>
              <w:rPr>
                <w:b/>
                <w:i/>
              </w:rPr>
              <w:t>държавите членки, както и от</w:t>
            </w:r>
            <w:r>
              <w:t xml:space="preserve"> участващите </w:t>
            </w:r>
            <w:r>
              <w:rPr>
                <w:b/>
                <w:i/>
              </w:rPr>
              <w:t>работодатели и посредници</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376</w:t>
      </w:r>
      <w:r>
        <w:rPr>
          <w:rStyle w:val="HideTWBExt"/>
        </w:rPr>
        <w:t>&lt;/NumAm&gt;</w:t>
      </w:r>
    </w:p>
    <w:p>
      <w:pPr>
        <w:pStyle w:val="NormalBold"/>
      </w:pPr>
      <w:r>
        <w:rPr>
          <w:rStyle w:val="HideTWBExt"/>
          <w:b w:val="0"/>
        </w:rPr>
        <w:t>&lt;RepeatBlock-By&gt;</w:t>
      </w:r>
      <w:r>
        <w:rPr>
          <w:rStyle w:val="HideTWBExt"/>
          <w:b w:val="0"/>
        </w:rPr>
        <w:t>&lt;Members&gt;</w:t>
      </w:r>
      <w:r>
        <w:t>Ян-Кристоф Йотен, Абир Ал-Сахлани, Луция Яр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5 – параграф 2 – буква 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б)</w:t>
            </w:r>
            <w:r>
              <w:tab/>
            </w:r>
            <w:r>
              <w:t xml:space="preserve">техническа инфраструктура, позволяваща на базата данни на резерва на ЕС от таланти да получава свободните работни места от </w:t>
            </w:r>
            <w:r>
              <w:rPr>
                <w:b/>
                <w:i/>
              </w:rPr>
              <w:t>участващите държави</w:t>
            </w:r>
            <w:r>
              <w:t xml:space="preserve"> членки;</w:t>
            </w:r>
          </w:p>
        </w:tc>
        <w:tc>
          <w:tcPr>
            <w:tcW w:w="4876" w:type="dxa"/>
            <w:tcBorders>
              <w:top w:val="nil"/>
              <w:left w:val="nil"/>
              <w:bottom w:val="nil"/>
              <w:right w:val="nil"/>
            </w:tcBorders>
          </w:tcPr>
          <w:p>
            <w:pPr>
              <w:pStyle w:val="Normal6a"/>
            </w:pPr>
            <w:r>
              <w:t>б)</w:t>
            </w:r>
            <w:r>
              <w:tab/>
            </w:r>
            <w:r>
              <w:t xml:space="preserve">техническа инфраструктура, позволяваща на базата данни на резерва на ЕС от таланти да получава свободните работни места от </w:t>
            </w:r>
            <w:r>
              <w:rPr>
                <w:b/>
                <w:i/>
              </w:rPr>
              <w:t>държавите</w:t>
            </w:r>
            <w:r>
              <w:t xml:space="preserve"> членки;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377</w:t>
      </w:r>
      <w:r>
        <w:rPr>
          <w:rStyle w:val="HideTWBExt"/>
        </w:rPr>
        <w:t>&lt;/NumAm&gt;</w:t>
      </w:r>
    </w:p>
    <w:p>
      <w:pPr>
        <w:pStyle w:val="NormalBold"/>
      </w:pPr>
      <w:r>
        <w:rPr>
          <w:rStyle w:val="HideTWBExt"/>
          <w:b w:val="0"/>
        </w:rPr>
        <w:t>&lt;RepeatBlock-By&gt;</w:t>
      </w:r>
      <w:r>
        <w:rPr>
          <w:rStyle w:val="HideTWBExt"/>
          <w:b w:val="0"/>
        </w:rPr>
        <w:t>&lt;Members&gt;</w:t>
      </w:r>
      <w:r>
        <w:t>Хавиер Морено Санчес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5 – параграф 2 – буква 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в)</w:t>
            </w:r>
            <w:r>
              <w:tab/>
            </w:r>
            <w:r>
              <w:t>техническа инфраструктура за събиране и поддържане на профилите на регистрирани търсещи работа лица от трети държави;</w:t>
            </w:r>
          </w:p>
        </w:tc>
        <w:tc>
          <w:tcPr>
            <w:tcW w:w="4876" w:type="dxa"/>
            <w:tcBorders>
              <w:top w:val="nil"/>
              <w:left w:val="nil"/>
              <w:bottom w:val="nil"/>
              <w:right w:val="nil"/>
            </w:tcBorders>
          </w:tcPr>
          <w:p>
            <w:pPr>
              <w:pStyle w:val="Normal6a"/>
            </w:pPr>
            <w:r>
              <w:t>в)</w:t>
            </w:r>
            <w:r>
              <w:tab/>
            </w:r>
            <w:r>
              <w:t xml:space="preserve">техническа инфраструктура за събиране и поддържане на профилите на регистрирани търсещи работа лица от трети държави </w:t>
            </w:r>
            <w:r>
              <w:rPr>
                <w:b/>
                <w:i/>
              </w:rPr>
              <w:t>и регистрирани работодатели</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378</w:t>
      </w:r>
      <w:r>
        <w:rPr>
          <w:rStyle w:val="HideTWBExt"/>
        </w:rPr>
        <w:t>&lt;/NumAm&gt;</w:t>
      </w:r>
    </w:p>
    <w:p>
      <w:pPr>
        <w:pStyle w:val="NormalBold"/>
      </w:pPr>
      <w:r>
        <w:rPr>
          <w:rStyle w:val="HideTWBExt"/>
          <w:b w:val="0"/>
        </w:rPr>
        <w:t>&lt;RepeatBlock-By&gt;</w:t>
      </w:r>
      <w:r>
        <w:rPr>
          <w:rStyle w:val="HideTWBExt"/>
          <w:b w:val="0"/>
        </w:rPr>
        <w:t>&lt;Members&gt;</w:t>
      </w:r>
      <w:r>
        <w:t>Лена Дюпон, Томас Тобé, Алис Теодореску Мове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5 – параграф 2 – буква 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в)</w:t>
            </w:r>
            <w:r>
              <w:tab/>
            </w:r>
            <w:r>
              <w:t>техническа инфраструктура за събиране и поддържане на профилите на регистрирани търсещи работа лица от трети държави;</w:t>
            </w:r>
          </w:p>
        </w:tc>
        <w:tc>
          <w:tcPr>
            <w:tcW w:w="4876" w:type="dxa"/>
            <w:tcBorders>
              <w:top w:val="nil"/>
              <w:left w:val="nil"/>
              <w:bottom w:val="nil"/>
              <w:right w:val="nil"/>
            </w:tcBorders>
          </w:tcPr>
          <w:p>
            <w:pPr>
              <w:pStyle w:val="Normal6a"/>
            </w:pPr>
            <w:r>
              <w:t>в)</w:t>
            </w:r>
            <w:r>
              <w:tab/>
            </w:r>
            <w:r>
              <w:t xml:space="preserve">техническа инфраструктура за събиране и поддържане на профилите на регистрирани търсещи работа лица от трети държави </w:t>
            </w:r>
            <w:r>
              <w:rPr>
                <w:b/>
                <w:i/>
              </w:rPr>
              <w:t>и качване на документи</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379</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5 – параграф 2 – буква д</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д)</w:t>
            </w:r>
            <w:r>
              <w:tab/>
            </w:r>
            <w:r>
              <w:rPr>
                <w:b/>
                <w:i/>
              </w:rPr>
              <w:t>инструмент за автоматично намиране на съответствия между търсените и предлаганите работни места</w:t>
            </w:r>
            <w:r>
              <w:t>;</w:t>
            </w:r>
          </w:p>
        </w:tc>
        <w:tc>
          <w:tcPr>
            <w:tcW w:w="4876" w:type="dxa"/>
            <w:tcBorders>
              <w:top w:val="nil"/>
              <w:left w:val="nil"/>
              <w:bottom w:val="nil"/>
              <w:right w:val="nil"/>
            </w:tcBorders>
          </w:tcPr>
          <w:p>
            <w:pPr>
              <w:pStyle w:val="Normal6a"/>
            </w:pPr>
            <w:r>
              <w:t>д)</w:t>
            </w:r>
            <w:r>
              <w:tab/>
            </w:r>
            <w:r>
              <w:rPr>
                <w:b/>
                <w:i/>
              </w:rPr>
              <w:t>автоматизиран алгоритъм за подразбиране за съответствие, както и възможност за алгоритми на трети държави, които се конкурират за точност и ефективност, за да се постигне най-добрият общ съответстващ резултат</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380</w:t>
      </w:r>
      <w:r>
        <w:rPr>
          <w:rStyle w:val="HideTWBExt"/>
        </w:rPr>
        <w:t>&lt;/NumAm&gt;</w:t>
      </w:r>
    </w:p>
    <w:p>
      <w:pPr>
        <w:pStyle w:val="NormalBold"/>
      </w:pPr>
      <w:r>
        <w:rPr>
          <w:rStyle w:val="HideTWBExt"/>
          <w:b w:val="0"/>
        </w:rPr>
        <w:t>&lt;RepeatBlock-By&gt;</w:t>
      </w:r>
      <w:r>
        <w:rPr>
          <w:rStyle w:val="HideTWBExt"/>
          <w:b w:val="0"/>
        </w:rPr>
        <w:t>&lt;Members&gt;</w:t>
      </w:r>
      <w:r>
        <w:t>Ян-Кристоф Йотен, Абир Ал-Сахлани, Луция Яр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5 – параграф 2 – буква е</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е)</w:t>
            </w:r>
            <w:r>
              <w:tab/>
            </w:r>
            <w:r>
              <w:t>сигурен канал за комуникация, който позволява на регистрираните лица, търсещи работа, и на работодателите, участващи в резерва на ЕС от таланти, да общуват в рамките на ИТ платформата на резерва на ЕС от таланти.</w:t>
            </w:r>
          </w:p>
        </w:tc>
        <w:tc>
          <w:tcPr>
            <w:tcW w:w="4876" w:type="dxa"/>
            <w:tcBorders>
              <w:top w:val="nil"/>
              <w:left w:val="nil"/>
              <w:bottom w:val="nil"/>
              <w:right w:val="nil"/>
            </w:tcBorders>
          </w:tcPr>
          <w:p>
            <w:pPr>
              <w:pStyle w:val="Normal6a"/>
            </w:pPr>
            <w:r>
              <w:t>е)</w:t>
            </w:r>
            <w:r>
              <w:tab/>
            </w:r>
            <w:r>
              <w:t xml:space="preserve">сигурен канал за комуникация, който позволява на регистрираните лица, търсещи работа, и на работодателите, участващи в резерва на ЕС от таланти, да общуват в рамките на ИТ платформата на резерва на ЕС от таланти </w:t>
            </w:r>
            <w:r>
              <w:rPr>
                <w:b/>
                <w:i/>
              </w:rPr>
              <w:t>и който дава възможност за провеждане на тестове за умения и интервюта директно в ИТ платформата на резерва на ЕС от таланти</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381</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5 – параграф 2 – буква e a (нова)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еa)</w:t>
            </w:r>
            <w:r>
              <w:tab/>
            </w:r>
            <w:r>
              <w:rPr>
                <w:b/>
                <w:i/>
              </w:rPr>
              <w:t>избирателни инструменти за предварителен скрининг за проверка на уменията и квалификациите на регистрираните търсещи работа лица;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382</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5 – параграф 2 – буква e б (нова)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еб)</w:t>
            </w:r>
            <w:r>
              <w:tab/>
            </w:r>
            <w:r>
              <w:rPr>
                <w:b/>
                <w:i/>
              </w:rPr>
              <w:t>избирателни модули за повишаване на квалификацията и преквалификацията, които да подобрят възможностите за заетост и приспособимостта на регистрираните търсещи работа лица към нуждите на пазара на труда;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383</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5 – параграф 2 – буква e в (нова)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ев)</w:t>
            </w:r>
            <w:r>
              <w:tab/>
            </w:r>
            <w:r>
              <w:rPr>
                <w:b/>
                <w:i/>
              </w:rPr>
              <w:t>непрекъснато подобрявана стандартизирана референтна рамка за стандартизирана оценка с цел ускоряване и хармонизиране на предварителен подбор на уменията и квалификациите между държавите членки;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384</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5 – параграф 2 – буква eг (нова)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ег)</w:t>
            </w:r>
            <w:r>
              <w:tab/>
            </w:r>
            <w:r>
              <w:rPr>
                <w:b/>
                <w:i/>
              </w:rPr>
              <w:t>механизми за проверка на профили на търсещите работа лица от трети държави и определяне на фалшиви профили;</w:t>
            </w:r>
            <w:r>
              <w:t xml:space="preserve"> </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385</w:t>
      </w:r>
      <w:r>
        <w:rPr>
          <w:rStyle w:val="HideTWBExt"/>
        </w:rPr>
        <w:t>&lt;/NumAm&gt;</w:t>
      </w:r>
    </w:p>
    <w:p>
      <w:pPr>
        <w:pStyle w:val="NormalBold"/>
      </w:pPr>
      <w:r>
        <w:rPr>
          <w:rStyle w:val="HideTWBExt"/>
          <w:b w:val="0"/>
        </w:rPr>
        <w:t>&lt;RepeatBlock-By&gt;</w:t>
      </w:r>
      <w:r>
        <w:rPr>
          <w:rStyle w:val="HideTWBExt"/>
          <w:b w:val="0"/>
        </w:rPr>
        <w:t>&lt;Members&gt;</w:t>
      </w:r>
      <w:r>
        <w:t>Ян-Кристоф Йотен, Абир Ал-Сахлани, Хилде Вотманс, Луция Яр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5 – параграф 2 а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ИТ платформата на резерва на ЕС от таланти ще съдържа публично достъпна информация относно функционирането на резерва на ЕС от таланти, както и информация относно процедурите за наемане на работа и имиграционните процедури и механизмите за правна защита.</w:t>
            </w:r>
            <w:r>
              <w:t xml:space="preserve"> </w:t>
            </w:r>
            <w:r>
              <w:rPr>
                <w:b/>
                <w:i/>
              </w:rPr>
              <w:t>Информацията може да бъде предоставена чрез свързване на съответните национални схеми или платформи, съдържащи тази информация.</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386</w:t>
      </w:r>
      <w:r>
        <w:rPr>
          <w:rStyle w:val="HideTWBExt"/>
        </w:rPr>
        <w:t>&lt;/NumAm&gt;</w:t>
      </w:r>
    </w:p>
    <w:p>
      <w:pPr>
        <w:pStyle w:val="NormalBold"/>
      </w:pPr>
      <w:r>
        <w:rPr>
          <w:rStyle w:val="HideTWBExt"/>
          <w:b w:val="0"/>
        </w:rPr>
        <w:t>&lt;RepeatBlock-By&gt;</w:t>
      </w:r>
      <w:r>
        <w:rPr>
          <w:rStyle w:val="HideTWBExt"/>
          <w:b w:val="0"/>
        </w:rPr>
        <w:t>&lt;Members&gt;</w:t>
      </w:r>
      <w:r>
        <w:t>Хавиер Морено Санчес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5 – параграф 2 а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При проектирането и функционирането на ИТ платформата се гарантира, че инструментът за автоматично намиране на съответствия не води до възпроизвеждането на съществуващи предубеждения или дискриминационни практики.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387</w:t>
      </w:r>
      <w:r>
        <w:rPr>
          <w:rStyle w:val="HideTWBExt"/>
        </w:rPr>
        <w:t>&lt;/NumAm&gt;</w:t>
      </w:r>
    </w:p>
    <w:p>
      <w:pPr>
        <w:pStyle w:val="NormalBold"/>
      </w:pPr>
      <w:r>
        <w:rPr>
          <w:rStyle w:val="HideTWBExt"/>
          <w:b w:val="0"/>
        </w:rPr>
        <w:t>&lt;RepeatBlock-By&gt;</w:t>
      </w:r>
      <w:r>
        <w:rPr>
          <w:rStyle w:val="HideTWBExt"/>
          <w:b w:val="0"/>
        </w:rPr>
        <w:t>&lt;Members&gt;</w:t>
      </w:r>
      <w:r>
        <w:t>Никос Анадиотис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5 – параграф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Чрез актове за изпълнение Комисията приема необходимите технически стандарти за обмен на данни, форматите на данните, включително ESCO, форматите на свободните работни места и форматите на профилите на търсещите работа лица. Тези актове за изпълнение се приемат в съответствие с процедурата по разглеждане, посочена в член 22, параграф 3.</w:t>
            </w:r>
          </w:p>
        </w:tc>
        <w:tc>
          <w:tcPr>
            <w:tcW w:w="4876" w:type="dxa"/>
            <w:tcBorders>
              <w:top w:val="nil"/>
              <w:left w:val="nil"/>
              <w:bottom w:val="nil"/>
              <w:right w:val="nil"/>
            </w:tcBorders>
          </w:tcPr>
          <w:p>
            <w:pPr>
              <w:pStyle w:val="Normal6a"/>
            </w:pPr>
            <w:r>
              <w:t>3.</w:t>
            </w:r>
            <w:r>
              <w:tab/>
            </w:r>
            <w:r>
              <w:t>Чрез актове за изпълнение Комисията приема необходимите технически стандарти за обмен на данни, форматите на данните, включително ESCO, форматите на свободните работни места и форматите на профилите на търсещите работа лица</w:t>
            </w:r>
            <w:r>
              <w:rPr>
                <w:b/>
                <w:i/>
              </w:rPr>
              <w:t>, използвайки гъвкава и адаптираща се система, която отчита работните, социалните и икономическите особености и нужди на всяка държава членка</w:t>
            </w:r>
            <w:r>
              <w:t>. Тези актове за изпълнение се приемат в съответствие с процедурата по разглеждане, посочена в член 22, параграф 3.</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388</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5 – параграф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Чрез актове за изпълнение Комисията приема необходимите технически стандарти за обмен на данни, форматите на данните, включително ESCO, форматите на свободните работни места и форматите на профилите на търсещите работа лица. Тези актове за изпълнение се приемат в съответствие с процедурата по разглеждане, посочена в член 22, параграф 3.</w:t>
            </w:r>
          </w:p>
        </w:tc>
        <w:tc>
          <w:tcPr>
            <w:tcW w:w="4876" w:type="dxa"/>
            <w:tcBorders>
              <w:top w:val="nil"/>
              <w:left w:val="nil"/>
              <w:bottom w:val="nil"/>
              <w:right w:val="nil"/>
            </w:tcBorders>
          </w:tcPr>
          <w:p>
            <w:pPr>
              <w:pStyle w:val="Normal6a"/>
            </w:pPr>
            <w:r>
              <w:t>3.</w:t>
            </w:r>
            <w:r>
              <w:tab/>
            </w:r>
            <w:r>
              <w:t xml:space="preserve">Чрез актове за изпълнение Комисията приема необходимите технически стандарти </w:t>
            </w:r>
            <w:r>
              <w:rPr>
                <w:b/>
                <w:i/>
              </w:rPr>
              <w:t>или техническите спецификации за ИКТ</w:t>
            </w:r>
            <w:r>
              <w:t xml:space="preserve"> за обмен на данни, форматите на данните, включително ESCO, форматите на свободните работни места и форматите на профилите на търсещите работа лица. Тези актове за изпълнение се приемат в съответствие с процедурата по разглеждане, посочена в член 22, параграф 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389</w:t>
      </w:r>
      <w:r>
        <w:rPr>
          <w:rStyle w:val="HideTWBExt"/>
        </w:rPr>
        <w:t>&lt;/NumAm&gt;</w:t>
      </w:r>
    </w:p>
    <w:p>
      <w:pPr>
        <w:pStyle w:val="NormalBold"/>
      </w:pPr>
      <w:r>
        <w:rPr>
          <w:rStyle w:val="HideTWBExt"/>
          <w:b w:val="0"/>
        </w:rPr>
        <w:t>&lt;RepeatBlock-By&gt;</w:t>
      </w:r>
      <w:r>
        <w:rPr>
          <w:rStyle w:val="HideTWBExt"/>
          <w:b w:val="0"/>
        </w:rPr>
        <w:t>&lt;Members&gt;</w:t>
      </w:r>
      <w:r>
        <w:t>Хавиер Морено Санчес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5 – параграф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Чрез актове за изпълнение Комисията приема необходимите технически стандарти за обмен на данни, форматите на данните, включително ESCO, форматите на свободните работни места и форматите на профилите на търсещите работа лица. Тези актове за изпълнение се приемат в съответствие с процедурата по разглеждане, посочена в член 22, параграф 3.</w:t>
            </w:r>
          </w:p>
        </w:tc>
        <w:tc>
          <w:tcPr>
            <w:tcW w:w="4876" w:type="dxa"/>
            <w:tcBorders>
              <w:top w:val="nil"/>
              <w:left w:val="nil"/>
              <w:bottom w:val="nil"/>
              <w:right w:val="nil"/>
            </w:tcBorders>
          </w:tcPr>
          <w:p>
            <w:pPr>
              <w:pStyle w:val="Normal6a"/>
            </w:pPr>
            <w:r>
              <w:t>3.</w:t>
            </w:r>
            <w:r>
              <w:tab/>
            </w:r>
            <w:r>
              <w:t xml:space="preserve">Чрез актове за изпълнение Комисията приема необходимите технически стандарти за обмен на данни, форматите на данните, включително ESCO, </w:t>
            </w:r>
            <w:r>
              <w:rPr>
                <w:b/>
                <w:i/>
              </w:rPr>
              <w:t>Europass,</w:t>
            </w:r>
            <w:r>
              <w:t xml:space="preserve"> форматите на свободните работни места и форматите на профилите на търсещите работа лица. Тези актове за изпълнение се приемат в съответствие с процедурата по разглеждане, посочена в член 22, параграф 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390</w:t>
      </w:r>
      <w:r>
        <w:rPr>
          <w:rStyle w:val="HideTWBExt"/>
        </w:rPr>
        <w:t>&lt;/NumAm&gt;</w:t>
      </w:r>
    </w:p>
    <w:p>
      <w:pPr>
        <w:pStyle w:val="NormalBold"/>
      </w:pPr>
      <w:r>
        <w:rPr>
          <w:rStyle w:val="HideTWBExt"/>
          <w:b w:val="0"/>
        </w:rPr>
        <w:t>&lt;RepeatBlock-By&gt;</w:t>
      </w:r>
      <w:r>
        <w:rPr>
          <w:rStyle w:val="HideTWBExt"/>
          <w:b w:val="0"/>
        </w:rPr>
        <w:t>&lt;Members&gt;</w:t>
      </w:r>
      <w:r>
        <w:t>Лена Дюпон, Томас Тобé, Алис Теодореску Мове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5 – параграф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Участващите държави членки и секретариатът на резерва на ЕС от таланти, посочен в член 8, осигуряват техническа оперативна съвместимост между националните системи и ИТ платформата на резерва на ЕС от таланти. Секретариатът на резерва на ЕС от таланти осигурява връзката с други подходящи инструменти и услуги, предлагани на равнището на Съюза, когато това е целесъобразно.</w:t>
            </w:r>
          </w:p>
        </w:tc>
        <w:tc>
          <w:tcPr>
            <w:tcW w:w="4876" w:type="dxa"/>
            <w:tcBorders>
              <w:top w:val="nil"/>
              <w:left w:val="nil"/>
              <w:bottom w:val="nil"/>
              <w:right w:val="nil"/>
            </w:tcBorders>
          </w:tcPr>
          <w:p>
            <w:pPr>
              <w:pStyle w:val="Normal6a"/>
            </w:pPr>
            <w:r>
              <w:t>4.</w:t>
            </w:r>
            <w:r>
              <w:tab/>
            </w:r>
            <w:r>
              <w:t xml:space="preserve">Участващите държави членки и секретариатът на резерва на ЕС от таланти, посочен в член 8, осигуряват техническа оперативна съвместимост между националните системи и ИТ платформата на резерва на ЕС от таланти. Секретариатът на резерва на ЕС от таланти осигурява връзката с други подходящи инструменти и услуги, предлагани на равнището на Съюза, когато това е целесъобразно. </w:t>
            </w:r>
            <w:r>
              <w:rPr>
                <w:b/>
                <w:i/>
              </w:rPr>
              <w:t>За програмирането на ИТ платформата на резерва на ЕС от таланти ще бъдат повторно използвани ИТ компонентите на EURES, когато това е възможно.</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391</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5 – параграф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rPr>
                <w:b/>
                <w:i/>
              </w:rPr>
              <w:t>Участващите държави членки и секретариатът на резерва на ЕС от таланти, посочен в член 8, осигуряват техническа оперативна съвместимост между националните системи и ИТ платформата на резерва на ЕС от таланти</w:t>
            </w:r>
            <w:r>
              <w:t xml:space="preserve">. Секретариатът на резерва </w:t>
            </w:r>
            <w:r>
              <w:rPr>
                <w:b/>
                <w:i/>
              </w:rPr>
              <w:t>на ЕС</w:t>
            </w:r>
            <w:r>
              <w:t xml:space="preserve"> от таланти осигурява връзката с други подходящи инструменти и услуги, предлагани на равнището на Съюза, когато това е целесъобразно.</w:t>
            </w:r>
          </w:p>
        </w:tc>
        <w:tc>
          <w:tcPr>
            <w:tcW w:w="4876" w:type="dxa"/>
            <w:tcBorders>
              <w:top w:val="nil"/>
              <w:left w:val="nil"/>
              <w:bottom w:val="nil"/>
              <w:right w:val="nil"/>
            </w:tcBorders>
          </w:tcPr>
          <w:p>
            <w:pPr>
              <w:pStyle w:val="Normal6a"/>
            </w:pPr>
            <w:r>
              <w:t>4.</w:t>
            </w:r>
            <w:r>
              <w:tab/>
            </w:r>
            <w:r>
              <w:rPr>
                <w:b/>
                <w:i/>
              </w:rPr>
              <w:t>Резервът на ЕС от таланти ще позволява на търсещите работа лица да експортират профилните си данни в структуриран, общодостъпен и машинночетим формат, който им позволява да предават тези данни на други публични или частни инициативи за портали за търсене на работа</w:t>
            </w:r>
            <w:r>
              <w:t xml:space="preserve">. Секретариатът на резерва от таланти осигурява връзката с други подходящи инструменти и услуги, предлагани на равнището на Съюза, когато това е целесъобразно. </w:t>
            </w:r>
            <w:r>
              <w:rPr>
                <w:b/>
                <w:i/>
              </w:rPr>
              <w:t>При извършване на предаване на данни, ще се прилага Общият регламент за защита на данните.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392</w:t>
      </w:r>
      <w:r>
        <w:rPr>
          <w:rStyle w:val="HideTWBExt"/>
        </w:rPr>
        <w:t>&lt;/NumAm&gt;</w:t>
      </w:r>
    </w:p>
    <w:p>
      <w:pPr>
        <w:pStyle w:val="NormalBold"/>
      </w:pPr>
      <w:r>
        <w:rPr>
          <w:rStyle w:val="HideTWBExt"/>
          <w:b w:val="0"/>
        </w:rPr>
        <w:t>&lt;RepeatBlock-By&gt;</w:t>
      </w:r>
      <w:r>
        <w:rPr>
          <w:rStyle w:val="HideTWBExt"/>
          <w:b w:val="0"/>
        </w:rPr>
        <w:t>&lt;Members&gt;</w:t>
      </w:r>
      <w:r>
        <w:t>Ян-Кристоф Йотен, Абир Ал-Сахлани, Луция Яр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5 – параграф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rPr>
                <w:b/>
                <w:i/>
              </w:rPr>
              <w:t>Участващите държави</w:t>
            </w:r>
            <w:r>
              <w:t xml:space="preserve"> членки и секретариатът на резерва на ЕС от таланти, посочен в член 8, осигуряват техническа оперативна съвместимост между националните системи и ИТ платформата на резерва на ЕС от таланти. Секретариатът на резерва на ЕС от таланти осигурява връзката с други подходящи инструменти и услуги, предлагани на равнището на Съюза, когато това е целесъобразно.</w:t>
            </w:r>
          </w:p>
        </w:tc>
        <w:tc>
          <w:tcPr>
            <w:tcW w:w="4876" w:type="dxa"/>
            <w:tcBorders>
              <w:top w:val="nil"/>
              <w:left w:val="nil"/>
              <w:bottom w:val="nil"/>
              <w:right w:val="nil"/>
            </w:tcBorders>
          </w:tcPr>
          <w:p>
            <w:pPr>
              <w:pStyle w:val="Normal6a"/>
            </w:pPr>
            <w:r>
              <w:t>4.</w:t>
            </w:r>
            <w:r>
              <w:tab/>
            </w:r>
            <w:r>
              <w:rPr>
                <w:b/>
                <w:i/>
              </w:rPr>
              <w:t>Държавите</w:t>
            </w:r>
            <w:r>
              <w:t xml:space="preserve"> членки и секретариатът на резерва на ЕС от таланти, посочен в член 8, осигуряват техническа оперативна съвместимост между националните системи и ИТ платформата на резерва на ЕС от таланти. Секретариатът на резерва на ЕС от таланти осигурява връзката с други подходящи инструменти и услуги, предлагани на равнището на Съюза, когато това е целесъобразно.</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393</w:t>
      </w:r>
      <w:r>
        <w:rPr>
          <w:rStyle w:val="HideTWBExt"/>
        </w:rPr>
        <w:t>&lt;/NumAm&gt;</w:t>
      </w:r>
    </w:p>
    <w:p>
      <w:pPr>
        <w:pStyle w:val="NormalBold"/>
      </w:pPr>
      <w:r>
        <w:rPr>
          <w:rStyle w:val="HideTWBExt"/>
          <w:b w:val="0"/>
        </w:rPr>
        <w:t>&lt;RepeatBlock-By&gt;</w:t>
      </w:r>
      <w:r>
        <w:rPr>
          <w:rStyle w:val="HideTWBExt"/>
          <w:b w:val="0"/>
        </w:rPr>
        <w:t>&lt;Members&gt;</w:t>
      </w:r>
      <w:r>
        <w:t>Лена Дюпон, Томас Тобé, Алис Теодореску Мове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5 – параграф 4 а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4а.</w:t>
            </w:r>
            <w:r>
              <w:tab/>
            </w:r>
            <w:r>
              <w:rPr>
                <w:b/>
                <w:i/>
              </w:rPr>
              <w:t>Дизайнът на ИТ платформата на резерва на ЕС от таланти трябва да предоставя на търсещите работа лица и работодателите модерен и лесен за ползване интерфейс, който да улеснява както достъпа и регистрацията на търсещите работа лица, така и участието на работодателите.</w:t>
            </w:r>
            <w:r>
              <w:t xml:space="preserve"> </w:t>
            </w:r>
            <w:r>
              <w:rPr>
                <w:b/>
                <w:i/>
              </w:rPr>
              <w:t>Дизайнът на платформата трябва да подобри ефективността на процеса на търсене и намиране на съответствия.</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394</w:t>
      </w:r>
      <w:r>
        <w:rPr>
          <w:rStyle w:val="HideTWBExt"/>
        </w:rPr>
        <w:t>&lt;/NumAm&gt;</w:t>
      </w:r>
    </w:p>
    <w:p>
      <w:pPr>
        <w:pStyle w:val="NormalBold"/>
      </w:pPr>
      <w:r>
        <w:rPr>
          <w:rStyle w:val="HideTWBExt"/>
          <w:b w:val="0"/>
        </w:rPr>
        <w:t>&lt;RepeatBlock-By&gt;</w:t>
      </w:r>
      <w:r>
        <w:rPr>
          <w:rStyle w:val="HideTWBExt"/>
          <w:b w:val="0"/>
        </w:rPr>
        <w:t>&lt;Members&gt;</w:t>
      </w:r>
      <w:r>
        <w:t>Пернандо Барена Арса</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6 – параграф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Секретариатът на резерва на ЕС от таланти може да обработва личните данни на регистрираните търсещи работа лица от трети държави и на работодателите, участващи в резерва на ЕС от таланти, само до степента, необходима за изпълнението на задачите му съгласно член 8. Когато обработва лични данни за тази цел, секретариатът на резерва на ЕС от таланти действа като администратор на лични данни по смисъла на член 3, точка 8 от Регламент (ЕС) 2018/1725.</w:t>
            </w:r>
          </w:p>
        </w:tc>
        <w:tc>
          <w:tcPr>
            <w:tcW w:w="4876" w:type="dxa"/>
            <w:tcBorders>
              <w:top w:val="nil"/>
              <w:left w:val="nil"/>
              <w:bottom w:val="nil"/>
              <w:right w:val="nil"/>
            </w:tcBorders>
          </w:tcPr>
          <w:p>
            <w:pPr>
              <w:pStyle w:val="Normal6a"/>
            </w:pPr>
            <w:r>
              <w:t>1.</w:t>
            </w:r>
            <w:r>
              <w:tab/>
            </w:r>
            <w:r>
              <w:t xml:space="preserve">Секретариатът на резерва на ЕС от таланти може да обработва личните данни </w:t>
            </w:r>
            <w:r>
              <w:rPr>
                <w:b/>
                <w:i/>
              </w:rPr>
              <w:t>с изричното съгласие</w:t>
            </w:r>
            <w:r>
              <w:t xml:space="preserve"> на регистрираните търсещи работа лица от трети държави и на работодателите, участващи в резерва на ЕС от таланти, само до степента, необходима за изпълнението на задачите му съгласно член 8. Когато обработва лични данни за тази цел, секретариатът на резерва на ЕС от таланти действа като администратор на лични данни по смисъла на член 3, точка 8 от Регламент (ЕС) 2018/1725.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395</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6 – параграф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rPr>
                <w:b/>
                <w:i/>
              </w:rPr>
              <w:t>Профилите</w:t>
            </w:r>
            <w:r>
              <w:t xml:space="preserve"> на регистрираните търсещи работа лица от трети държави съдържат тяхното име, фамилия, данни за контакт, дата на раждане и гражданство, информация за академични и професионални квалификации, професионален опит</w:t>
            </w:r>
            <w:r>
              <w:rPr>
                <w:b/>
                <w:i/>
              </w:rPr>
              <w:t>, други умения, както и езикови познания.</w:t>
            </w:r>
            <w:r>
              <w:t xml:space="preserve"> </w:t>
            </w:r>
            <w:r>
              <w:rPr>
                <w:b/>
                <w:i/>
              </w:rPr>
              <w:t>Свободните работни места на работодателите, участващи в</w:t>
            </w:r>
            <w:r>
              <w:t xml:space="preserve"> резерва на ЕС от таланти</w:t>
            </w:r>
            <w:r>
              <w:rPr>
                <w:b/>
                <w:i/>
              </w:rPr>
              <w:t>, съдържат тяхното име, фамилия и данни за контакт</w:t>
            </w:r>
            <w:r>
              <w:t>.</w:t>
            </w:r>
          </w:p>
        </w:tc>
        <w:tc>
          <w:tcPr>
            <w:tcW w:w="4876" w:type="dxa"/>
            <w:tcBorders>
              <w:top w:val="nil"/>
              <w:left w:val="nil"/>
              <w:bottom w:val="nil"/>
              <w:right w:val="nil"/>
            </w:tcBorders>
          </w:tcPr>
          <w:p>
            <w:pPr>
              <w:pStyle w:val="Normal6a"/>
            </w:pPr>
            <w:r>
              <w:t>3.</w:t>
            </w:r>
            <w:r>
              <w:tab/>
            </w:r>
            <w:r>
              <w:rPr>
                <w:b/>
                <w:i/>
              </w:rPr>
              <w:t>Основните профили</w:t>
            </w:r>
            <w:r>
              <w:t xml:space="preserve"> на регистрираните търсещи работа лица от трети държави съдържат тяхното име, фамилия, данни за контакт, дата на раждане и гражданство </w:t>
            </w:r>
            <w:r>
              <w:rPr>
                <w:b/>
                <w:i/>
              </w:rPr>
              <w:t>и, ако е приложимо</w:t>
            </w:r>
            <w:r>
              <w:t>, информация за академични и</w:t>
            </w:r>
            <w:r>
              <w:rPr>
                <w:b/>
                <w:i/>
              </w:rPr>
              <w:t>/или</w:t>
            </w:r>
            <w:r>
              <w:t xml:space="preserve"> професионални квалификации, професионален опит </w:t>
            </w:r>
            <w:r>
              <w:rPr>
                <w:b/>
                <w:i/>
              </w:rPr>
              <w:t>и езикови познания.</w:t>
            </w:r>
            <w:r>
              <w:t xml:space="preserve"> </w:t>
            </w:r>
            <w:r>
              <w:rPr>
                <w:b/>
                <w:i/>
              </w:rPr>
              <w:t>Регистрирано търсещо работа лице може да предостави допълнителна информация, която да помогне за подобряване на точността на съответствието, включително допълнителни данни за академични и професионални квалификации, професионален опит, други умения и елементи от значение за заетостта, както и предпочитани държави.</w:t>
            </w:r>
            <w:r>
              <w:t xml:space="preserve"> </w:t>
            </w:r>
            <w:r>
              <w:rPr>
                <w:b/>
                <w:i/>
              </w:rPr>
              <w:t>Секретариатът на</w:t>
            </w:r>
            <w:r>
              <w:t xml:space="preserve"> резерва на ЕС от таланти </w:t>
            </w:r>
            <w:r>
              <w:rPr>
                <w:b/>
                <w:i/>
              </w:rPr>
              <w:t>трябва да гарантира, че инструментите за създаване на профили са лесни и удобни за ползване</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396</w:t>
      </w:r>
      <w:r>
        <w:rPr>
          <w:rStyle w:val="HideTWBExt"/>
        </w:rPr>
        <w:t>&lt;/NumAm&gt;</w:t>
      </w:r>
    </w:p>
    <w:p>
      <w:pPr>
        <w:pStyle w:val="NormalBold"/>
      </w:pPr>
      <w:r>
        <w:rPr>
          <w:rStyle w:val="HideTWBExt"/>
          <w:b w:val="0"/>
        </w:rPr>
        <w:t>&lt;RepeatBlock-By&gt;</w:t>
      </w:r>
      <w:r>
        <w:rPr>
          <w:rStyle w:val="HideTWBExt"/>
          <w:b w:val="0"/>
        </w:rPr>
        <w:t>&lt;Members&gt;</w:t>
      </w:r>
      <w:r>
        <w:t>Ян-Кристоф Йотен, Абир Ал-Сахлани, Луция Яр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6 – параграф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Профилите на регистрираните търсещи работа лица от трети държави съдържат тяхното име, фамилия, данни за контакт, дата на раждане и гражданство, информация за академични и професионални квалификации, професионален опит, други умения, както и езикови познания. </w:t>
            </w:r>
            <w:r>
              <w:rPr>
                <w:b/>
                <w:i/>
              </w:rPr>
              <w:t>Свободните работни места</w:t>
            </w:r>
            <w:r>
              <w:t xml:space="preserve"> на работодателите, участващи в резерва на ЕС от таланти, съдържат </w:t>
            </w:r>
            <w:r>
              <w:rPr>
                <w:b/>
                <w:i/>
              </w:rPr>
              <w:t>тяхното име, фамилия</w:t>
            </w:r>
            <w:r>
              <w:t xml:space="preserve"> и данни за контакт.</w:t>
            </w:r>
          </w:p>
        </w:tc>
        <w:tc>
          <w:tcPr>
            <w:tcW w:w="4876" w:type="dxa"/>
            <w:tcBorders>
              <w:top w:val="nil"/>
              <w:left w:val="nil"/>
              <w:bottom w:val="nil"/>
              <w:right w:val="nil"/>
            </w:tcBorders>
          </w:tcPr>
          <w:p>
            <w:pPr>
              <w:pStyle w:val="Normal6a"/>
            </w:pPr>
            <w:r>
              <w:t>3.</w:t>
            </w:r>
            <w:r>
              <w:tab/>
            </w:r>
            <w:r>
              <w:t xml:space="preserve">Профилите на регистрираните търсещи работа лица от трети държави съдържат тяхното име, фамилия, данни за контакт, дата на раждане и гражданство, </w:t>
            </w:r>
            <w:r>
              <w:rPr>
                <w:b/>
                <w:i/>
              </w:rPr>
              <w:t>кога са на разположение,</w:t>
            </w:r>
            <w:r>
              <w:t xml:space="preserve"> информация за академични и професионални квалификации, професионален опит, други умения, както и езикови познания. </w:t>
            </w:r>
            <w:r>
              <w:rPr>
                <w:b/>
                <w:i/>
              </w:rPr>
              <w:t>Профилите</w:t>
            </w:r>
            <w:r>
              <w:t xml:space="preserve"> на работодателите, участващи в резерва на ЕС от таланти, съдържат </w:t>
            </w:r>
            <w:r>
              <w:rPr>
                <w:b/>
                <w:i/>
              </w:rPr>
              <w:t>името на организацията или дружеството, както и името, фамилията</w:t>
            </w:r>
            <w:r>
              <w:t xml:space="preserve"> и данни </w:t>
            </w:r>
            <w:r>
              <w:rPr>
                <w:b/>
                <w:i/>
              </w:rPr>
              <w:t>за контакт на лицето, отговарящо за резерва от таланти.</w:t>
            </w:r>
            <w:r>
              <w:t xml:space="preserve"> </w:t>
            </w:r>
            <w:r>
              <w:rPr>
                <w:b/>
                <w:i/>
              </w:rPr>
              <w:t>Информацията за свободните работни места включва длъжността, работодателя, времевата рамка, длъжностната характеристика и данните</w:t>
            </w:r>
            <w:r>
              <w:t xml:space="preserve"> за контакт.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397</w:t>
      </w:r>
      <w:r>
        <w:rPr>
          <w:rStyle w:val="HideTWBExt"/>
        </w:rPr>
        <w:t>&lt;/NumAm&gt;</w:t>
      </w:r>
    </w:p>
    <w:p>
      <w:pPr>
        <w:pStyle w:val="NormalBold"/>
      </w:pPr>
      <w:r>
        <w:rPr>
          <w:rStyle w:val="HideTWBExt"/>
          <w:b w:val="0"/>
        </w:rPr>
        <w:t>&lt;RepeatBlock-By&gt;</w:t>
      </w:r>
      <w:r>
        <w:rPr>
          <w:rStyle w:val="HideTWBExt"/>
          <w:b w:val="0"/>
        </w:rPr>
        <w:t>&lt;Members&gt;</w:t>
      </w:r>
      <w:r>
        <w:t>Хавиер Морено Санчес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6 – параграф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Профилите на регистрираните търсещи работа лица от трети държави съдържат тяхното име, фамилия, данни за контакт, дата на раждане и гражданство, информация за академични и професионални квалификации, професионален опит, други умения, както и езикови познания. </w:t>
            </w:r>
            <w:r>
              <w:rPr>
                <w:b/>
                <w:i/>
              </w:rPr>
              <w:t>Свободните работни места на работодателите</w:t>
            </w:r>
            <w:r>
              <w:t>, участващи в резерва на ЕС от таланти, съдържат тяхното име, фамилия и данни за контакт.</w:t>
            </w:r>
          </w:p>
        </w:tc>
        <w:tc>
          <w:tcPr>
            <w:tcW w:w="4876" w:type="dxa"/>
            <w:tcBorders>
              <w:top w:val="nil"/>
              <w:left w:val="nil"/>
              <w:bottom w:val="nil"/>
              <w:right w:val="nil"/>
            </w:tcBorders>
          </w:tcPr>
          <w:p>
            <w:pPr>
              <w:pStyle w:val="Normal6a"/>
            </w:pPr>
            <w:r>
              <w:t>3.</w:t>
            </w:r>
            <w:r>
              <w:tab/>
            </w:r>
            <w:r>
              <w:t xml:space="preserve">Профилите на регистрираните търсещи работа лица от трети държави съдържат тяхното име, фамилия, данни за контакт, дата на раждане и гражданство, информация за академични и професионални квалификации, професионален опит, други умения, както и езикови познания. </w:t>
            </w:r>
            <w:r>
              <w:rPr>
                <w:b/>
                <w:i/>
              </w:rPr>
              <w:t>Профилите на регистрираните работодатели</w:t>
            </w:r>
            <w:r>
              <w:t xml:space="preserve">, участващи в резерва на ЕС от таланти, </w:t>
            </w:r>
            <w:r>
              <w:rPr>
                <w:b/>
                <w:i/>
              </w:rPr>
              <w:t>и съответните свободни работни места</w:t>
            </w:r>
            <w:r>
              <w:t xml:space="preserve"> съдържат тяхното име, фамилия и данни за контакт</w:t>
            </w:r>
            <w:r>
              <w:rPr>
                <w:b/>
                <w:i/>
              </w:rPr>
              <w:t>, сектор на дейност, описание на дейността и регистрационен номер на дружеството</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398</w:t>
      </w:r>
      <w:r>
        <w:rPr>
          <w:rStyle w:val="HideTWBExt"/>
        </w:rPr>
        <w:t>&lt;/NumAm&gt;</w:t>
      </w:r>
    </w:p>
    <w:p>
      <w:pPr>
        <w:pStyle w:val="NormalBold"/>
      </w:pPr>
      <w:r>
        <w:rPr>
          <w:rStyle w:val="HideTWBExt"/>
          <w:b w:val="0"/>
        </w:rPr>
        <w:t>&lt;RepeatBlock-By&gt;</w:t>
      </w:r>
      <w:r>
        <w:rPr>
          <w:rStyle w:val="HideTWBExt"/>
          <w:b w:val="0"/>
        </w:rPr>
        <w:t>&lt;Members&gt;</w:t>
      </w:r>
      <w:r>
        <w:t>Лукас Мандл</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6 – параграф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Профилите на регистрираните търсещи работа лица от трети държави съдържат тяхното име, фамилия, данни за контакт, дата на раждане и гражданство, информация за академични и професионални квалификации, професионален опит, други умения, както и езикови познания. Свободните работни места на работодателите, участващи в резерва на ЕС от таланти, съдържат тяхното име, фамилия и данни за контакт.</w:t>
            </w:r>
          </w:p>
        </w:tc>
        <w:tc>
          <w:tcPr>
            <w:tcW w:w="4876" w:type="dxa"/>
            <w:tcBorders>
              <w:top w:val="nil"/>
              <w:left w:val="nil"/>
              <w:bottom w:val="nil"/>
              <w:right w:val="nil"/>
            </w:tcBorders>
          </w:tcPr>
          <w:p>
            <w:pPr>
              <w:pStyle w:val="Normal6a"/>
            </w:pPr>
            <w:r>
              <w:t>3.</w:t>
            </w:r>
            <w:r>
              <w:tab/>
            </w:r>
            <w:r>
              <w:t xml:space="preserve">Профилите на регистрираните търсещи работа лица от трети държави съдържат тяхното име, фамилия, данни за контакт, дата на раждане и гражданство, информация за академични и професионални квалификации, професионален опит, други умения, както и езикови познания. Свободните работни места на работодателите, участващи в резерва на ЕС от таланти, съдържат тяхното име, фамилия и данни за контакт. </w:t>
            </w:r>
            <w:r>
              <w:rPr>
                <w:b/>
                <w:i/>
              </w:rPr>
              <w:t>Цялата информация трябва да бъде налична поне на английски език.</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399</w:t>
      </w:r>
      <w:r>
        <w:rPr>
          <w:rStyle w:val="HideTWBExt"/>
        </w:rPr>
        <w:t>&lt;/NumAm&gt;</w:t>
      </w:r>
    </w:p>
    <w:p>
      <w:pPr>
        <w:pStyle w:val="NormalBold"/>
      </w:pPr>
      <w:r>
        <w:rPr>
          <w:rStyle w:val="HideTWBExt"/>
          <w:b w:val="0"/>
        </w:rPr>
        <w:t>&lt;RepeatBlock-By&gt;</w:t>
      </w:r>
      <w:r>
        <w:rPr>
          <w:rStyle w:val="HideTWBExt"/>
          <w:b w:val="0"/>
        </w:rPr>
        <w:t>&lt;Members&gt;</w:t>
      </w:r>
      <w:r>
        <w:t>Лена Дюпон, Томас Тобé, Алис Теодореску Мове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6 – параграф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Профилите на регистрираните търсещи работа лица от трети държави съдържат тяхното име, фамилия, данни за контакт, дата на раждане и гражданство, информация за академични и професионални квалификации, професионален опит, други умения, както и езикови познания. Свободните работни места на работодателите, участващи в резерва на ЕС от таланти, съдържат тяхното име, фамилия и данни за контакт.</w:t>
            </w:r>
          </w:p>
        </w:tc>
        <w:tc>
          <w:tcPr>
            <w:tcW w:w="4876" w:type="dxa"/>
            <w:tcBorders>
              <w:top w:val="nil"/>
              <w:left w:val="nil"/>
              <w:bottom w:val="nil"/>
              <w:right w:val="nil"/>
            </w:tcBorders>
          </w:tcPr>
          <w:p>
            <w:pPr>
              <w:pStyle w:val="Normal6a"/>
            </w:pPr>
            <w:r>
              <w:t>3.</w:t>
            </w:r>
            <w:r>
              <w:tab/>
            </w:r>
            <w:r>
              <w:t xml:space="preserve">Профилите на регистрираните търсещи работа лица от трети държави съдържат тяхното име, фамилия, данни за контакт, дата на раждане и гражданство </w:t>
            </w:r>
            <w:r>
              <w:rPr>
                <w:b/>
                <w:i/>
              </w:rPr>
              <w:t>или гражданства</w:t>
            </w:r>
            <w:r>
              <w:t>, информация за академични и професионални квалификации, професионален опит, други умения, както и езикови познания. Свободните работни места на работодателите, участващи в резерва на ЕС от таланти, съдържат тяхното име, фамилия и данни за контакт.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400</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6 – параграф 3 а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3а.</w:t>
            </w:r>
            <w:r>
              <w:tab/>
            </w:r>
            <w:r>
              <w:rPr>
                <w:b/>
                <w:i/>
              </w:rPr>
              <w:t>Профилите на регистрираните работодатели и свободните работни места на участващите работодатели в резерва на ЕС от таланти съдържат тяхното име, фамилия, данни за контакт, номер на правна регистрация, сектора на дейност и кратко описание на дейността на работодателя.</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401</w:t>
      </w:r>
      <w:r>
        <w:rPr>
          <w:rStyle w:val="HideTWBExt"/>
        </w:rPr>
        <w:t>&lt;/NumAm&gt;</w:t>
      </w:r>
    </w:p>
    <w:p>
      <w:pPr>
        <w:pStyle w:val="NormalBold"/>
      </w:pPr>
      <w:r>
        <w:rPr>
          <w:rStyle w:val="HideTWBExt"/>
          <w:b w:val="0"/>
        </w:rPr>
        <w:t>&lt;RepeatBlock-By&gt;</w:t>
      </w:r>
      <w:r>
        <w:rPr>
          <w:rStyle w:val="HideTWBExt"/>
          <w:b w:val="0"/>
        </w:rPr>
        <w:t>&lt;Members&gt;</w:t>
      </w:r>
      <w:r>
        <w:t>Ян-Кристоф Йотен, Абир Ал-Сахлани, Луция Яр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6 – параграф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Личните данни, регистрирани или предадени на ИТ платформата на резерва на ЕС от таланти в съответствие с настоящия регламент, се индексират, съхраняват и предоставят единствено за целите на търсенето и намирането на съответствия. Регистрираните търсещи работа лица от трети държави имат право да избират измежду редица технически възможности за ограничаване на достъпа до техните лични данни.</w:t>
            </w:r>
          </w:p>
        </w:tc>
        <w:tc>
          <w:tcPr>
            <w:tcW w:w="4876" w:type="dxa"/>
            <w:tcBorders>
              <w:top w:val="nil"/>
              <w:left w:val="nil"/>
              <w:bottom w:val="nil"/>
              <w:right w:val="nil"/>
            </w:tcBorders>
          </w:tcPr>
          <w:p>
            <w:pPr>
              <w:pStyle w:val="Normal6a"/>
            </w:pPr>
            <w:r>
              <w:t>5.</w:t>
            </w:r>
            <w:r>
              <w:tab/>
            </w:r>
            <w:r>
              <w:t>Личните данни, регистрирани или предадени на ИТ платформата на резерва на ЕС от таланти в съответствие с настоящия регламент, се индексират, съхраняват и предоставят единствено за целите на търсенето и намирането на съответствия. Регистрираните търсещи работа лица от трети държави имат право да избират измежду редица технически възможности за ограничаване на достъпа до техните лични данни</w:t>
            </w:r>
            <w:r>
              <w:rPr>
                <w:b/>
                <w:i/>
              </w:rPr>
              <w:t>, включително да изискват, по всяко време, заличаването или изменението на личните им данни в техните профили</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402</w:t>
      </w:r>
      <w:r>
        <w:rPr>
          <w:rStyle w:val="HideTWBExt"/>
        </w:rPr>
        <w:t>&lt;/NumAm&gt;</w:t>
      </w:r>
    </w:p>
    <w:p>
      <w:pPr>
        <w:pStyle w:val="NormalBold"/>
      </w:pPr>
      <w:r>
        <w:rPr>
          <w:rStyle w:val="HideTWBExt"/>
          <w:b w:val="0"/>
        </w:rPr>
        <w:t>&lt;RepeatBlock-By&gt;</w:t>
      </w:r>
      <w:r>
        <w:rPr>
          <w:rStyle w:val="HideTWBExt"/>
          <w:b w:val="0"/>
        </w:rPr>
        <w:t>&lt;Members&gt;</w:t>
      </w:r>
      <w:r>
        <w:t>Чарли Веймерс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6 – параграф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Личните данни, регистрирани или предадени на ИТ платформата на резерва на ЕС от таланти в съответствие с настоящия регламент, се индексират, съхраняват и предоставят единствено за целите на търсенето и намирането на съответствия</w:t>
            </w:r>
            <w:r>
              <w:rPr>
                <w:b/>
                <w:i/>
              </w:rPr>
              <w:t>.</w:t>
            </w:r>
            <w:r>
              <w:t xml:space="preserve"> </w:t>
            </w:r>
            <w:r>
              <w:rPr>
                <w:b/>
                <w:i/>
              </w:rPr>
              <w:t>Регистрираните търсещи работа лица от трети държави имат право да избират измежду редица технически възможности за ограничаване на достъпа до техните лични данни</w:t>
            </w:r>
            <w:r>
              <w:t>.</w:t>
            </w:r>
          </w:p>
        </w:tc>
        <w:tc>
          <w:tcPr>
            <w:tcW w:w="4876" w:type="dxa"/>
            <w:tcBorders>
              <w:top w:val="nil"/>
              <w:left w:val="nil"/>
              <w:bottom w:val="nil"/>
              <w:right w:val="nil"/>
            </w:tcBorders>
          </w:tcPr>
          <w:p>
            <w:pPr>
              <w:pStyle w:val="Normal6a"/>
            </w:pPr>
            <w:r>
              <w:t>5.</w:t>
            </w:r>
            <w:r>
              <w:tab/>
            </w:r>
            <w:r>
              <w:t>Личните данни, регистрирани или предадени на ИТ платформата на резерва на ЕС от таланти в съответствие с настоящия регламент, се индексират, съхраняват и предоставят единствено за целите на търсенето и намирането на съответствия</w:t>
            </w:r>
            <w:r>
              <w:rPr>
                <w:b/>
                <w:i/>
              </w:rPr>
              <w:t>, както и на органите за сигурност на държавите членки</w:t>
            </w:r>
            <w:r>
              <w:t>.</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403</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6 – параграф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Личните данни, регистрирани или предадени на ИТ платформата на резерва на ЕС от таланти в съответствие с настоящия регламент, се индексират, съхраняват и предоставят единствено за целите на търсенето и намирането на съответствия. Регистрираните търсещи работа лица от трети държави имат право да избират измежду редица технически възможности за ограничаване на достъпа до техните лични данни.</w:t>
            </w:r>
          </w:p>
        </w:tc>
        <w:tc>
          <w:tcPr>
            <w:tcW w:w="4876" w:type="dxa"/>
            <w:tcBorders>
              <w:top w:val="nil"/>
              <w:left w:val="nil"/>
              <w:bottom w:val="nil"/>
              <w:right w:val="nil"/>
            </w:tcBorders>
          </w:tcPr>
          <w:p>
            <w:pPr>
              <w:pStyle w:val="Normal6a"/>
            </w:pPr>
            <w:r>
              <w:t>5.</w:t>
            </w:r>
            <w:r>
              <w:tab/>
            </w:r>
            <w:r>
              <w:t>Личните данни, регистрирани или предадени на ИТ платформата на резерва на ЕС от таланти в съответствие с настоящия регламент, се индексират, съхраняват и предоставят единствено за целите на търсенето и намирането на съответствия. Регистрираните търсещи работа лица от трети държави имат право да избират измежду редица технически възможности за ограничаване на достъпа до техните лични данни</w:t>
            </w:r>
            <w:r>
              <w:rPr>
                <w:b/>
                <w:i/>
              </w:rPr>
              <w:t>, включително по отношение на това кой може да има достъп до тях и за каква цел</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404</w:t>
      </w:r>
      <w:r>
        <w:rPr>
          <w:rStyle w:val="HideTWBExt"/>
        </w:rPr>
        <w:t>&lt;/NumAm&gt;</w:t>
      </w:r>
    </w:p>
    <w:p>
      <w:pPr>
        <w:pStyle w:val="NormalBold"/>
      </w:pPr>
      <w:r>
        <w:rPr>
          <w:rStyle w:val="HideTWBExt"/>
          <w:b w:val="0"/>
        </w:rPr>
        <w:t>&lt;RepeatBlock-By&gt;</w:t>
      </w:r>
      <w:r>
        <w:rPr>
          <w:rStyle w:val="HideTWBExt"/>
          <w:b w:val="0"/>
        </w:rPr>
        <w:t>&lt;Members&gt;</w:t>
      </w:r>
      <w:r>
        <w:t>Лена Дюпон, Томас Тобé, Алис Теодореску Мове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6 – параграф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Личните данни, регистрирани или предадени на ИТ платформата на резерва на ЕС от таланти в съответствие с настоящия регламент, се индексират, съхраняват и предоставят единствено за целите на търсенето и намирането на съответствия. Регистрираните търсещи работа лица от трети държави имат право да </w:t>
            </w:r>
            <w:r>
              <w:rPr>
                <w:b/>
                <w:i/>
              </w:rPr>
              <w:t>избират измежду редица технически възможности за ограничаване на</w:t>
            </w:r>
            <w:r>
              <w:t xml:space="preserve"> достъпа до техните лични данни.</w:t>
            </w:r>
          </w:p>
        </w:tc>
        <w:tc>
          <w:tcPr>
            <w:tcW w:w="4876" w:type="dxa"/>
            <w:tcBorders>
              <w:top w:val="nil"/>
              <w:left w:val="nil"/>
              <w:bottom w:val="nil"/>
              <w:right w:val="nil"/>
            </w:tcBorders>
          </w:tcPr>
          <w:p>
            <w:pPr>
              <w:pStyle w:val="Normal6a"/>
            </w:pPr>
            <w:r>
              <w:t>5.</w:t>
            </w:r>
            <w:r>
              <w:tab/>
            </w:r>
            <w:r>
              <w:t xml:space="preserve">Личните данни, регистрирани или предадени на ИТ платформата на резерва на ЕС от таланти в съответствие с настоящия регламент, се индексират, съхраняват и предоставят единствено за целите на търсенето и намирането на съответствия. Регистрираните търсещи работа лица от трети държави имат право да </w:t>
            </w:r>
            <w:r>
              <w:rPr>
                <w:b/>
                <w:i/>
              </w:rPr>
              <w:t>ограничат</w:t>
            </w:r>
            <w:r>
              <w:t xml:space="preserve"> достъпа до техните лични данни.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405</w:t>
      </w:r>
      <w:r>
        <w:rPr>
          <w:rStyle w:val="HideTWBExt"/>
        </w:rPr>
        <w:t>&lt;/NumAm&gt;</w:t>
      </w:r>
    </w:p>
    <w:p>
      <w:pPr>
        <w:pStyle w:val="NormalBold"/>
      </w:pPr>
      <w:r>
        <w:rPr>
          <w:rStyle w:val="HideTWBExt"/>
          <w:b w:val="0"/>
        </w:rPr>
        <w:t>&lt;RepeatBlock-By&gt;</w:t>
      </w:r>
      <w:r>
        <w:rPr>
          <w:rStyle w:val="HideTWBExt"/>
          <w:b w:val="0"/>
        </w:rPr>
        <w:t>&lt;Members&gt;</w:t>
      </w:r>
      <w:r>
        <w:t>Ян-Кристоф Йотен, Абир Ал-Сахлани, Луция Яр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6 – параграф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Профилите на регистрираните търсещи работа лица от трети държави, до които не е имало достъп в продължение на две години от регистрирането им, се премахват </w:t>
            </w:r>
            <w:r>
              <w:rPr>
                <w:b/>
                <w:i/>
              </w:rPr>
              <w:t>или анонимизират</w:t>
            </w:r>
            <w:r>
              <w:t xml:space="preserve"> и не се съхраняват никакви лични данни. След премахването на профилите е възможно съхраняването на ограничен набор от анонимизирани данни за изследователски и статистически цели, както и за извличане на данни с цел подобряване на функционирането на резерва на ЕС от таланти.</w:t>
            </w:r>
          </w:p>
        </w:tc>
        <w:tc>
          <w:tcPr>
            <w:tcW w:w="4876" w:type="dxa"/>
            <w:tcBorders>
              <w:top w:val="nil"/>
              <w:left w:val="nil"/>
              <w:bottom w:val="nil"/>
              <w:right w:val="nil"/>
            </w:tcBorders>
          </w:tcPr>
          <w:p>
            <w:pPr>
              <w:pStyle w:val="Normal6a"/>
            </w:pPr>
            <w:r>
              <w:t>6.</w:t>
            </w:r>
            <w:r>
              <w:tab/>
            </w:r>
            <w:r>
              <w:t xml:space="preserve">Профилите на регистрираните търсещи работа лица от трети държави, до които не е имало достъп в продължение на две години от регистрирането им, </w:t>
            </w:r>
            <w:r>
              <w:rPr>
                <w:b/>
                <w:i/>
              </w:rPr>
              <w:t>и тези на работодателите, които не са били използвани в продължение на три години от регистрирането им,</w:t>
            </w:r>
            <w:r>
              <w:t xml:space="preserve"> се премахват и не се съхраняват никакви лични данни. </w:t>
            </w:r>
            <w:r>
              <w:rPr>
                <w:b/>
                <w:i/>
              </w:rPr>
              <w:t>Собственикът на профила бива уведомяван за премахването поне един месец предварително.</w:t>
            </w:r>
            <w:r>
              <w:t xml:space="preserve"> След премахването на профилите е възможно съхраняването на ограничен набор от анонимизирани данни за изследователски и статистически цели, както и за извличане на данни с цел подобряване на функционирането на резерва на ЕС от таланти. </w:t>
            </w:r>
            <w:r>
              <w:rPr>
                <w:b/>
                <w:i/>
              </w:rPr>
              <w:t>По отношение на профилите на регистрирани търсещи работа лица могат да се съхраняват данни за националността, желаната или текущата професия, притежаването на „карта за участие в партньорство в подкрепа на талантите“, период на регистрация на профила на ИТ платформата на резерва на ЕС от таланти, броя на посещенията на платформата, броя на съвпаденията с търсеното от работодателите и броя на осъществените назначения на работа.</w:t>
            </w:r>
            <w:r>
              <w:t xml:space="preserve"> </w:t>
            </w:r>
            <w:r>
              <w:rPr>
                <w:b/>
                <w:i/>
              </w:rPr>
              <w:t>По отношение на профилите на работодателите могат да се съхраняват данни за държавата членка, в която е седалището им, сектора, броя на посещенията на ИТ платформата на резерва на ЕС от таланти, броя на съответствията с търсещи работа лица и броя на осигурените чрез платформата работни места.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406</w:t>
      </w:r>
      <w:r>
        <w:rPr>
          <w:rStyle w:val="HideTWBExt"/>
        </w:rPr>
        <w:t>&lt;/NumAm&gt;</w:t>
      </w:r>
    </w:p>
    <w:p>
      <w:pPr>
        <w:pStyle w:val="NormalBold"/>
      </w:pPr>
      <w:r>
        <w:rPr>
          <w:rStyle w:val="HideTWBExt"/>
          <w:b w:val="0"/>
        </w:rPr>
        <w:t>&lt;RepeatBlock-By&gt;</w:t>
      </w:r>
      <w:r>
        <w:rPr>
          <w:rStyle w:val="HideTWBExt"/>
          <w:b w:val="0"/>
        </w:rPr>
        <w:t>&lt;Members&gt;</w:t>
      </w:r>
      <w:r>
        <w:t>Хавиер Морено Санчес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6 – параграф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Профилите на регистрираните търсещи работа лица от трети държави, до които не е имало достъп в продължение на две години от регистрирането им, се премахват или анонимизират и не се съхраняват никакви лични данни. След премахването на профилите е възможно съхраняването на ограничен набор от анонимизирани данни за изследователски и статистически цели, както и за извличане на данни с цел подобряване на функционирането на резерва на ЕС от таланти.</w:t>
            </w:r>
          </w:p>
        </w:tc>
        <w:tc>
          <w:tcPr>
            <w:tcW w:w="4876" w:type="dxa"/>
            <w:tcBorders>
              <w:top w:val="nil"/>
              <w:left w:val="nil"/>
              <w:bottom w:val="nil"/>
              <w:right w:val="nil"/>
            </w:tcBorders>
          </w:tcPr>
          <w:p>
            <w:pPr>
              <w:pStyle w:val="Normal6a"/>
            </w:pPr>
            <w:r>
              <w:t>6.</w:t>
            </w:r>
            <w:r>
              <w:tab/>
            </w:r>
            <w:r>
              <w:t xml:space="preserve">Профилите на регистрираните търсещи работа лица от трети държави, до които не е имало достъп в продължение на две години от регистрирането им, се премахват или анонимизират и не се съхраняват никакви лични данни. </w:t>
            </w:r>
            <w:r>
              <w:rPr>
                <w:b/>
                <w:i/>
              </w:rPr>
              <w:t>Съответните търсещи работа лица трябва да бъдат уведомени два месеца преди премахването на профилите им, че профилите ще бъдат премахнати, ако до тях не бъде осъществен достъп в рамките на този период.</w:t>
            </w:r>
            <w:r>
              <w:t xml:space="preserve"> </w:t>
            </w:r>
            <w:r>
              <w:rPr>
                <w:b/>
                <w:i/>
              </w:rPr>
              <w:t>Профилите на регистрираните работодатели, до които не е отчетен достъп в продължение на две години от регистрирането им, се премахват или анонимизират и не се съхраняват никакви лични данни.</w:t>
            </w:r>
            <w:r>
              <w:t xml:space="preserve"> </w:t>
            </w:r>
            <w:r>
              <w:rPr>
                <w:b/>
                <w:i/>
              </w:rPr>
              <w:t>Съответните работодатели се уведомяват два месеца преди премахването на профилите им, че профилите ще бъдат премахнати, ако до тях не бъде осъществен достъп в рамките на този период.</w:t>
            </w:r>
            <w:r>
              <w:t xml:space="preserve"> След премахването на профилите е възможно съхраняването на ограничен набор от анонимизирани данни за изследователски и статистически цели, както и за извличане на данни с цел подобряване на функционирането на резерва на ЕС от таланти.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407</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6 – параграф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Профилите на регистрираните търсещи работа лица от трети държави, до които не е имало достъп в продължение на две години от регистрирането им</w:t>
            </w:r>
            <w:r>
              <w:rPr>
                <w:b/>
                <w:i/>
              </w:rPr>
              <w:t>, се премахват или анонимизират и не се съхраняват никакви лични данни</w:t>
            </w:r>
            <w:r>
              <w:t>. След премахването на профилите е възможно съхраняването на ограничен набор от анонимизирани данни за изследователски и статистически цели, както и за извличане на данни с цел подобряване на функционирането на резерва на ЕС от таланти.</w:t>
            </w:r>
          </w:p>
        </w:tc>
        <w:tc>
          <w:tcPr>
            <w:tcW w:w="4876" w:type="dxa"/>
            <w:tcBorders>
              <w:top w:val="nil"/>
              <w:left w:val="nil"/>
              <w:bottom w:val="nil"/>
              <w:right w:val="nil"/>
            </w:tcBorders>
          </w:tcPr>
          <w:p>
            <w:pPr>
              <w:pStyle w:val="Normal6a"/>
            </w:pPr>
            <w:r>
              <w:t>6.</w:t>
            </w:r>
            <w:r>
              <w:tab/>
            </w:r>
            <w:r>
              <w:t xml:space="preserve">Профилите на регистрираните търсещи работа лица от трети държави, до които не е имало достъп в продължение на две години от регистрирането им </w:t>
            </w:r>
            <w:r>
              <w:rPr>
                <w:b/>
                <w:i/>
              </w:rPr>
              <w:t>ще бъдат премахнати след като потребителят бъде уведомен и не е възразил срещу заличаването или не е актуализирал профила си в рамките на две седмици.</w:t>
            </w:r>
            <w:r>
              <w:t xml:space="preserve"> </w:t>
            </w:r>
            <w:r>
              <w:rPr>
                <w:b/>
                <w:i/>
              </w:rPr>
              <w:t>Ако потребителят актуализира профила си, той ще бъде запазен за още две години</w:t>
            </w:r>
            <w:r>
              <w:t>. След премахването на профилите</w:t>
            </w:r>
            <w:r>
              <w:rPr>
                <w:b/>
                <w:i/>
              </w:rPr>
              <w:t>, всички лични данни ще бъдат изтрити, като</w:t>
            </w:r>
            <w:r>
              <w:t xml:space="preserve"> е възможно съхраняването на ограничен набор от анонимизирани данни за изследователски и статистически цели, както и за извличане на данни с цел подобряване на функционирането на резерва на ЕС от таланти. </w:t>
            </w:r>
            <w:r>
              <w:rPr>
                <w:b/>
                <w:i/>
              </w:rPr>
              <w:t>Потребителите имат право да поискат изтриването на профила и личните си данни по всяко време.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408</w:t>
      </w:r>
      <w:r>
        <w:rPr>
          <w:rStyle w:val="HideTWBExt"/>
        </w:rPr>
        <w:t>&lt;/NumAm&gt;</w:t>
      </w:r>
    </w:p>
    <w:p>
      <w:pPr>
        <w:pStyle w:val="NormalBold"/>
      </w:pPr>
      <w:r>
        <w:rPr>
          <w:rStyle w:val="HideTWBExt"/>
          <w:b w:val="0"/>
        </w:rPr>
        <w:t>&lt;RepeatBlock-By&gt;</w:t>
      </w:r>
      <w:r>
        <w:rPr>
          <w:rStyle w:val="HideTWBExt"/>
          <w:b w:val="0"/>
        </w:rPr>
        <w:t>&lt;Members&gt;</w:t>
      </w:r>
      <w:r>
        <w:t>Лукас Мандл</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6 – параграф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Профилите на регистрираните търсещи работа лица от трети държави, до които не е имало достъп в продължение на две години от регистрирането им, се премахват или анонимизират и не се съхраняват никакви лични данни. След премахването на профилите е възможно съхраняването на ограничен набор от анонимизирани данни за изследователски и статистически цели, както и за извличане на данни с цел подобряване на функционирането на резерва на ЕС от таланти.</w:t>
            </w:r>
          </w:p>
        </w:tc>
        <w:tc>
          <w:tcPr>
            <w:tcW w:w="4876" w:type="dxa"/>
            <w:tcBorders>
              <w:top w:val="nil"/>
              <w:left w:val="nil"/>
              <w:bottom w:val="nil"/>
              <w:right w:val="nil"/>
            </w:tcBorders>
          </w:tcPr>
          <w:p>
            <w:pPr>
              <w:pStyle w:val="Normal6a"/>
            </w:pPr>
            <w:r>
              <w:t>6.</w:t>
            </w:r>
            <w:r>
              <w:tab/>
            </w:r>
            <w:r>
              <w:t xml:space="preserve">Профилите на регистрираните търсещи работа лица от трети държави, до които не е имало достъп </w:t>
            </w:r>
            <w:r>
              <w:rPr>
                <w:b/>
                <w:i/>
              </w:rPr>
              <w:t>от страна на работодател</w:t>
            </w:r>
            <w:r>
              <w:t xml:space="preserve"> в продължение на две години от регистрирането им,</w:t>
            </w:r>
            <w:r>
              <w:rPr>
                <w:b/>
                <w:i/>
              </w:rPr>
              <w:t> получават автоматично напомняне да актуализират или изтрият профила си.</w:t>
            </w:r>
            <w:r>
              <w:t xml:space="preserve"> </w:t>
            </w:r>
            <w:r>
              <w:rPr>
                <w:b/>
                <w:i/>
              </w:rPr>
              <w:t>Ако това не бъде направено в срок от един месец след напомнянето, профилите</w:t>
            </w:r>
            <w:r>
              <w:t xml:space="preserve"> се премахват или анонимизират и не се съхраняват никакви лични данни. След премахването на профилите е възможно съхраняването на ограничен набор от анонимизирани данни за изследователски и статистически цели, както и за извличане на данни с цел подобряване на функционирането на резерва на ЕС от таланти.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409</w:t>
      </w:r>
      <w:r>
        <w:rPr>
          <w:rStyle w:val="HideTWBExt"/>
        </w:rPr>
        <w:t>&lt;/NumAm&gt;</w:t>
      </w:r>
    </w:p>
    <w:p>
      <w:pPr>
        <w:pStyle w:val="NormalBold"/>
      </w:pPr>
      <w:r>
        <w:rPr>
          <w:rStyle w:val="HideTWBExt"/>
          <w:b w:val="0"/>
        </w:rPr>
        <w:t>&lt;RepeatBlock-By&gt;</w:t>
      </w:r>
      <w:r>
        <w:rPr>
          <w:rStyle w:val="HideTWBExt"/>
          <w:b w:val="0"/>
        </w:rPr>
        <w:t>&lt;Members&gt;</w:t>
      </w:r>
      <w:r>
        <w:t>Никос Анадиотис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6 – параграф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Профилите на регистрираните търсещи работа лица от трети държави, до които не е имало достъп в продължение на </w:t>
            </w:r>
            <w:r>
              <w:rPr>
                <w:b/>
                <w:i/>
              </w:rPr>
              <w:t>две години</w:t>
            </w:r>
            <w:r>
              <w:t xml:space="preserve"> от регистрирането им, се премахват или анонимизират и не се съхраняват никакви лични данни. След премахването на профилите е възможно съхраняването на ограничен набор от анонимизирани данни за изследователски и статистически цели, както и за извличане на данни с цел подобряване на функционирането на резерва на ЕС от таланти.</w:t>
            </w:r>
          </w:p>
        </w:tc>
        <w:tc>
          <w:tcPr>
            <w:tcW w:w="4876" w:type="dxa"/>
            <w:tcBorders>
              <w:top w:val="nil"/>
              <w:left w:val="nil"/>
              <w:bottom w:val="nil"/>
              <w:right w:val="nil"/>
            </w:tcBorders>
          </w:tcPr>
          <w:p>
            <w:pPr>
              <w:pStyle w:val="Normal6a"/>
            </w:pPr>
            <w:r>
              <w:t>6.</w:t>
            </w:r>
            <w:r>
              <w:tab/>
            </w:r>
            <w:r>
              <w:t xml:space="preserve">Профилите на регистрираните търсещи работа лица от трети държави, до които не е имало достъп в продължение на </w:t>
            </w:r>
            <w:r>
              <w:rPr>
                <w:b/>
                <w:i/>
              </w:rPr>
              <w:t>една година</w:t>
            </w:r>
            <w:r>
              <w:t xml:space="preserve"> от регистрирането им, се премахват или анонимизират и не се съхраняват никакви лични данни. След премахването на профилите е възможно съхраняването на ограничен набор от анонимизирани данни за изследователски и статистически цели, както и за извличане на данни с цел подобряване на функционирането на резерва на ЕС от таланти.</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410</w:t>
      </w:r>
      <w:r>
        <w:rPr>
          <w:rStyle w:val="HideTWBExt"/>
        </w:rPr>
        <w:t>&lt;/NumAm&gt;</w:t>
      </w:r>
    </w:p>
    <w:p>
      <w:pPr>
        <w:pStyle w:val="NormalBold"/>
      </w:pPr>
      <w:r>
        <w:rPr>
          <w:rStyle w:val="HideTWBExt"/>
          <w:b w:val="0"/>
        </w:rPr>
        <w:t>&lt;RepeatBlock-By&gt;</w:t>
      </w:r>
      <w:r>
        <w:rPr>
          <w:rStyle w:val="HideTWBExt"/>
          <w:b w:val="0"/>
        </w:rPr>
        <w:t>&lt;Members&gt;</w:t>
      </w:r>
      <w:r>
        <w:t>Лена Дюпон, Томас Тобé, Алис Теодореску Мове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6 – параграф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Профилите на регистрираните търсещи работа лица от трети държави, до които не е имало достъп в продължение на </w:t>
            </w:r>
            <w:r>
              <w:rPr>
                <w:b/>
                <w:i/>
              </w:rPr>
              <w:t>две години</w:t>
            </w:r>
            <w:r>
              <w:t xml:space="preserve"> от регистрирането им, се премахват или анонимизират и не се съхраняват никакви лични данни. След премахването на профилите е възможно съхраняването на ограничен набор от анонимизирани данни за изследователски и статистически цели, както и за извличане на данни с цел подобряване на функционирането на резерва на ЕС от таланти.</w:t>
            </w:r>
          </w:p>
        </w:tc>
        <w:tc>
          <w:tcPr>
            <w:tcW w:w="4876" w:type="dxa"/>
            <w:tcBorders>
              <w:top w:val="nil"/>
              <w:left w:val="nil"/>
              <w:bottom w:val="nil"/>
              <w:right w:val="nil"/>
            </w:tcBorders>
          </w:tcPr>
          <w:p>
            <w:pPr>
              <w:pStyle w:val="Normal6a"/>
            </w:pPr>
            <w:r>
              <w:t>6.</w:t>
            </w:r>
            <w:r>
              <w:tab/>
            </w:r>
            <w:r>
              <w:t xml:space="preserve">Профилите на регистрираните търсещи работа лица от трети държави, до които не е имало достъп в продължение на </w:t>
            </w:r>
            <w:r>
              <w:rPr>
                <w:b/>
                <w:i/>
              </w:rPr>
              <w:t>една година</w:t>
            </w:r>
            <w:r>
              <w:t xml:space="preserve"> от регистрирането им, се премахват или анонимизират и не се съхраняват никакви лични данни. След премахването на профилите е възможно съхраняването на ограничен набор от анонимизирани данни за изследователски и статистически цели, както и за извличане на данни с цел подобряване на функционирането на резерва на ЕС от таланти.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411</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6 – параграф 6 а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6а.</w:t>
            </w:r>
            <w:r>
              <w:tab/>
            </w:r>
            <w:r>
              <w:rPr>
                <w:b/>
                <w:i/>
              </w:rPr>
              <w:t>Прави се редовен преглед на свободните работни места и те се премахват автоматично в случаите, когато са били заети.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412</w:t>
      </w:r>
      <w:r>
        <w:rPr>
          <w:rStyle w:val="HideTWBExt"/>
        </w:rPr>
        <w:t>&lt;/NumAm&gt;</w:t>
      </w:r>
    </w:p>
    <w:p>
      <w:pPr>
        <w:pStyle w:val="NormalBold"/>
      </w:pPr>
      <w:r>
        <w:rPr>
          <w:rStyle w:val="HideTWBExt"/>
          <w:b w:val="0"/>
        </w:rPr>
        <w:t>&lt;RepeatBlock-By&gt;</w:t>
      </w:r>
      <w:r>
        <w:rPr>
          <w:rStyle w:val="HideTWBExt"/>
          <w:b w:val="0"/>
        </w:rPr>
        <w:t>&lt;Members&gt;</w:t>
      </w:r>
      <w:r>
        <w:t>Хавиер Морено Санчес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6 – параграф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Секретариатът на резерва на ЕС от таланти предоставя данните на регистрираните търсещи работа лица от трети държави и свободните работни места, предлагани от работодателите, участващи в резерва на ЕС от таланти, за търсене и намиране на съответствия на ИТ платформата на резерва на ЕС от таланти.</w:t>
            </w:r>
          </w:p>
        </w:tc>
        <w:tc>
          <w:tcPr>
            <w:tcW w:w="4876" w:type="dxa"/>
            <w:tcBorders>
              <w:top w:val="nil"/>
              <w:left w:val="nil"/>
              <w:bottom w:val="nil"/>
              <w:right w:val="nil"/>
            </w:tcBorders>
          </w:tcPr>
          <w:p>
            <w:pPr>
              <w:pStyle w:val="Normal6a"/>
            </w:pPr>
            <w:r>
              <w:t>7.</w:t>
            </w:r>
            <w:r>
              <w:tab/>
            </w:r>
            <w:r>
              <w:t>Секретариатът на резерва на ЕС от таланти предоставя данните на регистрираните търсещи работа лица от трети държави</w:t>
            </w:r>
            <w:r>
              <w:rPr>
                <w:b/>
                <w:i/>
              </w:rPr>
              <w:t>, профилите</w:t>
            </w:r>
            <w:r>
              <w:t xml:space="preserve"> и свободните работни места, предлагани от работодателите, участващи в резерва на ЕС от таланти, за търсене и намиране на съответствия на ИТ платформата на резерва на ЕС от таланти.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413</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6 – параграф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 xml:space="preserve">Данните на регистрираните търсещи работа лица от трети държави са достъпни само за работодателите, участващи в резерва на ЕС от таланти, </w:t>
            </w:r>
            <w:r>
              <w:rPr>
                <w:b/>
                <w:i/>
              </w:rPr>
              <w:t>и за</w:t>
            </w:r>
            <w:r>
              <w:t xml:space="preserve"> националните звена за контакт на резерва на ЕС от таланти. Данните на работодателите, участващи в резерва на ЕС от таланти, са достъпни за регистрираните търсещи работа лица от трети държави и за националните звена за контакт на резерва на ЕС от таланти.</w:t>
            </w:r>
          </w:p>
        </w:tc>
        <w:tc>
          <w:tcPr>
            <w:tcW w:w="4876" w:type="dxa"/>
            <w:tcBorders>
              <w:top w:val="nil"/>
              <w:left w:val="nil"/>
              <w:bottom w:val="nil"/>
              <w:right w:val="nil"/>
            </w:tcBorders>
          </w:tcPr>
          <w:p>
            <w:pPr>
              <w:pStyle w:val="Normal6a"/>
            </w:pPr>
            <w:r>
              <w:t>8.</w:t>
            </w:r>
            <w:r>
              <w:tab/>
            </w:r>
            <w:r>
              <w:t xml:space="preserve">Данните на регистрираните търсещи работа лица от трети държави са достъпни само за работодателите </w:t>
            </w:r>
            <w:r>
              <w:rPr>
                <w:b/>
                <w:i/>
              </w:rPr>
              <w:t>и посредниците</w:t>
            </w:r>
            <w:r>
              <w:t xml:space="preserve">, участващи в резерва на ЕС от таланти, националните звена за контакт на резерва на ЕС от таланти </w:t>
            </w:r>
            <w:r>
              <w:rPr>
                <w:b/>
                <w:i/>
              </w:rPr>
              <w:t>и, когато търсещото работа лице поиска, за алгоритми за намиране на съответствия на трети страни</w:t>
            </w:r>
            <w:r>
              <w:t xml:space="preserve">. Данните на работодателите </w:t>
            </w:r>
            <w:r>
              <w:rPr>
                <w:b/>
                <w:i/>
              </w:rPr>
              <w:t>и посредниците</w:t>
            </w:r>
            <w:r>
              <w:t xml:space="preserve">, участващи в резерва на ЕС от таланти, са достъпни за регистрираните търсещи работа лица от трети държави и за националните звена за контакт на резерва на ЕС от таланти </w:t>
            </w:r>
            <w:r>
              <w:rPr>
                <w:b/>
                <w:i/>
              </w:rPr>
              <w:t>и, когато участващият работодател избере да ги използва, за алгоритми за намиране на съответствия на трети страни</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414</w:t>
      </w:r>
      <w:r>
        <w:rPr>
          <w:rStyle w:val="HideTWBExt"/>
        </w:rPr>
        <w:t>&lt;/NumAm&gt;</w:t>
      </w:r>
    </w:p>
    <w:p>
      <w:pPr>
        <w:pStyle w:val="NormalBold"/>
      </w:pPr>
      <w:r>
        <w:rPr>
          <w:rStyle w:val="HideTWBExt"/>
          <w:b w:val="0"/>
        </w:rPr>
        <w:t>&lt;RepeatBlock-By&gt;</w:t>
      </w:r>
      <w:r>
        <w:rPr>
          <w:rStyle w:val="HideTWBExt"/>
          <w:b w:val="0"/>
        </w:rPr>
        <w:t>&lt;Members&gt;</w:t>
      </w:r>
      <w:r>
        <w:t>Чарли Веймерс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6 – параграф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 xml:space="preserve">Данните на регистрираните търсещи работа лица от трети държави са достъпни само за работодателите, участващи в резерва на ЕС от таланти, </w:t>
            </w:r>
            <w:r>
              <w:rPr>
                <w:b/>
                <w:i/>
              </w:rPr>
              <w:t>и за националните звена за контакт на резерва на ЕС от таланти</w:t>
            </w:r>
            <w:r>
              <w:t>. Данните на работодателите, участващи в резерва на ЕС от таланти, са достъпни за регистрираните търсещи работа лица от трети държави и за националните звена за контакт на резерва на ЕС от таланти.</w:t>
            </w:r>
          </w:p>
        </w:tc>
        <w:tc>
          <w:tcPr>
            <w:tcW w:w="4876" w:type="dxa"/>
            <w:tcBorders>
              <w:top w:val="nil"/>
              <w:left w:val="nil"/>
              <w:bottom w:val="nil"/>
              <w:right w:val="nil"/>
            </w:tcBorders>
          </w:tcPr>
          <w:p>
            <w:pPr>
              <w:pStyle w:val="Normal6a"/>
            </w:pPr>
            <w:r>
              <w:t>8.</w:t>
            </w:r>
            <w:r>
              <w:tab/>
            </w:r>
            <w:r>
              <w:t xml:space="preserve">Данните на регистрираните търсещи работа лица от трети държави са достъпни само за работодателите, участващи в резерва на ЕС от таланти, </w:t>
            </w:r>
            <w:r>
              <w:rPr>
                <w:b/>
                <w:i/>
              </w:rPr>
              <w:t>както и за службите за сигурност на държавите членки</w:t>
            </w:r>
            <w:r>
              <w:t>. Данните на работодателите, участващи в резерва на ЕС от таланти, са достъпни за регистрираните търсещи работа лица от трети държави и за националните звена за контакт на резерва на ЕС от таланти.</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415</w:t>
      </w:r>
      <w:r>
        <w:rPr>
          <w:rStyle w:val="HideTWBExt"/>
        </w:rPr>
        <w:t>&lt;/NumAm&gt;</w:t>
      </w:r>
    </w:p>
    <w:p>
      <w:pPr>
        <w:pStyle w:val="NormalBold"/>
      </w:pPr>
      <w:r>
        <w:rPr>
          <w:rStyle w:val="HideTWBExt"/>
          <w:b w:val="0"/>
        </w:rPr>
        <w:t>&lt;RepeatBlock-By&gt;</w:t>
      </w:r>
      <w:r>
        <w:rPr>
          <w:rStyle w:val="HideTWBExt"/>
          <w:b w:val="0"/>
        </w:rPr>
        <w:t>&lt;Members&gt;</w:t>
      </w:r>
      <w:r>
        <w:t>Чарли Веймерс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6 – параграф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9.</w:t>
            </w:r>
            <w:r>
              <w:tab/>
            </w:r>
            <w:r>
              <w:rPr>
                <w:b/>
                <w:i/>
              </w:rPr>
              <w:t>Чрез актове за изпълнение Комисията приема допълнителни разпоредби относно личните данни, които трябва да бъдат обработвани и включвани във форматите на свободните работни места и на профилите на търсещите работа лица, относно отговорностите на администраторите на лични данни, включително правилата, уреждащи възможното използване на обработващ лични данни или обработващи лични данни, както и относно условията за достъп до личните данни и възможността, с която разполагат регистрираните лица, търсещи работа, да ограничат достъпа до личните си данни на ИТ платформата на резерва на ЕС от таланти.</w:t>
            </w:r>
            <w:r>
              <w:t xml:space="preserve"> </w:t>
            </w:r>
            <w:r>
              <w:rPr>
                <w:b/>
                <w:i/>
              </w:rPr>
              <w:t>Тези актове за изпълнение се приемат в съответствие с процедурата по разглеждане, посочена в член 22, параграф 3.</w:t>
            </w:r>
          </w:p>
        </w:tc>
        <w:tc>
          <w:tcPr>
            <w:tcW w:w="4876" w:type="dxa"/>
            <w:tcBorders>
              <w:top w:val="nil"/>
              <w:left w:val="nil"/>
              <w:bottom w:val="nil"/>
              <w:right w:val="nil"/>
            </w:tcBorders>
          </w:tcPr>
          <w:p>
            <w:pPr>
              <w:pStyle w:val="Normal6a"/>
            </w:pPr>
            <w:r>
              <w:rPr>
                <w:b/>
                <w:i/>
              </w:rPr>
              <w:t>заличава се</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416</w:t>
      </w:r>
      <w:r>
        <w:rPr>
          <w:rStyle w:val="HideTWBExt"/>
        </w:rPr>
        <w:t>&lt;/NumAm&gt;</w:t>
      </w:r>
    </w:p>
    <w:p>
      <w:pPr>
        <w:pStyle w:val="NormalBold"/>
      </w:pPr>
      <w:r>
        <w:rPr>
          <w:rStyle w:val="HideTWBExt"/>
          <w:b w:val="0"/>
        </w:rPr>
        <w:t>&lt;RepeatBlock-By&gt;</w:t>
      </w:r>
      <w:r>
        <w:rPr>
          <w:rStyle w:val="HideTWBExt"/>
          <w:b w:val="0"/>
        </w:rPr>
        <w:t>&lt;Members&gt;</w:t>
      </w:r>
      <w:r>
        <w:t>Лена Дюпон, Томас Тобé, Алис Теодореску Мове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6 – параграф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Чрез актове за изпълнение Комисията приема допълнителни разпоредби относно личните данни, които трябва да бъдат обработвани и включвани във форматите на свободните работни места и на профилите на търсещите работа лица, относно отговорностите на администраторите на лични данни, включително правилата, уреждащи възможното използване на обработващ лични данни или обработващи лични данни, както и относно условията за достъп до личните данни и възможността, с която разполагат регистрираните лица, търсещи работа, да ограничат достъпа до личните си данни на ИТ платформата на резерва на ЕС от таланти. Тези актове за изпълнение се приемат в съответствие с процедурата по разглеждане, посочена в член 22, параграф 3.</w:t>
            </w:r>
          </w:p>
        </w:tc>
        <w:tc>
          <w:tcPr>
            <w:tcW w:w="4876" w:type="dxa"/>
            <w:tcBorders>
              <w:top w:val="nil"/>
              <w:left w:val="nil"/>
              <w:bottom w:val="nil"/>
              <w:right w:val="nil"/>
            </w:tcBorders>
          </w:tcPr>
          <w:p>
            <w:pPr>
              <w:pStyle w:val="Normal6a"/>
            </w:pPr>
            <w:r>
              <w:t>9.</w:t>
            </w:r>
            <w:r>
              <w:tab/>
            </w:r>
            <w:r>
              <w:t xml:space="preserve">Чрез актове за изпълнение Комисията приема допълнителни разпоредби относно личните данни, които трябва да бъдат обработвани и включвани във форматите на свободните работни места и на профилите на търсещите работа лица, относно отговорностите на администраторите на лични данни, включително правилата, уреждащи възможното използване на обработващ лични данни или обработващи лични данни, както и относно условията за достъп до личните данни и възможността, с която разполагат регистрираните лица, търсещи работа, да ограничат достъпа до личните си данни на ИТ платформата на резерва на ЕС от таланти. Тези актове за изпълнение </w:t>
            </w:r>
            <w:r>
              <w:rPr>
                <w:b/>
                <w:i/>
              </w:rPr>
              <w:t>гарантират, че е достъпна цялата информация, необходима за успешно намиране на съответствие.</w:t>
            </w:r>
            <w:r>
              <w:t xml:space="preserve"> </w:t>
            </w:r>
            <w:r>
              <w:rPr>
                <w:b/>
                <w:i/>
              </w:rPr>
              <w:t>Тези актове за изпълнение</w:t>
            </w:r>
            <w:r>
              <w:t xml:space="preserve"> се приемат в съответствие с процедурата по разглеждане, посочена в член 22, параграф 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417</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6 – параграф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rPr>
                <w:b/>
                <w:i/>
              </w:rPr>
              <w:t>Чрез актове за изпълнение</w:t>
            </w:r>
            <w:r>
              <w:t xml:space="preserve"> Комисията приема допълнителни разпоредби относно личните данни, които трябва да бъдат обработвани и включвани във форматите на свободните работни места и на профилите на търсещите работа лица, относно отговорностите на администраторите на лични данни, включително правилата, уреждащи възможното използване на обработващ лични данни или обработващи лични данни, както и относно условията за достъп до личните данни и възможността, с която разполагат регистрираните лица, търсещи работа, да ограничат достъпа до личните си данни на ИТ платформата на резерва на ЕС от таланти. </w:t>
            </w:r>
            <w:r>
              <w:rPr>
                <w:b/>
                <w:i/>
              </w:rPr>
              <w:t>Тези актове за изпълнение се приемат в съответствие с процедурата по разглеждане, посочена в член 22, параграф 3.</w:t>
            </w:r>
          </w:p>
        </w:tc>
        <w:tc>
          <w:tcPr>
            <w:tcW w:w="4876" w:type="dxa"/>
            <w:tcBorders>
              <w:top w:val="nil"/>
              <w:left w:val="nil"/>
              <w:bottom w:val="nil"/>
              <w:right w:val="nil"/>
            </w:tcBorders>
          </w:tcPr>
          <w:p>
            <w:pPr>
              <w:pStyle w:val="Normal6a"/>
            </w:pPr>
            <w:r>
              <w:t>9.</w:t>
            </w:r>
            <w:r>
              <w:tab/>
            </w:r>
            <w:r>
              <w:rPr>
                <w:b/>
                <w:i/>
              </w:rPr>
              <w:t>В съответствие с член 21</w:t>
            </w:r>
            <w:r>
              <w:t xml:space="preserve"> Комисията приема </w:t>
            </w:r>
            <w:r>
              <w:rPr>
                <w:b/>
                <w:i/>
              </w:rPr>
              <w:t>делегирани актове, за да определи</w:t>
            </w:r>
            <w:r>
              <w:t xml:space="preserve"> допълнителни разпоредби относно личните данни, които трябва да бъдат обработвани и включвани във форматите на свободните работни места и на профилите на търсещите работа лица, относно отговорностите на администраторите на лични данни, включително правилата, уреждащи възможното използване на обработващ лични данни или обработващи лични данни, както и относно условията за достъп до личните данни и възможността, с която разполагат регистрираните лица, търсещи работа, да ограничат достъпа до личните си данни на ИТ платформата на резерва на ЕС от таланти.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418</w:t>
      </w:r>
      <w:r>
        <w:rPr>
          <w:rStyle w:val="HideTWBExt"/>
        </w:rPr>
        <w:t>&lt;/NumAm&gt;</w:t>
      </w:r>
    </w:p>
    <w:p>
      <w:pPr>
        <w:pStyle w:val="NormalBold"/>
      </w:pPr>
      <w:r>
        <w:rPr>
          <w:rStyle w:val="HideTWBExt"/>
          <w:b w:val="0"/>
        </w:rPr>
        <w:t>&lt;RepeatBlock-By&gt;</w:t>
      </w:r>
      <w:r>
        <w:rPr>
          <w:rStyle w:val="HideTWBExt"/>
          <w:b w:val="0"/>
        </w:rPr>
        <w:t>&lt;Members&gt;</w:t>
      </w:r>
      <w:r>
        <w:t>Хавиер Морено Санчес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6 – параграф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 xml:space="preserve">Чрез </w:t>
            </w:r>
            <w:r>
              <w:rPr>
                <w:b/>
                <w:i/>
              </w:rPr>
              <w:t>актове за изпълнение</w:t>
            </w:r>
            <w:r>
              <w:t xml:space="preserve"> Комисията приема допълнителни разпоредби относно личните данни, които трябва да бъдат обработвани и включвани във форматите на свободните работни места и на профилите на търсещите работа лица, относно отговорностите на администраторите на лични данни, включително правилата, уреждащи възможното използване на обработващ лични данни или обработващи лични данни, както и относно условията за достъп до личните данни и възможността, с която разполагат регистрираните лица, търсещи работа, да ограничат достъпа до личните си данни на ИТ платформата на резерва на ЕС от таланти. Тези актове </w:t>
            </w:r>
            <w:r>
              <w:rPr>
                <w:b/>
                <w:i/>
              </w:rPr>
              <w:t>за изпълнение</w:t>
            </w:r>
            <w:r>
              <w:t xml:space="preserve"> се приемат в съответствие с </w:t>
            </w:r>
            <w:r>
              <w:rPr>
                <w:b/>
                <w:i/>
              </w:rPr>
              <w:t>процедурата по разглеждане, посочена в член 22, параграф 3</w:t>
            </w:r>
            <w:r>
              <w:t>.</w:t>
            </w:r>
          </w:p>
        </w:tc>
        <w:tc>
          <w:tcPr>
            <w:tcW w:w="4876" w:type="dxa"/>
            <w:tcBorders>
              <w:top w:val="nil"/>
              <w:left w:val="nil"/>
              <w:bottom w:val="nil"/>
              <w:right w:val="nil"/>
            </w:tcBorders>
          </w:tcPr>
          <w:p>
            <w:pPr>
              <w:pStyle w:val="Normal6a"/>
            </w:pPr>
            <w:r>
              <w:t>9.</w:t>
            </w:r>
            <w:r>
              <w:tab/>
            </w:r>
            <w:r>
              <w:t xml:space="preserve">Чрез </w:t>
            </w:r>
            <w:r>
              <w:rPr>
                <w:b/>
                <w:i/>
              </w:rPr>
              <w:t>делегирани актове</w:t>
            </w:r>
            <w:r>
              <w:t xml:space="preserve"> Комисията приема допълнителни разпоредби относно личните данни, които трябва да бъдат обработвани и включвани във форматите на свободните работни места и на профилите на търсещите работа лица, относно отговорностите на администраторите на лични данни, включително правилата, уреждащи възможното използване на обработващ лични данни или обработващи лични данни, както и относно условията за достъп до личните данни и възможността, с която разполагат регистрираните лица, търсещи работа, да ограничат достъпа до личните си данни на ИТ платформата на резерва на ЕС от таланти. Тези </w:t>
            </w:r>
            <w:r>
              <w:rPr>
                <w:b/>
                <w:i/>
              </w:rPr>
              <w:t>делегирани</w:t>
            </w:r>
            <w:r>
              <w:t xml:space="preserve"> актове се приемат в съответствие с </w:t>
            </w:r>
            <w:r>
              <w:rPr>
                <w:b/>
                <w:i/>
              </w:rPr>
              <w:t>член 21</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419</w:t>
      </w:r>
      <w:r>
        <w:rPr>
          <w:rStyle w:val="HideTWBExt"/>
        </w:rPr>
        <w:t>&lt;/NumAm&gt;</w:t>
      </w:r>
    </w:p>
    <w:p>
      <w:pPr>
        <w:pStyle w:val="NormalBold"/>
      </w:pPr>
      <w:r>
        <w:rPr>
          <w:rStyle w:val="HideTWBExt"/>
          <w:b w:val="0"/>
        </w:rPr>
        <w:t>&lt;RepeatBlock-By&gt;</w:t>
      </w:r>
      <w:r>
        <w:rPr>
          <w:rStyle w:val="HideTWBExt"/>
          <w:b w:val="0"/>
        </w:rPr>
        <w:t>&lt;Members&gt;</w:t>
      </w:r>
      <w:r>
        <w:t>Чарли Веймерс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Глава III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УПРАВЛЕНИЕ</w:t>
            </w:r>
          </w:p>
        </w:tc>
        <w:tc>
          <w:tcPr>
            <w:tcW w:w="4876" w:type="dxa"/>
            <w:tcBorders>
              <w:top w:val="nil"/>
              <w:left w:val="nil"/>
              <w:bottom w:val="nil"/>
              <w:right w:val="nil"/>
            </w:tcBorders>
          </w:tcPr>
          <w:p>
            <w:pPr>
              <w:pStyle w:val="Normal6a"/>
            </w:pPr>
            <w:r>
              <w:rPr>
                <w:b/>
                <w:i/>
              </w:rPr>
              <w:t>заличава се</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420</w:t>
      </w:r>
      <w:r>
        <w:rPr>
          <w:rStyle w:val="HideTWBExt"/>
        </w:rPr>
        <w:t>&lt;/NumAm&gt;</w:t>
      </w:r>
    </w:p>
    <w:p>
      <w:pPr>
        <w:pStyle w:val="NormalBold"/>
      </w:pPr>
      <w:r>
        <w:rPr>
          <w:rStyle w:val="HideTWBExt"/>
          <w:b w:val="0"/>
        </w:rPr>
        <w:t>&lt;RepeatBlock-By&gt;</w:t>
      </w:r>
      <w:r>
        <w:rPr>
          <w:rStyle w:val="HideTWBExt"/>
          <w:b w:val="0"/>
        </w:rPr>
        <w:t>&lt;Members&gt;</w:t>
      </w:r>
      <w:r>
        <w:t>Чарли Веймерс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Член 8</w:t>
            </w:r>
            <w:r>
              <w:tab/>
            </w:r>
          </w:p>
        </w:tc>
        <w:tc>
          <w:tcPr>
            <w:tcW w:w="4876" w:type="dxa"/>
            <w:tcBorders>
              <w:top w:val="nil"/>
              <w:left w:val="nil"/>
              <w:bottom w:val="nil"/>
              <w:right w:val="nil"/>
            </w:tcBorders>
          </w:tcPr>
          <w:p>
            <w:pPr>
              <w:pStyle w:val="Normal6a"/>
            </w:pPr>
            <w:r>
              <w:rPr>
                <w:b/>
                <w:i/>
              </w:rPr>
              <w:t>заличава се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Секретариат на резерва на ЕС от таланти</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r>
              <w:rPr>
                <w:b/>
                <w:i/>
              </w:rPr>
              <w:t xml:space="preserve"> </w:t>
            </w:r>
            <w:r>
              <w:rPr>
                <w:b/>
                <w:i/>
              </w:rPr>
              <w:t>Комисията осигурява секретариата на резерва на ЕС от таланти.</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Секретариатът отговаря за:</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а) гарантиране на цялостното управление на резерва на ЕС от таланти, включително планирането и координирането на дейностите на резерва на ЕС от таланти;</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б) създаване и управление на ИТ платформата на резерва на ЕС от таланти и свързаните с нея ИТ услуги, необходими за нейното функциониране, по-специално чрез използване на вече наличната техническа инфраструктура на равнището на Съюза, когато е уместно;</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в) публикуване на съответната информация на ИТ платформата на резерва на ЕС от таланти съгласно член 3, параграф 3, член 10, параграф 2, буква е), член 12, параграфи 5, 6 и 7, член 14, параграф 2 и член 15, параграф 2;</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г) подготовка на заседанията на ръководната група на резерва на ЕС от таланти;</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д) събиране на съответните данни за мониторинг на ефективността на резерва на ЕС от таланти съгласно член 20;</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е) свикване на редовни заседания на мрежата на националните звена за контакт на резерва на ЕС от таланти, посочена в член 10, с цел обмен на информация и най-добри практики относно техническото прилагане на настоящия регламент на национално равнище.</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421</w:t>
      </w:r>
      <w:r>
        <w:rPr>
          <w:rStyle w:val="HideTWBExt"/>
        </w:rPr>
        <w:t>&lt;/NumAm&gt;</w:t>
      </w:r>
    </w:p>
    <w:p>
      <w:pPr>
        <w:pStyle w:val="NormalBold"/>
      </w:pPr>
      <w:r>
        <w:rPr>
          <w:rStyle w:val="HideTWBExt"/>
          <w:b w:val="0"/>
        </w:rPr>
        <w:t>&lt;RepeatBlock-By&gt;</w:t>
      </w:r>
      <w:r>
        <w:rPr>
          <w:rStyle w:val="HideTWBExt"/>
          <w:b w:val="0"/>
        </w:rPr>
        <w:t>&lt;Members&gt;</w:t>
      </w:r>
      <w:r>
        <w:t>Франсоа-Ксавие Белами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8 – параграф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Комисията осигурява секретариата на резерва на ЕС от таланти.</w:t>
            </w:r>
          </w:p>
        </w:tc>
        <w:tc>
          <w:tcPr>
            <w:tcW w:w="4876" w:type="dxa"/>
            <w:tcBorders>
              <w:top w:val="nil"/>
              <w:left w:val="nil"/>
              <w:bottom w:val="nil"/>
              <w:right w:val="nil"/>
            </w:tcBorders>
          </w:tcPr>
          <w:p>
            <w:pPr>
              <w:pStyle w:val="Normal6a"/>
            </w:pPr>
            <w:r>
              <w:t>1.</w:t>
            </w:r>
            <w:r>
              <w:tab/>
            </w:r>
            <w:r>
              <w:t>Комисията</w:t>
            </w:r>
            <w:r>
              <w:rPr>
                <w:b/>
                <w:i/>
              </w:rPr>
              <w:t>, в тясно сътрудничество с компетентните органи на държавите членки,</w:t>
            </w:r>
            <w:r>
              <w:t xml:space="preserve"> осигурява секретариата на резерва на ЕС от таланти.</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422</w:t>
      </w:r>
      <w:r>
        <w:rPr>
          <w:rStyle w:val="HideTWBExt"/>
        </w:rPr>
        <w:t>&lt;/NumAm&gt;</w:t>
      </w:r>
    </w:p>
    <w:p>
      <w:pPr>
        <w:pStyle w:val="NormalBold"/>
      </w:pPr>
      <w:r>
        <w:rPr>
          <w:rStyle w:val="HideTWBExt"/>
          <w:b w:val="0"/>
        </w:rPr>
        <w:t>&lt;RepeatBlock-By&gt;</w:t>
      </w:r>
      <w:r>
        <w:rPr>
          <w:rStyle w:val="HideTWBExt"/>
          <w:b w:val="0"/>
        </w:rPr>
        <w:t>&lt;Members&gt;</w:t>
      </w:r>
      <w:r>
        <w:t>Ян-Кристоф Йотен, Абир Ал-Сахлани, Луция Яр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8 – параграф 2 – буква 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а</w:t>
            </w:r>
            <w:r>
              <w:t>)</w:t>
            </w:r>
            <w:r>
              <w:tab/>
            </w:r>
            <w:r>
              <w:t>гарантиране на цялостното управление на резерва на ЕС от таланти, включително планирането и координирането на дейностите на резерва на ЕС от таланти;</w:t>
            </w:r>
          </w:p>
        </w:tc>
        <w:tc>
          <w:tcPr>
            <w:tcW w:w="4876" w:type="dxa"/>
            <w:tcBorders>
              <w:top w:val="nil"/>
              <w:left w:val="nil"/>
              <w:bottom w:val="nil"/>
              <w:right w:val="nil"/>
            </w:tcBorders>
          </w:tcPr>
          <w:p>
            <w:pPr>
              <w:pStyle w:val="Normal6a"/>
            </w:pPr>
            <w:r>
              <w:rPr>
                <w:b/>
                <w:i/>
              </w:rPr>
              <w:t>a</w:t>
            </w:r>
            <w:r>
              <w:t>)</w:t>
            </w:r>
            <w:r>
              <w:tab/>
            </w:r>
            <w:r>
              <w:t>гарантиране на цялостното управление на резерва на ЕС от таланти, включително планирането и координирането на дейностите на резерва на ЕС от таланти</w:t>
            </w:r>
            <w:r>
              <w:rPr>
                <w:b/>
                <w:i/>
              </w:rPr>
              <w:t>, например кампании за повишаване на осведомеността</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423</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8 – параграф 2 – буква б a (нова)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ба)</w:t>
            </w:r>
            <w:r>
              <w:tab/>
            </w:r>
            <w:r>
              <w:rPr>
                <w:b/>
                <w:i/>
              </w:rPr>
              <w:t>одобряване, координиране и наблюдение на достъпа и използването на данни за допълнителни услуги, насочени към подобряване на намирането на съответствия;</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424</w:t>
      </w:r>
      <w:r>
        <w:rPr>
          <w:rStyle w:val="HideTWBExt"/>
        </w:rPr>
        <w:t>&lt;/NumAm&gt;</w:t>
      </w:r>
    </w:p>
    <w:p>
      <w:pPr>
        <w:pStyle w:val="NormalBold"/>
      </w:pPr>
      <w:r>
        <w:rPr>
          <w:rStyle w:val="HideTWBExt"/>
          <w:b w:val="0"/>
        </w:rPr>
        <w:t>&lt;RepeatBlock-By&gt;</w:t>
      </w:r>
      <w:r>
        <w:rPr>
          <w:rStyle w:val="HideTWBExt"/>
          <w:b w:val="0"/>
        </w:rPr>
        <w:t>&lt;Members&gt;</w:t>
      </w:r>
      <w:r>
        <w:t>Хавиер Морено Санчес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8 – параграф 2 – буква 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в)</w:t>
            </w:r>
            <w:r>
              <w:tab/>
            </w:r>
            <w:r>
              <w:t xml:space="preserve">публикуване на съответната информация на ИТ платформата на резерва на ЕС от таланти съгласно член 3, параграф </w:t>
            </w:r>
            <w:r>
              <w:rPr>
                <w:b/>
                <w:i/>
              </w:rPr>
              <w:t>3</w:t>
            </w:r>
            <w:r>
              <w:t>, член 10, параграф 2, буква е), член 12, параграфи 5, 6 и 7, член 14, параграф 2 и член 15, параграф 2;</w:t>
            </w:r>
          </w:p>
        </w:tc>
        <w:tc>
          <w:tcPr>
            <w:tcW w:w="4876" w:type="dxa"/>
            <w:tcBorders>
              <w:top w:val="nil"/>
              <w:left w:val="nil"/>
              <w:bottom w:val="nil"/>
              <w:right w:val="nil"/>
            </w:tcBorders>
          </w:tcPr>
          <w:p>
            <w:pPr>
              <w:pStyle w:val="Normal6a"/>
            </w:pPr>
            <w:r>
              <w:t>в)</w:t>
            </w:r>
            <w:r>
              <w:tab/>
            </w:r>
            <w:r>
              <w:t xml:space="preserve">публикуване на съответната информация на ИТ платформата на резерва на ЕС от таланти съгласно член 3, параграф </w:t>
            </w:r>
            <w:r>
              <w:rPr>
                <w:b/>
                <w:i/>
              </w:rPr>
              <w:t>2</w:t>
            </w:r>
            <w:r>
              <w:t>, член 10, параграф 2, буква е), член 12, параграфи 5, 6 и 7, член 14, параграф 2 и член 15, параграф 2;</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425</w:t>
      </w:r>
      <w:r>
        <w:rPr>
          <w:rStyle w:val="HideTWBExt"/>
        </w:rPr>
        <w:t>&lt;/NumAm&gt;</w:t>
      </w:r>
    </w:p>
    <w:p>
      <w:pPr>
        <w:pStyle w:val="NormalBold"/>
      </w:pPr>
      <w:r>
        <w:rPr>
          <w:rStyle w:val="HideTWBExt"/>
          <w:b w:val="0"/>
        </w:rPr>
        <w:t>&lt;RepeatBlock-By&gt;</w:t>
      </w:r>
      <w:r>
        <w:rPr>
          <w:rStyle w:val="HideTWBExt"/>
          <w:b w:val="0"/>
        </w:rPr>
        <w:t>&lt;Members&gt;</w:t>
      </w:r>
      <w:r>
        <w:t>Том Вандендрисе, Петра Щегер, Ярослав Бжох, Фабрис Леджери, Антонио Танжер Кореа,  Хорхе Бусаде Виялба, Марике Елерс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8 – параграф 2 – буква 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в)</w:t>
            </w:r>
            <w:r>
              <w:tab/>
            </w:r>
            <w:r>
              <w:t>публикуване на съответната информация на ИТ платформата на резерва на ЕС от таланти съгласно член 3, параграф 3, член 10, параграф 2, буква е), член 12, параграфи 5, 6 и 7</w:t>
            </w:r>
            <w:r>
              <w:rPr>
                <w:b/>
                <w:i/>
              </w:rPr>
              <w:t>, член 14, параграф 2</w:t>
            </w:r>
            <w:r>
              <w:t xml:space="preserve"> и член 15</w:t>
            </w:r>
            <w:r>
              <w:rPr>
                <w:b/>
                <w:i/>
              </w:rPr>
              <w:t>, параграф 2</w:t>
            </w:r>
            <w:r>
              <w:t>;</w:t>
            </w:r>
          </w:p>
        </w:tc>
        <w:tc>
          <w:tcPr>
            <w:tcW w:w="4876" w:type="dxa"/>
            <w:tcBorders>
              <w:top w:val="nil"/>
              <w:left w:val="nil"/>
              <w:bottom w:val="nil"/>
              <w:right w:val="nil"/>
            </w:tcBorders>
          </w:tcPr>
          <w:p>
            <w:pPr>
              <w:pStyle w:val="Normal6a"/>
            </w:pPr>
            <w:r>
              <w:t>в)</w:t>
            </w:r>
            <w:r>
              <w:tab/>
            </w:r>
            <w:r>
              <w:t>публикуване на съответната информация на ИТ платформата на резерва на ЕС от таланти съгласно член 3, параграф 3, член 10, параграф 2, буква е), член 12, параграфи 5, 6 и 7 и член 15;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426</w:t>
      </w:r>
      <w:r>
        <w:rPr>
          <w:rStyle w:val="HideTWBExt"/>
        </w:rPr>
        <w:t>&lt;/NumAm&gt;</w:t>
      </w:r>
    </w:p>
    <w:p>
      <w:pPr>
        <w:pStyle w:val="NormalBold"/>
      </w:pPr>
      <w:r>
        <w:rPr>
          <w:rStyle w:val="HideTWBExt"/>
          <w:b w:val="0"/>
        </w:rPr>
        <w:t>&lt;RepeatBlock-By&gt;</w:t>
      </w:r>
      <w:r>
        <w:rPr>
          <w:rStyle w:val="HideTWBExt"/>
          <w:b w:val="0"/>
        </w:rPr>
        <w:t>&lt;Members&gt;</w:t>
      </w:r>
      <w:r>
        <w:t>Хавиер Морено Санчес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8 – параграф 2 – буква в a (нова)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вa)</w:t>
            </w:r>
            <w:r>
              <w:tab/>
            </w:r>
            <w:r>
              <w:rPr>
                <w:b/>
                <w:i/>
              </w:rPr>
              <w:t>проектиране и осъществяване на обширни рекламни дейности и информационни кампании в трети държави с цел утвърждаване на резерва на ЕС от таланти като световна марка;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427</w:t>
      </w:r>
      <w:r>
        <w:rPr>
          <w:rStyle w:val="HideTWBExt"/>
        </w:rPr>
        <w:t>&lt;/NumAm&gt;</w:t>
      </w:r>
    </w:p>
    <w:p>
      <w:pPr>
        <w:pStyle w:val="NormalBold"/>
      </w:pPr>
      <w:r>
        <w:rPr>
          <w:rStyle w:val="HideTWBExt"/>
          <w:b w:val="0"/>
        </w:rPr>
        <w:t>&lt;RepeatBlock-By&gt;</w:t>
      </w:r>
      <w:r>
        <w:rPr>
          <w:rStyle w:val="HideTWBExt"/>
          <w:b w:val="0"/>
        </w:rPr>
        <w:t>&lt;Members&gt;</w:t>
      </w:r>
      <w:r>
        <w:t>Пернандо Барена Арса</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8 – параграф 2 – буква г a (нова)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гa)</w:t>
            </w:r>
            <w:r>
              <w:tab/>
            </w:r>
            <w:r>
              <w:rPr>
                <w:b/>
                <w:i/>
              </w:rPr>
              <w:t>разработване на насоки за етични практики за наемане на работа, като се отдава приоритет на сектори и професии, при които наемането на персонал няма да увреди значително перспективите за развитие на трети държави;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428</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8 – параграф 2 – буква д</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д)</w:t>
            </w:r>
            <w:r>
              <w:tab/>
            </w:r>
            <w:r>
              <w:t xml:space="preserve">събиране на съответните данни </w:t>
            </w:r>
            <w:r>
              <w:rPr>
                <w:b/>
                <w:i/>
              </w:rPr>
              <w:t>за мониторинг</w:t>
            </w:r>
            <w:r>
              <w:t xml:space="preserve"> на ефективността на резерва на ЕС от таланти съгласно член 20;</w:t>
            </w:r>
          </w:p>
        </w:tc>
        <w:tc>
          <w:tcPr>
            <w:tcW w:w="4876" w:type="dxa"/>
            <w:tcBorders>
              <w:top w:val="nil"/>
              <w:left w:val="nil"/>
              <w:bottom w:val="nil"/>
              <w:right w:val="nil"/>
            </w:tcBorders>
          </w:tcPr>
          <w:p>
            <w:pPr>
              <w:pStyle w:val="Normal6a"/>
            </w:pPr>
            <w:r>
              <w:t>д)</w:t>
            </w:r>
            <w:r>
              <w:tab/>
            </w:r>
            <w:r>
              <w:t xml:space="preserve">събиране на съответните данни </w:t>
            </w:r>
            <w:r>
              <w:rPr>
                <w:b/>
                <w:i/>
              </w:rPr>
              <w:t>и наблюдение на мониторинга и</w:t>
            </w:r>
            <w:r>
              <w:t xml:space="preserve"> на ефективността на резерва на ЕС от таланти съгласно член 20;</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429</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8 – параграф 2 – буква д a (нова)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да)</w:t>
            </w:r>
            <w:r>
              <w:tab/>
            </w:r>
            <w:r>
              <w:rPr>
                <w:b/>
                <w:i/>
              </w:rPr>
              <w:t>разработване и одобряване на стандартизирана референтна рамка за предварително проверка на умения и квалификации в рамките на резерва на ЕС от таланти;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430</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8 – параграф 2 – буква е</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е)</w:t>
            </w:r>
            <w:r>
              <w:tab/>
            </w:r>
            <w:r>
              <w:t xml:space="preserve">свикване на редовни </w:t>
            </w:r>
            <w:r>
              <w:rPr>
                <w:b/>
                <w:i/>
              </w:rPr>
              <w:t>заседания на</w:t>
            </w:r>
            <w:r>
              <w:t xml:space="preserve"> мрежата на националните звена за контакт на резерва на ЕС от таланти</w:t>
            </w:r>
            <w:r>
              <w:rPr>
                <w:b/>
                <w:i/>
              </w:rPr>
              <w:t>, посочена в член 10</w:t>
            </w:r>
            <w:r>
              <w:t>, с цел обмен на информация и най-добри практики относно техническото прилагане на настоящия регламент на национално равнище.</w:t>
            </w:r>
          </w:p>
        </w:tc>
        <w:tc>
          <w:tcPr>
            <w:tcW w:w="4876" w:type="dxa"/>
            <w:tcBorders>
              <w:top w:val="nil"/>
              <w:left w:val="nil"/>
              <w:bottom w:val="nil"/>
              <w:right w:val="nil"/>
            </w:tcBorders>
          </w:tcPr>
          <w:p>
            <w:pPr>
              <w:pStyle w:val="Normal6a"/>
            </w:pPr>
            <w:r>
              <w:t>е)</w:t>
            </w:r>
            <w:r>
              <w:tab/>
            </w:r>
            <w:r>
              <w:t xml:space="preserve">свикване на редовни </w:t>
            </w:r>
            <w:r>
              <w:rPr>
                <w:b/>
                <w:i/>
              </w:rPr>
              <w:t>обществени консултации, обединяващи</w:t>
            </w:r>
            <w:r>
              <w:t xml:space="preserve"> мрежата на националните звена за контакт на резерва на ЕС от таланти </w:t>
            </w:r>
            <w:r>
              <w:rPr>
                <w:b/>
                <w:i/>
              </w:rPr>
              <w:t>и работодателите, включително по-малките предприятия</w:t>
            </w:r>
            <w:r>
              <w:t>, с цел обмен на информация и най-добри практики относно техническото прилагане на настоящия регламент на национално равнище.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431</w:t>
      </w:r>
      <w:r>
        <w:rPr>
          <w:rStyle w:val="HideTWBExt"/>
        </w:rPr>
        <w:t>&lt;/NumAm&gt;</w:t>
      </w:r>
    </w:p>
    <w:p>
      <w:pPr>
        <w:pStyle w:val="NormalBold"/>
      </w:pPr>
      <w:r>
        <w:rPr>
          <w:rStyle w:val="HideTWBExt"/>
          <w:b w:val="0"/>
        </w:rPr>
        <w:t>&lt;RepeatBlock-By&gt;</w:t>
      </w:r>
      <w:r>
        <w:rPr>
          <w:rStyle w:val="HideTWBExt"/>
          <w:b w:val="0"/>
        </w:rPr>
        <w:t>&lt;Members&gt;</w:t>
      </w:r>
      <w:r>
        <w:t>Ян-Кристоф Йотен, Абир Ал-Сахлани, Луция Яр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8 – параграф 2 – буква e a (нова)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еa)</w:t>
            </w:r>
            <w:r>
              <w:tab/>
            </w:r>
            <w:r>
              <w:rPr>
                <w:b/>
                <w:i/>
              </w:rPr>
              <w:t>гарантиране, че националните звена за контакт на резерва на ЕС от таланти предоставят достатъчно информация и услуги в подкрепа на регистрираните търсещи работа лица от трети държави и на работодателите, участващи в резерва на ЕС от таланти, в съответствие с член 17;</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432</w:t>
      </w:r>
      <w:r>
        <w:rPr>
          <w:rStyle w:val="HideTWBExt"/>
        </w:rPr>
        <w:t>&lt;/NumAm&gt;</w:t>
      </w:r>
    </w:p>
    <w:p>
      <w:pPr>
        <w:pStyle w:val="NormalBold"/>
      </w:pPr>
      <w:r>
        <w:rPr>
          <w:rStyle w:val="HideTWBExt"/>
          <w:b w:val="0"/>
        </w:rPr>
        <w:t>&lt;RepeatBlock-By&gt;</w:t>
      </w:r>
      <w:r>
        <w:rPr>
          <w:rStyle w:val="HideTWBExt"/>
          <w:b w:val="0"/>
        </w:rPr>
        <w:t>&lt;Members&gt;</w:t>
      </w:r>
      <w:r>
        <w:t>Хавиер Морено Санчес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8 а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Член 8 а</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Състав на ръководната група на резерва на ЕС от таланти;</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Ръководната група на резерва на ЕС от таланти се състои от:</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а) двама членове от всяка участваща държава членка;</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б) двама членове, представляващи Комисията;</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в) четирима членове, представляващи междуотраслови организации на социалните партньори на равнището на Съюза, с равен брой представители от профсъюзите и организациите на работодателите;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г) двама експерти от Европейския парламент като наблюдатели.</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Членовете на ръководната група на резерва на ЕС от таланти се назначават въз основа на съответните им познания в областта на заетостта и имиграцията.</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w:t>
            </w:r>
            <w:r>
              <w:t xml:space="preserve"> </w:t>
            </w:r>
            <w:r>
              <w:rPr>
                <w:b/>
                <w:i/>
              </w:rPr>
              <w:t>Държавите членки, които не участват в резерва на ЕС от таланти, може да участват в заседанията на ръководната група на резерва на ЕС от таланти като наблюдатели.</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w:t>
            </w:r>
            <w:r>
              <w:t xml:space="preserve"> </w:t>
            </w:r>
            <w:r>
              <w:rPr>
                <w:b/>
                <w:i/>
              </w:rPr>
              <w:t>Ръководната група на резерва на ЕС от таланти може да покани съответните заинтересовани страни, като представители на Европейския орган по труда, центъра за развитие на професионалното обучение и Европейската фондация за обучение, да участват в нейните срещи като наблюдатели.</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 Всеки член в ръководната група на резерва на ЕС от таланти подписва писмена декларация в момента на встъпването си в длъжност, в която заявява, че не се намира в положение на конфликт на интереси.</w:t>
            </w:r>
            <w:r>
              <w:t xml:space="preserve"> </w:t>
            </w:r>
            <w:r>
              <w:rPr>
                <w:b/>
                <w:i/>
              </w:rPr>
              <w:t>Всеки член актуализира своята декларация, когато има промяна в обстоятелствата във връзка с наличието на конфликт на интереси.</w:t>
            </w:r>
            <w:r>
              <w:t xml:space="preserve"> </w:t>
            </w:r>
            <w:r>
              <w:rPr>
                <w:b/>
                <w:i/>
              </w:rPr>
              <w:t>Секретариатът на резерва на ЕС от таланти публикува декларациите и техните актуализации на своя уебсайт.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433</w:t>
      </w:r>
      <w:r>
        <w:rPr>
          <w:rStyle w:val="HideTWBExt"/>
        </w:rPr>
        <w:t>&lt;/NumAm&gt;</w:t>
      </w:r>
    </w:p>
    <w:p>
      <w:pPr>
        <w:pStyle w:val="NormalBold"/>
      </w:pPr>
      <w:r>
        <w:rPr>
          <w:rStyle w:val="HideTWBExt"/>
          <w:b w:val="0"/>
        </w:rPr>
        <w:t>&lt;RepeatBlock-By&gt;</w:t>
      </w:r>
      <w:r>
        <w:rPr>
          <w:rStyle w:val="HideTWBExt"/>
          <w:b w:val="0"/>
        </w:rPr>
        <w:t>&lt;Members&gt;</w:t>
      </w:r>
      <w:r>
        <w:t>Хавиер Морено Санчес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9 – заглавие</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Ръководна</w:t>
            </w:r>
            <w:r>
              <w:t xml:space="preserve"> група на резерва на ЕС от таланти</w:t>
            </w:r>
          </w:p>
        </w:tc>
        <w:tc>
          <w:tcPr>
            <w:tcW w:w="4876" w:type="dxa"/>
            <w:tcBorders>
              <w:top w:val="nil"/>
              <w:left w:val="nil"/>
              <w:bottom w:val="nil"/>
              <w:right w:val="nil"/>
            </w:tcBorders>
          </w:tcPr>
          <w:p>
            <w:pPr>
              <w:pStyle w:val="Normal6a"/>
            </w:pPr>
            <w:r>
              <w:rPr>
                <w:b/>
                <w:i/>
              </w:rPr>
              <w:t>Функции на ръководната</w:t>
            </w:r>
            <w:r>
              <w:t xml:space="preserve"> група на резерва на ЕС от таланти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434</w:t>
      </w:r>
      <w:r>
        <w:rPr>
          <w:rStyle w:val="HideTWBExt"/>
        </w:rPr>
        <w:t>&lt;/NumAm&gt;</w:t>
      </w:r>
    </w:p>
    <w:p>
      <w:pPr>
        <w:pStyle w:val="NormalBold"/>
      </w:pPr>
      <w:r>
        <w:rPr>
          <w:rStyle w:val="HideTWBExt"/>
          <w:b w:val="0"/>
        </w:rPr>
        <w:t>&lt;RepeatBlock-By&gt;</w:t>
      </w:r>
      <w:r>
        <w:rPr>
          <w:rStyle w:val="HideTWBExt"/>
          <w:b w:val="0"/>
        </w:rPr>
        <w:t>&lt;Members&gt;</w:t>
      </w:r>
      <w:r>
        <w:t>Чарли Веймерс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9 – параграф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r>
              <w:tab/>
            </w:r>
            <w:r>
              <w:rPr>
                <w:b/>
                <w:i/>
              </w:rPr>
              <w:t>Създава се ръководна група на резерва на ЕС от таланти.</w:t>
            </w:r>
            <w:r>
              <w:t xml:space="preserve"> </w:t>
            </w:r>
            <w:r>
              <w:rPr>
                <w:b/>
                <w:i/>
              </w:rPr>
              <w:t>Ръководната група на резерва на ЕС от таланти отговаря за:</w:t>
            </w:r>
          </w:p>
        </w:tc>
        <w:tc>
          <w:tcPr>
            <w:tcW w:w="4876" w:type="dxa"/>
            <w:tcBorders>
              <w:top w:val="nil"/>
              <w:left w:val="nil"/>
              <w:bottom w:val="nil"/>
              <w:right w:val="nil"/>
            </w:tcBorders>
          </w:tcPr>
          <w:p>
            <w:pPr>
              <w:pStyle w:val="Normal6a"/>
            </w:pPr>
            <w:r>
              <w:rPr>
                <w:b/>
                <w:i/>
              </w:rPr>
              <w:t>заличава се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а) предоставяне на подкрепа на секретариата на резерва на ЕС от таланти при изготвянето на списъка на професиите с недостиг на работна ръка на общоевропейско равнище съгласно член 14;</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б) предоставяне на подкрепа на секретариата на резерва на ЕС от таланти при планирането и координирането на дейностите на резерва на ЕС от таланти;</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в) улесняване на събирането на данни, които са от значение за посочените в член 20 дейности, свързани с мониторинга на резерва на ЕС от таланти;</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г) обсъждане на прилагането на ускорени имиграционни процедури за улесняване на наемането на работа на регистрирани търсещи работа лица от трети държави съгласно член 19.</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435</w:t>
      </w:r>
      <w:r>
        <w:rPr>
          <w:rStyle w:val="HideTWBExt"/>
        </w:rPr>
        <w:t>&lt;/NumAm&gt;</w:t>
      </w:r>
    </w:p>
    <w:p>
      <w:pPr>
        <w:pStyle w:val="NormalBold"/>
      </w:pPr>
      <w:r>
        <w:rPr>
          <w:rStyle w:val="HideTWBExt"/>
          <w:b w:val="0"/>
        </w:rPr>
        <w:t>&lt;RepeatBlock-By&gt;</w:t>
      </w:r>
      <w:r>
        <w:rPr>
          <w:rStyle w:val="HideTWBExt"/>
          <w:b w:val="0"/>
        </w:rPr>
        <w:t>&lt;Members&gt;</w:t>
      </w:r>
      <w:r>
        <w:t>Хавиер Морено Санчес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9 – параграф 1 – уводна част</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rPr>
                <w:b/>
                <w:i/>
              </w:rPr>
              <w:t>Създава се ръководна група на резерва на ЕС от таланти.</w:t>
            </w:r>
            <w:r>
              <w:t xml:space="preserve"> Ръководната група на резерва на ЕС от таланти отговаря за:</w:t>
            </w:r>
          </w:p>
        </w:tc>
        <w:tc>
          <w:tcPr>
            <w:tcW w:w="4876" w:type="dxa"/>
            <w:tcBorders>
              <w:top w:val="nil"/>
              <w:left w:val="nil"/>
              <w:bottom w:val="nil"/>
              <w:right w:val="nil"/>
            </w:tcBorders>
          </w:tcPr>
          <w:p>
            <w:pPr>
              <w:pStyle w:val="Normal6a"/>
            </w:pPr>
            <w:r>
              <w:t>1.</w:t>
            </w:r>
            <w:r>
              <w:tab/>
            </w:r>
            <w:r>
              <w:t>Ръководната група на резерва на ЕС от таланти отговаря за: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436</w:t>
      </w:r>
      <w:r>
        <w:rPr>
          <w:rStyle w:val="HideTWBExt"/>
        </w:rPr>
        <w:t>&lt;/NumAm&gt;</w:t>
      </w:r>
    </w:p>
    <w:p>
      <w:pPr>
        <w:pStyle w:val="NormalBold"/>
      </w:pPr>
      <w:r>
        <w:rPr>
          <w:rStyle w:val="HideTWBExt"/>
          <w:b w:val="0"/>
        </w:rPr>
        <w:t>&lt;RepeatBlock-By&gt;</w:t>
      </w:r>
      <w:r>
        <w:rPr>
          <w:rStyle w:val="HideTWBExt"/>
          <w:b w:val="0"/>
        </w:rPr>
        <w:t>&lt;Members&gt;</w:t>
      </w:r>
      <w:r>
        <w:t>Йоан Даниелсон, Евин Инсир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9 – параграф 1 – буква 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а)</w:t>
            </w:r>
            <w:r>
              <w:tab/>
            </w:r>
            <w:r>
              <w:rPr>
                <w:b/>
                <w:i/>
              </w:rPr>
              <w:t>предоставяне на подкрепа на секретариата на резерва на ЕС от таланти при изготвянето на списъка на професиите с недостиг на работна ръка на общоевропейско равнище съгласно член 14;</w:t>
            </w:r>
          </w:p>
        </w:tc>
        <w:tc>
          <w:tcPr>
            <w:tcW w:w="4876" w:type="dxa"/>
            <w:tcBorders>
              <w:top w:val="nil"/>
              <w:left w:val="nil"/>
              <w:bottom w:val="nil"/>
              <w:right w:val="nil"/>
            </w:tcBorders>
          </w:tcPr>
          <w:p>
            <w:pPr>
              <w:pStyle w:val="Normal6a"/>
            </w:pPr>
            <w:r>
              <w:rPr>
                <w:b/>
                <w:i/>
              </w:rPr>
              <w:t>заличава се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437</w:t>
      </w:r>
      <w:r>
        <w:rPr>
          <w:rStyle w:val="HideTWBExt"/>
        </w:rPr>
        <w:t>&lt;/NumAm&gt;</w:t>
      </w:r>
    </w:p>
    <w:p>
      <w:pPr>
        <w:pStyle w:val="NormalBold"/>
      </w:pPr>
      <w:r>
        <w:rPr>
          <w:rStyle w:val="HideTWBExt"/>
          <w:b w:val="0"/>
        </w:rPr>
        <w:t>&lt;RepeatBlock-By&gt;</w:t>
      </w:r>
      <w:r>
        <w:rPr>
          <w:rStyle w:val="HideTWBExt"/>
          <w:b w:val="0"/>
        </w:rPr>
        <w:t>&lt;Members&gt;</w:t>
      </w:r>
      <w:r>
        <w:t>Пернандо Барена Арса</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9 – параграф 1 – буква 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а)</w:t>
            </w:r>
            <w:r>
              <w:tab/>
            </w:r>
            <w:r>
              <w:rPr>
                <w:b/>
                <w:i/>
              </w:rPr>
              <w:t>предоставяне на подкрепа на секретариата на резерва на ЕС от таланти при изготвянето на списъка на професиите с недостиг на работна ръка на общоевропейско равнище съгласно член 14;</w:t>
            </w:r>
          </w:p>
        </w:tc>
        <w:tc>
          <w:tcPr>
            <w:tcW w:w="4876" w:type="dxa"/>
            <w:tcBorders>
              <w:top w:val="nil"/>
              <w:left w:val="nil"/>
              <w:bottom w:val="nil"/>
              <w:right w:val="nil"/>
            </w:tcBorders>
          </w:tcPr>
          <w:p>
            <w:pPr>
              <w:pStyle w:val="Normal6a"/>
            </w:pPr>
            <w:r>
              <w:rPr>
                <w:b/>
                <w:i/>
              </w:rPr>
              <w:t>заличава се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438</w:t>
      </w:r>
      <w:r>
        <w:rPr>
          <w:rStyle w:val="HideTWBExt"/>
        </w:rPr>
        <w:t>&lt;/NumAm&gt;</w:t>
      </w:r>
    </w:p>
    <w:p>
      <w:pPr>
        <w:pStyle w:val="NormalBold"/>
      </w:pPr>
      <w:r>
        <w:rPr>
          <w:rStyle w:val="HideTWBExt"/>
          <w:b w:val="0"/>
        </w:rPr>
        <w:t>&lt;RepeatBlock-By&gt;</w:t>
      </w:r>
      <w:r>
        <w:rPr>
          <w:rStyle w:val="HideTWBExt"/>
          <w:b w:val="0"/>
        </w:rPr>
        <w:t>&lt;Members&gt;</w:t>
      </w:r>
      <w:r>
        <w:t>Том Вандендрисе, Петра Щегер, Ярослав Бжох, Фабрис Леджери, Антонио Танжер Кореа,  Хорхе Бусаде Виялба, Марике Елерс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9 – параграф 1 – буква 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а)</w:t>
            </w:r>
            <w:r>
              <w:tab/>
            </w:r>
            <w:r>
              <w:rPr>
                <w:b/>
                <w:i/>
              </w:rPr>
              <w:t>предоставяне на подкрепа на секретариата на резерва на ЕС от таланти при изготвянето на списъка на професиите с недостиг на работна ръка на общоевропейско равнище съгласно член 14;</w:t>
            </w:r>
          </w:p>
        </w:tc>
        <w:tc>
          <w:tcPr>
            <w:tcW w:w="4876" w:type="dxa"/>
            <w:tcBorders>
              <w:top w:val="nil"/>
              <w:left w:val="nil"/>
              <w:bottom w:val="nil"/>
              <w:right w:val="nil"/>
            </w:tcBorders>
          </w:tcPr>
          <w:p>
            <w:pPr>
              <w:pStyle w:val="Normal6a"/>
            </w:pPr>
            <w:r>
              <w:rPr>
                <w:b/>
                <w:i/>
              </w:rPr>
              <w:t>заличава се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439</w:t>
      </w:r>
      <w:r>
        <w:rPr>
          <w:rStyle w:val="HideTWBExt"/>
        </w:rPr>
        <w:t>&lt;/NumAm&gt;</w:t>
      </w:r>
    </w:p>
    <w:p>
      <w:pPr>
        <w:pStyle w:val="NormalBold"/>
      </w:pPr>
      <w:r>
        <w:rPr>
          <w:rStyle w:val="HideTWBExt"/>
          <w:b w:val="0"/>
        </w:rPr>
        <w:t>&lt;RepeatBlock-By&gt;</w:t>
      </w:r>
      <w:r>
        <w:rPr>
          <w:rStyle w:val="HideTWBExt"/>
          <w:b w:val="0"/>
        </w:rPr>
        <w:t>&lt;Members&gt;</w:t>
      </w:r>
      <w:r>
        <w:t>Софи Вилмес, Вероника Цифрова Острихоньова, Хилде Вотманс, Ян-Кристоф Йотен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9 – параграф 1 – буква 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а)</w:t>
            </w:r>
            <w:r>
              <w:tab/>
            </w:r>
            <w:r>
              <w:t>предоставяне на подкрепа на секретариата на резерва на ЕС от таланти при изготвянето на списъка на професиите с недостиг на работна ръка на общоевропейско равнище съгласно член 14;</w:t>
            </w:r>
          </w:p>
        </w:tc>
        <w:tc>
          <w:tcPr>
            <w:tcW w:w="4876" w:type="dxa"/>
            <w:tcBorders>
              <w:top w:val="nil"/>
              <w:left w:val="nil"/>
              <w:bottom w:val="nil"/>
              <w:right w:val="nil"/>
            </w:tcBorders>
          </w:tcPr>
          <w:p>
            <w:pPr>
              <w:pStyle w:val="Normal6a"/>
            </w:pPr>
            <w:r>
              <w:rPr>
                <w:b/>
                <w:i/>
              </w:rPr>
              <w:t>a)</w:t>
            </w:r>
            <w:r>
              <w:tab/>
            </w:r>
            <w:r>
              <w:t xml:space="preserve">а) предоставяне на подкрепа на секретариата на резерва на ЕС от таланти при изготвянето на списъка на професиите с недостиг на работна ръка на общоевропейско равнище съгласно член 14 </w:t>
            </w:r>
            <w:r>
              <w:rPr>
                <w:b/>
                <w:i/>
              </w:rPr>
              <w:t>и осигуряване на обмен на най-добри практики между държавите членки относно създаването, съдържанието и актуализирането на националните списъци</w:t>
            </w:r>
            <w:r>
              <w:t xml:space="preserve"> ;</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440</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9 – параграф 1 – буква 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а)</w:t>
            </w:r>
            <w:r>
              <w:tab/>
            </w:r>
            <w:r>
              <w:t>предоставяне на подкрепа на секретариата на резерва на ЕС от таланти при изготвянето на списъка на професиите с недостиг на работна ръка на общоевропейско равнище съгласно член 14;</w:t>
            </w:r>
          </w:p>
        </w:tc>
        <w:tc>
          <w:tcPr>
            <w:tcW w:w="4876" w:type="dxa"/>
            <w:tcBorders>
              <w:top w:val="nil"/>
              <w:left w:val="nil"/>
              <w:bottom w:val="nil"/>
              <w:right w:val="nil"/>
            </w:tcBorders>
          </w:tcPr>
          <w:p>
            <w:pPr>
              <w:pStyle w:val="Normal6a"/>
            </w:pPr>
            <w:r>
              <w:rPr>
                <w:b/>
                <w:i/>
              </w:rPr>
              <w:t>a)</w:t>
            </w:r>
            <w:r>
              <w:tab/>
            </w:r>
            <w:r>
              <w:rPr>
                <w:b/>
                <w:i/>
              </w:rPr>
              <w:t>а) идентифициране на сектори с унифицирани изисквания към уменията и сериозен недостиг на работна ръка,</w:t>
            </w:r>
            <w:r>
              <w:t xml:space="preserve"> предоставяне на подкрепа на секретариата на резерва на ЕС от таланти при изготвянето на списъка на професиите с недостиг на работна ръка на общоевропейско равнище съгласно член 14;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441</w:t>
      </w:r>
      <w:r>
        <w:rPr>
          <w:rStyle w:val="HideTWBExt"/>
        </w:rPr>
        <w:t>&lt;/NumAm&gt;</w:t>
      </w:r>
    </w:p>
    <w:p>
      <w:pPr>
        <w:pStyle w:val="NormalBold"/>
      </w:pPr>
      <w:r>
        <w:rPr>
          <w:rStyle w:val="HideTWBExt"/>
          <w:b w:val="0"/>
        </w:rPr>
        <w:t>&lt;RepeatBlock-By&gt;</w:t>
      </w:r>
      <w:r>
        <w:rPr>
          <w:rStyle w:val="HideTWBExt"/>
          <w:b w:val="0"/>
        </w:rPr>
        <w:t>&lt;Members&gt;</w:t>
      </w:r>
      <w:r>
        <w:t>Том Вандендрисе, Петра Щегер, Ярослав Бжох, Фабрис Леджери, Антонио Танжер Кореа,  Хорхе Бусаде Виялба, Марике Елерс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9 – параграф 1 – буква a а (нова)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аа)</w:t>
            </w:r>
            <w:r>
              <w:tab/>
            </w:r>
            <w:r>
              <w:rPr>
                <w:b/>
                <w:i/>
              </w:rPr>
              <w:t>актуализиране на националните приложения на професиите с недостиг на работна ръка в съответствие с член 15;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442</w:t>
      </w:r>
      <w:r>
        <w:rPr>
          <w:rStyle w:val="HideTWBExt"/>
        </w:rPr>
        <w:t>&lt;/NumAm&gt;</w:t>
      </w:r>
    </w:p>
    <w:p>
      <w:pPr>
        <w:pStyle w:val="NormalBold"/>
      </w:pPr>
      <w:r>
        <w:rPr>
          <w:rStyle w:val="HideTWBExt"/>
          <w:b w:val="0"/>
        </w:rPr>
        <w:t>&lt;RepeatBlock-By&gt;</w:t>
      </w:r>
      <w:r>
        <w:rPr>
          <w:rStyle w:val="HideTWBExt"/>
          <w:b w:val="0"/>
        </w:rPr>
        <w:t>&lt;Members&gt;</w:t>
      </w:r>
      <w:r>
        <w:t>Хавиер Морено Санчес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9 – параграф 1 – буква б a (нова)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ба)</w:t>
            </w:r>
            <w:r>
              <w:tab/>
            </w:r>
            <w:r>
              <w:rPr>
                <w:b/>
                <w:i/>
              </w:rPr>
              <w:t>осигуряване на надзор и подкрепа на секретариата на резерва на ЕС от таланти във връзка с обширни рекламни дейности и информационни кампании в трети държави съгласно член 8, параграф 2, букви в) и 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443</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9 – параграф 1 – буква 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в)</w:t>
            </w:r>
            <w:r>
              <w:tab/>
            </w:r>
            <w:r>
              <w:t>улесняване на събирането на данни, които са от значение за посочените в член 20 дейности, свързани с мониторинга на резерва на ЕС от таланти;</w:t>
            </w:r>
          </w:p>
        </w:tc>
        <w:tc>
          <w:tcPr>
            <w:tcW w:w="4876" w:type="dxa"/>
            <w:tcBorders>
              <w:top w:val="nil"/>
              <w:left w:val="nil"/>
              <w:bottom w:val="nil"/>
              <w:right w:val="nil"/>
            </w:tcBorders>
          </w:tcPr>
          <w:p>
            <w:pPr>
              <w:pStyle w:val="Normal6a"/>
            </w:pPr>
            <w:r>
              <w:t>в)</w:t>
            </w:r>
            <w:r>
              <w:tab/>
            </w:r>
            <w:r>
              <w:t>улесняване на събирането на данни, които са от значение за посочените в член 20 дейности, свързани с мониторинга на резерва на ЕС от таланти</w:t>
            </w:r>
            <w:r>
              <w:rPr>
                <w:b/>
                <w:i/>
              </w:rPr>
              <w:t>, включително събиране на отзиви след намиране на съответствие за бъдещи обучения</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444</w:t>
      </w:r>
      <w:r>
        <w:rPr>
          <w:rStyle w:val="HideTWBExt"/>
        </w:rPr>
        <w:t>&lt;/NumAm&gt;</w:t>
      </w:r>
    </w:p>
    <w:p>
      <w:pPr>
        <w:pStyle w:val="NormalBold"/>
      </w:pPr>
      <w:r>
        <w:rPr>
          <w:rStyle w:val="HideTWBExt"/>
          <w:b w:val="0"/>
        </w:rPr>
        <w:t>&lt;RepeatBlock-By&gt;</w:t>
      </w:r>
      <w:r>
        <w:rPr>
          <w:rStyle w:val="HideTWBExt"/>
          <w:b w:val="0"/>
        </w:rPr>
        <w:t>&lt;Members&gt;</w:t>
      </w:r>
      <w:r>
        <w:t>Том Вандендрисе, Петра Щегер, Ярослав Бжох, Фабрис Леджери, Антонио Танжер Кореа,  Хорхе Бусаде Виялба, Марике Елерс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9 – параграф 1 – буква г</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г)</w:t>
            </w:r>
            <w:r>
              <w:tab/>
            </w:r>
            <w:r>
              <w:rPr>
                <w:b/>
                <w:i/>
              </w:rPr>
              <w:t>обсъждане на прилагането на ускорени имиграционни процедури за улесняване на наемането на работа на регистрирани търсещи работа лица от трети държави съгласно член 19.</w:t>
            </w:r>
          </w:p>
        </w:tc>
        <w:tc>
          <w:tcPr>
            <w:tcW w:w="4876" w:type="dxa"/>
            <w:tcBorders>
              <w:top w:val="nil"/>
              <w:left w:val="nil"/>
              <w:bottom w:val="nil"/>
              <w:right w:val="nil"/>
            </w:tcBorders>
          </w:tcPr>
          <w:p>
            <w:pPr>
              <w:pStyle w:val="Normal6a"/>
            </w:pPr>
            <w:r>
              <w:rPr>
                <w:b/>
                <w:i/>
              </w:rPr>
              <w:t>заличава се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445</w:t>
      </w:r>
      <w:r>
        <w:rPr>
          <w:rStyle w:val="HideTWBExt"/>
        </w:rPr>
        <w:t>&lt;/NumAm&gt;</w:t>
      </w:r>
    </w:p>
    <w:p>
      <w:pPr>
        <w:pStyle w:val="NormalBold"/>
      </w:pPr>
      <w:r>
        <w:rPr>
          <w:rStyle w:val="HideTWBExt"/>
          <w:b w:val="0"/>
        </w:rPr>
        <w:t>&lt;RepeatBlock-By&gt;</w:t>
      </w:r>
      <w:r>
        <w:rPr>
          <w:rStyle w:val="HideTWBExt"/>
          <w:b w:val="0"/>
        </w:rPr>
        <w:t>&lt;Members&gt;</w:t>
      </w:r>
      <w:r>
        <w:t>Хавиер Морено Санчес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9 – параграф 1 – буква г</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г)</w:t>
            </w:r>
            <w:r>
              <w:tab/>
            </w:r>
            <w:r>
              <w:t xml:space="preserve">обсъждане </w:t>
            </w:r>
            <w:r>
              <w:rPr>
                <w:b/>
                <w:i/>
              </w:rPr>
              <w:t>на</w:t>
            </w:r>
            <w:r>
              <w:t xml:space="preserve"> прилагането на ускорени имиграционни процедури за улесняване на наемането на работа на регистрирани търсещи работа лица от трети държави съгласно член 19.</w:t>
            </w:r>
          </w:p>
        </w:tc>
        <w:tc>
          <w:tcPr>
            <w:tcW w:w="4876" w:type="dxa"/>
            <w:tcBorders>
              <w:top w:val="nil"/>
              <w:left w:val="nil"/>
              <w:bottom w:val="nil"/>
              <w:right w:val="nil"/>
            </w:tcBorders>
          </w:tcPr>
          <w:p>
            <w:pPr>
              <w:pStyle w:val="Normal6a"/>
            </w:pPr>
            <w:r>
              <w:t>г)</w:t>
            </w:r>
            <w:r>
              <w:tab/>
            </w:r>
            <w:r>
              <w:t xml:space="preserve">обсъждане </w:t>
            </w:r>
            <w:r>
              <w:rPr>
                <w:b/>
                <w:i/>
              </w:rPr>
              <w:t>и обмен на практики във връзка с</w:t>
            </w:r>
            <w:r>
              <w:t xml:space="preserve"> прилагането на ускорени имиграционни процедури за улесняване на наемането на работа на регистрирани търсещи работа лица от трети държави съгласно член 19.</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446</w:t>
      </w:r>
      <w:r>
        <w:rPr>
          <w:rStyle w:val="HideTWBExt"/>
        </w:rPr>
        <w:t>&lt;/NumAm&gt;</w:t>
      </w:r>
    </w:p>
    <w:p>
      <w:pPr>
        <w:pStyle w:val="NormalBold"/>
      </w:pPr>
      <w:r>
        <w:rPr>
          <w:rStyle w:val="HideTWBExt"/>
          <w:b w:val="0"/>
        </w:rPr>
        <w:t>&lt;RepeatBlock-By&gt;</w:t>
      </w:r>
      <w:r>
        <w:rPr>
          <w:rStyle w:val="HideTWBExt"/>
          <w:b w:val="0"/>
        </w:rPr>
        <w:t>&lt;Members&gt;</w:t>
      </w:r>
      <w:r>
        <w:t>Пернандо Барена Арса</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9 – параграф 1 – буква г a (нова)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гa)</w:t>
            </w:r>
            <w:r>
              <w:tab/>
            </w:r>
            <w:r>
              <w:rPr>
                <w:b/>
                <w:i/>
              </w:rPr>
              <w:t>оценяване на риска от изтичане на мозъци в партньорски трети държави и, ако такъв риск може да бъде установен, уведомяване на съответните органи в тази трета държава;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447</w:t>
      </w:r>
      <w:r>
        <w:rPr>
          <w:rStyle w:val="HideTWBExt"/>
        </w:rPr>
        <w:t>&lt;/NumAm&gt;</w:t>
      </w:r>
    </w:p>
    <w:p>
      <w:pPr>
        <w:pStyle w:val="NormalBold"/>
      </w:pPr>
      <w:r>
        <w:rPr>
          <w:rStyle w:val="HideTWBExt"/>
          <w:b w:val="0"/>
        </w:rPr>
        <w:t>&lt;RepeatBlock-By&gt;</w:t>
      </w:r>
      <w:r>
        <w:rPr>
          <w:rStyle w:val="HideTWBExt"/>
          <w:b w:val="0"/>
        </w:rPr>
        <w:t>&lt;Members&gt;</w:t>
      </w:r>
      <w:r>
        <w:t>Пернандо Барена Арса</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9 – параграф 1 – буква г б (нова)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гб)</w:t>
            </w:r>
            <w:r>
              <w:tab/>
            </w:r>
            <w:r>
              <w:rPr>
                <w:b/>
                <w:i/>
              </w:rPr>
              <w:t>наблюдение на спазването на съществуващите трудови стандарти, произтичащи от колективни трудови договори и съответното национално и европейско законодателство и практика;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448</w:t>
      </w:r>
      <w:r>
        <w:rPr>
          <w:rStyle w:val="HideTWBExt"/>
        </w:rPr>
        <w:t>&lt;/NumAm&gt;</w:t>
      </w:r>
    </w:p>
    <w:p>
      <w:pPr>
        <w:pStyle w:val="NormalBold"/>
      </w:pPr>
      <w:r>
        <w:rPr>
          <w:rStyle w:val="HideTWBExt"/>
          <w:b w:val="0"/>
        </w:rPr>
        <w:t>&lt;RepeatBlock-By&gt;</w:t>
      </w:r>
      <w:r>
        <w:rPr>
          <w:rStyle w:val="HideTWBExt"/>
          <w:b w:val="0"/>
        </w:rPr>
        <w:t>&lt;Members&gt;</w:t>
      </w:r>
      <w:r>
        <w:t>Пернандо Барена Арса</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9 – параграф 1 – буква г в (нова)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гв)</w:t>
            </w:r>
            <w:r>
              <w:tab/>
            </w:r>
            <w:r>
              <w:rPr>
                <w:b/>
                <w:i/>
              </w:rPr>
              <w:t>извършване на годишен преглед на дейността на резерва на ЕС от таланти, включително оценка на въздействието му върху правата на работниците и трудовите стандарти.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449</w:t>
      </w:r>
      <w:r>
        <w:rPr>
          <w:rStyle w:val="HideTWBExt"/>
        </w:rPr>
        <w:t>&lt;/NumAm&gt;</w:t>
      </w:r>
    </w:p>
    <w:p>
      <w:pPr>
        <w:pStyle w:val="NormalBold"/>
      </w:pPr>
      <w:r>
        <w:rPr>
          <w:rStyle w:val="HideTWBExt"/>
          <w:b w:val="0"/>
        </w:rPr>
        <w:t>&lt;RepeatBlock-By&gt;</w:t>
      </w:r>
      <w:r>
        <w:rPr>
          <w:rStyle w:val="HideTWBExt"/>
          <w:b w:val="0"/>
        </w:rPr>
        <w:t>&lt;Members&gt;</w:t>
      </w:r>
      <w:r>
        <w:t>Хавиер Морено Санчес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9 – параграф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tab/>
            </w:r>
            <w:r>
              <w:rPr>
                <w:b/>
                <w:i/>
              </w:rPr>
              <w:t>Само участващите държави членки са членове на ръководната група на резерва на ЕС от таланти.</w:t>
            </w:r>
            <w:r>
              <w:t xml:space="preserve"> </w:t>
            </w:r>
            <w:r>
              <w:rPr>
                <w:b/>
                <w:i/>
              </w:rPr>
              <w:t>Държавите членки, които не участват в резерва на ЕС от таланти, може да участват в заседанията на ръководната група на резерва на ЕС от таланти като наблюдатели.</w:t>
            </w:r>
          </w:p>
        </w:tc>
        <w:tc>
          <w:tcPr>
            <w:tcW w:w="4876" w:type="dxa"/>
            <w:tcBorders>
              <w:top w:val="nil"/>
              <w:left w:val="nil"/>
              <w:bottom w:val="nil"/>
              <w:right w:val="nil"/>
            </w:tcBorders>
          </w:tcPr>
          <w:p>
            <w:pPr>
              <w:pStyle w:val="Normal6a"/>
            </w:pPr>
            <w:r>
              <w:rPr>
                <w:b/>
                <w:i/>
              </w:rPr>
              <w:t>заличава се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450</w:t>
      </w:r>
      <w:r>
        <w:rPr>
          <w:rStyle w:val="HideTWBExt"/>
        </w:rPr>
        <w:t>&lt;/NumAm&gt;</w:t>
      </w:r>
    </w:p>
    <w:p>
      <w:pPr>
        <w:pStyle w:val="NormalBold"/>
      </w:pPr>
      <w:r>
        <w:rPr>
          <w:rStyle w:val="HideTWBExt"/>
          <w:b w:val="0"/>
        </w:rPr>
        <w:t>&lt;RepeatBlock-By&gt;</w:t>
      </w:r>
      <w:r>
        <w:rPr>
          <w:rStyle w:val="HideTWBExt"/>
          <w:b w:val="0"/>
        </w:rPr>
        <w:t>&lt;Members&gt;</w:t>
      </w:r>
      <w:r>
        <w:t>Лена Дюпон, Томас Тобé, Алис Теодореску Мове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9 – параграф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Само участващите държави членки са членове на ръководната група на резерва на ЕС от таланти. Държавите членки, които не участват в резерва на ЕС от таланти, може да участват в заседанията на ръководната група на резерва на ЕС от таланти като наблюдатели.</w:t>
            </w:r>
          </w:p>
        </w:tc>
        <w:tc>
          <w:tcPr>
            <w:tcW w:w="4876" w:type="dxa"/>
            <w:tcBorders>
              <w:top w:val="nil"/>
              <w:left w:val="nil"/>
              <w:bottom w:val="nil"/>
              <w:right w:val="nil"/>
            </w:tcBorders>
          </w:tcPr>
          <w:p>
            <w:pPr>
              <w:pStyle w:val="Normal6a"/>
            </w:pPr>
            <w:r>
              <w:t>2.</w:t>
            </w:r>
            <w:r>
              <w:tab/>
            </w:r>
            <w:r>
              <w:t xml:space="preserve">Само участващите държави членки са членове на ръководната група на резерва на ЕС от таланти. Държавите членки </w:t>
            </w:r>
            <w:r>
              <w:rPr>
                <w:b/>
                <w:i/>
              </w:rPr>
              <w:t>ще бъдат представлявани от експерти в областта на заетостта и миграцията.</w:t>
            </w:r>
            <w:r>
              <w:t xml:space="preserve"> </w:t>
            </w:r>
            <w:r>
              <w:rPr>
                <w:b/>
                <w:i/>
              </w:rPr>
              <w:t>Държавите членки</w:t>
            </w:r>
            <w:r>
              <w:t>, които не участват в резерва на ЕС от таланти, може да участват в заседанията на ръководната група на резерва на ЕС от таланти като наблюдатели.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451</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9 – параграф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rPr>
                <w:b/>
                <w:i/>
              </w:rPr>
              <w:t>Само участващите държави</w:t>
            </w:r>
            <w:r>
              <w:t xml:space="preserve"> членки </w:t>
            </w:r>
            <w:r>
              <w:rPr>
                <w:b/>
                <w:i/>
              </w:rPr>
              <w:t>са членове на ръководната група на резерва на ЕС от таланти.</w:t>
            </w:r>
            <w:r>
              <w:t xml:space="preserve"> </w:t>
            </w:r>
            <w:r>
              <w:rPr>
                <w:b/>
                <w:i/>
              </w:rPr>
              <w:t>Държавите членки, които не участват в резерва на ЕС от таланти, може да участват в заседанията</w:t>
            </w:r>
            <w:r>
              <w:t xml:space="preserve"> на ръководната група на резерва на ЕС от таланти </w:t>
            </w:r>
            <w:r>
              <w:rPr>
                <w:b/>
                <w:i/>
              </w:rPr>
              <w:t>като наблюдатели</w:t>
            </w:r>
            <w:r>
              <w:t>.</w:t>
            </w:r>
          </w:p>
        </w:tc>
        <w:tc>
          <w:tcPr>
            <w:tcW w:w="4876" w:type="dxa"/>
            <w:tcBorders>
              <w:top w:val="nil"/>
              <w:left w:val="nil"/>
              <w:bottom w:val="nil"/>
              <w:right w:val="nil"/>
            </w:tcBorders>
          </w:tcPr>
          <w:p>
            <w:pPr>
              <w:pStyle w:val="Normal6a"/>
            </w:pPr>
            <w:r>
              <w:t>2.</w:t>
            </w:r>
            <w:r>
              <w:tab/>
            </w:r>
            <w:r>
              <w:rPr>
                <w:b/>
                <w:i/>
              </w:rPr>
              <w:t>Държавите</w:t>
            </w:r>
            <w:r>
              <w:t xml:space="preserve"> членки </w:t>
            </w:r>
            <w:r>
              <w:rPr>
                <w:b/>
                <w:i/>
              </w:rPr>
              <w:t>и техните националните звена за контакт, съгласно член 10, ще бъдат членове</w:t>
            </w:r>
            <w:r>
              <w:t xml:space="preserve"> на ръководната група на резерва на ЕС от таланти.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452</w:t>
      </w:r>
      <w:r>
        <w:rPr>
          <w:rStyle w:val="HideTWBExt"/>
        </w:rPr>
        <w:t>&lt;/NumAm&gt;</w:t>
      </w:r>
    </w:p>
    <w:p>
      <w:pPr>
        <w:pStyle w:val="NormalBold"/>
      </w:pPr>
      <w:r>
        <w:rPr>
          <w:rStyle w:val="HideTWBExt"/>
          <w:b w:val="0"/>
        </w:rPr>
        <w:t>&lt;RepeatBlock-By&gt;</w:t>
      </w:r>
      <w:r>
        <w:rPr>
          <w:rStyle w:val="HideTWBExt"/>
          <w:b w:val="0"/>
        </w:rPr>
        <w:t>&lt;Members&gt;</w:t>
      </w:r>
      <w:r>
        <w:t>Ян-Кристоф Йотен, Абир Ал-Сахлани, Луция Яр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9 – параграф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rPr>
                <w:b/>
                <w:i/>
              </w:rPr>
              <w:t>Само участващите държави членки са членове на</w:t>
            </w:r>
            <w:r>
              <w:t xml:space="preserve"> ръководната група на резерва на ЕС от таланти</w:t>
            </w:r>
            <w:r>
              <w:rPr>
                <w:b/>
                <w:i/>
              </w:rPr>
              <w:t>.</w:t>
            </w:r>
            <w:r>
              <w:t xml:space="preserve"> </w:t>
            </w:r>
            <w:r>
              <w:rPr>
                <w:b/>
                <w:i/>
              </w:rPr>
              <w:t>Държавите членки, които не участват в резерва на ЕС от таланти, може да участват в заседанията на ръководната група на резерва на ЕС от таланти като наблюдатели</w:t>
            </w:r>
            <w:r>
              <w:t>.</w:t>
            </w:r>
          </w:p>
        </w:tc>
        <w:tc>
          <w:tcPr>
            <w:tcW w:w="4876" w:type="dxa"/>
            <w:tcBorders>
              <w:top w:val="nil"/>
              <w:left w:val="nil"/>
              <w:bottom w:val="nil"/>
              <w:right w:val="nil"/>
            </w:tcBorders>
          </w:tcPr>
          <w:p>
            <w:pPr>
              <w:pStyle w:val="Normal6a"/>
            </w:pPr>
            <w:r>
              <w:t>2.</w:t>
            </w:r>
            <w:r>
              <w:tab/>
            </w:r>
            <w:r>
              <w:t>Ръководната група на резерва на ЕС от таланти</w:t>
            </w:r>
            <w:r>
              <w:rPr>
                <w:b/>
                <w:i/>
              </w:rPr>
              <w:t> се състои от двама представители на всяка държава членка</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453</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9 – параграф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Ръководната група на резерва на ЕС от таланти заседава два пъти годишно или на ad-hoc принцип, когато е необходимо. Заседанията се свикват </w:t>
            </w:r>
            <w:r>
              <w:rPr>
                <w:b/>
                <w:i/>
              </w:rPr>
              <w:t>от</w:t>
            </w:r>
            <w:r>
              <w:t xml:space="preserve"> Комисията и </w:t>
            </w:r>
            <w:r>
              <w:rPr>
                <w:b/>
                <w:i/>
              </w:rPr>
              <w:t>протичат под нейното председателство</w:t>
            </w:r>
            <w:r>
              <w:t>.</w:t>
            </w:r>
          </w:p>
        </w:tc>
        <w:tc>
          <w:tcPr>
            <w:tcW w:w="4876" w:type="dxa"/>
            <w:tcBorders>
              <w:top w:val="nil"/>
              <w:left w:val="nil"/>
              <w:bottom w:val="nil"/>
              <w:right w:val="nil"/>
            </w:tcBorders>
          </w:tcPr>
          <w:p>
            <w:pPr>
              <w:pStyle w:val="Normal6a"/>
            </w:pPr>
            <w:r>
              <w:t>3.</w:t>
            </w:r>
            <w:r>
              <w:tab/>
            </w:r>
            <w:r>
              <w:t xml:space="preserve">Ръководната група на резерва на ЕС от таланти заседава </w:t>
            </w:r>
            <w:r>
              <w:rPr>
                <w:b/>
                <w:i/>
              </w:rPr>
              <w:t>поне</w:t>
            </w:r>
            <w:r>
              <w:t xml:space="preserve"> два пъти годишно или на ad-hoc принцип, когато е необходимо. Заседанията се свикват </w:t>
            </w:r>
            <w:r>
              <w:rPr>
                <w:b/>
                <w:i/>
              </w:rPr>
              <w:t>и протичат под председателството на</w:t>
            </w:r>
            <w:r>
              <w:t xml:space="preserve"> Комисията и </w:t>
            </w:r>
            <w:r>
              <w:rPr>
                <w:b/>
                <w:i/>
              </w:rPr>
              <w:t>на секретариата на резерва на ЕС от таланти</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454</w:t>
      </w:r>
      <w:r>
        <w:rPr>
          <w:rStyle w:val="HideTWBExt"/>
        </w:rPr>
        <w:t>&lt;/NumAm&gt;</w:t>
      </w:r>
    </w:p>
    <w:p>
      <w:pPr>
        <w:pStyle w:val="NormalBold"/>
      </w:pPr>
      <w:r>
        <w:rPr>
          <w:rStyle w:val="HideTWBExt"/>
          <w:b w:val="0"/>
        </w:rPr>
        <w:t>&lt;RepeatBlock-By&gt;</w:t>
      </w:r>
      <w:r>
        <w:rPr>
          <w:rStyle w:val="HideTWBExt"/>
          <w:b w:val="0"/>
        </w:rPr>
        <w:t>&lt;Members&gt;</w:t>
      </w:r>
      <w:r>
        <w:t>Том Вандендрисе, Петра Щегер, Ярослав Бжох, Фабрис Леджери, Антонио Танжер Кореа,  Хорхе Бусаде Виялба, Марике Елерс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9 – параграф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w:t>
            </w:r>
            <w:r>
              <w:tab/>
            </w:r>
            <w:r>
              <w:rPr>
                <w:b/>
                <w:i/>
              </w:rPr>
              <w:t>Представителите на междуотрасловите организации на социалните партньори на равнището на Съюза имат право да участват като наблюдатели в заседанията на ръководната група на резерва на ЕС от таланти.</w:t>
            </w:r>
            <w:r>
              <w:t xml:space="preserve"> </w:t>
            </w:r>
            <w:r>
              <w:rPr>
                <w:b/>
                <w:i/>
              </w:rPr>
              <w:t>Представителството на двама участници от синдикалните организации и двама участници от организациите на работодателите се осигурява от ръководната група на резерва на ЕС от таланти.</w:t>
            </w:r>
            <w:r>
              <w:t xml:space="preserve"> </w:t>
            </w:r>
            <w:r>
              <w:rPr>
                <w:b/>
                <w:i/>
              </w:rPr>
              <w:t>Тези представители подписват писмена декларация, в която заявяват, че не се намират в положение на конфликт на интереси.</w:t>
            </w:r>
          </w:p>
        </w:tc>
        <w:tc>
          <w:tcPr>
            <w:tcW w:w="4876" w:type="dxa"/>
            <w:tcBorders>
              <w:top w:val="nil"/>
              <w:left w:val="nil"/>
              <w:bottom w:val="nil"/>
              <w:right w:val="nil"/>
            </w:tcBorders>
          </w:tcPr>
          <w:p>
            <w:pPr>
              <w:pStyle w:val="Normal6a"/>
            </w:pPr>
            <w:r>
              <w:rPr>
                <w:b/>
                <w:i/>
              </w:rPr>
              <w:t>заличава се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455</w:t>
      </w:r>
      <w:r>
        <w:rPr>
          <w:rStyle w:val="HideTWBExt"/>
        </w:rPr>
        <w:t>&lt;/NumAm&gt;</w:t>
      </w:r>
    </w:p>
    <w:p>
      <w:pPr>
        <w:pStyle w:val="NormalBold"/>
      </w:pPr>
      <w:r>
        <w:rPr>
          <w:rStyle w:val="HideTWBExt"/>
          <w:b w:val="0"/>
        </w:rPr>
        <w:t>&lt;RepeatBlock-By&gt;</w:t>
      </w:r>
      <w:r>
        <w:rPr>
          <w:rStyle w:val="HideTWBExt"/>
          <w:b w:val="0"/>
        </w:rPr>
        <w:t>&lt;Members&gt;</w:t>
      </w:r>
      <w:r>
        <w:t>Хавиер Морено Санчес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9 – параграф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w:t>
            </w:r>
            <w:r>
              <w:tab/>
            </w:r>
            <w:r>
              <w:rPr>
                <w:b/>
                <w:i/>
              </w:rPr>
              <w:t>Представителите на междуотрасловите организации на социалните партньори на равнището на Съюза имат право да участват като наблюдатели в заседанията на ръководната група на резерва на ЕС от таланти.</w:t>
            </w:r>
            <w:r>
              <w:t xml:space="preserve"> </w:t>
            </w:r>
            <w:r>
              <w:rPr>
                <w:b/>
                <w:i/>
              </w:rPr>
              <w:t>Представителството на двама участници от синдикалните организации и двама участници от организациите на работодателите се осигурява от ръководната група на резерва на ЕС от таланти.</w:t>
            </w:r>
            <w:r>
              <w:t xml:space="preserve"> </w:t>
            </w:r>
            <w:r>
              <w:rPr>
                <w:b/>
                <w:i/>
              </w:rPr>
              <w:t>Тези представители подписват писмена декларация, в която заявяват, че не се намират в положение на конфликт на интереси.</w:t>
            </w:r>
          </w:p>
        </w:tc>
        <w:tc>
          <w:tcPr>
            <w:tcW w:w="4876" w:type="dxa"/>
            <w:tcBorders>
              <w:top w:val="nil"/>
              <w:left w:val="nil"/>
              <w:bottom w:val="nil"/>
              <w:right w:val="nil"/>
            </w:tcBorders>
          </w:tcPr>
          <w:p>
            <w:pPr>
              <w:pStyle w:val="Normal6a"/>
            </w:pPr>
            <w:r>
              <w:rPr>
                <w:b/>
                <w:i/>
              </w:rPr>
              <w:t>заличава се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456</w:t>
      </w:r>
      <w:r>
        <w:rPr>
          <w:rStyle w:val="HideTWBExt"/>
        </w:rPr>
        <w:t>&lt;/NumAm&gt;</w:t>
      </w:r>
    </w:p>
    <w:p>
      <w:pPr>
        <w:pStyle w:val="NormalBold"/>
      </w:pPr>
      <w:r>
        <w:rPr>
          <w:rStyle w:val="HideTWBExt"/>
          <w:b w:val="0"/>
        </w:rPr>
        <w:t>&lt;RepeatBlock-By&gt;</w:t>
      </w:r>
      <w:r>
        <w:rPr>
          <w:rStyle w:val="HideTWBExt"/>
          <w:b w:val="0"/>
        </w:rPr>
        <w:t>&lt;Members&gt;</w:t>
      </w:r>
      <w:r>
        <w:t>Пернандо Барена Арса</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9 – параграф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rPr>
                <w:b/>
                <w:i/>
              </w:rPr>
              <w:t>Представителите</w:t>
            </w:r>
            <w:r>
              <w:t xml:space="preserve"> на междуотрасловите организации на социалните партньори на равнището на Съюза </w:t>
            </w:r>
            <w:r>
              <w:rPr>
                <w:b/>
                <w:i/>
              </w:rPr>
              <w:t>имат право да участват като наблюдатели в заседанията</w:t>
            </w:r>
            <w:r>
              <w:t xml:space="preserve"> на ръководната група на резерва на ЕС от таланти. </w:t>
            </w:r>
            <w:r>
              <w:rPr>
                <w:b/>
                <w:i/>
              </w:rPr>
              <w:t>Представителството на двама участници от синдикалните</w:t>
            </w:r>
            <w:r>
              <w:t xml:space="preserve"> организации </w:t>
            </w:r>
            <w:r>
              <w:rPr>
                <w:b/>
                <w:i/>
              </w:rPr>
              <w:t>и двама участници от организациите на работодателите се осигурява от</w:t>
            </w:r>
            <w:r>
              <w:t xml:space="preserve"> ръководната група на резерва на ЕС от таланти. Тези представители подписват писмена декларация, в която заявяват, че не се намират в положение на конфликт на интереси.</w:t>
            </w:r>
          </w:p>
        </w:tc>
        <w:tc>
          <w:tcPr>
            <w:tcW w:w="4876" w:type="dxa"/>
            <w:tcBorders>
              <w:top w:val="nil"/>
              <w:left w:val="nil"/>
              <w:bottom w:val="nil"/>
              <w:right w:val="nil"/>
            </w:tcBorders>
          </w:tcPr>
          <w:p>
            <w:pPr>
              <w:pStyle w:val="Normal6a"/>
            </w:pPr>
            <w:r>
              <w:t>4.</w:t>
            </w:r>
            <w:r>
              <w:tab/>
            </w:r>
            <w:r>
              <w:rPr>
                <w:b/>
                <w:i/>
              </w:rPr>
              <w:t>Четирима представители</w:t>
            </w:r>
            <w:r>
              <w:t xml:space="preserve"> на междуотрасловите </w:t>
            </w:r>
            <w:r>
              <w:rPr>
                <w:b/>
                <w:i/>
              </w:rPr>
              <w:t>и секторните</w:t>
            </w:r>
            <w:r>
              <w:t xml:space="preserve"> организации на социалните партньори на равнището на Съюза</w:t>
            </w:r>
            <w:r>
              <w:rPr>
                <w:b/>
                <w:i/>
              </w:rPr>
              <w:t>, които се определят от тези организации, с равен брой представители от синдикалните организации и от организациите на работодателите, са активни членове</w:t>
            </w:r>
            <w:r>
              <w:t xml:space="preserve"> на ръководната група на резерва на ЕС от таланти. </w:t>
            </w:r>
            <w:r>
              <w:rPr>
                <w:b/>
                <w:i/>
              </w:rPr>
              <w:t>Представителите на секторните социални партньори на равнището на Съюза, както и</w:t>
            </w:r>
            <w:r>
              <w:t xml:space="preserve"> организации </w:t>
            </w:r>
            <w:r>
              <w:rPr>
                <w:b/>
                <w:i/>
              </w:rPr>
              <w:t>за права на мигранти, имат право да участват като наблюдатели в заседанията на</w:t>
            </w:r>
            <w:r>
              <w:t xml:space="preserve"> ръководната група на резерва на ЕС от таланти. Тези представители подписват писмена декларация, в която заявяват, че не се намират в положение на конфликт на интереси. </w:t>
            </w:r>
            <w:r>
              <w:rPr>
                <w:b/>
                <w:i/>
              </w:rPr>
              <w:t>Представителите на съответните трети държави, свързани с резерва на ЕС от таланти имат право да участват като наблюдатели в заседанията на ръководната група на резерва на ЕС от таланти.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457</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9 – параграф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Представителите на междуотрасловите организации на социалните партньори на равнището на Съюза имат право да участват </w:t>
            </w:r>
            <w:r>
              <w:rPr>
                <w:b/>
                <w:i/>
              </w:rPr>
              <w:t>като наблюдатели</w:t>
            </w:r>
            <w:r>
              <w:t xml:space="preserve"> в заседанията на ръководната група на резерва на ЕС от таланти. Представителството на двама участници от синдикалните организации и двама участници от организациите на работодателите се осигурява от ръководната група на резерва на ЕС от таланти. </w:t>
            </w:r>
            <w:r>
              <w:rPr>
                <w:b/>
                <w:i/>
              </w:rPr>
              <w:t>Тези</w:t>
            </w:r>
            <w:r>
              <w:t xml:space="preserve"> представители подписват писмена декларация, в която заявяват, че не се намират в положение на конфликт на интереси.</w:t>
            </w:r>
          </w:p>
        </w:tc>
        <w:tc>
          <w:tcPr>
            <w:tcW w:w="4876" w:type="dxa"/>
            <w:tcBorders>
              <w:top w:val="nil"/>
              <w:left w:val="nil"/>
              <w:bottom w:val="nil"/>
              <w:right w:val="nil"/>
            </w:tcBorders>
          </w:tcPr>
          <w:p>
            <w:pPr>
              <w:pStyle w:val="Normal6a"/>
            </w:pPr>
            <w:r>
              <w:t>4.</w:t>
            </w:r>
            <w:r>
              <w:tab/>
            </w:r>
            <w:r>
              <w:t xml:space="preserve">Представителите на междуотрасловите организации на социалните партньори на равнището на Съюза имат право да участват в заседанията на ръководната група на резерва на ЕС от таланти. Представителството на двама участници от синдикалните организации и двама участници от организациите на работодателите се осигурява от ръководната група на резерва на ЕС от таланти. </w:t>
            </w:r>
            <w:r>
              <w:rPr>
                <w:b/>
                <w:i/>
              </w:rPr>
              <w:t>Двама представители на организации на гражданското общество, които работят пряко с работници мигранти и/или представляват мигрантски общности, също ще участват в ръководната група на резерва на ЕС от таланти.</w:t>
            </w:r>
            <w:r>
              <w:t xml:space="preserve"> </w:t>
            </w:r>
            <w:r>
              <w:rPr>
                <w:b/>
                <w:i/>
              </w:rPr>
              <w:t>Съответни международни организации, като ОИСР или МОМ, могат да бъдат поканени да участват в заседанията на ръководната група.</w:t>
            </w:r>
            <w:r>
              <w:t xml:space="preserve"> </w:t>
            </w:r>
            <w:r>
              <w:rPr>
                <w:b/>
                <w:i/>
              </w:rPr>
              <w:t>Всички</w:t>
            </w:r>
            <w:r>
              <w:t xml:space="preserve"> представители подписват писмена декларация, в която заявяват, че не се намират в положение на конфликт на интереси.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458</w:t>
      </w:r>
      <w:r>
        <w:rPr>
          <w:rStyle w:val="HideTWBExt"/>
        </w:rPr>
        <w:t>&lt;/NumAm&gt;</w:t>
      </w:r>
    </w:p>
    <w:p>
      <w:pPr>
        <w:pStyle w:val="NormalBold"/>
      </w:pPr>
      <w:r>
        <w:rPr>
          <w:rStyle w:val="HideTWBExt"/>
          <w:b w:val="0"/>
        </w:rPr>
        <w:t>&lt;RepeatBlock-By&gt;</w:t>
      </w:r>
      <w:r>
        <w:rPr>
          <w:rStyle w:val="HideTWBExt"/>
          <w:b w:val="0"/>
        </w:rPr>
        <w:t>&lt;Members&gt;</w:t>
      </w:r>
      <w:r>
        <w:t>Лена Дюпон, Томас Тобé, Алис Теодореску Мове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9 – параграф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Представителите на междуотрасловите организации на социалните партньори на равнището на Съюза имат право да участват като наблюдатели в заседанията на ръководната група на резерва на ЕС от таланти. Представителството на двама участници от синдикалните организации и двама участници от организациите на работодателите се осигурява от ръководната група на резерва на ЕС от таланти. Тези представители подписват писмена декларация, в която заявяват, че не се намират в положение на конфликт на интереси.</w:t>
            </w:r>
          </w:p>
        </w:tc>
        <w:tc>
          <w:tcPr>
            <w:tcW w:w="4876" w:type="dxa"/>
            <w:tcBorders>
              <w:top w:val="nil"/>
              <w:left w:val="nil"/>
              <w:bottom w:val="nil"/>
              <w:right w:val="nil"/>
            </w:tcBorders>
          </w:tcPr>
          <w:p>
            <w:pPr>
              <w:pStyle w:val="Normal6a"/>
            </w:pPr>
            <w:r>
              <w:t>4.</w:t>
            </w:r>
            <w:r>
              <w:tab/>
            </w:r>
            <w:r>
              <w:t xml:space="preserve">Представителите на междуотрасловите организации на социалните партньори на равнището на Съюза имат право да участват като наблюдатели в заседанията на ръководната група на резерва на ЕС от таланти. Представителството на двама участници от синдикалните организации и двама участници от организациите на работодателите се осигурява от ръководната група на резерва на ЕС от таланти. Тези представители подписват писмена декларация, в която заявяват, че не се намират в положение на конфликт на интереси. </w:t>
            </w:r>
            <w:r>
              <w:rPr>
                <w:b/>
                <w:i/>
              </w:rPr>
              <w:t>Представители на трети държави, с които Съюзът е подписал партньорствата в подкрепа на талантите, могат да бъдат поканени на конкретни заседания.</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459</w:t>
      </w:r>
      <w:r>
        <w:rPr>
          <w:rStyle w:val="HideTWBExt"/>
        </w:rPr>
        <w:t>&lt;/NumAm&gt;</w:t>
      </w:r>
    </w:p>
    <w:p>
      <w:pPr>
        <w:pStyle w:val="NormalBold"/>
      </w:pPr>
      <w:r>
        <w:rPr>
          <w:rStyle w:val="HideTWBExt"/>
          <w:b w:val="0"/>
        </w:rPr>
        <w:t>&lt;RepeatBlock-By&gt;</w:t>
      </w:r>
      <w:r>
        <w:rPr>
          <w:rStyle w:val="HideTWBExt"/>
          <w:b w:val="0"/>
        </w:rPr>
        <w:t>&lt;Members&gt;</w:t>
      </w:r>
      <w:r>
        <w:t>Хуан Игнасио Соидо Алварес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9 – параграф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Представителите на </w:t>
            </w:r>
            <w:r>
              <w:rPr>
                <w:b/>
                <w:i/>
              </w:rPr>
              <w:t>междуотрасловите</w:t>
            </w:r>
            <w:r>
              <w:t xml:space="preserve"> организации на социалните партньори на равнището на Съюза имат право да участват като наблюдатели в заседанията на ръководната група на резерва на ЕС от таланти. Представителството на двама участници от синдикалните организации и двама участници от </w:t>
            </w:r>
            <w:r>
              <w:rPr>
                <w:b/>
                <w:i/>
              </w:rPr>
              <w:t>организациите</w:t>
            </w:r>
            <w:r>
              <w:t xml:space="preserve"> на работодателите се осигурява от ръководната група на резерва на ЕС от таланти. Тези представители подписват писмена декларация, в която заявяват, че не се намират в положение на конфликт на интереси.</w:t>
            </w:r>
          </w:p>
        </w:tc>
        <w:tc>
          <w:tcPr>
            <w:tcW w:w="4876" w:type="dxa"/>
            <w:tcBorders>
              <w:top w:val="nil"/>
              <w:left w:val="nil"/>
              <w:bottom w:val="nil"/>
              <w:right w:val="nil"/>
            </w:tcBorders>
          </w:tcPr>
          <w:p>
            <w:pPr>
              <w:pStyle w:val="Normal6a"/>
            </w:pPr>
            <w:r>
              <w:t>4.</w:t>
            </w:r>
            <w:r>
              <w:tab/>
            </w:r>
            <w:r>
              <w:t>Представителите на организации на социалните партньори</w:t>
            </w:r>
            <w:r>
              <w:rPr>
                <w:b/>
                <w:i/>
              </w:rPr>
              <w:t>, като бизнес организации, синдикати и професионални организации,</w:t>
            </w:r>
            <w:r>
              <w:t xml:space="preserve"> на равнището на Съюза имат право да участват като наблюдатели в заседанията на ръководната група на резерва на ЕС от таланти. Представителството на двама участници от синдикалните организации и двама участници от </w:t>
            </w:r>
            <w:r>
              <w:rPr>
                <w:b/>
                <w:i/>
              </w:rPr>
              <w:t>професионалните организации и тези</w:t>
            </w:r>
            <w:r>
              <w:t xml:space="preserve"> на работодателите се осигурява от ръководната група на резерва на ЕС от таланти. Тези представители подписват писмена декларация, в която заявяват, че не се намират в положение на конфликт на интереси.</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460</w:t>
      </w:r>
      <w:r>
        <w:rPr>
          <w:rStyle w:val="HideTWBExt"/>
        </w:rPr>
        <w:t>&lt;/NumAm&gt;</w:t>
      </w:r>
    </w:p>
    <w:p>
      <w:pPr>
        <w:pStyle w:val="NormalBold"/>
      </w:pPr>
      <w:r>
        <w:rPr>
          <w:rStyle w:val="HideTWBExt"/>
          <w:b w:val="0"/>
        </w:rPr>
        <w:t>&lt;RepeatBlock-By&gt;</w:t>
      </w:r>
      <w:r>
        <w:rPr>
          <w:rStyle w:val="HideTWBExt"/>
          <w:b w:val="0"/>
        </w:rPr>
        <w:t>&lt;Members&gt;</w:t>
      </w:r>
      <w:r>
        <w:t>Пернандо Барена Арса</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9 – параграф 4 а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4а.</w:t>
            </w:r>
            <w:r>
              <w:tab/>
            </w:r>
            <w:r>
              <w:rPr>
                <w:b/>
                <w:i/>
              </w:rPr>
              <w:t>Ръководната група ще установи официален механизъм за консултации със синдикатите за събиране на редовни отзиви относно функционирането на резерва на ЕС от таланти и неговото въздействие върху пазара на труда и условията на труд.</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461</w:t>
      </w:r>
      <w:r>
        <w:rPr>
          <w:rStyle w:val="HideTWBExt"/>
        </w:rPr>
        <w:t>&lt;/NumAm&gt;</w:t>
      </w:r>
    </w:p>
    <w:p>
      <w:pPr>
        <w:pStyle w:val="NormalBold"/>
      </w:pPr>
      <w:r>
        <w:rPr>
          <w:rStyle w:val="HideTWBExt"/>
          <w:b w:val="0"/>
        </w:rPr>
        <w:t>&lt;RepeatBlock-By&gt;</w:t>
      </w:r>
      <w:r>
        <w:rPr>
          <w:rStyle w:val="HideTWBExt"/>
          <w:b w:val="0"/>
        </w:rPr>
        <w:t>&lt;Members&gt;</w:t>
      </w:r>
      <w:r>
        <w:t>Чарли Веймерс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Член 10</w:t>
            </w:r>
            <w:r>
              <w:tab/>
            </w:r>
          </w:p>
        </w:tc>
        <w:tc>
          <w:tcPr>
            <w:tcW w:w="4876" w:type="dxa"/>
            <w:tcBorders>
              <w:top w:val="nil"/>
              <w:left w:val="nil"/>
              <w:bottom w:val="nil"/>
              <w:right w:val="nil"/>
            </w:tcBorders>
          </w:tcPr>
          <w:p>
            <w:pPr>
              <w:pStyle w:val="Normal6a"/>
            </w:pPr>
            <w:r>
              <w:rPr>
                <w:b/>
                <w:i/>
              </w:rPr>
              <w:t>заличава се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Национални звена за контакт на резерва на ЕС от таланти</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r>
              <w:rPr>
                <w:b/>
                <w:i/>
              </w:rPr>
              <w:t xml:space="preserve"> </w:t>
            </w:r>
            <w:r>
              <w:rPr>
                <w:b/>
                <w:i/>
              </w:rPr>
              <w:t>Всяка участваща държава членка определя национално звено за контакт за резерва на ЕС от таланти.</w:t>
            </w:r>
            <w:r>
              <w:rPr>
                <w:b/>
                <w:i/>
              </w:rPr>
              <w:t xml:space="preserve"> </w:t>
            </w:r>
            <w:r>
              <w:rPr>
                <w:b/>
                <w:i/>
              </w:rPr>
              <w:t>Участващите държави членки гарантират, че съответните органи в сферата на заетостта и имиграцията са назначени за национални звена за контакт на резерва на ЕС от таланти.</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Националните звена за контакт на резерва на ЕС от таланти отговарят за:</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а) улесняване на функционирането на ИТ платформата на резерва на ЕС от таланти на национално равнище в съответствие с член 5;</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б) прехвърляне на свободни работни места към ИТ платформата на резерва на ЕС от таланти чрез единствения координиран канал и улесняване на намирането на съответствия между регистрирани търсещи работа лица от трети държави и работодатели, участващи в резерва на ЕС от таланти;</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в) уведомяване веднъж годишно на секретариата на резерва на ЕС от таланти относно националния списък на професии с недостиг на работна ръка, както и относно всички национални корекции на списъка на професиите с недостиг на работна ръка на общоевропейско равнище съгласно член 15;</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г) поддържане на регистър на работодателите, участващи в резерва на ЕС от таланти;</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д) прекратяване на достъпа на работодатели, участващи в резерва на ЕС от таланти, и премахване на техните свободни работни места от ИТ платформата на резерва на ЕС от таланти в случай на нарушение на съответното законодателство и съответните практики съгласно член 13, параграф 3, за което съответните национални органи, отговарящи за прилагането на съответното законодателство и практики, съобщават на националните звена за контакт на резерва на ЕС от таланти;</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е) предоставяне на информация на секретариата на резерва на ЕС от таланти относно процедурите на национално равнище, свързани с имиграция и признаване, включително по отношение на прилагането на принципа на предпочитане на граждани на Съюза, както и на съответните данни за мониторинга на резерва на ЕС от таланти, както е посочено в член 20;</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ж) предоставяне на информация и услуги за подкрепа на регистрирани търсещи работа лица от трети държави и на работодатели, участващи в резерва на ЕС от таланти, в съответствие с член 17.</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rPr>
                <w:b/>
                <w:i/>
              </w:rPr>
              <w:t xml:space="preserve"> </w:t>
            </w:r>
            <w:r>
              <w:rPr>
                <w:b/>
                <w:i/>
              </w:rPr>
              <w:t>Националните звена за контакт на резерва на ЕС от таланти от всяка участваща държава членка се свикват редовно от секретариата на резерва на ЕС от таланти в рамките на мрежата на националните звена за контакт на резерва на ЕС от таланти с цел обмен на информация и най-добри практики относно прилагането на настоящия регламент.</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462</w:t>
      </w:r>
      <w:r>
        <w:rPr>
          <w:rStyle w:val="HideTWBExt"/>
        </w:rPr>
        <w:t>&lt;/NumAm&gt;</w:t>
      </w:r>
    </w:p>
    <w:p>
      <w:pPr>
        <w:pStyle w:val="NormalBold"/>
      </w:pPr>
      <w:r>
        <w:rPr>
          <w:rStyle w:val="HideTWBExt"/>
          <w:b w:val="0"/>
        </w:rPr>
        <w:t>&lt;RepeatBlock-By&gt;</w:t>
      </w:r>
      <w:r>
        <w:rPr>
          <w:rStyle w:val="HideTWBExt"/>
          <w:b w:val="0"/>
        </w:rPr>
        <w:t>&lt;Members&gt;</w:t>
      </w:r>
      <w:r>
        <w:t>Ян-Кристоф Йотен, Абир Ал-Сахлани, Луция Яр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10 – параграф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Всяка </w:t>
            </w:r>
            <w:r>
              <w:rPr>
                <w:b/>
                <w:i/>
              </w:rPr>
              <w:t>участваща</w:t>
            </w:r>
            <w:r>
              <w:t xml:space="preserve"> държава членка определя национално звено за контакт за резерва на ЕС от таланти. </w:t>
            </w:r>
            <w:r>
              <w:rPr>
                <w:b/>
                <w:i/>
              </w:rPr>
              <w:t>Участващите държави</w:t>
            </w:r>
            <w:r>
              <w:t xml:space="preserve"> членки гарантират, че съответните органи в сферата на заетостта и имиграцията са назначени за национални звена за контакт на резерва на ЕС от таланти.</w:t>
            </w:r>
          </w:p>
        </w:tc>
        <w:tc>
          <w:tcPr>
            <w:tcW w:w="4876" w:type="dxa"/>
            <w:tcBorders>
              <w:top w:val="nil"/>
              <w:left w:val="nil"/>
              <w:bottom w:val="nil"/>
              <w:right w:val="nil"/>
            </w:tcBorders>
          </w:tcPr>
          <w:p>
            <w:pPr>
              <w:pStyle w:val="Normal6a"/>
            </w:pPr>
            <w:r>
              <w:t>1.</w:t>
            </w:r>
            <w:r>
              <w:tab/>
            </w:r>
            <w:r>
              <w:t xml:space="preserve">Всяка държава членка определя национално звено за контакт за резерва на ЕС от таланти. </w:t>
            </w:r>
            <w:r>
              <w:rPr>
                <w:b/>
                <w:i/>
              </w:rPr>
              <w:t>Държавите</w:t>
            </w:r>
            <w:r>
              <w:t xml:space="preserve"> членки гарантират, че съответните органи в сферата на заетостта и имиграцията са назначени за национални звена за контакт на резерва на ЕС от таланти</w:t>
            </w:r>
            <w:r>
              <w:rPr>
                <w:b/>
                <w:i/>
              </w:rPr>
              <w:t>, за да подобрят полезното взаимодействие между тези органи</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463</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10 – параграф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Всяка </w:t>
            </w:r>
            <w:r>
              <w:rPr>
                <w:b/>
                <w:i/>
              </w:rPr>
              <w:t>участваща</w:t>
            </w:r>
            <w:r>
              <w:t xml:space="preserve"> държава членка определя национално звено за контакт за резерва на ЕС от таланти. </w:t>
            </w:r>
            <w:r>
              <w:rPr>
                <w:b/>
                <w:i/>
              </w:rPr>
              <w:t>Участващите държави</w:t>
            </w:r>
            <w:r>
              <w:t xml:space="preserve"> членки гарантират, че съответните органи в сферата на заетостта и имиграцията </w:t>
            </w:r>
            <w:r>
              <w:rPr>
                <w:b/>
                <w:i/>
              </w:rPr>
              <w:t>са назначени за национални звена</w:t>
            </w:r>
            <w:r>
              <w:t xml:space="preserve"> за контакт на резерва на ЕС от таланти.</w:t>
            </w:r>
          </w:p>
        </w:tc>
        <w:tc>
          <w:tcPr>
            <w:tcW w:w="4876" w:type="dxa"/>
            <w:tcBorders>
              <w:top w:val="nil"/>
              <w:left w:val="nil"/>
              <w:bottom w:val="nil"/>
              <w:right w:val="nil"/>
            </w:tcBorders>
          </w:tcPr>
          <w:p>
            <w:pPr>
              <w:pStyle w:val="Normal6a"/>
            </w:pPr>
            <w:r>
              <w:t>1.</w:t>
            </w:r>
            <w:r>
              <w:tab/>
            </w:r>
            <w:r>
              <w:t xml:space="preserve">Всяка държава членка определя национално звено за контакт за резерва на ЕС от таланти. </w:t>
            </w:r>
            <w:r>
              <w:rPr>
                <w:b/>
                <w:i/>
              </w:rPr>
              <w:t>Държавите</w:t>
            </w:r>
            <w:r>
              <w:t xml:space="preserve"> членки гарантират, че съответните органи в сферата на заетостта и имиграцията</w:t>
            </w:r>
            <w:r>
              <w:rPr>
                <w:b/>
                <w:i/>
              </w:rPr>
              <w:t>, като публичните служби по заетостта, са определени за членове на националното звено</w:t>
            </w:r>
            <w:r>
              <w:t xml:space="preserve"> за контакт на резерва на ЕС от таланти.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464</w:t>
      </w:r>
      <w:r>
        <w:rPr>
          <w:rStyle w:val="HideTWBExt"/>
        </w:rPr>
        <w:t>&lt;/NumAm&gt;</w:t>
      </w:r>
    </w:p>
    <w:p>
      <w:pPr>
        <w:pStyle w:val="NormalBold"/>
      </w:pPr>
      <w:r>
        <w:rPr>
          <w:rStyle w:val="HideTWBExt"/>
          <w:b w:val="0"/>
        </w:rPr>
        <w:t>&lt;RepeatBlock-By&gt;</w:t>
      </w:r>
      <w:r>
        <w:rPr>
          <w:rStyle w:val="HideTWBExt"/>
          <w:b w:val="0"/>
        </w:rPr>
        <w:t>&lt;Members&gt;</w:t>
      </w:r>
      <w:r>
        <w:t>Асита Канко</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10 – параграф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Всяка участваща държава членка определя национално звено за контакт за резерва на ЕС от таланти. Участващите държави членки гарантират, че съответните органи в сферата на заетостта и имиграцията са </w:t>
            </w:r>
            <w:r>
              <w:rPr>
                <w:b/>
                <w:i/>
              </w:rPr>
              <w:t>назначени за национални звена</w:t>
            </w:r>
            <w:r>
              <w:t xml:space="preserve"> за контакт на резерва на ЕС от таланти.</w:t>
            </w:r>
          </w:p>
        </w:tc>
        <w:tc>
          <w:tcPr>
            <w:tcW w:w="4876" w:type="dxa"/>
            <w:tcBorders>
              <w:top w:val="nil"/>
              <w:left w:val="nil"/>
              <w:bottom w:val="nil"/>
              <w:right w:val="nil"/>
            </w:tcBorders>
          </w:tcPr>
          <w:p>
            <w:pPr>
              <w:pStyle w:val="Normal6a"/>
            </w:pPr>
            <w:r>
              <w:t>1.</w:t>
            </w:r>
            <w:r>
              <w:tab/>
            </w:r>
            <w:r>
              <w:t xml:space="preserve">Всяка участваща държава членка определя национално звено за контакт за резерва на ЕС от таланти. Участващите държави членки гарантират, че съответните органи в сферата на заетостта и имиграцията са </w:t>
            </w:r>
            <w:r>
              <w:rPr>
                <w:b/>
                <w:i/>
              </w:rPr>
              <w:t>включени в тяхното национално звено</w:t>
            </w:r>
            <w:r>
              <w:t xml:space="preserve"> за контакт на резерва на ЕС от таланти.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465</w:t>
      </w:r>
      <w:r>
        <w:rPr>
          <w:rStyle w:val="HideTWBExt"/>
        </w:rPr>
        <w:t>&lt;/NumAm&gt;</w:t>
      </w:r>
    </w:p>
    <w:p>
      <w:pPr>
        <w:pStyle w:val="NormalBold"/>
      </w:pPr>
      <w:r>
        <w:rPr>
          <w:rStyle w:val="HideTWBExt"/>
          <w:b w:val="0"/>
        </w:rPr>
        <w:t>&lt;RepeatBlock-By&gt;</w:t>
      </w:r>
      <w:r>
        <w:rPr>
          <w:rStyle w:val="HideTWBExt"/>
          <w:b w:val="0"/>
        </w:rPr>
        <w:t>&lt;Members&gt;</w:t>
      </w:r>
      <w:r>
        <w:t>Йоан Даниелсон, Евин Инсир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10 – параграф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Всяка участваща държава членка определя национално звено за контакт за резерва на ЕС от таланти</w:t>
            </w:r>
            <w:r>
              <w:rPr>
                <w:b/>
                <w:i/>
              </w:rPr>
              <w:t>.</w:t>
            </w:r>
            <w:r>
              <w:t xml:space="preserve"> </w:t>
            </w:r>
            <w:r>
              <w:rPr>
                <w:b/>
                <w:i/>
              </w:rPr>
              <w:t>Участващите държави членки гарантират, че</w:t>
            </w:r>
            <w:r>
              <w:t xml:space="preserve"> съответните органи в сферата на заетостта и имиграцията </w:t>
            </w:r>
            <w:r>
              <w:rPr>
                <w:b/>
                <w:i/>
              </w:rPr>
              <w:t>са назначени за национални звена за контакт на резерва на ЕС от таланти</w:t>
            </w:r>
            <w:r>
              <w:t>.</w:t>
            </w:r>
          </w:p>
        </w:tc>
        <w:tc>
          <w:tcPr>
            <w:tcW w:w="4876" w:type="dxa"/>
            <w:tcBorders>
              <w:top w:val="nil"/>
              <w:left w:val="nil"/>
              <w:bottom w:val="nil"/>
              <w:right w:val="nil"/>
            </w:tcBorders>
          </w:tcPr>
          <w:p>
            <w:pPr>
              <w:pStyle w:val="Normal6a"/>
            </w:pPr>
            <w:r>
              <w:t>1.</w:t>
            </w:r>
            <w:r>
              <w:tab/>
            </w:r>
            <w:r>
              <w:t>Всяка участваща държава членка определя национално звено за контакт за резерва на ЕС от таланти</w:t>
            </w:r>
            <w:r>
              <w:rPr>
                <w:b/>
                <w:i/>
              </w:rPr>
              <w:t>, като включва</w:t>
            </w:r>
            <w:r>
              <w:t xml:space="preserve"> съответните органи в сферата на заетостта и имиграцията</w:t>
            </w:r>
            <w:r>
              <w:rPr>
                <w:b/>
                <w:i/>
              </w:rPr>
              <w:t>, публичните служби по заетостта, както и социалните партньори, на национално равнище</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466</w:t>
      </w:r>
      <w:r>
        <w:rPr>
          <w:rStyle w:val="HideTWBExt"/>
        </w:rPr>
        <w:t>&lt;/NumAm&gt;</w:t>
      </w:r>
    </w:p>
    <w:p>
      <w:pPr>
        <w:pStyle w:val="NormalBold"/>
      </w:pPr>
      <w:r>
        <w:rPr>
          <w:rStyle w:val="HideTWBExt"/>
          <w:b w:val="0"/>
        </w:rPr>
        <w:t>&lt;RepeatBlock-By&gt;</w:t>
      </w:r>
      <w:r>
        <w:rPr>
          <w:rStyle w:val="HideTWBExt"/>
          <w:b w:val="0"/>
        </w:rPr>
        <w:t>&lt;Members&gt;</w:t>
      </w:r>
      <w:r>
        <w:t>Чарли Веймерс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10 – параграф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tab/>
            </w:r>
            <w:r>
              <w:rPr>
                <w:b/>
                <w:i/>
              </w:rPr>
              <w:t>Националните звена за контакт на резерва на ЕС от таланти отговарят за:</w:t>
            </w:r>
          </w:p>
        </w:tc>
        <w:tc>
          <w:tcPr>
            <w:tcW w:w="4876" w:type="dxa"/>
            <w:tcBorders>
              <w:top w:val="nil"/>
              <w:left w:val="nil"/>
              <w:bottom w:val="nil"/>
              <w:right w:val="nil"/>
            </w:tcBorders>
          </w:tcPr>
          <w:p>
            <w:pPr>
              <w:pStyle w:val="Normal6a"/>
            </w:pPr>
            <w:r>
              <w:rPr>
                <w:b/>
                <w:i/>
              </w:rPr>
              <w:t>заличава се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а) улесняване на функционирането на ИТ платформата на резерва на ЕС от таланти на национално равнище в съответствие с член 5;</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б) прехвърляне на свободни работни места към ИТ платформата на резерва на ЕС от таланти чрез единствения координиран канал и улесняване на намирането на съответствия между регистрирани търсещи работа лица от трети държави и работодатели, участващи в резерва на ЕС от таланти;</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в) уведомяване веднъж годишно на секретариата на резерва на ЕС от таланти относно националния списък на професии с недостиг на работна ръка, както и относно всички национални корекции на списъка на професиите с недостиг на работна ръка на общоевропейско равнище съгласно член 15;</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г) поддържане на регистър на работодателите, участващи в резерва на ЕС от таланти;</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д) прекратяване на достъпа на работодатели, участващи в резерва на ЕС от таланти, и премахване на техните свободни работни места от ИТ платформата на резерва на ЕС от таланти в случай на нарушение на съответното законодателство и съответните практики съгласно член 13, параграф 3, за което съответните национални органи, отговарящи за прилагането на съответното законодателство и практики, съобщават на националните звена за контакт на резерва на ЕС от таланти;</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е) предоставяне на информация на секретариата на резерва на ЕС от таланти относно процедурите на национално равнище, свързани с имиграция и признаване, включително по отношение на прилагането на принципа на предпочитане на граждани на Съюза, както и на съответните данни за мониторинга на резерва на ЕС от таланти, както е посочено в член 20;</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ж) предоставяне на информация и услуги за подкрепа на регистрирани търсещи работа лица от трети държави и на работодатели, участващи в резерва на ЕС от таланти, в съответствие с член 17.</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467</w:t>
      </w:r>
      <w:r>
        <w:rPr>
          <w:rStyle w:val="HideTWBExt"/>
        </w:rPr>
        <w:t>&lt;/NumAm&gt;</w:t>
      </w:r>
    </w:p>
    <w:p>
      <w:pPr>
        <w:pStyle w:val="NormalBold"/>
      </w:pPr>
      <w:r>
        <w:rPr>
          <w:rStyle w:val="HideTWBExt"/>
          <w:b w:val="0"/>
        </w:rPr>
        <w:t>&lt;RepeatBlock-By&gt;</w:t>
      </w:r>
      <w:r>
        <w:rPr>
          <w:rStyle w:val="HideTWBExt"/>
          <w:b w:val="0"/>
        </w:rPr>
        <w:t>&lt;Members&gt;</w:t>
      </w:r>
      <w:r>
        <w:t>Хавиер Морено Санчес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10 – параграф 2 – буква 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б)</w:t>
            </w:r>
            <w:r>
              <w:tab/>
            </w:r>
            <w:r>
              <w:t>прехвърляне на свободни работни места към ИТ платформата на резерва на ЕС от таланти чрез единствения координиран канал и улесняване на намирането на съответствия между регистрирани търсещи работа лица от трети държави и работодатели, участващи в резерва на ЕС от таланти;</w:t>
            </w:r>
          </w:p>
        </w:tc>
        <w:tc>
          <w:tcPr>
            <w:tcW w:w="4876" w:type="dxa"/>
            <w:tcBorders>
              <w:top w:val="nil"/>
              <w:left w:val="nil"/>
              <w:bottom w:val="nil"/>
              <w:right w:val="nil"/>
            </w:tcBorders>
          </w:tcPr>
          <w:p>
            <w:pPr>
              <w:pStyle w:val="Normal6a"/>
            </w:pPr>
            <w:r>
              <w:t>б)</w:t>
            </w:r>
            <w:r>
              <w:tab/>
            </w:r>
            <w:r>
              <w:t xml:space="preserve">прехвърляне на </w:t>
            </w:r>
            <w:r>
              <w:rPr>
                <w:b/>
                <w:i/>
              </w:rPr>
              <w:t>всички профили на работодатели и</w:t>
            </w:r>
            <w:r>
              <w:t xml:space="preserve"> свободни работни места</w:t>
            </w:r>
            <w:r>
              <w:rPr>
                <w:b/>
                <w:i/>
              </w:rPr>
              <w:t>, попадащи в списъка на професиите с недостиг на общоевропейско равнище, установени в член 14, и националните корекции към този списък съгласно член 15, параграф 1,</w:t>
            </w:r>
            <w:r>
              <w:t xml:space="preserve"> към ИТ платформата на резерва на ЕС от таланти чрез единствения координиран канал и улесняване на намирането на съответствия между регистрирани търсещи работа лица от трети държави и работодатели, участващи в резерва на ЕС от таланти;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468</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10 – параграф 2 – буква 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б)</w:t>
            </w:r>
            <w:r>
              <w:tab/>
            </w:r>
            <w:r>
              <w:t xml:space="preserve">прехвърляне на свободни работни места към ИТ платформата на резерва на ЕС от таланти </w:t>
            </w:r>
            <w:r>
              <w:rPr>
                <w:b/>
                <w:i/>
              </w:rPr>
              <w:t>чрез единствения координиран канал</w:t>
            </w:r>
            <w:r>
              <w:t xml:space="preserve"> и улесняване на намирането на съответствия между регистрирани търсещи работа лица от трети държави </w:t>
            </w:r>
            <w:r>
              <w:rPr>
                <w:b/>
                <w:i/>
              </w:rPr>
              <w:t>и работодатели</w:t>
            </w:r>
            <w:r>
              <w:t>, участващи в резерва на ЕС от таланти;</w:t>
            </w:r>
          </w:p>
        </w:tc>
        <w:tc>
          <w:tcPr>
            <w:tcW w:w="4876" w:type="dxa"/>
            <w:tcBorders>
              <w:top w:val="nil"/>
              <w:left w:val="nil"/>
              <w:bottom w:val="nil"/>
              <w:right w:val="nil"/>
            </w:tcBorders>
          </w:tcPr>
          <w:p>
            <w:pPr>
              <w:pStyle w:val="Normal6a"/>
            </w:pPr>
            <w:r>
              <w:t>б)</w:t>
            </w:r>
            <w:r>
              <w:tab/>
            </w:r>
            <w:r>
              <w:t>прехвърляне на свободни работни места към ИТ платформата на резерва на ЕС от таланти</w:t>
            </w:r>
            <w:r>
              <w:rPr>
                <w:b/>
                <w:i/>
              </w:rPr>
              <w:t>, както е посочено в член 13,</w:t>
            </w:r>
            <w:r>
              <w:t xml:space="preserve"> и улесняване на намирането на съответствия между регистрирани търсещи работа лица от трети държави</w:t>
            </w:r>
            <w:r>
              <w:rPr>
                <w:b/>
                <w:i/>
              </w:rPr>
              <w:t>, работодатели и посредници</w:t>
            </w:r>
            <w:r>
              <w:t>, участващи в резерва на ЕС от таланти;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469</w:t>
      </w:r>
      <w:r>
        <w:rPr>
          <w:rStyle w:val="HideTWBExt"/>
        </w:rPr>
        <w:t>&lt;/NumAm&gt;</w:t>
      </w:r>
    </w:p>
    <w:p>
      <w:pPr>
        <w:pStyle w:val="NormalBold"/>
      </w:pPr>
      <w:r>
        <w:rPr>
          <w:rStyle w:val="HideTWBExt"/>
          <w:b w:val="0"/>
        </w:rPr>
        <w:t>&lt;RepeatBlock-By&gt;</w:t>
      </w:r>
      <w:r>
        <w:rPr>
          <w:rStyle w:val="HideTWBExt"/>
          <w:b w:val="0"/>
        </w:rPr>
        <w:t>&lt;Members&gt;</w:t>
      </w:r>
      <w:r>
        <w:t>Пернандо Барена Арса</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10 – параграф 2 – буква 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в)</w:t>
            </w:r>
            <w:r>
              <w:tab/>
            </w:r>
            <w:r>
              <w:t>уведомяване веднъж годишно на секретариата на резерва на ЕС от таланти относно националния списък на професии с недостиг на работна ръка, както и относно всички национални корекции на списъка на професиите с недостиг на работна ръка на общоевропейско равнище съгласно член 15;</w:t>
            </w:r>
          </w:p>
        </w:tc>
        <w:tc>
          <w:tcPr>
            <w:tcW w:w="4876" w:type="dxa"/>
            <w:tcBorders>
              <w:top w:val="nil"/>
              <w:left w:val="nil"/>
              <w:bottom w:val="nil"/>
              <w:right w:val="nil"/>
            </w:tcBorders>
          </w:tcPr>
          <w:p>
            <w:pPr>
              <w:pStyle w:val="Normal6a"/>
            </w:pPr>
            <w:r>
              <w:t>в)</w:t>
            </w:r>
            <w:r>
              <w:tab/>
            </w:r>
            <w:r>
              <w:rPr>
                <w:b/>
                <w:i/>
              </w:rPr>
              <w:t>след консултация с националните социални партньори,</w:t>
            </w:r>
            <w:r>
              <w:t xml:space="preserve"> уведомяване веднъж годишно на секретариата на резерва на ЕС от таланти относно националния списък на професии с недостиг на работна ръка, както и относно всички национални корекции на списъка на професиите с недостиг на работна ръка на общоевропейско равнище съгласно член 15;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470</w:t>
      </w:r>
      <w:r>
        <w:rPr>
          <w:rStyle w:val="HideTWBExt"/>
        </w:rPr>
        <w:t>&lt;/NumAm&gt;</w:t>
      </w:r>
    </w:p>
    <w:p>
      <w:pPr>
        <w:pStyle w:val="NormalBold"/>
      </w:pPr>
      <w:r>
        <w:rPr>
          <w:rStyle w:val="HideTWBExt"/>
          <w:b w:val="0"/>
        </w:rPr>
        <w:t>&lt;RepeatBlock-By&gt;</w:t>
      </w:r>
      <w:r>
        <w:rPr>
          <w:rStyle w:val="HideTWBExt"/>
          <w:b w:val="0"/>
        </w:rPr>
        <w:t>&lt;Members&gt;</w:t>
      </w:r>
      <w:r>
        <w:t>Петра Щегер, Ярослав Бжох, Фабрис Леджери, Антонио Танжер Кореа,  Хорхе Бусаде Виялба, Марике Елерс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10 – параграф 2 – буква 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в)</w:t>
            </w:r>
            <w:r>
              <w:tab/>
            </w:r>
            <w:r>
              <w:t>уведомяване веднъж годишно на секретариата на резерва на ЕС от таланти относно националния списък на професии с недостиг на работна ръка</w:t>
            </w:r>
            <w:r>
              <w:rPr>
                <w:b/>
                <w:i/>
              </w:rPr>
              <w:t>, както и относно всички национални корекции на списъка на професиите с недостиг на работна ръка на общоевропейско равнище</w:t>
            </w:r>
            <w:r>
              <w:t xml:space="preserve"> съгласно член 15;</w:t>
            </w:r>
          </w:p>
        </w:tc>
        <w:tc>
          <w:tcPr>
            <w:tcW w:w="4876" w:type="dxa"/>
            <w:tcBorders>
              <w:top w:val="nil"/>
              <w:left w:val="nil"/>
              <w:bottom w:val="nil"/>
              <w:right w:val="nil"/>
            </w:tcBorders>
          </w:tcPr>
          <w:p>
            <w:pPr>
              <w:pStyle w:val="Normal6a"/>
            </w:pPr>
            <w:r>
              <w:t>в)</w:t>
            </w:r>
            <w:r>
              <w:tab/>
            </w:r>
            <w:r>
              <w:t>уведомяване веднъж годишно на секретариата на резерва на ЕС от таланти относно националния списък на професии с недостиг на работна ръка съгласно член 15;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471</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10 – параграф 2 – буква 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в)</w:t>
            </w:r>
            <w:r>
              <w:tab/>
            </w:r>
            <w:r>
              <w:t>уведомяване веднъж годишно на секретариата на резерва на ЕС от таланти относно националния списък на професии с недостиг на работна ръка, както и относно всички национални корекции на списъка на професиите с недостиг на работна ръка на общоевропейско равнище съгласно член 15;</w:t>
            </w:r>
          </w:p>
        </w:tc>
        <w:tc>
          <w:tcPr>
            <w:tcW w:w="4876" w:type="dxa"/>
            <w:tcBorders>
              <w:top w:val="nil"/>
              <w:left w:val="nil"/>
              <w:bottom w:val="nil"/>
              <w:right w:val="nil"/>
            </w:tcBorders>
          </w:tcPr>
          <w:p>
            <w:pPr>
              <w:pStyle w:val="Normal6a"/>
            </w:pPr>
            <w:r>
              <w:t>в)</w:t>
            </w:r>
            <w:r>
              <w:tab/>
            </w:r>
            <w:r>
              <w:t>уведомяване </w:t>
            </w:r>
            <w:r>
              <w:rPr>
                <w:b/>
                <w:i/>
              </w:rPr>
              <w:t>при всяка настъпила промяна, но най-малко</w:t>
            </w:r>
            <w:r>
              <w:t xml:space="preserve"> веднъж годишно на секретариата на резерва на ЕС от таланти относно националния списък на професии с недостиг на работна ръка , както и относно всички национални корекции на списъка на професиите с недостиг на работна ръка на общоевропейско равнище съгласно член 15;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472</w:t>
      </w:r>
      <w:r>
        <w:rPr>
          <w:rStyle w:val="HideTWBExt"/>
        </w:rPr>
        <w:t>&lt;/NumAm&gt;</w:t>
      </w:r>
    </w:p>
    <w:p>
      <w:pPr>
        <w:pStyle w:val="NormalBold"/>
      </w:pPr>
      <w:r>
        <w:rPr>
          <w:rStyle w:val="HideTWBExt"/>
          <w:b w:val="0"/>
        </w:rPr>
        <w:t>&lt;RepeatBlock-By&gt;</w:t>
      </w:r>
      <w:r>
        <w:rPr>
          <w:rStyle w:val="HideTWBExt"/>
          <w:b w:val="0"/>
        </w:rPr>
        <w:t>&lt;Members&gt;</w:t>
      </w:r>
      <w:r>
        <w:t>Хавиер Морено Санчес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10 – параграф 2 – буква 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в)</w:t>
            </w:r>
            <w:r>
              <w:tab/>
            </w:r>
            <w:r>
              <w:t xml:space="preserve">уведомяване веднъж годишно </w:t>
            </w:r>
            <w:r>
              <w:rPr>
                <w:b/>
                <w:i/>
              </w:rPr>
              <w:t>на</w:t>
            </w:r>
            <w:r>
              <w:t xml:space="preserve"> секретариата на резерва на ЕС от таланти относно националния списък на професии с недостиг на работна ръка, както и относно всички национални корекции на списъка на професиите с недостиг на работна ръка на общоевропейско равнище съгласно член 15;</w:t>
            </w:r>
          </w:p>
        </w:tc>
        <w:tc>
          <w:tcPr>
            <w:tcW w:w="4876" w:type="dxa"/>
            <w:tcBorders>
              <w:top w:val="nil"/>
              <w:left w:val="nil"/>
              <w:bottom w:val="nil"/>
              <w:right w:val="nil"/>
            </w:tcBorders>
          </w:tcPr>
          <w:p>
            <w:pPr>
              <w:pStyle w:val="Normal6a"/>
            </w:pPr>
            <w:r>
              <w:t>в)</w:t>
            </w:r>
            <w:r>
              <w:tab/>
            </w:r>
            <w:r>
              <w:t xml:space="preserve">уведомяване </w:t>
            </w:r>
            <w:r>
              <w:rPr>
                <w:b/>
                <w:i/>
              </w:rPr>
              <w:t>поне</w:t>
            </w:r>
            <w:r>
              <w:t xml:space="preserve"> веднъж годишно секретариата на резерва на ЕС от таланти относно националния списък на професии с недостиг на работна ръка, както и относно всички национални корекции на списъка на професиите с недостиг на работна ръка на общоевропейско равнище съгласно член 15;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473</w:t>
      </w:r>
      <w:r>
        <w:rPr>
          <w:rStyle w:val="HideTWBExt"/>
        </w:rPr>
        <w:t>&lt;/NumAm&gt;</w:t>
      </w:r>
    </w:p>
    <w:p>
      <w:pPr>
        <w:pStyle w:val="NormalBold"/>
      </w:pPr>
      <w:r>
        <w:rPr>
          <w:rStyle w:val="HideTWBExt"/>
          <w:b w:val="0"/>
        </w:rPr>
        <w:t>&lt;RepeatBlock-By&gt;</w:t>
      </w:r>
      <w:r>
        <w:rPr>
          <w:rStyle w:val="HideTWBExt"/>
          <w:b w:val="0"/>
        </w:rPr>
        <w:t>&lt;Members&gt;</w:t>
      </w:r>
      <w:r>
        <w:t>Ян-Кристоф Йотен, Абир Ал-Сахлани, Луция Яр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10 – параграф 2 – буква 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в)</w:t>
            </w:r>
            <w:r>
              <w:tab/>
            </w:r>
            <w:r>
              <w:t xml:space="preserve">уведомяване </w:t>
            </w:r>
            <w:r>
              <w:rPr>
                <w:b/>
                <w:i/>
              </w:rPr>
              <w:t>веднъж годишно</w:t>
            </w:r>
            <w:r>
              <w:t xml:space="preserve"> на секретариата на резерва на ЕС от таланти относно националния списък на професии с недостиг на работна ръка, както и относно всички национални корекции на списъка на професиите с недостиг на работна ръка на общоевропейско равнище съгласно член 15;</w:t>
            </w:r>
          </w:p>
        </w:tc>
        <w:tc>
          <w:tcPr>
            <w:tcW w:w="4876" w:type="dxa"/>
            <w:tcBorders>
              <w:top w:val="nil"/>
              <w:left w:val="nil"/>
              <w:bottom w:val="nil"/>
              <w:right w:val="nil"/>
            </w:tcBorders>
          </w:tcPr>
          <w:p>
            <w:pPr>
              <w:pStyle w:val="Normal6a"/>
            </w:pPr>
            <w:r>
              <w:t>в)</w:t>
            </w:r>
            <w:r>
              <w:tab/>
            </w:r>
            <w:r>
              <w:t>уведомяване на секретариата на резерва на ЕС от таланти относно националния списък на професии с недостиг на работна ръка, както и относно всички национални корекции на списъка на професиите с недостиг на работна ръка на общоевропейско равнище съгласно член 15;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474</w:t>
      </w:r>
      <w:r>
        <w:rPr>
          <w:rStyle w:val="HideTWBExt"/>
        </w:rPr>
        <w:t>&lt;/NumAm&gt;</w:t>
      </w:r>
    </w:p>
    <w:p>
      <w:pPr>
        <w:pStyle w:val="NormalBold"/>
      </w:pPr>
      <w:r>
        <w:rPr>
          <w:rStyle w:val="HideTWBExt"/>
          <w:b w:val="0"/>
        </w:rPr>
        <w:t>&lt;RepeatBlock-By&gt;</w:t>
      </w:r>
      <w:r>
        <w:rPr>
          <w:rStyle w:val="HideTWBExt"/>
          <w:b w:val="0"/>
        </w:rPr>
        <w:t>&lt;Members&gt;</w:t>
      </w:r>
      <w:r>
        <w:t>Йоан Даниелсон, Евин Инсир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10 – параграф 2 – буква г</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г)</w:t>
            </w:r>
            <w:r>
              <w:tab/>
            </w:r>
            <w:r>
              <w:t>поддържане на регистър на работодателите, участващи в резерва на ЕС от таланти;</w:t>
            </w:r>
          </w:p>
        </w:tc>
        <w:tc>
          <w:tcPr>
            <w:tcW w:w="4876" w:type="dxa"/>
            <w:tcBorders>
              <w:top w:val="nil"/>
              <w:left w:val="nil"/>
              <w:bottom w:val="nil"/>
              <w:right w:val="nil"/>
            </w:tcBorders>
          </w:tcPr>
          <w:p>
            <w:pPr>
              <w:pStyle w:val="Normal6a"/>
            </w:pPr>
            <w:r>
              <w:t>г)</w:t>
            </w:r>
            <w:r>
              <w:tab/>
            </w:r>
            <w:r>
              <w:rPr>
                <w:b/>
                <w:i/>
              </w:rPr>
              <w:t>проверка на спазването на изискванията за регистрация и участие, както и</w:t>
            </w:r>
            <w:r>
              <w:t xml:space="preserve"> поддържане на регистър на работодателите, участващи в резерва на ЕС от таланти</w:t>
            </w:r>
            <w:r>
              <w:rPr>
                <w:b/>
                <w:i/>
              </w:rPr>
              <w:t>, и надзор на качеството на свободните работни места, включително разпоредбата, предвидена в член 13, параграф 3</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475</w:t>
      </w:r>
      <w:r>
        <w:rPr>
          <w:rStyle w:val="HideTWBExt"/>
        </w:rPr>
        <w:t>&lt;/NumAm&gt;</w:t>
      </w:r>
    </w:p>
    <w:p>
      <w:pPr>
        <w:pStyle w:val="NormalBold"/>
      </w:pPr>
      <w:r>
        <w:rPr>
          <w:rStyle w:val="HideTWBExt"/>
          <w:b w:val="0"/>
        </w:rPr>
        <w:t>&lt;RepeatBlock-By&gt;</w:t>
      </w:r>
      <w:r>
        <w:rPr>
          <w:rStyle w:val="HideTWBExt"/>
          <w:b w:val="0"/>
        </w:rPr>
        <w:t>&lt;Members&gt;</w:t>
      </w:r>
      <w:r>
        <w:t>Пернандо Барена Арса</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10 – параграф 2 – буква г</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г)</w:t>
            </w:r>
            <w:r>
              <w:tab/>
            </w:r>
            <w:r>
              <w:t>поддържане на регистър на работодателите, участващи в резерва на ЕС от таланти;</w:t>
            </w:r>
          </w:p>
        </w:tc>
        <w:tc>
          <w:tcPr>
            <w:tcW w:w="4876" w:type="dxa"/>
            <w:tcBorders>
              <w:top w:val="nil"/>
              <w:left w:val="nil"/>
              <w:bottom w:val="nil"/>
              <w:right w:val="nil"/>
            </w:tcBorders>
          </w:tcPr>
          <w:p>
            <w:pPr>
              <w:pStyle w:val="Normal6a"/>
            </w:pPr>
            <w:r>
              <w:t>г)</w:t>
            </w:r>
            <w:r>
              <w:tab/>
            </w:r>
            <w:r>
              <w:rPr>
                <w:b/>
                <w:i/>
              </w:rPr>
              <w:t>проверяване на спазването на изискванията за регистрация и участие, както и</w:t>
            </w:r>
            <w:r>
              <w:t xml:space="preserve"> поддържане на </w:t>
            </w:r>
            <w:r>
              <w:rPr>
                <w:b/>
                <w:i/>
              </w:rPr>
              <w:t>публичен</w:t>
            </w:r>
            <w:r>
              <w:t xml:space="preserve"> регистър на работодателите, участващи в резерва на ЕС от таланти;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476</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10 – параграф 2 – буква г</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г)</w:t>
            </w:r>
            <w:r>
              <w:tab/>
            </w:r>
            <w:r>
              <w:t xml:space="preserve">поддържане на регистър на </w:t>
            </w:r>
            <w:r>
              <w:rPr>
                <w:b/>
                <w:i/>
              </w:rPr>
              <w:t>работодателите</w:t>
            </w:r>
            <w:r>
              <w:t>, участващи в резерва на ЕС от таланти;</w:t>
            </w:r>
          </w:p>
        </w:tc>
        <w:tc>
          <w:tcPr>
            <w:tcW w:w="4876" w:type="dxa"/>
            <w:tcBorders>
              <w:top w:val="nil"/>
              <w:left w:val="nil"/>
              <w:bottom w:val="nil"/>
              <w:right w:val="nil"/>
            </w:tcBorders>
          </w:tcPr>
          <w:p>
            <w:pPr>
              <w:pStyle w:val="Normal6a"/>
            </w:pPr>
            <w:r>
              <w:t>г)</w:t>
            </w:r>
            <w:r>
              <w:tab/>
            </w:r>
            <w:r>
              <w:rPr>
                <w:b/>
                <w:i/>
              </w:rPr>
              <w:t>Проверка и одобряване на работодатели и посредници съгласно член 13 и</w:t>
            </w:r>
            <w:r>
              <w:t xml:space="preserve"> поддържане на </w:t>
            </w:r>
            <w:r>
              <w:rPr>
                <w:b/>
                <w:i/>
              </w:rPr>
              <w:t>публичен</w:t>
            </w:r>
            <w:r>
              <w:t xml:space="preserve"> регистър на </w:t>
            </w:r>
            <w:r>
              <w:rPr>
                <w:b/>
                <w:i/>
              </w:rPr>
              <w:t>одобрени работодатели и посредници</w:t>
            </w:r>
            <w:r>
              <w:t>, участващи в резерва на ЕС от таланти;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477</w:t>
      </w:r>
      <w:r>
        <w:rPr>
          <w:rStyle w:val="HideTWBExt"/>
        </w:rPr>
        <w:t>&lt;/NumAm&gt;</w:t>
      </w:r>
    </w:p>
    <w:p>
      <w:pPr>
        <w:pStyle w:val="NormalBold"/>
      </w:pPr>
      <w:r>
        <w:rPr>
          <w:rStyle w:val="HideTWBExt"/>
          <w:b w:val="0"/>
        </w:rPr>
        <w:t>&lt;RepeatBlock-By&gt;</w:t>
      </w:r>
      <w:r>
        <w:rPr>
          <w:rStyle w:val="HideTWBExt"/>
          <w:b w:val="0"/>
        </w:rPr>
        <w:t>&lt;Members&gt;</w:t>
      </w:r>
      <w:r>
        <w:t>Хавиер Морено Санчес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10 – параграф 2 – буква г</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г)</w:t>
            </w:r>
            <w:r>
              <w:tab/>
            </w:r>
            <w:r>
              <w:t>поддържане на регистър на работодателите, участващи в резерва на ЕС от таланти;</w:t>
            </w:r>
          </w:p>
        </w:tc>
        <w:tc>
          <w:tcPr>
            <w:tcW w:w="4876" w:type="dxa"/>
            <w:tcBorders>
              <w:top w:val="nil"/>
              <w:left w:val="nil"/>
              <w:bottom w:val="nil"/>
              <w:right w:val="nil"/>
            </w:tcBorders>
          </w:tcPr>
          <w:p>
            <w:pPr>
              <w:pStyle w:val="Normal6a"/>
            </w:pPr>
            <w:r>
              <w:t>г)</w:t>
            </w:r>
            <w:r>
              <w:tab/>
            </w:r>
            <w:r>
              <w:rPr>
                <w:b/>
                <w:i/>
              </w:rPr>
              <w:t>проверяване на спазването на изискванията за регистрация и участие и</w:t>
            </w:r>
            <w:r>
              <w:t xml:space="preserve"> поддържане на регистър на работодателите, участващи в резерва на ЕС от таланти;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478</w:t>
      </w:r>
      <w:r>
        <w:rPr>
          <w:rStyle w:val="HideTWBExt"/>
        </w:rPr>
        <w:t>&lt;/NumAm&gt;</w:t>
      </w:r>
    </w:p>
    <w:p>
      <w:pPr>
        <w:pStyle w:val="NormalBold"/>
      </w:pPr>
      <w:r>
        <w:rPr>
          <w:rStyle w:val="HideTWBExt"/>
          <w:b w:val="0"/>
        </w:rPr>
        <w:t>&lt;RepeatBlock-By&gt;</w:t>
      </w:r>
      <w:r>
        <w:rPr>
          <w:rStyle w:val="HideTWBExt"/>
          <w:b w:val="0"/>
        </w:rPr>
        <w:t>&lt;Members&gt;</w:t>
      </w:r>
      <w:r>
        <w:t>Ян-Кристоф Йотен, Абир Ал-Сахлани, Луция Яр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10 – параграф 2 – буква г</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г)</w:t>
            </w:r>
            <w:r>
              <w:tab/>
            </w:r>
            <w:r>
              <w:t>поддържане на регистър на работодателите, участващи в резерва на ЕС от таланти;</w:t>
            </w:r>
          </w:p>
        </w:tc>
        <w:tc>
          <w:tcPr>
            <w:tcW w:w="4876" w:type="dxa"/>
            <w:tcBorders>
              <w:top w:val="nil"/>
              <w:left w:val="nil"/>
              <w:bottom w:val="nil"/>
              <w:right w:val="nil"/>
            </w:tcBorders>
          </w:tcPr>
          <w:p>
            <w:pPr>
              <w:pStyle w:val="Normal6a"/>
            </w:pPr>
            <w:r>
              <w:t>г)</w:t>
            </w:r>
            <w:r>
              <w:tab/>
            </w:r>
            <w:r>
              <w:t>поддържане на регистър на работодателите, участващи в резерва на ЕС от таланти</w:t>
            </w:r>
            <w:r>
              <w:rPr>
                <w:b/>
                <w:i/>
              </w:rPr>
              <w:t>, въз основа на профилите на работодателите, регистрирани на ИТ платформата на ЕС за резерва от таланти</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479</w:t>
      </w:r>
      <w:r>
        <w:rPr>
          <w:rStyle w:val="HideTWBExt"/>
        </w:rPr>
        <w:t>&lt;/NumAm&gt;</w:t>
      </w:r>
    </w:p>
    <w:p>
      <w:pPr>
        <w:pStyle w:val="NormalBold"/>
      </w:pPr>
      <w:r>
        <w:rPr>
          <w:rStyle w:val="HideTWBExt"/>
          <w:b w:val="0"/>
        </w:rPr>
        <w:t>&lt;RepeatBlock-By&gt;</w:t>
      </w:r>
      <w:r>
        <w:rPr>
          <w:rStyle w:val="HideTWBExt"/>
          <w:b w:val="0"/>
        </w:rPr>
        <w:t>&lt;Members&gt;</w:t>
      </w:r>
      <w:r>
        <w:t>Пернандо Барена Арса</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10 – параграф 2 – буква д</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д)</w:t>
            </w:r>
            <w:r>
              <w:tab/>
            </w:r>
            <w:r>
              <w:rPr>
                <w:b/>
                <w:i/>
              </w:rPr>
              <w:t>прекратяване</w:t>
            </w:r>
            <w:r>
              <w:t xml:space="preserve"> на достъпа на работодатели, участващи в резерва на ЕС от таланти, и премахване на техните свободни работни места от ИТ платформата на резерва на ЕС от таланти в случай на нарушение на съответното </w:t>
            </w:r>
            <w:r>
              <w:rPr>
                <w:b/>
                <w:i/>
              </w:rPr>
              <w:t>законодателство</w:t>
            </w:r>
            <w:r>
              <w:t xml:space="preserve"> и съответните практики съгласно член 13, параграф 3, за което съответните национални органи, отговарящи за прилагането на съответното законодателство и практики, съобщават на националните звена за контакт на резерва на ЕС от таланти;</w:t>
            </w:r>
          </w:p>
        </w:tc>
        <w:tc>
          <w:tcPr>
            <w:tcW w:w="4876" w:type="dxa"/>
            <w:tcBorders>
              <w:top w:val="nil"/>
              <w:left w:val="nil"/>
              <w:bottom w:val="nil"/>
              <w:right w:val="nil"/>
            </w:tcBorders>
          </w:tcPr>
          <w:p>
            <w:pPr>
              <w:pStyle w:val="Normal6a"/>
            </w:pPr>
            <w:r>
              <w:t>д)</w:t>
            </w:r>
            <w:r>
              <w:tab/>
            </w:r>
            <w:r>
              <w:rPr>
                <w:b/>
                <w:i/>
              </w:rPr>
              <w:t>забраняване</w:t>
            </w:r>
            <w:r>
              <w:t xml:space="preserve"> на достъпа на работодатели, участващи в резерва на ЕС от таланти, и премахване на техните свободни работни места от ИТ платформата на резерва на ЕС от таланти в случай на нарушение на </w:t>
            </w:r>
            <w:r>
              <w:rPr>
                <w:b/>
                <w:i/>
              </w:rPr>
              <w:t>приложимите трудови стандарти, произтичащи от колективните трудови договори и</w:t>
            </w:r>
            <w:r>
              <w:t xml:space="preserve"> съответното </w:t>
            </w:r>
            <w:r>
              <w:rPr>
                <w:b/>
                <w:i/>
              </w:rPr>
              <w:t>законодателството</w:t>
            </w:r>
            <w:r>
              <w:t xml:space="preserve"> и съответните практики </w:t>
            </w:r>
            <w:r>
              <w:rPr>
                <w:b/>
                <w:i/>
              </w:rPr>
              <w:t>на национално равнище и на равнището на ЕС</w:t>
            </w:r>
            <w:r>
              <w:t xml:space="preserve"> съгласно член 13, параграф 3, за което съответните национални органи, отговарящи за прилагането на съответното законодателство и практики, съобщават на националните звена за контакт на резерва на ЕС от таланти;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480</w:t>
      </w:r>
      <w:r>
        <w:rPr>
          <w:rStyle w:val="HideTWBExt"/>
        </w:rPr>
        <w:t>&lt;/NumAm&gt;</w:t>
      </w:r>
    </w:p>
    <w:p>
      <w:pPr>
        <w:pStyle w:val="NormalBold"/>
      </w:pPr>
      <w:r>
        <w:rPr>
          <w:rStyle w:val="HideTWBExt"/>
          <w:b w:val="0"/>
        </w:rPr>
        <w:t>&lt;RepeatBlock-By&gt;</w:t>
      </w:r>
      <w:r>
        <w:rPr>
          <w:rStyle w:val="HideTWBExt"/>
          <w:b w:val="0"/>
        </w:rPr>
        <w:t>&lt;Members&gt;</w:t>
      </w:r>
      <w:r>
        <w:t>Лена Дюпон, Томас Тобé, Алис Теодореску Мове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10 – параграф 2 – буква д</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д)</w:t>
            </w:r>
            <w:r>
              <w:tab/>
            </w:r>
            <w:r>
              <w:t>прекратяване на достъпа на работодатели, участващи в резерва на ЕС от таланти, и премахване на техните свободни работни места от ИТ платформата на резерва на ЕС от таланти в случай на нарушение на съответното законодателство и съответните практики съгласно член 13, параграф 3, за което съответните национални органи, отговарящи за прилагането на съответното законодателство и практики, съобщават на националните звена за контакт на резерва на ЕС от таланти;</w:t>
            </w:r>
          </w:p>
        </w:tc>
        <w:tc>
          <w:tcPr>
            <w:tcW w:w="4876" w:type="dxa"/>
            <w:tcBorders>
              <w:top w:val="nil"/>
              <w:left w:val="nil"/>
              <w:bottom w:val="nil"/>
              <w:right w:val="nil"/>
            </w:tcBorders>
          </w:tcPr>
          <w:p>
            <w:pPr>
              <w:pStyle w:val="Normal6a"/>
            </w:pPr>
            <w:r>
              <w:t>д)</w:t>
            </w:r>
            <w:r>
              <w:tab/>
            </w:r>
            <w:r>
              <w:t xml:space="preserve">прекратяване на достъпа на работодатели, участващи в резерва на ЕС от таланти, и премахване на техните свободни работни места от ИТ платформата на резерва на ЕС от таланти в случай на нарушение на съответното законодателство и съответните практики съгласно член 13, параграф 3, за което съответните национални органи, отговарящи за прилагането на съответното </w:t>
            </w:r>
            <w:r>
              <w:rPr>
                <w:b/>
                <w:i/>
              </w:rPr>
              <w:t>национално</w:t>
            </w:r>
            <w:r>
              <w:t xml:space="preserve"> законодателство и практики, съобщават на националните звена за контакт на резерва на ЕС от таланти</w:t>
            </w:r>
            <w:r>
              <w:rPr>
                <w:b/>
                <w:i/>
              </w:rPr>
              <w:t>, като се спазва принципът на пропорционалност</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481</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10 – параграф 2 – буква д</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д)</w:t>
            </w:r>
            <w:r>
              <w:tab/>
            </w:r>
            <w:r>
              <w:rPr>
                <w:b/>
                <w:i/>
              </w:rPr>
              <w:t>прекратяване</w:t>
            </w:r>
            <w:r>
              <w:t xml:space="preserve"> на достъпа на работодатели, участващи в резерва на ЕС от таланти, и премахване на техните свободни работни места от ИТ платформата на резерва на ЕС от таланти в случай на нарушение на съответното законодателство и съответните практики съгласно член 13, параграф 3, </w:t>
            </w:r>
            <w:r>
              <w:rPr>
                <w:b/>
                <w:i/>
              </w:rPr>
              <w:t>за което</w:t>
            </w:r>
            <w:r>
              <w:t xml:space="preserve"> съответните национални органи, отговарящи за прилагането на съответното законодателство и практики</w:t>
            </w:r>
            <w:r>
              <w:rPr>
                <w:b/>
                <w:i/>
              </w:rPr>
              <w:t>, съобщават на националните звена за контакт на резерва на ЕС от таланти</w:t>
            </w:r>
            <w:r>
              <w:t>;</w:t>
            </w:r>
          </w:p>
        </w:tc>
        <w:tc>
          <w:tcPr>
            <w:tcW w:w="4876" w:type="dxa"/>
            <w:tcBorders>
              <w:top w:val="nil"/>
              <w:left w:val="nil"/>
              <w:bottom w:val="nil"/>
              <w:right w:val="nil"/>
            </w:tcBorders>
          </w:tcPr>
          <w:p>
            <w:pPr>
              <w:pStyle w:val="Normal6a"/>
            </w:pPr>
            <w:r>
              <w:t>д)</w:t>
            </w:r>
            <w:r>
              <w:tab/>
            </w:r>
            <w:r>
              <w:rPr>
                <w:b/>
                <w:i/>
              </w:rPr>
              <w:t>премахване</w:t>
            </w:r>
            <w:r>
              <w:t xml:space="preserve"> на достъпа на работодатели </w:t>
            </w:r>
            <w:r>
              <w:rPr>
                <w:b/>
                <w:i/>
              </w:rPr>
              <w:t>и посредници на пазара на труда</w:t>
            </w:r>
            <w:r>
              <w:t>, участващи в резерва на ЕС от таланти, и премахване на техните свободни работни места от ИТ платформата на резерва на ЕС от таланти</w:t>
            </w:r>
            <w:r>
              <w:rPr>
                <w:b/>
                <w:i/>
              </w:rPr>
              <w:t>, както и на която и да е от страните съгласно член 7,</w:t>
            </w:r>
            <w:r>
              <w:t xml:space="preserve"> в случай на нарушение на съответното законодателство и съответните практики съгласно член 13, параграф 3, </w:t>
            </w:r>
            <w:r>
              <w:rPr>
                <w:b/>
                <w:i/>
              </w:rPr>
              <w:t>констатирано от</w:t>
            </w:r>
            <w:r>
              <w:t xml:space="preserve"> съответните национални органи, отговарящи за прилагането на съответното законодателство и практики;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482</w:t>
      </w:r>
      <w:r>
        <w:rPr>
          <w:rStyle w:val="HideTWBExt"/>
        </w:rPr>
        <w:t>&lt;/NumAm&gt;</w:t>
      </w:r>
    </w:p>
    <w:p>
      <w:pPr>
        <w:pStyle w:val="NormalBold"/>
      </w:pPr>
      <w:r>
        <w:rPr>
          <w:rStyle w:val="HideTWBExt"/>
          <w:b w:val="0"/>
        </w:rPr>
        <w:t>&lt;RepeatBlock-By&gt;</w:t>
      </w:r>
      <w:r>
        <w:rPr>
          <w:rStyle w:val="HideTWBExt"/>
          <w:b w:val="0"/>
        </w:rPr>
        <w:t>&lt;Members&gt;</w:t>
      </w:r>
      <w:r>
        <w:t>Йоан Даниелсон, Евин Инсир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10 – параграф 2 – буква д</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д)</w:t>
            </w:r>
            <w:r>
              <w:tab/>
            </w:r>
            <w:r>
              <w:t>прекратяване на достъпа на работодатели, участващи в резерва на ЕС от таланти, и премахване на техните свободни работни места от ИТ платформата на резерва на ЕС от таланти в случай на нарушение на съответното законодателство и съответните практики съгласно член 13, параграф 3, за което съответните национални органи, отговарящи за прилагането на съответното законодателство и практики, съобщават на националните звена за контакт на резерва на ЕС от таланти;</w:t>
            </w:r>
          </w:p>
        </w:tc>
        <w:tc>
          <w:tcPr>
            <w:tcW w:w="4876" w:type="dxa"/>
            <w:tcBorders>
              <w:top w:val="nil"/>
              <w:left w:val="nil"/>
              <w:bottom w:val="nil"/>
              <w:right w:val="nil"/>
            </w:tcBorders>
          </w:tcPr>
          <w:p>
            <w:pPr>
              <w:pStyle w:val="Normal6a"/>
            </w:pPr>
            <w:r>
              <w:t>д)</w:t>
            </w:r>
            <w:r>
              <w:tab/>
            </w:r>
            <w:r>
              <w:t xml:space="preserve">прекратяване на достъпа на работодатели, участващи в резерва на ЕС от таланти, и премахване на техните свободни работни места от ИТ платформата на резерва на ЕС от таланти в случай на нарушение на съответното законодателство и съответните практики съгласно член 13, параграф 3, за което съответните национални органи </w:t>
            </w:r>
            <w:r>
              <w:rPr>
                <w:b/>
                <w:i/>
              </w:rPr>
              <w:t>или социалните партньори</w:t>
            </w:r>
            <w:r>
              <w:t>, отговарящи за прилагането на съответното законодателство и практики, съобщават на националните звена за контакт на резерва на ЕС от таланти;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483</w:t>
      </w:r>
      <w:r>
        <w:rPr>
          <w:rStyle w:val="HideTWBExt"/>
        </w:rPr>
        <w:t>&lt;/NumAm&gt;</w:t>
      </w:r>
    </w:p>
    <w:p>
      <w:pPr>
        <w:pStyle w:val="NormalBold"/>
      </w:pPr>
      <w:r>
        <w:rPr>
          <w:rStyle w:val="HideTWBExt"/>
          <w:b w:val="0"/>
        </w:rPr>
        <w:t>&lt;RepeatBlock-By&gt;</w:t>
      </w:r>
      <w:r>
        <w:rPr>
          <w:rStyle w:val="HideTWBExt"/>
          <w:b w:val="0"/>
        </w:rPr>
        <w:t>&lt;Members&gt;</w:t>
      </w:r>
      <w:r>
        <w:t>Ян-Кристоф Йотен, Абир Ал-Сахлани, Луция Яр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10 – параграф 2 – буква д</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д)</w:t>
            </w:r>
            <w:r>
              <w:tab/>
            </w:r>
            <w:r>
              <w:t>прекратяване на достъпа на работодатели, участващи в резерва на ЕС от таланти, и премахване на техните свободни работни места от ИТ платформата на резерва на ЕС от таланти в случай на нарушение на съответното законодателство и съответните практики съгласно член 13, параграф 3, за което съответните национални органи, отговарящи за прилагането на съответното законодателство и практики, съобщават на националните звена за контакт на резерва на ЕС от таланти;</w:t>
            </w:r>
          </w:p>
        </w:tc>
        <w:tc>
          <w:tcPr>
            <w:tcW w:w="4876" w:type="dxa"/>
            <w:tcBorders>
              <w:top w:val="nil"/>
              <w:left w:val="nil"/>
              <w:bottom w:val="nil"/>
              <w:right w:val="nil"/>
            </w:tcBorders>
          </w:tcPr>
          <w:p>
            <w:pPr>
              <w:pStyle w:val="Normal6a"/>
            </w:pPr>
            <w:r>
              <w:t>д)</w:t>
            </w:r>
            <w:r>
              <w:tab/>
            </w:r>
            <w:r>
              <w:t xml:space="preserve">прекратяване на достъпа на работодатели, участващи в резерва на ЕС от таланти, и премахване на техните </w:t>
            </w:r>
            <w:r>
              <w:rPr>
                <w:b/>
                <w:i/>
              </w:rPr>
              <w:t>профили и</w:t>
            </w:r>
            <w:r>
              <w:t xml:space="preserve"> свободни работни места от ИТ платформата на резерва на ЕС от таланти в случай на нарушение на съответното законодателство и съответните практики съгласно член 13, параграф 3, за което съответните национални органи, отговарящи за прилагането на съответното законодателство и практики, съобщават на националните звена за контакт на резерва на ЕС от таланти;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484</w:t>
      </w:r>
      <w:r>
        <w:rPr>
          <w:rStyle w:val="HideTWBExt"/>
        </w:rPr>
        <w:t>&lt;/NumAm&gt;</w:t>
      </w:r>
    </w:p>
    <w:p>
      <w:pPr>
        <w:pStyle w:val="NormalBold"/>
      </w:pPr>
      <w:r>
        <w:rPr>
          <w:rStyle w:val="HideTWBExt"/>
          <w:b w:val="0"/>
        </w:rPr>
        <w:t>&lt;RepeatBlock-By&gt;</w:t>
      </w:r>
      <w:r>
        <w:rPr>
          <w:rStyle w:val="HideTWBExt"/>
          <w:b w:val="0"/>
        </w:rPr>
        <w:t>&lt;Members&gt;</w:t>
      </w:r>
      <w:r>
        <w:t>Лукас Мандл</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10 – параграф 2 – буква д</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д)</w:t>
            </w:r>
            <w:r>
              <w:tab/>
            </w:r>
            <w:r>
              <w:t>прекратяване на достъпа на работодатели, участващи в резерва на ЕС от таланти, и премахване на техните свободни работни места от ИТ платформата на резерва на ЕС от таланти в случай на нарушение на съответното законодателство и съответните практики съгласно член 13, параграф 3, за което съответните национални органи, отговарящи за прилагането на съответното законодателство и практики, съобщават на националните звена за контакт на резерва на ЕС от таланти;</w:t>
            </w:r>
          </w:p>
        </w:tc>
        <w:tc>
          <w:tcPr>
            <w:tcW w:w="4876" w:type="dxa"/>
            <w:tcBorders>
              <w:top w:val="nil"/>
              <w:left w:val="nil"/>
              <w:bottom w:val="nil"/>
              <w:right w:val="nil"/>
            </w:tcBorders>
          </w:tcPr>
          <w:p>
            <w:pPr>
              <w:pStyle w:val="Normal6a"/>
            </w:pPr>
            <w:r>
              <w:t>д)</w:t>
            </w:r>
            <w:r>
              <w:tab/>
            </w:r>
            <w:r>
              <w:rPr>
                <w:b/>
                <w:i/>
              </w:rPr>
              <w:t>временно</w:t>
            </w:r>
            <w:r>
              <w:t xml:space="preserve"> прекратяване на достъпа на работодатели, участващи в резерва на ЕС от таланти, и премахване на техните свободни работни места от ИТ платформата на резерва на ЕС от таланти в случай на нарушение на съответното законодателство и съответните практики съгласно член 13, параграф 3, за което съответните национални органи, отговарящи за прилагането на съответното законодателство и практики, съобщават на националните звена за контакт на резерва на ЕС от таланти;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485</w:t>
      </w:r>
      <w:r>
        <w:rPr>
          <w:rStyle w:val="HideTWBExt"/>
        </w:rPr>
        <w:t>&lt;/NumAm&gt;</w:t>
      </w:r>
    </w:p>
    <w:p>
      <w:pPr>
        <w:pStyle w:val="NormalBold"/>
      </w:pPr>
      <w:r>
        <w:rPr>
          <w:rStyle w:val="HideTWBExt"/>
          <w:b w:val="0"/>
        </w:rPr>
        <w:t>&lt;RepeatBlock-By&gt;</w:t>
      </w:r>
      <w:r>
        <w:rPr>
          <w:rStyle w:val="HideTWBExt"/>
          <w:b w:val="0"/>
        </w:rPr>
        <w:t>&lt;Members&gt;</w:t>
      </w:r>
      <w:r>
        <w:t>Пернандо Барена Арса</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10 – параграф 2 – буква д a (нова)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да)</w:t>
            </w:r>
            <w:r>
              <w:tab/>
            </w:r>
            <w:r>
              <w:rPr>
                <w:b/>
                <w:i/>
              </w:rPr>
              <w:t>поддържане на общодостъпен регистър на работодателите, които са били окончателно изключени от платформата на резерва на ЕС от таланти;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486</w:t>
      </w:r>
      <w:r>
        <w:rPr>
          <w:rStyle w:val="HideTWBExt"/>
        </w:rPr>
        <w:t>&lt;/NumAm&gt;</w:t>
      </w:r>
    </w:p>
    <w:p>
      <w:pPr>
        <w:pStyle w:val="NormalBold"/>
      </w:pPr>
      <w:r>
        <w:rPr>
          <w:rStyle w:val="HideTWBExt"/>
          <w:b w:val="0"/>
        </w:rPr>
        <w:t>&lt;RepeatBlock-By&gt;</w:t>
      </w:r>
      <w:r>
        <w:rPr>
          <w:rStyle w:val="HideTWBExt"/>
          <w:b w:val="0"/>
        </w:rPr>
        <w:t>&lt;Members&gt;</w:t>
      </w:r>
      <w:r>
        <w:t>Ян-Кристоф Йотен, Абир Ал-Сахлани, Хилде Вотманс, Ирена Йовева, Луция Яр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10 – параграф 2 – буква е</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е)</w:t>
            </w:r>
            <w:r>
              <w:tab/>
            </w:r>
            <w:r>
              <w:t>предоставяне на информация на секретариата на резерва на ЕС от таланти относно процедурите на национално равнище, свързани с имиграция и признаване, включително по отношение на прилагането на принципа на предпочитане на граждани на Съюза, както и на съответните данни за мониторинга на резерва на ЕС от таланти, както е посочено в член 20;</w:t>
            </w:r>
          </w:p>
        </w:tc>
        <w:tc>
          <w:tcPr>
            <w:tcW w:w="4876" w:type="dxa"/>
            <w:tcBorders>
              <w:top w:val="nil"/>
              <w:left w:val="nil"/>
              <w:bottom w:val="nil"/>
              <w:right w:val="nil"/>
            </w:tcBorders>
          </w:tcPr>
          <w:p>
            <w:pPr>
              <w:pStyle w:val="Normal6a"/>
            </w:pPr>
            <w:r>
              <w:t>е)</w:t>
            </w:r>
            <w:r>
              <w:tab/>
            </w:r>
            <w:r>
              <w:t xml:space="preserve">предоставяне на информация на секретариата на резерва на ЕС от таланти относно процедурите на национално равнище, свързани с имиграция и признаване </w:t>
            </w:r>
            <w:r>
              <w:rPr>
                <w:b/>
                <w:i/>
              </w:rPr>
              <w:t>или съгласно Директива (ЕС) 2024/1233</w:t>
            </w:r>
            <w:r>
              <w:t xml:space="preserve">, включително по отношение на прилагането на принципа на предпочитане на граждани на Съюза </w:t>
            </w:r>
            <w:r>
              <w:rPr>
                <w:b/>
                <w:i/>
              </w:rPr>
              <w:t>или всяко временното спиране на неговото прилагане в рамките на ускорена имиграционна процедура</w:t>
            </w:r>
            <w:r>
              <w:t>, както и на съответните данни за мониторинга на резерва на ЕС от таланти, както е посочено в член 20;</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487</w:t>
      </w:r>
      <w:r>
        <w:rPr>
          <w:rStyle w:val="HideTWBExt"/>
        </w:rPr>
        <w:t>&lt;/NumAm&gt;</w:t>
      </w:r>
    </w:p>
    <w:p>
      <w:pPr>
        <w:pStyle w:val="NormalBold"/>
      </w:pPr>
      <w:r>
        <w:rPr>
          <w:rStyle w:val="HideTWBExt"/>
          <w:b w:val="0"/>
        </w:rPr>
        <w:t>&lt;RepeatBlock-By&gt;</w:t>
      </w:r>
      <w:r>
        <w:rPr>
          <w:rStyle w:val="HideTWBExt"/>
          <w:b w:val="0"/>
        </w:rPr>
        <w:t>&lt;Members&gt;</w:t>
      </w:r>
      <w:r>
        <w:t>Хуан Игнасио Соидо Алварес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10 – параграф 2 – алинея 1 (нова)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изготвяне на списъци с удостоверения за умения и професионални квалификации, придобити в хода на професионалния живот, издавани от професионални сдружения и/или институции за обучение, които търсещите работа лица могат да добавят към своите профили, както е предвидено в член 12, параграф 3, буква в)</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488</w:t>
      </w:r>
      <w:r>
        <w:rPr>
          <w:rStyle w:val="HideTWBExt"/>
        </w:rPr>
        <w:t>&lt;/NumAm&gt;</w:t>
      </w:r>
    </w:p>
    <w:p>
      <w:pPr>
        <w:pStyle w:val="NormalBold"/>
      </w:pPr>
      <w:r>
        <w:rPr>
          <w:rStyle w:val="HideTWBExt"/>
          <w:b w:val="0"/>
        </w:rPr>
        <w:t>&lt;RepeatBlock-By&gt;</w:t>
      </w:r>
      <w:r>
        <w:rPr>
          <w:rStyle w:val="HideTWBExt"/>
          <w:b w:val="0"/>
        </w:rPr>
        <w:t>&lt;Members&gt;</w:t>
      </w:r>
      <w:r>
        <w:t>Ян-Кристоф Йотен, Абир Ал-Сахлани, Луция Яр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10 – параграф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Националните звена за контакт на резерва на ЕС от таланти от всяка </w:t>
            </w:r>
            <w:r>
              <w:rPr>
                <w:b/>
                <w:i/>
              </w:rPr>
              <w:t>участваща</w:t>
            </w:r>
            <w:r>
              <w:t xml:space="preserve"> държава членка се свикват редовно от секретариата на резерва на ЕС от таланти в рамките на мрежата на националните звена за контакт на резерва на ЕС от таланти с цел обмен на информация и най-добри практики относно прилагането на настоящия регламент.</w:t>
            </w:r>
          </w:p>
        </w:tc>
        <w:tc>
          <w:tcPr>
            <w:tcW w:w="4876" w:type="dxa"/>
            <w:tcBorders>
              <w:top w:val="nil"/>
              <w:left w:val="nil"/>
              <w:bottom w:val="nil"/>
              <w:right w:val="nil"/>
            </w:tcBorders>
          </w:tcPr>
          <w:p>
            <w:pPr>
              <w:pStyle w:val="Normal6a"/>
            </w:pPr>
            <w:r>
              <w:t>3.</w:t>
            </w:r>
            <w:r>
              <w:tab/>
            </w:r>
            <w:r>
              <w:t>Националните звена за контакт на резерва на ЕС от таланти от всяка държава членка се свикват редовно от секретариата на резерва на ЕС от таланти в рамките на мрежата на националните звена за контакт на резерва на ЕС от таланти с цел обмен на информация и най-добри практики относно прилагането на настоящия регламент.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489</w:t>
      </w:r>
      <w:r>
        <w:rPr>
          <w:rStyle w:val="HideTWBExt"/>
        </w:rPr>
        <w:t>&lt;/NumAm&gt;</w:t>
      </w:r>
    </w:p>
    <w:p>
      <w:pPr>
        <w:pStyle w:val="NormalBold"/>
      </w:pPr>
      <w:r>
        <w:rPr>
          <w:rStyle w:val="HideTWBExt"/>
          <w:b w:val="0"/>
        </w:rPr>
        <w:t>&lt;RepeatBlock-By&gt;</w:t>
      </w:r>
      <w:r>
        <w:rPr>
          <w:rStyle w:val="HideTWBExt"/>
          <w:b w:val="0"/>
        </w:rPr>
        <w:t>&lt;Members&gt;</w:t>
      </w:r>
      <w:r>
        <w:t>Лена Дюпон, Томас Тобé, Алис Теодореску Мове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10 – параграф 3 – алинея 1 (нова)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Националните социални партньори на участващите държави членки ще бъдат тясно ангажирани в работата на националните звена за контакт чрез съответните им национални структури.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490</w:t>
      </w:r>
      <w:r>
        <w:rPr>
          <w:rStyle w:val="HideTWBExt"/>
        </w:rPr>
        <w:t>&lt;/NumAm&gt;</w:t>
      </w:r>
    </w:p>
    <w:p>
      <w:pPr>
        <w:pStyle w:val="NormalBold"/>
      </w:pPr>
      <w:r>
        <w:rPr>
          <w:rStyle w:val="HideTWBExt"/>
          <w:b w:val="0"/>
        </w:rPr>
        <w:t>&lt;RepeatBlock-By&gt;</w:t>
      </w:r>
      <w:r>
        <w:rPr>
          <w:rStyle w:val="HideTWBExt"/>
          <w:b w:val="0"/>
        </w:rPr>
        <w:t>&lt;Members&gt;</w:t>
      </w:r>
      <w:r>
        <w:t>Том Вандендрисе, Петра Щегер, Ярослав Бжох, Фабрис Леджери, Антонио Танжер Кореа,  Хорхе Бусаде Виялба, Марике Елерс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11 – заглавие</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Регистрация и достъп на търсещи работа лица от трети държави</w:t>
            </w:r>
          </w:p>
        </w:tc>
        <w:tc>
          <w:tcPr>
            <w:tcW w:w="4876" w:type="dxa"/>
            <w:tcBorders>
              <w:top w:val="nil"/>
              <w:left w:val="nil"/>
              <w:bottom w:val="nil"/>
              <w:right w:val="nil"/>
            </w:tcBorders>
          </w:tcPr>
          <w:p>
            <w:pPr>
              <w:pStyle w:val="Normal6a"/>
            </w:pPr>
            <w:r>
              <w:t xml:space="preserve">Регистрация и достъп на </w:t>
            </w:r>
            <w:r>
              <w:rPr>
                <w:b/>
                <w:i/>
              </w:rPr>
              <w:t>висококвалифицирани</w:t>
            </w:r>
            <w:r>
              <w:t xml:space="preserve"> търсещи работа лица от трети държави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491</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11 – заглавие</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Регистрация и достъп на търсещи работа лица от трети държави</w:t>
            </w:r>
          </w:p>
        </w:tc>
        <w:tc>
          <w:tcPr>
            <w:tcW w:w="4876" w:type="dxa"/>
            <w:tcBorders>
              <w:top w:val="nil"/>
              <w:left w:val="nil"/>
              <w:bottom w:val="nil"/>
              <w:right w:val="nil"/>
            </w:tcBorders>
          </w:tcPr>
          <w:p>
            <w:pPr>
              <w:pStyle w:val="Normal6a"/>
            </w:pPr>
            <w:r>
              <w:t>Регистрация</w:t>
            </w:r>
            <w:r>
              <w:rPr>
                <w:b/>
                <w:i/>
              </w:rPr>
              <w:t>, проверка</w:t>
            </w:r>
            <w:r>
              <w:t xml:space="preserve"> и достъп на търсещи работа лица от трети държави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492</w:t>
      </w:r>
      <w:r>
        <w:rPr>
          <w:rStyle w:val="HideTWBExt"/>
        </w:rPr>
        <w:t>&lt;/NumAm&gt;</w:t>
      </w:r>
    </w:p>
    <w:p>
      <w:pPr>
        <w:pStyle w:val="NormalBold"/>
      </w:pPr>
      <w:r>
        <w:rPr>
          <w:rStyle w:val="HideTWBExt"/>
          <w:b w:val="0"/>
        </w:rPr>
        <w:t>&lt;RepeatBlock-By&gt;</w:t>
      </w:r>
      <w:r>
        <w:rPr>
          <w:rStyle w:val="HideTWBExt"/>
          <w:b w:val="0"/>
        </w:rPr>
        <w:t>&lt;Members&gt;</w:t>
      </w:r>
      <w:r>
        <w:t>Франсоа-Ксавие Белами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11 – параграф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За да се регистрират на ИТ платформата на резерва на ЕС от таланти, търсещите работа лица от трети държави може да създават своите профили чрез функцията за създаване на профили на Europass.</w:t>
            </w:r>
          </w:p>
        </w:tc>
        <w:tc>
          <w:tcPr>
            <w:tcW w:w="4876" w:type="dxa"/>
            <w:tcBorders>
              <w:top w:val="nil"/>
              <w:left w:val="nil"/>
              <w:bottom w:val="nil"/>
              <w:right w:val="nil"/>
            </w:tcBorders>
          </w:tcPr>
          <w:p>
            <w:pPr>
              <w:pStyle w:val="Normal6a"/>
            </w:pPr>
            <w:r>
              <w:t>1.</w:t>
            </w:r>
            <w:r>
              <w:tab/>
            </w:r>
            <w:r>
              <w:t xml:space="preserve">За да се регистрират на ИТ платформата на резерва на ЕС от таланти, търсещите работа лица от трети държави може да създават своите профили чрез функцията за създаване на профили на Europass. </w:t>
            </w:r>
            <w:r>
              <w:rPr>
                <w:b/>
                <w:i/>
              </w:rPr>
              <w:t>Условие за регистрацията е притежаването на познания по един от официалните езици на Европейския съюз.</w:t>
            </w:r>
            <w:r>
              <w:t xml:space="preserve"> </w:t>
            </w:r>
            <w:r>
              <w:rPr>
                <w:b/>
                <w:i/>
              </w:rPr>
              <w:t>За тази цел трябва да бъде предоставена международно призната диплома, удостоверяваща необходимото ниво на езикови познания.</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493</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11 – параграф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За да се регистрират на ИТ платформата на резерва на ЕС от таланти, търсещите работа лица от трети държави може да създават своите профили чрез функцията за създаване на профили на Europass.</w:t>
            </w:r>
          </w:p>
        </w:tc>
        <w:tc>
          <w:tcPr>
            <w:tcW w:w="4876" w:type="dxa"/>
            <w:tcBorders>
              <w:top w:val="nil"/>
              <w:left w:val="nil"/>
              <w:bottom w:val="nil"/>
              <w:right w:val="nil"/>
            </w:tcBorders>
          </w:tcPr>
          <w:p>
            <w:pPr>
              <w:pStyle w:val="Normal6a"/>
            </w:pPr>
            <w:r>
              <w:t>1.</w:t>
            </w:r>
            <w:r>
              <w:tab/>
            </w:r>
            <w:r>
              <w:t xml:space="preserve">За да се регистрират на ИТ платформата на резерва на ЕС от таланти, търсещите работа лица от трети държави може да създават своите профили чрез </w:t>
            </w:r>
            <w:r>
              <w:rPr>
                <w:b/>
                <w:i/>
              </w:rPr>
              <w:t>ръчно въвеждане, импортиране на автобиография, чрез</w:t>
            </w:r>
            <w:r>
              <w:t xml:space="preserve"> функцията за създаване на профили на Europass</w:t>
            </w:r>
            <w:r>
              <w:rPr>
                <w:b/>
                <w:i/>
              </w:rPr>
              <w:t>, инструмента на ЕС за профилиране на уменията на гражданите на трети държави или всяка друга интеграция, одобрена от секретариата</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494</w:t>
      </w:r>
      <w:r>
        <w:rPr>
          <w:rStyle w:val="HideTWBExt"/>
        </w:rPr>
        <w:t>&lt;/NumAm&gt;</w:t>
      </w:r>
    </w:p>
    <w:p>
      <w:pPr>
        <w:pStyle w:val="NormalBold"/>
      </w:pPr>
      <w:r>
        <w:rPr>
          <w:rStyle w:val="HideTWBExt"/>
          <w:b w:val="0"/>
        </w:rPr>
        <w:t>&lt;RepeatBlock-By&gt;</w:t>
      </w:r>
      <w:r>
        <w:rPr>
          <w:rStyle w:val="HideTWBExt"/>
          <w:b w:val="0"/>
        </w:rPr>
        <w:t>&lt;Members&gt;</w:t>
      </w:r>
      <w:r>
        <w:t>Хавиер Морено Санчес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11 – параграф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За да се регистрират на ИТ платформата на резерва на ЕС от таланти, търсещите работа лица от трети държави </w:t>
            </w:r>
            <w:r>
              <w:rPr>
                <w:b/>
                <w:i/>
              </w:rPr>
              <w:t>може да</w:t>
            </w:r>
            <w:r>
              <w:t xml:space="preserve"> създават своите профили чрез функцията за създаване на профили на Europass.</w:t>
            </w:r>
          </w:p>
        </w:tc>
        <w:tc>
          <w:tcPr>
            <w:tcW w:w="4876" w:type="dxa"/>
            <w:tcBorders>
              <w:top w:val="nil"/>
              <w:left w:val="nil"/>
              <w:bottom w:val="nil"/>
              <w:right w:val="nil"/>
            </w:tcBorders>
          </w:tcPr>
          <w:p>
            <w:pPr>
              <w:pStyle w:val="Normal6a"/>
            </w:pPr>
            <w:r>
              <w:t>1.</w:t>
            </w:r>
            <w:r>
              <w:tab/>
            </w:r>
            <w:r>
              <w:t>За да се регистрират на ИТ платформата на резерва на ЕС от таланти, търсещите работа лица от трети държави</w:t>
            </w:r>
            <w:r>
              <w:rPr>
                <w:b/>
                <w:i/>
              </w:rPr>
              <w:t>, които желаят да се регистрират на ИТ платформата на резерва на ЕС от таланти</w:t>
            </w:r>
            <w:r>
              <w:t xml:space="preserve"> създават своите профили чрез функцията за създаване на профили на Europass.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495</w:t>
      </w:r>
      <w:r>
        <w:rPr>
          <w:rStyle w:val="HideTWBExt"/>
        </w:rPr>
        <w:t>&lt;/NumAm&gt;</w:t>
      </w:r>
    </w:p>
    <w:p>
      <w:pPr>
        <w:pStyle w:val="NormalBold"/>
      </w:pPr>
      <w:r>
        <w:rPr>
          <w:rStyle w:val="HideTWBExt"/>
          <w:b w:val="0"/>
        </w:rPr>
        <w:t>&lt;RepeatBlock-By&gt;</w:t>
      </w:r>
      <w:r>
        <w:rPr>
          <w:rStyle w:val="HideTWBExt"/>
          <w:b w:val="0"/>
        </w:rPr>
        <w:t>&lt;Members&gt;</w:t>
      </w:r>
      <w:r>
        <w:t>Никос Анадиотис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11 – параграф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За да се регистрират на ИТ платформата на резерва на ЕС от таланти, търсещите работа лица от трети държави </w:t>
            </w:r>
            <w:r>
              <w:rPr>
                <w:b/>
                <w:i/>
              </w:rPr>
              <w:t>може</w:t>
            </w:r>
            <w:r>
              <w:t xml:space="preserve"> да създават своите профили чрез функцията за създаване на профили на Europass.</w:t>
            </w:r>
          </w:p>
        </w:tc>
        <w:tc>
          <w:tcPr>
            <w:tcW w:w="4876" w:type="dxa"/>
            <w:tcBorders>
              <w:top w:val="nil"/>
              <w:left w:val="nil"/>
              <w:bottom w:val="nil"/>
              <w:right w:val="nil"/>
            </w:tcBorders>
          </w:tcPr>
          <w:p>
            <w:pPr>
              <w:pStyle w:val="Normal6a"/>
            </w:pPr>
            <w:r>
              <w:t>1.</w:t>
            </w:r>
            <w:r>
              <w:tab/>
            </w:r>
            <w:r>
              <w:t xml:space="preserve">За да се регистрират на ИТ платформата на резерва на ЕС от таланти, търсещите работа лица от трети държави </w:t>
            </w:r>
            <w:r>
              <w:rPr>
                <w:b/>
                <w:i/>
              </w:rPr>
              <w:t>трябва</w:t>
            </w:r>
            <w:r>
              <w:t xml:space="preserve"> да създават своите профили чрез функцията за създаване на профили на Europass.</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496</w:t>
      </w:r>
      <w:r>
        <w:rPr>
          <w:rStyle w:val="HideTWBExt"/>
        </w:rPr>
        <w:t>&lt;/NumAm&gt;</w:t>
      </w:r>
    </w:p>
    <w:p>
      <w:pPr>
        <w:pStyle w:val="NormalBold"/>
      </w:pPr>
      <w:r>
        <w:rPr>
          <w:rStyle w:val="HideTWBExt"/>
          <w:b w:val="0"/>
        </w:rPr>
        <w:t>&lt;RepeatBlock-By&gt;</w:t>
      </w:r>
      <w:r>
        <w:rPr>
          <w:rStyle w:val="HideTWBExt"/>
          <w:b w:val="0"/>
        </w:rPr>
        <w:t>&lt;Members&gt;</w:t>
      </w:r>
      <w:r>
        <w:t>Пернандо Барена Арса</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11 – параграф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tab/>
            </w:r>
            <w:r>
              <w:rPr>
                <w:b/>
                <w:i/>
              </w:rPr>
              <w:t>Достъпът до регистриране на профил на ИТ платформата на резерва на ЕС от таланти се ограничава до лица, които изрично декларират, че не са обект на съдебно или административно решение, с което се отказва влизане или престой в държава членка в съответствие с нейното национално законодателство, или на забрана за влизане на територията на Съюза в съответствие с Директива 2008/115/ЕО.</w:t>
            </w:r>
          </w:p>
        </w:tc>
        <w:tc>
          <w:tcPr>
            <w:tcW w:w="4876" w:type="dxa"/>
            <w:tcBorders>
              <w:top w:val="nil"/>
              <w:left w:val="nil"/>
              <w:bottom w:val="nil"/>
              <w:right w:val="nil"/>
            </w:tcBorders>
          </w:tcPr>
          <w:p>
            <w:pPr>
              <w:pStyle w:val="Normal6a"/>
            </w:pPr>
            <w:r>
              <w:rPr>
                <w:b/>
                <w:i/>
              </w:rPr>
              <w:t>заличава се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497</w:t>
      </w:r>
      <w:r>
        <w:rPr>
          <w:rStyle w:val="HideTWBExt"/>
        </w:rPr>
        <w:t>&lt;/NumAm&gt;</w:t>
      </w:r>
    </w:p>
    <w:p>
      <w:pPr>
        <w:pStyle w:val="NormalBold"/>
      </w:pPr>
      <w:r>
        <w:rPr>
          <w:rStyle w:val="HideTWBExt"/>
          <w:b w:val="0"/>
        </w:rPr>
        <w:t>&lt;RepeatBlock-By&gt;</w:t>
      </w:r>
      <w:r>
        <w:rPr>
          <w:rStyle w:val="HideTWBExt"/>
          <w:b w:val="0"/>
        </w:rPr>
        <w:t>&lt;Members&gt;</w:t>
      </w:r>
      <w:r>
        <w:t>Франсоа-Ксавие Белами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11 – параграф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Достъпът до регистриране на профил на ИТ платформата на резерва на ЕС от таланти се ограничава до лица, които изрично декларират, че не са обект на съдебно или административно решение, с което се отказва влизане или престой в държава членка в съответствие с нейното национално законодателство, или на забрана за влизане на територията на Съюза в съответствие с Директива 2008/115/ЕО.</w:t>
            </w:r>
          </w:p>
        </w:tc>
        <w:tc>
          <w:tcPr>
            <w:tcW w:w="4876" w:type="dxa"/>
            <w:tcBorders>
              <w:top w:val="nil"/>
              <w:left w:val="nil"/>
              <w:bottom w:val="nil"/>
              <w:right w:val="nil"/>
            </w:tcBorders>
          </w:tcPr>
          <w:p>
            <w:pPr>
              <w:pStyle w:val="Normal6a"/>
            </w:pPr>
            <w:r>
              <w:t>2.</w:t>
            </w:r>
            <w:r>
              <w:tab/>
            </w:r>
            <w:r>
              <w:t xml:space="preserve">Достъпът до регистриране на профил на ИТ платформата на резерва на ЕС от таланти се ограничава до лица, които изрично декларират, че не са обект на съдебно или административно решение, с което се отказва влизане или престой в държава членка в съответствие с нейното национално законодателство, или на забрана за влизане на територията на Съюза в съответствие с Директива 2008/115/ЕО. </w:t>
            </w:r>
            <w:r>
              <w:rPr>
                <w:b/>
                <w:i/>
              </w:rPr>
              <w:t>Ако такъв профил вече е регистриран в ИТ платформата, той трябва да бъде изтрит.</w:t>
            </w:r>
            <w:r>
              <w:t xml:space="preserve"> </w:t>
            </w:r>
            <w:r>
              <w:rPr>
                <w:b/>
                <w:i/>
              </w:rPr>
              <w:t>Дори когато съдебните производства, образувани срещу търсещо работа лице от трета държава, са приключили и съдебното производство е приключило, изключването на лицето от платформата остава в сила.</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498</w:t>
      </w:r>
      <w:r>
        <w:rPr>
          <w:rStyle w:val="HideTWBExt"/>
        </w:rPr>
        <w:t>&lt;/NumAm&gt;</w:t>
      </w:r>
    </w:p>
    <w:p>
      <w:pPr>
        <w:pStyle w:val="NormalBold"/>
      </w:pPr>
      <w:r>
        <w:rPr>
          <w:rStyle w:val="HideTWBExt"/>
          <w:b w:val="0"/>
        </w:rPr>
        <w:t>&lt;RepeatBlock-By&gt;</w:t>
      </w:r>
      <w:r>
        <w:rPr>
          <w:rStyle w:val="HideTWBExt"/>
          <w:b w:val="0"/>
        </w:rPr>
        <w:t>&lt;Members&gt;</w:t>
      </w:r>
      <w:r>
        <w:t>Томаш Здеховски, Кшищоф Брейза</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11 – параграф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Достъпът до регистриране на профил на ИТ платформата на резерва на ЕС от таланти се ограничава до лица, които изрично декларират, че не са обект на съдебно или административно решение, с което се отказва влизане или престой в държава членка в съответствие с нейното национално законодателство, или на забрана за влизане на територията на Съюза в съответствие с Директива 2008/115/ЕО.</w:t>
            </w:r>
          </w:p>
        </w:tc>
        <w:tc>
          <w:tcPr>
            <w:tcW w:w="4876" w:type="dxa"/>
            <w:tcBorders>
              <w:top w:val="nil"/>
              <w:left w:val="nil"/>
              <w:bottom w:val="nil"/>
              <w:right w:val="nil"/>
            </w:tcBorders>
          </w:tcPr>
          <w:p>
            <w:pPr>
              <w:pStyle w:val="Normal6a"/>
            </w:pPr>
            <w:r>
              <w:t>2.</w:t>
            </w:r>
            <w:r>
              <w:tab/>
            </w:r>
            <w:r>
              <w:t xml:space="preserve">Достъпът до регистриране на профил на ИТ платформата на резерва на ЕС от таланти се ограничава до лица, които изрично декларират, че не са обект на съдебно или административно решение, с което се отказва влизане или престой в държава членка в съответствие с нейното национално законодателство, или на забрана за влизане на територията на Съюза в съответствие с Директива 2008/115/ЕО. </w:t>
            </w:r>
            <w:r>
              <w:rPr>
                <w:b/>
                <w:i/>
              </w:rPr>
              <w:t>Освен това, достъпът до регистрация на профил в ИТ платформата на резерва на ЕС от таланти ще бъде ограничен до лица, които могат да предоставят свидетелство за съдимост, осигурявайки повишена сигурност и улеснявайки по-задълбочена проверка на съдебното досие.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499</w:t>
      </w:r>
      <w:r>
        <w:rPr>
          <w:rStyle w:val="HideTWBExt"/>
        </w:rPr>
        <w:t>&lt;/NumAm&gt;</w:t>
      </w:r>
    </w:p>
    <w:p>
      <w:pPr>
        <w:pStyle w:val="NormalBold"/>
      </w:pPr>
      <w:r>
        <w:rPr>
          <w:rStyle w:val="HideTWBExt"/>
          <w:b w:val="0"/>
        </w:rPr>
        <w:t>&lt;RepeatBlock-By&gt;</w:t>
      </w:r>
      <w:r>
        <w:rPr>
          <w:rStyle w:val="HideTWBExt"/>
          <w:b w:val="0"/>
        </w:rPr>
        <w:t>&lt;Members&gt;</w:t>
      </w:r>
      <w:r>
        <w:t>Лена Дюпон, Томас Тобé, Алис Теодореску Мове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11 – параграф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Достъпът до регистриране на профил на ИТ платформата на резерва на ЕС от таланти </w:t>
            </w:r>
            <w:r>
              <w:rPr>
                <w:b/>
                <w:i/>
              </w:rPr>
              <w:t>се ограничава</w:t>
            </w:r>
            <w:r>
              <w:t xml:space="preserve"> до лица, които изрично декларират</w:t>
            </w:r>
            <w:r>
              <w:rPr>
                <w:b/>
                <w:i/>
              </w:rPr>
              <w:t>, че не са обект на съдебно или административно решение, с което се отказва влизане или престой в държава членка в съответствие с нейното национално законодателство, или на забрана за влизане на територията на Съюза в съответствие с Директива 2008/115/ЕО.</w:t>
            </w:r>
          </w:p>
        </w:tc>
        <w:tc>
          <w:tcPr>
            <w:tcW w:w="4876" w:type="dxa"/>
            <w:tcBorders>
              <w:top w:val="nil"/>
              <w:left w:val="nil"/>
              <w:bottom w:val="nil"/>
              <w:right w:val="nil"/>
            </w:tcBorders>
          </w:tcPr>
          <w:p>
            <w:pPr>
              <w:pStyle w:val="Normal6a"/>
            </w:pPr>
            <w:r>
              <w:t>2.</w:t>
            </w:r>
            <w:r>
              <w:tab/>
            </w:r>
            <w:r>
              <w:t xml:space="preserve">Достъпът до регистриране на профил на ИТ платформата на резерва на ЕС от таланти </w:t>
            </w:r>
            <w:r>
              <w:rPr>
                <w:b/>
                <w:i/>
              </w:rPr>
              <w:t>ще бъде ограничен</w:t>
            </w:r>
            <w:r>
              <w:t xml:space="preserve"> до лица, които изрично декларират</w:t>
            </w:r>
            <w:r>
              <w:rPr>
                <w:b/>
                <w:i/>
              </w:rP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500</w:t>
      </w:r>
      <w:r>
        <w:rPr>
          <w:rStyle w:val="HideTWBExt"/>
        </w:rPr>
        <w:t>&lt;/NumAm&gt;</w:t>
      </w:r>
    </w:p>
    <w:p>
      <w:pPr>
        <w:pStyle w:val="NormalBold"/>
      </w:pPr>
      <w:r>
        <w:rPr>
          <w:rStyle w:val="HideTWBExt"/>
          <w:b w:val="0"/>
        </w:rPr>
        <w:t>&lt;RepeatBlock-By&gt;</w:t>
      </w:r>
      <w:r>
        <w:rPr>
          <w:rStyle w:val="HideTWBExt"/>
          <w:b w:val="0"/>
        </w:rPr>
        <w:t>&lt;Members&gt;</w:t>
      </w:r>
      <w:r>
        <w:t>Чарли Веймерс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11 – параграф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Достъпът до регистриране на профил на ИТ платформата на резерва на ЕС от таланти се ограничава до лица, които изрично декларират, че не са обект на съдебно или административно решение, с което се отказва влизане или престой в държава членка в съответствие с нейното национално законодателство, или на забрана за влизане на територията на Съюза в съответствие с Директива 2008/115/ЕО.</w:t>
            </w:r>
          </w:p>
        </w:tc>
        <w:tc>
          <w:tcPr>
            <w:tcW w:w="4876" w:type="dxa"/>
            <w:tcBorders>
              <w:top w:val="nil"/>
              <w:left w:val="nil"/>
              <w:bottom w:val="nil"/>
              <w:right w:val="nil"/>
            </w:tcBorders>
          </w:tcPr>
          <w:p>
            <w:pPr>
              <w:pStyle w:val="Normal6a"/>
            </w:pPr>
            <w:r>
              <w:t>2.</w:t>
            </w:r>
            <w:r>
              <w:tab/>
            </w:r>
            <w:r>
              <w:t xml:space="preserve">Достъпът до регистриране на профил на ИТ платформата на резерва на ЕС от таланти се ограничава до лица, които изрично декларират </w:t>
            </w:r>
            <w:r>
              <w:rPr>
                <w:b/>
                <w:i/>
              </w:rPr>
              <w:t>и могат да докажат чрез лесно проверими извлечения от регистри</w:t>
            </w:r>
            <w:r>
              <w:t>, че не са обект на съдебно или административно решение, с което се отказва влизане или престой в държава членка в съответствие с нейното национално законодателство, или на забрана за влизане на територията на Съюза в съответствие с Директива 2008/115/ЕО</w:t>
            </w:r>
            <w:r>
              <w:rPr>
                <w:b/>
                <w:i/>
              </w:rPr>
              <w:t>, и могат да докажат, че имат добра репутация в страната си по произход</w:t>
            </w:r>
            <w:r>
              <w:t>.</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501</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11 – параграф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Достъпът до регистриране на профил на ИТ платформата на резерва на ЕС от таланти се ограничава до лица, които изрично декларират, че не са обект на съдебно </w:t>
            </w:r>
            <w:r>
              <w:rPr>
                <w:b/>
                <w:i/>
              </w:rPr>
              <w:t>или административно</w:t>
            </w:r>
            <w:r>
              <w:t xml:space="preserve"> решение, с което се отказва влизане или престой в държава членка в съответствие с нейното национално законодателство, или на забрана за влизане на територията на Съюза в съответствие с Директива 2008/115/ЕО.</w:t>
            </w:r>
          </w:p>
        </w:tc>
        <w:tc>
          <w:tcPr>
            <w:tcW w:w="4876" w:type="dxa"/>
            <w:tcBorders>
              <w:top w:val="nil"/>
              <w:left w:val="nil"/>
              <w:bottom w:val="nil"/>
              <w:right w:val="nil"/>
            </w:tcBorders>
          </w:tcPr>
          <w:p>
            <w:pPr>
              <w:pStyle w:val="Normal6a"/>
            </w:pPr>
            <w:r>
              <w:t>2.</w:t>
            </w:r>
            <w:r>
              <w:tab/>
            </w:r>
            <w:r>
              <w:t>Достъпът до регистриране на профил на ИТ платформата на резерва на ЕС от таланти се ограничава до лица, които изрично декларират, че не са обект на съдебно решение, с което се отказва влизане или престой в държава членка в съответствие с нейното национално законодателство, или на забрана за влизане на територията на Съюза в съответствие с Директива 2008/115/ЕО.</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502</w:t>
      </w:r>
      <w:r>
        <w:rPr>
          <w:rStyle w:val="HideTWBExt"/>
        </w:rPr>
        <w:t>&lt;/NumAm&gt;</w:t>
      </w:r>
    </w:p>
    <w:p>
      <w:pPr>
        <w:pStyle w:val="NormalBold"/>
      </w:pPr>
      <w:r>
        <w:rPr>
          <w:rStyle w:val="HideTWBExt"/>
          <w:b w:val="0"/>
        </w:rPr>
        <w:t>&lt;RepeatBlock-By&gt;</w:t>
      </w:r>
      <w:r>
        <w:rPr>
          <w:rStyle w:val="HideTWBExt"/>
          <w:b w:val="0"/>
        </w:rPr>
        <w:t>&lt;Members&gt;</w:t>
      </w:r>
      <w:r>
        <w:t>Лена Дюпон, Томас Тобé, Алис Теодореску Мове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11 – параграф 2 а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а) не са обект на съдебно или административно решение, с което се отказва влизане или престой в държава членка в съответствие с нейното национално законодателство, или на забрана за влизане на територията на Съюза в съответствие с Директива 2008/115/ЕО;</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б) не са осъждани за престъпление съгласно Директива (ЕС) 2017/541 или за друго престъпление, което представлява или предполага заплаха за националната сигурност на държава членка;</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в) не са съзнателно свързани с лица, групи и образувания, за които се прилага Обща позиция 2001/931/ОВППС („Списъкът“).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503</w:t>
      </w:r>
      <w:r>
        <w:rPr>
          <w:rStyle w:val="HideTWBExt"/>
        </w:rPr>
        <w:t>&lt;/NumAm&gt;</w:t>
      </w:r>
    </w:p>
    <w:p>
      <w:pPr>
        <w:pStyle w:val="NormalBold"/>
      </w:pPr>
      <w:r>
        <w:rPr>
          <w:rStyle w:val="HideTWBExt"/>
          <w:b w:val="0"/>
        </w:rPr>
        <w:t>&lt;RepeatBlock-By&gt;</w:t>
      </w:r>
      <w:r>
        <w:rPr>
          <w:rStyle w:val="HideTWBExt"/>
          <w:b w:val="0"/>
        </w:rPr>
        <w:t>&lt;Members&gt;</w:t>
      </w:r>
      <w:r>
        <w:t>Том Вандендрисе, Петра Щегер, Ярослав Бжох, Фабрис Леджери, Антонио Танжер Кореа,  Хорхе Бусаде Виялба, Марике Елерс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11 – параграф 2 а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Профилите на търсещите работа лица, чието имиграционно заявление е отхвърлено в държава членка в резултат на проверките за сигурност, извършени съгласно член 19, параграф 2, буква б), ще бъдат незабавно премахнати от ИТ платформата на резерва на ЕС от таланти без възможност за възстановяване.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504</w:t>
      </w:r>
      <w:r>
        <w:rPr>
          <w:rStyle w:val="HideTWBExt"/>
        </w:rPr>
        <w:t>&lt;/NumAm&gt;</w:t>
      </w:r>
    </w:p>
    <w:p>
      <w:pPr>
        <w:pStyle w:val="NormalBold"/>
      </w:pPr>
      <w:r>
        <w:rPr>
          <w:rStyle w:val="HideTWBExt"/>
          <w:b w:val="0"/>
        </w:rPr>
        <w:t>&lt;RepeatBlock-By&gt;</w:t>
      </w:r>
      <w:r>
        <w:rPr>
          <w:rStyle w:val="HideTWBExt"/>
          <w:b w:val="0"/>
        </w:rPr>
        <w:t>&lt;Members&gt;</w:t>
      </w:r>
      <w:r>
        <w:t>Ян-Кристоф Йотен, Абир Ал-Сахлани, Луция Яр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11 – параграф 2 а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По време на имиграционните процедури, извършвани от държавите членки, могат да бъдат проведени необходими проверки в съответните национални бази данни и в базите данни на ЕС, като Шенгенската информационна система.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505</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11 – параграф 2 а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Търсещо работа лице, чийто достъп до платформата на резерва на ЕС от таланти е отказан, трябва да бъде уведомено писмено чрез ИТ платформата на резерва на ЕС от таланти, като му бъдат обяснени причините за отказа.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506</w:t>
      </w:r>
      <w:r>
        <w:rPr>
          <w:rStyle w:val="HideTWBExt"/>
        </w:rPr>
        <w:t>&lt;/NumAm&gt;</w:t>
      </w:r>
    </w:p>
    <w:p>
      <w:pPr>
        <w:pStyle w:val="NormalBold"/>
      </w:pPr>
      <w:r>
        <w:rPr>
          <w:rStyle w:val="HideTWBExt"/>
          <w:b w:val="0"/>
        </w:rPr>
        <w:t>&lt;RepeatBlock-By&gt;</w:t>
      </w:r>
      <w:r>
        <w:rPr>
          <w:rStyle w:val="HideTWBExt"/>
          <w:b w:val="0"/>
        </w:rPr>
        <w:t>&lt;Members&gt;</w:t>
      </w:r>
      <w:r>
        <w:t>Лена Дюпон, Томас Тобé, Алис Теодореску Мове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11 – параграф 2 б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2б.</w:t>
            </w:r>
            <w:r>
              <w:tab/>
            </w:r>
            <w:r>
              <w:rPr>
                <w:b/>
                <w:i/>
              </w:rPr>
              <w:t>Профилите на търсещите работа лица, които са подали невярна декларация по някоя от горепосочените точки, се заличават от ИТ платформата на резерва на ЕС от таланти.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507</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11 – параграф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Профилите на търсещите работа лица от трети държави, регистрирани в резерва на ЕС от таланти, са видими за </w:t>
            </w:r>
            <w:r>
              <w:rPr>
                <w:b/>
                <w:i/>
              </w:rPr>
              <w:t>работодателите</w:t>
            </w:r>
            <w:r>
              <w:t>, участващи в резерва на ЕС от таланти.</w:t>
            </w:r>
          </w:p>
        </w:tc>
        <w:tc>
          <w:tcPr>
            <w:tcW w:w="4876" w:type="dxa"/>
            <w:tcBorders>
              <w:top w:val="nil"/>
              <w:left w:val="nil"/>
              <w:bottom w:val="nil"/>
              <w:right w:val="nil"/>
            </w:tcBorders>
          </w:tcPr>
          <w:p>
            <w:pPr>
              <w:pStyle w:val="Normal6a"/>
            </w:pPr>
            <w:r>
              <w:t>3.</w:t>
            </w:r>
            <w:r>
              <w:tab/>
            </w:r>
            <w:r>
              <w:t xml:space="preserve">Профилите на търсещите работа лица от трети държави, регистрирани в резерва на ЕС от таланти, са видими за </w:t>
            </w:r>
            <w:r>
              <w:rPr>
                <w:b/>
                <w:i/>
              </w:rPr>
              <w:t>участващите работодатели и посредници, доставчици на услуги за проверка и намиране на съответствия, услуги за преквалификация и повишаване на квалификацията, както и за националните звена за контакт</w:t>
            </w:r>
            <w:r>
              <w:t>, участващи в резерва на ЕС от таланти</w:t>
            </w:r>
            <w:r>
              <w:rPr>
                <w:b/>
                <w:i/>
              </w:rPr>
              <w:t>, на принципа на необходимост да се знае</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508</w:t>
      </w:r>
      <w:r>
        <w:rPr>
          <w:rStyle w:val="HideTWBExt"/>
        </w:rPr>
        <w:t>&lt;/NumAm&gt;</w:t>
      </w:r>
    </w:p>
    <w:p>
      <w:pPr>
        <w:pStyle w:val="NormalBold"/>
      </w:pPr>
      <w:r>
        <w:rPr>
          <w:rStyle w:val="HideTWBExt"/>
          <w:b w:val="0"/>
        </w:rPr>
        <w:t>&lt;RepeatBlock-By&gt;</w:t>
      </w:r>
      <w:r>
        <w:rPr>
          <w:rStyle w:val="HideTWBExt"/>
          <w:b w:val="0"/>
        </w:rPr>
        <w:t>&lt;Members&gt;</w:t>
      </w:r>
      <w:r>
        <w:t>Чарли Веймерс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11 – параграф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Профилите на търсещите работа лица от трети държави, регистрирани в резерва на ЕС от таланти, са видими за </w:t>
            </w:r>
            <w:r>
              <w:rPr>
                <w:b/>
                <w:i/>
              </w:rPr>
              <w:t>работодателите, участващи в резерва на ЕС</w:t>
            </w:r>
            <w:r>
              <w:t xml:space="preserve"> от таланти.</w:t>
            </w:r>
          </w:p>
        </w:tc>
        <w:tc>
          <w:tcPr>
            <w:tcW w:w="4876" w:type="dxa"/>
            <w:tcBorders>
              <w:top w:val="nil"/>
              <w:left w:val="nil"/>
              <w:bottom w:val="nil"/>
              <w:right w:val="nil"/>
            </w:tcBorders>
          </w:tcPr>
          <w:p>
            <w:pPr>
              <w:pStyle w:val="Normal6a"/>
            </w:pPr>
            <w:r>
              <w:t>3.</w:t>
            </w:r>
            <w:r>
              <w:tab/>
            </w:r>
            <w:r>
              <w:t xml:space="preserve">Профилите на търсещите работа лица от трети държави, регистрирани в резерва на ЕС от таланти, са видими за </w:t>
            </w:r>
            <w:r>
              <w:rPr>
                <w:b/>
                <w:i/>
              </w:rPr>
              <w:t>всеки, който заплаща за достъп до съдържанието на резерва</w:t>
            </w:r>
            <w:r>
              <w:t xml:space="preserve"> от таланти.</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509</w:t>
      </w:r>
      <w:r>
        <w:rPr>
          <w:rStyle w:val="HideTWBExt"/>
        </w:rPr>
        <w:t>&lt;/NumAm&gt;</w:t>
      </w:r>
    </w:p>
    <w:p>
      <w:pPr>
        <w:pStyle w:val="NormalBold"/>
      </w:pPr>
      <w:r>
        <w:rPr>
          <w:rStyle w:val="HideTWBExt"/>
          <w:b w:val="0"/>
        </w:rPr>
        <w:t>&lt;RepeatBlock-By&gt;</w:t>
      </w:r>
      <w:r>
        <w:rPr>
          <w:rStyle w:val="HideTWBExt"/>
          <w:b w:val="0"/>
        </w:rPr>
        <w:t>&lt;Members&gt;</w:t>
      </w:r>
      <w:r>
        <w:t>Чарли Веймерс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11 – параграф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w:t>
            </w:r>
            <w:r>
              <w:tab/>
            </w:r>
            <w:r>
              <w:rPr>
                <w:b/>
                <w:i/>
              </w:rPr>
              <w:t>Търсещите работа лица от трети държави, регистрирани на ИТ платформата на резерва на ЕС от таланти, може да търсят свободни работни места.</w:t>
            </w:r>
          </w:p>
        </w:tc>
        <w:tc>
          <w:tcPr>
            <w:tcW w:w="4876" w:type="dxa"/>
            <w:tcBorders>
              <w:top w:val="nil"/>
              <w:left w:val="nil"/>
              <w:bottom w:val="nil"/>
              <w:right w:val="nil"/>
            </w:tcBorders>
          </w:tcPr>
          <w:p>
            <w:pPr>
              <w:pStyle w:val="Normal6a"/>
            </w:pPr>
            <w:r>
              <w:rPr>
                <w:b/>
                <w:i/>
              </w:rPr>
              <w:t>заличава се</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510</w:t>
      </w:r>
      <w:r>
        <w:rPr>
          <w:rStyle w:val="HideTWBExt"/>
        </w:rPr>
        <w:t>&lt;/NumAm&gt;</w:t>
      </w:r>
    </w:p>
    <w:p>
      <w:pPr>
        <w:pStyle w:val="NormalBold"/>
      </w:pPr>
      <w:r>
        <w:rPr>
          <w:rStyle w:val="HideTWBExt"/>
          <w:b w:val="0"/>
        </w:rPr>
        <w:t>&lt;RepeatBlock-By&gt;</w:t>
      </w:r>
      <w:r>
        <w:rPr>
          <w:rStyle w:val="HideTWBExt"/>
          <w:b w:val="0"/>
        </w:rPr>
        <w:t>&lt;Members&gt;</w:t>
      </w:r>
      <w:r>
        <w:t>Лена Дюпон, Томас Тобé, Алис Теодореску Мове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11 – параграф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w:t>
            </w:r>
            <w:r>
              <w:tab/>
            </w:r>
            <w:r>
              <w:rPr>
                <w:b/>
                <w:i/>
              </w:rPr>
              <w:t>Търсещите работа лица от трети държави, регистрирани на ИТ платформата на резерва на ЕС от таланти, може да търсят свободни работни места.</w:t>
            </w:r>
          </w:p>
        </w:tc>
        <w:tc>
          <w:tcPr>
            <w:tcW w:w="4876" w:type="dxa"/>
            <w:tcBorders>
              <w:top w:val="nil"/>
              <w:left w:val="nil"/>
              <w:bottom w:val="nil"/>
              <w:right w:val="nil"/>
            </w:tcBorders>
          </w:tcPr>
          <w:p>
            <w:pPr>
              <w:pStyle w:val="Normal6a"/>
            </w:pPr>
            <w:r>
              <w:rPr>
                <w:b/>
                <w:i/>
              </w:rPr>
              <w:t>заличава се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511</w:t>
      </w:r>
      <w:r>
        <w:rPr>
          <w:rStyle w:val="HideTWBExt"/>
        </w:rPr>
        <w:t>&lt;/NumAm&gt;</w:t>
      </w:r>
    </w:p>
    <w:p>
      <w:pPr>
        <w:pStyle w:val="NormalBold"/>
      </w:pPr>
      <w:r>
        <w:rPr>
          <w:rStyle w:val="HideTWBExt"/>
          <w:b w:val="0"/>
        </w:rPr>
        <w:t>&lt;RepeatBlock-By&gt;</w:t>
      </w:r>
      <w:r>
        <w:rPr>
          <w:rStyle w:val="HideTWBExt"/>
          <w:b w:val="0"/>
        </w:rPr>
        <w:t>&lt;Members&gt;</w:t>
      </w:r>
      <w:r>
        <w:t>Хавиер Морено Санчес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11 – параграф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Търсещите работа лица от трети държави, регистрирани на ИТ платформата на резерва на ЕС от таланти, може да търсят свободни работни места.</w:t>
            </w:r>
          </w:p>
        </w:tc>
        <w:tc>
          <w:tcPr>
            <w:tcW w:w="4876" w:type="dxa"/>
            <w:tcBorders>
              <w:top w:val="nil"/>
              <w:left w:val="nil"/>
              <w:bottom w:val="nil"/>
              <w:right w:val="nil"/>
            </w:tcBorders>
          </w:tcPr>
          <w:p>
            <w:pPr>
              <w:pStyle w:val="Normal6a"/>
            </w:pPr>
            <w:r>
              <w:t>4.</w:t>
            </w:r>
            <w:r>
              <w:tab/>
            </w:r>
            <w:r>
              <w:t>Търсещите работа лица от трети държави, регистрирани на ИТ платформата на резерва на ЕС от таланти, може да търсят свободни работни места</w:t>
            </w:r>
            <w:r>
              <w:rPr>
                <w:b/>
                <w:i/>
              </w:rPr>
              <w:t>, предлагани от работодатели от участващите държави членки</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512</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11 – параграф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Търсещите работа лица от трети държави, регистрирани на ИТ платформата на резерва на ЕС от таланти, </w:t>
            </w:r>
            <w:r>
              <w:rPr>
                <w:b/>
                <w:i/>
              </w:rPr>
              <w:t>може да търсят</w:t>
            </w:r>
            <w:r>
              <w:t xml:space="preserve"> свободни работни места.</w:t>
            </w:r>
          </w:p>
        </w:tc>
        <w:tc>
          <w:tcPr>
            <w:tcW w:w="4876" w:type="dxa"/>
            <w:tcBorders>
              <w:top w:val="nil"/>
              <w:left w:val="nil"/>
              <w:bottom w:val="nil"/>
              <w:right w:val="nil"/>
            </w:tcBorders>
          </w:tcPr>
          <w:p>
            <w:pPr>
              <w:pStyle w:val="Normal6a"/>
            </w:pPr>
            <w:r>
              <w:t>4.</w:t>
            </w:r>
            <w:r>
              <w:tab/>
            </w:r>
            <w:r>
              <w:t xml:space="preserve">Търсещите работа лица от трети държави, регистрирани на ИТ платформата на резерва на ЕС от таланти, </w:t>
            </w:r>
            <w:r>
              <w:rPr>
                <w:b/>
                <w:i/>
              </w:rPr>
              <w:t>могат да виждат всички</w:t>
            </w:r>
            <w:r>
              <w:t xml:space="preserve"> свободни работни места </w:t>
            </w:r>
            <w:r>
              <w:rPr>
                <w:b/>
                <w:i/>
              </w:rPr>
              <w:t>и профили на участващите работодатели и посредници</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513</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11 – параграф 4 а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4а.</w:t>
            </w:r>
            <w:r>
              <w:tab/>
            </w:r>
            <w:r>
              <w:rPr>
                <w:b/>
                <w:i/>
              </w:rPr>
              <w:t>Търсещите работа лица от трети държави могат да изберат няколко нива на проверка на самоличността:</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а) без проверка – чрез създаване на основен профил без допълнителни проверки;</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б) разширена проверка чрез предоставяне на цифрово удостоверение за самоличност, което е електронно подписано от признат доставчик на услуги за проверка на самоличността.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514</w:t>
      </w:r>
      <w:r>
        <w:rPr>
          <w:rStyle w:val="HideTWBExt"/>
        </w:rPr>
        <w:t>&lt;/NumAm&gt;</w:t>
      </w:r>
    </w:p>
    <w:p>
      <w:pPr>
        <w:pStyle w:val="NormalBold"/>
      </w:pPr>
      <w:r>
        <w:rPr>
          <w:rStyle w:val="HideTWBExt"/>
          <w:b w:val="0"/>
        </w:rPr>
        <w:t>&lt;RepeatBlock-By&gt;</w:t>
      </w:r>
      <w:r>
        <w:rPr>
          <w:rStyle w:val="HideTWBExt"/>
          <w:b w:val="0"/>
        </w:rPr>
        <w:t>&lt;Members&gt;</w:t>
      </w:r>
      <w:r>
        <w:t>Пернандо Барена Арса</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11 – параграф 4 а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4а.</w:t>
            </w:r>
            <w:r>
              <w:tab/>
            </w:r>
            <w:r>
              <w:rPr>
                <w:b/>
                <w:i/>
              </w:rPr>
              <w:t>Търсещите работа лица и работниците от трети държави имат право на справедливо и равно третиране по отношение на гражданите на ЕС, включително що се отнася до условията на труд и заетост, възнаграждението, достъпа до социална закрила, обученията, социалните обезщетения и данъчните облекчения, здравеопазване, образование, жилищно настаняване и синдикални права.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515</w:t>
      </w:r>
      <w:r>
        <w:rPr>
          <w:rStyle w:val="HideTWBExt"/>
        </w:rPr>
        <w:t>&lt;/NumAm&gt;</w:t>
      </w:r>
    </w:p>
    <w:p>
      <w:pPr>
        <w:pStyle w:val="NormalBold"/>
      </w:pPr>
      <w:r>
        <w:rPr>
          <w:rStyle w:val="HideTWBExt"/>
          <w:b w:val="0"/>
        </w:rPr>
        <w:t>&lt;RepeatBlock-By&gt;</w:t>
      </w:r>
      <w:r>
        <w:rPr>
          <w:rStyle w:val="HideTWBExt"/>
          <w:b w:val="0"/>
        </w:rPr>
        <w:t>&lt;Members&gt;</w:t>
      </w:r>
      <w:r>
        <w:t>Хавиер Морено Санчес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12 – заглавие</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Регистриране на профили и достъп на търсещите работа лица от трети държави в контекста на партньорствата в подкрепа на талантите</w:t>
            </w:r>
          </w:p>
        </w:tc>
        <w:tc>
          <w:tcPr>
            <w:tcW w:w="4876" w:type="dxa"/>
            <w:tcBorders>
              <w:top w:val="nil"/>
              <w:left w:val="nil"/>
              <w:bottom w:val="nil"/>
              <w:right w:val="nil"/>
            </w:tcBorders>
          </w:tcPr>
          <w:p>
            <w:pPr>
              <w:pStyle w:val="Normal6a"/>
            </w:pPr>
            <w:r>
              <w:t xml:space="preserve">Регистриране на профили и достъп на търсещите работа лица от трети държави в контекста на партньорствата в подкрепа на талантите </w:t>
            </w:r>
            <w:r>
              <w:rPr>
                <w:b/>
                <w:i/>
              </w:rPr>
              <w:t>или националните рамки за развитие и валидиране на уменията в трета държава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516</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12 – заглавие</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Регистриране на профили и достъп на търсещите работа лица от трети държави в контекста на партньорствата в подкрепа на талантите</w:t>
            </w:r>
          </w:p>
        </w:tc>
        <w:tc>
          <w:tcPr>
            <w:tcW w:w="4876" w:type="dxa"/>
            <w:tcBorders>
              <w:top w:val="nil"/>
              <w:left w:val="nil"/>
              <w:bottom w:val="nil"/>
              <w:right w:val="nil"/>
            </w:tcBorders>
          </w:tcPr>
          <w:p>
            <w:pPr>
              <w:pStyle w:val="Normal6a"/>
            </w:pPr>
            <w:r>
              <w:t xml:space="preserve">Регистриране на профили и достъп на търсещите работа лица от трети държави в контекста на партньорствата в подкрепа на талантите </w:t>
            </w:r>
            <w:r>
              <w:rPr>
                <w:b/>
                <w:i/>
              </w:rPr>
              <w:t>и националните рамки за развитие и валидиране на уменията в трета държава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517</w:t>
      </w:r>
      <w:r>
        <w:rPr>
          <w:rStyle w:val="HideTWBExt"/>
        </w:rPr>
        <w:t>&lt;/NumAm&gt;</w:t>
      </w:r>
    </w:p>
    <w:p>
      <w:pPr>
        <w:pStyle w:val="NormalBold"/>
      </w:pPr>
      <w:r>
        <w:rPr>
          <w:rStyle w:val="HideTWBExt"/>
          <w:b w:val="0"/>
        </w:rPr>
        <w:t>&lt;RepeatBlock-By&gt;</w:t>
      </w:r>
      <w:r>
        <w:rPr>
          <w:rStyle w:val="HideTWBExt"/>
          <w:b w:val="0"/>
        </w:rPr>
        <w:t>&lt;Members&gt;</w:t>
      </w:r>
      <w:r>
        <w:t>Лена Дюпон, Томас Тобé, Алис Теодореску Мове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12 – заглавие</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Регистриране на профили и достъп на търсещите работа лица от трети държави в контекста на партньорствата в подкрепа на талантите</w:t>
            </w:r>
          </w:p>
        </w:tc>
        <w:tc>
          <w:tcPr>
            <w:tcW w:w="4876" w:type="dxa"/>
            <w:tcBorders>
              <w:top w:val="nil"/>
              <w:left w:val="nil"/>
              <w:bottom w:val="nil"/>
              <w:right w:val="nil"/>
            </w:tcBorders>
          </w:tcPr>
          <w:p>
            <w:pPr>
              <w:pStyle w:val="Normal6a"/>
            </w:pPr>
            <w:r>
              <w:t xml:space="preserve">Регистриране на профили и достъп на търсещите работа лица от трети държави в контекста на партньорствата </w:t>
            </w:r>
            <w:r>
              <w:rPr>
                <w:b/>
                <w:i/>
              </w:rPr>
              <w:t>на ЕС</w:t>
            </w:r>
            <w:r>
              <w:t xml:space="preserve"> в подкрепа на талантите</w:t>
            </w:r>
            <w:r>
              <w:rPr>
                <w:b/>
                <w:i/>
              </w:rPr>
              <w:t> и националните разпоредби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518</w:t>
      </w:r>
      <w:r>
        <w:rPr>
          <w:rStyle w:val="HideTWBExt"/>
        </w:rPr>
        <w:t>&lt;/NumAm&gt;</w:t>
      </w:r>
    </w:p>
    <w:p>
      <w:pPr>
        <w:pStyle w:val="NormalBold"/>
      </w:pPr>
      <w:r>
        <w:rPr>
          <w:rStyle w:val="HideTWBExt"/>
          <w:b w:val="0"/>
        </w:rPr>
        <w:t>&lt;RepeatBlock-By&gt;</w:t>
      </w:r>
      <w:r>
        <w:rPr>
          <w:rStyle w:val="HideTWBExt"/>
          <w:b w:val="0"/>
        </w:rPr>
        <w:t>&lt;Members&gt;</w:t>
      </w:r>
      <w:r>
        <w:t>Хавиер Морено Санчес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12 – параграф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Участващите държави членки, които участват </w:t>
            </w:r>
            <w:r>
              <w:rPr>
                <w:b/>
                <w:i/>
              </w:rPr>
              <w:t>също</w:t>
            </w:r>
            <w:r>
              <w:t xml:space="preserve"> в партньорство в подкрепа на талантите, може да решат да разчитат на резерва на ЕС от таланти, за да улеснят наемането на търсещи работа лица от трета държава, чиито умения са придобити или валидирани в рамките на това партньорство в подкрепа на талантите и удостоверени с „карта за участие в партньорство на ЕС в подкрепа на талантите“.</w:t>
            </w:r>
          </w:p>
        </w:tc>
        <w:tc>
          <w:tcPr>
            <w:tcW w:w="4876" w:type="dxa"/>
            <w:tcBorders>
              <w:top w:val="nil"/>
              <w:left w:val="nil"/>
              <w:bottom w:val="nil"/>
              <w:right w:val="nil"/>
            </w:tcBorders>
          </w:tcPr>
          <w:p>
            <w:pPr>
              <w:pStyle w:val="Normal6a"/>
            </w:pPr>
            <w:r>
              <w:t>1.</w:t>
            </w:r>
            <w:r>
              <w:tab/>
            </w:r>
            <w:r>
              <w:t xml:space="preserve">Участващите държави членки, които участват в партньорство </w:t>
            </w:r>
            <w:r>
              <w:rPr>
                <w:b/>
                <w:i/>
              </w:rPr>
              <w:t>на ЕС</w:t>
            </w:r>
            <w:r>
              <w:t xml:space="preserve"> в подкрепа на талантите</w:t>
            </w:r>
            <w:r>
              <w:rPr>
                <w:b/>
                <w:i/>
              </w:rPr>
              <w:t> или имат въведена национална рамка за развитие и признаване на умения в трета държава</w:t>
            </w:r>
            <w:r>
              <w:t xml:space="preserve">, може да решат да разчитат на резерва на ЕС от таланти, за да улеснят наемането на търсещи работа лица от трета държава, чиито умения са придобити или валидирани в рамките на това партньорство </w:t>
            </w:r>
            <w:r>
              <w:rPr>
                <w:b/>
                <w:i/>
              </w:rPr>
              <w:t>на ЕС</w:t>
            </w:r>
            <w:r>
              <w:t xml:space="preserve"> в подкрепа на талантите </w:t>
            </w:r>
            <w:r>
              <w:rPr>
                <w:b/>
                <w:i/>
              </w:rPr>
              <w:t>или на националната рамка</w:t>
            </w:r>
            <w:r>
              <w:t xml:space="preserve"> и удостоверени с „карта за участие в партньорство на ЕС в подкрепа на талантите“.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519</w:t>
      </w:r>
      <w:r>
        <w:rPr>
          <w:rStyle w:val="HideTWBExt"/>
        </w:rPr>
        <w:t>&lt;/NumAm&gt;</w:t>
      </w:r>
    </w:p>
    <w:p>
      <w:pPr>
        <w:pStyle w:val="NormalBold"/>
      </w:pPr>
      <w:r>
        <w:rPr>
          <w:rStyle w:val="HideTWBExt"/>
          <w:b w:val="0"/>
        </w:rPr>
        <w:t>&lt;RepeatBlock-By&gt;</w:t>
      </w:r>
      <w:r>
        <w:rPr>
          <w:rStyle w:val="HideTWBExt"/>
          <w:b w:val="0"/>
        </w:rPr>
        <w:t>&lt;Members&gt;</w:t>
      </w:r>
      <w:r>
        <w:t>Чарли Веймерс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12 – параграф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Участващите държави членки, които участват също в партньорство в подкрепа на талантите, може да решат да разчитат на резерва на ЕС от таланти, за да улеснят наемането на търсещи работа лица от трета държава, чиито умения са придобити или валидирани в рамките на това партньорство в подкрепа на талантите и удостоверени с „карта за участие в партньорство на ЕС в подкрепа на талантите“.</w:t>
            </w:r>
          </w:p>
        </w:tc>
        <w:tc>
          <w:tcPr>
            <w:tcW w:w="4876" w:type="dxa"/>
            <w:tcBorders>
              <w:top w:val="nil"/>
              <w:left w:val="nil"/>
              <w:bottom w:val="nil"/>
              <w:right w:val="nil"/>
            </w:tcBorders>
          </w:tcPr>
          <w:p>
            <w:pPr>
              <w:pStyle w:val="Normal6a"/>
            </w:pPr>
            <w:r>
              <w:t>1.</w:t>
            </w:r>
            <w:r>
              <w:tab/>
            </w:r>
            <w:r>
              <w:t xml:space="preserve">Участващите държави членки, които участват също в партньорство в подкрепа на талантите, може да решат да разчитат на резерва на ЕС от таланти, за да улеснят наемането на търсещи работа лица от трета държава, чиито умения са придобити или валидирани в рамките на това партньорство в подкрепа на талантите и удостоверени с „карта за участие в партньорство на ЕС в подкрепа на талантите“. </w:t>
            </w:r>
            <w:r>
              <w:rPr>
                <w:b/>
                <w:i/>
              </w:rPr>
              <w:t>Всяка държава членка е свободна да прецени валидността на „карта за участие в партньорство на ЕС в подкрепа на талантите“, като издадените разрешения могат да бъдат оттеглени от приемащата държава.</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520</w:t>
      </w:r>
      <w:r>
        <w:rPr>
          <w:rStyle w:val="HideTWBExt"/>
        </w:rPr>
        <w:t>&lt;/NumAm&gt;</w:t>
      </w:r>
    </w:p>
    <w:p>
      <w:pPr>
        <w:pStyle w:val="NormalBold"/>
      </w:pPr>
      <w:r>
        <w:rPr>
          <w:rStyle w:val="HideTWBExt"/>
          <w:b w:val="0"/>
        </w:rPr>
        <w:t>&lt;RepeatBlock-By&gt;</w:t>
      </w:r>
      <w:r>
        <w:rPr>
          <w:rStyle w:val="HideTWBExt"/>
          <w:b w:val="0"/>
        </w:rPr>
        <w:t>&lt;Members&gt;</w:t>
      </w:r>
      <w:r>
        <w:t>Лена Дюпон, Томас Тобé, Алис Теодореску Мове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12 – параграф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Участващите държави членки, които участват също в партньорство в подкрепа на талантите, може да решат да разчитат на резерва на ЕС от таланти, за да улеснят наемането на търсещи работа лица от трета държава, чиито умения са придобити или валидирани в рамките на това партньорство в подкрепа на талантите и удостоверени с „карта за участие в партньорство на ЕС в подкрепа на талантите“.</w:t>
            </w:r>
          </w:p>
        </w:tc>
        <w:tc>
          <w:tcPr>
            <w:tcW w:w="4876" w:type="dxa"/>
            <w:tcBorders>
              <w:top w:val="nil"/>
              <w:left w:val="nil"/>
              <w:bottom w:val="nil"/>
              <w:right w:val="nil"/>
            </w:tcBorders>
          </w:tcPr>
          <w:p>
            <w:pPr>
              <w:pStyle w:val="Normal6a"/>
            </w:pPr>
            <w:r>
              <w:t>1.</w:t>
            </w:r>
            <w:r>
              <w:tab/>
            </w:r>
            <w:r>
              <w:t xml:space="preserve">Участващите държави членки, които участват също в партньорство </w:t>
            </w:r>
            <w:r>
              <w:rPr>
                <w:b/>
                <w:i/>
              </w:rPr>
              <w:t>на ЕС</w:t>
            </w:r>
            <w:r>
              <w:t xml:space="preserve"> в подкрепа на талантите </w:t>
            </w:r>
            <w:r>
              <w:rPr>
                <w:b/>
                <w:i/>
              </w:rPr>
              <w:t>или имат двустранни споразумения с трети държави</w:t>
            </w:r>
            <w:r>
              <w:t>, може да решат да разчитат на резерва на ЕС от таланти, за да улеснят наемането на търсещи работа лица от трета държава, чиито умения са придобити или валидирани в рамките на това партньорство в подкрепа на талантите и удостоверени с „карта за участие в партньорство на ЕС в подкрепа на талантите“.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521</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12 – параграф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rPr>
                <w:b/>
                <w:i/>
              </w:rPr>
              <w:t>Участващите</w:t>
            </w:r>
            <w:r>
              <w:t xml:space="preserve"> държави членки, които участват </w:t>
            </w:r>
            <w:r>
              <w:rPr>
                <w:b/>
                <w:i/>
              </w:rPr>
              <w:t>също</w:t>
            </w:r>
            <w:r>
              <w:t xml:space="preserve"> в партньорство в подкрепа на талантите, може да решат да разчитат на резерва на ЕС от таланти, за да улеснят наемането на търсещи работа лица от трета държава, чиито умения са придобити </w:t>
            </w:r>
            <w:r>
              <w:rPr>
                <w:b/>
                <w:i/>
              </w:rPr>
              <w:t>или валидирани</w:t>
            </w:r>
            <w:r>
              <w:t xml:space="preserve"> в рамките на това партньорство в подкрепа на талантите </w:t>
            </w:r>
            <w:r>
              <w:rPr>
                <w:b/>
                <w:i/>
              </w:rPr>
              <w:t>и удостоверени с „карта за участие в партньорство на ЕС в подкрепа на талантите“</w:t>
            </w:r>
            <w:r>
              <w:t>.</w:t>
            </w:r>
          </w:p>
        </w:tc>
        <w:tc>
          <w:tcPr>
            <w:tcW w:w="4876" w:type="dxa"/>
            <w:tcBorders>
              <w:top w:val="nil"/>
              <w:left w:val="nil"/>
              <w:bottom w:val="nil"/>
              <w:right w:val="nil"/>
            </w:tcBorders>
          </w:tcPr>
          <w:p>
            <w:pPr>
              <w:pStyle w:val="Normal6a"/>
            </w:pPr>
            <w:r>
              <w:t>1.</w:t>
            </w:r>
            <w:r>
              <w:tab/>
            </w:r>
            <w:r>
              <w:t xml:space="preserve">Държави членки, които участват в партньорство в подкрепа на талантите </w:t>
            </w:r>
            <w:r>
              <w:rPr>
                <w:b/>
                <w:i/>
              </w:rPr>
              <w:t>или имат въведени еквивалентни национални рамки за развитие и признаване на умения в трета държава</w:t>
            </w:r>
            <w:r>
              <w:t>, може да решат да разчитат на резерва на ЕС от таланти, за да улеснят наемането на търсещи работа лица от трета държава, чиито умения са придобити</w:t>
            </w:r>
            <w:r>
              <w:rPr>
                <w:b/>
                <w:i/>
              </w:rPr>
              <w:t>, валидирани и удостоверени</w:t>
            </w:r>
            <w:r>
              <w:t xml:space="preserve"> в рамките на това партньорство в подкрепа на талантите </w:t>
            </w:r>
            <w:r>
              <w:rPr>
                <w:b/>
                <w:i/>
              </w:rPr>
              <w:t>или на еквивалентната национална рамка</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522</w:t>
      </w:r>
      <w:r>
        <w:rPr>
          <w:rStyle w:val="HideTWBExt"/>
        </w:rPr>
        <w:t>&lt;/NumAm&gt;</w:t>
      </w:r>
    </w:p>
    <w:p>
      <w:pPr>
        <w:pStyle w:val="NormalBold"/>
      </w:pPr>
      <w:r>
        <w:rPr>
          <w:rStyle w:val="HideTWBExt"/>
          <w:b w:val="0"/>
        </w:rPr>
        <w:t>&lt;RepeatBlock-By&gt;</w:t>
      </w:r>
      <w:r>
        <w:rPr>
          <w:rStyle w:val="HideTWBExt"/>
          <w:b w:val="0"/>
        </w:rPr>
        <w:t>&lt;Members&gt;</w:t>
      </w:r>
      <w:r>
        <w:t>Ян-Кристоф Йотен, Абир Ал-Сахлани, Луция Яр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12 – параграф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rPr>
                <w:b/>
                <w:i/>
              </w:rPr>
              <w:t>Участващите държави</w:t>
            </w:r>
            <w:r>
              <w:t xml:space="preserve"> членки, които участват също в партньорство в подкрепа на талантите, може да решат да разчитат на резерва на ЕС от таланти, за да улеснят наемането на търсещи работа лица от трета държава, чиито умения са придобити или валидирани в рамките на това партньорство в подкрепа на талантите и удостоверени с „карта за участие в партньорство на ЕС в подкрепа на талантите“.</w:t>
            </w:r>
          </w:p>
        </w:tc>
        <w:tc>
          <w:tcPr>
            <w:tcW w:w="4876" w:type="dxa"/>
            <w:tcBorders>
              <w:top w:val="nil"/>
              <w:left w:val="nil"/>
              <w:bottom w:val="nil"/>
              <w:right w:val="nil"/>
            </w:tcBorders>
          </w:tcPr>
          <w:p>
            <w:pPr>
              <w:pStyle w:val="Normal6a"/>
            </w:pPr>
            <w:r>
              <w:t>1.</w:t>
            </w:r>
            <w:r>
              <w:tab/>
            </w:r>
            <w:r>
              <w:rPr>
                <w:b/>
                <w:i/>
              </w:rPr>
              <w:t>Държавите</w:t>
            </w:r>
            <w:r>
              <w:t xml:space="preserve"> членки, които участват също в партньорство в подкрепа на талантите, може да решат да разчитат на резерва на ЕС от таланти, за да улеснят наемането на търсещи работа лица от трета държава, чиито умения са придобити или валидирани в рамките на това партньорство в подкрепа на талантите и удостоверени с „карта за участие в партньорство на ЕС в подкрепа на талантите“.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523</w:t>
      </w:r>
      <w:r>
        <w:rPr>
          <w:rStyle w:val="HideTWBExt"/>
        </w:rPr>
        <w:t>&lt;/NumAm&gt;</w:t>
      </w:r>
    </w:p>
    <w:p>
      <w:pPr>
        <w:pStyle w:val="NormalBold"/>
      </w:pPr>
      <w:r>
        <w:rPr>
          <w:rStyle w:val="HideTWBExt"/>
          <w:b w:val="0"/>
        </w:rPr>
        <w:t>&lt;RepeatBlock-By&gt;</w:t>
      </w:r>
      <w:r>
        <w:rPr>
          <w:rStyle w:val="HideTWBExt"/>
          <w:b w:val="0"/>
        </w:rPr>
        <w:t>&lt;Members&gt;</w:t>
      </w:r>
      <w:r>
        <w:t>Лена Дюпон, Томас Тобé, Алис Теодореску Мове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12 – параграф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Търсещите работа лица от трети държави, които са получили „карта за участие в партньорство на ЕС в подкрепа на талантите“, удостоверяваща уменията, придобити или валидирани в рамките на партньорство в подкрепа на талантите, може да регистрират своя профил на ИТ платформата на резерва на ЕС от таланти, като го свържат с „картата за участие в партньорство на ЕС в подкрепа на талантите“.</w:t>
            </w:r>
          </w:p>
        </w:tc>
        <w:tc>
          <w:tcPr>
            <w:tcW w:w="4876" w:type="dxa"/>
            <w:tcBorders>
              <w:top w:val="nil"/>
              <w:left w:val="nil"/>
              <w:bottom w:val="nil"/>
              <w:right w:val="nil"/>
            </w:tcBorders>
          </w:tcPr>
          <w:p>
            <w:pPr>
              <w:pStyle w:val="Normal6a"/>
            </w:pPr>
            <w:r>
              <w:t>2.</w:t>
            </w:r>
            <w:r>
              <w:tab/>
            </w:r>
            <w:r>
              <w:t xml:space="preserve">Търсещите работа лица от трети държави, които са получили „карта за участие в партньорство на ЕС в подкрепа на талантите“, удостоверяваща уменията, придобити или валидирани в рамките на партньорство </w:t>
            </w:r>
            <w:r>
              <w:rPr>
                <w:b/>
                <w:i/>
              </w:rPr>
              <w:t>на ЕС</w:t>
            </w:r>
            <w:r>
              <w:t xml:space="preserve"> в подкрепа на талантите </w:t>
            </w:r>
            <w:r>
              <w:rPr>
                <w:b/>
                <w:i/>
              </w:rPr>
              <w:t>или на двустранни споразумения</w:t>
            </w:r>
            <w:r>
              <w:t>, може да регистрират своя профил на ИТ платформата на резерва на ЕС от таланти, като го свържат с „картата за участие в партньорство на ЕС в подкрепа на талантите“.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524</w:t>
      </w:r>
      <w:r>
        <w:rPr>
          <w:rStyle w:val="HideTWBExt"/>
        </w:rPr>
        <w:t>&lt;/NumAm&gt;</w:t>
      </w:r>
    </w:p>
    <w:p>
      <w:pPr>
        <w:pStyle w:val="NormalBold"/>
      </w:pPr>
      <w:r>
        <w:rPr>
          <w:rStyle w:val="HideTWBExt"/>
          <w:b w:val="0"/>
        </w:rPr>
        <w:t>&lt;RepeatBlock-By&gt;</w:t>
      </w:r>
      <w:r>
        <w:rPr>
          <w:rStyle w:val="HideTWBExt"/>
          <w:b w:val="0"/>
        </w:rPr>
        <w:t>&lt;Members&gt;</w:t>
      </w:r>
      <w:r>
        <w:t>Чарли Веймерс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12 – параграф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Търсещите работа лица от трети държави, които са получили „карта за участие в партньорство на ЕС в подкрепа на талантите“, </w:t>
            </w:r>
            <w:r>
              <w:rPr>
                <w:b/>
                <w:i/>
              </w:rPr>
              <w:t>удостоверяваща уменията, придобити или валидирани в рамките на партньорство в подкрепа на талантите,</w:t>
            </w:r>
            <w:r>
              <w:t xml:space="preserve"> може да регистрират своя профил на ИТ платформата на резерва на ЕС от таланти, като го свържат с „картата за участие в партньорство на ЕС в подкрепа на талантите“.</w:t>
            </w:r>
          </w:p>
        </w:tc>
        <w:tc>
          <w:tcPr>
            <w:tcW w:w="4876" w:type="dxa"/>
            <w:tcBorders>
              <w:top w:val="nil"/>
              <w:left w:val="nil"/>
              <w:bottom w:val="nil"/>
              <w:right w:val="nil"/>
            </w:tcBorders>
          </w:tcPr>
          <w:p>
            <w:pPr>
              <w:pStyle w:val="Normal6a"/>
            </w:pPr>
            <w:r>
              <w:t>2.</w:t>
            </w:r>
            <w:r>
              <w:tab/>
            </w:r>
            <w:r>
              <w:t xml:space="preserve">Търсещите работа лица от трети държави, които са получили „карта за участие в партньорство на ЕС в подкрепа на талантите“, </w:t>
            </w:r>
            <w:r>
              <w:rPr>
                <w:b/>
                <w:i/>
              </w:rPr>
              <w:t>и могат да гарантират, че притежават уменията, които твърдят, че имат</w:t>
            </w:r>
            <w:r>
              <w:t xml:space="preserve"> може да регистрират своя профил на ИТ платформата на резерва на ЕС от таланти, като го свържат с „картата за участие в партньорство на ЕС в подкрепа на талантите“.</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525</w:t>
      </w:r>
      <w:r>
        <w:rPr>
          <w:rStyle w:val="HideTWBExt"/>
        </w:rPr>
        <w:t>&lt;/NumAm&gt;</w:t>
      </w:r>
    </w:p>
    <w:p>
      <w:pPr>
        <w:pStyle w:val="NormalBold"/>
      </w:pPr>
      <w:r>
        <w:rPr>
          <w:rStyle w:val="HideTWBExt"/>
          <w:b w:val="0"/>
        </w:rPr>
        <w:t>&lt;RepeatBlock-By&gt;</w:t>
      </w:r>
      <w:r>
        <w:rPr>
          <w:rStyle w:val="HideTWBExt"/>
          <w:b w:val="0"/>
        </w:rPr>
        <w:t>&lt;Members&gt;</w:t>
      </w:r>
      <w:r>
        <w:t>Хавиер Морено Санчес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12 – параграф 2 а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Търсещите работа лица от трета държава, които са получили „карта за участие в партньорство на ЕС в подкрепа на талантите“ и които вследствие на получена оферта за работа кандидатстват за разрешение за висококвалифицирана заетост съгласно Директива (ЕС) 2021/1883, се възползват автоматично от разпоредбите, предвидени в алинея втора на член 11, параграф 1 и в член 13, параграф 2 от същата директива.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526</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12 – параграф 2 а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Търсещите работа лица от трети държави, които са се възползвали от национални рамки за развитие и валидиране на уменията в трета държава, могат да свържат своя профил с тези рамки и да посочат уменията, развити и валидирани в техния контекст.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527</w:t>
      </w:r>
      <w:r>
        <w:rPr>
          <w:rStyle w:val="HideTWBExt"/>
        </w:rPr>
        <w:t>&lt;/NumAm&gt;</w:t>
      </w:r>
    </w:p>
    <w:p>
      <w:pPr>
        <w:pStyle w:val="NormalBold"/>
      </w:pPr>
      <w:r>
        <w:rPr>
          <w:rStyle w:val="HideTWBExt"/>
          <w:b w:val="0"/>
        </w:rPr>
        <w:t>&lt;RepeatBlock-By&gt;</w:t>
      </w:r>
      <w:r>
        <w:rPr>
          <w:rStyle w:val="HideTWBExt"/>
          <w:b w:val="0"/>
        </w:rPr>
        <w:t>&lt;Members&gt;</w:t>
      </w:r>
      <w:r>
        <w:t>Хавиер Морено Санчес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12 – параграф 2 б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2б.</w:t>
            </w:r>
            <w:r>
              <w:tab/>
            </w:r>
            <w:r>
              <w:rPr>
                <w:b/>
                <w:i/>
              </w:rPr>
              <w:t>Търсещите работа лица от трета държава, които са получили „карта за участие в партньорство на ЕС в подкрепа на талантите“ и които вследствие на получена оферта за работа кандидатстват за единна процедура в съответствие с Директива (ЕС) 2024/1233, получават решение по тяхното заявление в съответствие с член 5, параграф 2 от същата директива.</w:t>
            </w:r>
            <w:r>
              <w:t xml:space="preserve"> </w:t>
            </w:r>
            <w:r>
              <w:rPr>
                <w:b/>
                <w:i/>
              </w:rPr>
              <w:t>За целите на такива заявления за единно разрешение не се прилагат разпоредбите на член 8, параграфи 3 и 4 от директивата.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528</w:t>
      </w:r>
      <w:r>
        <w:rPr>
          <w:rStyle w:val="HideTWBExt"/>
        </w:rPr>
        <w:t>&lt;/NumAm&gt;</w:t>
      </w:r>
    </w:p>
    <w:p>
      <w:pPr>
        <w:pStyle w:val="NormalBold"/>
      </w:pPr>
      <w:r>
        <w:rPr>
          <w:rStyle w:val="HideTWBExt"/>
          <w:b w:val="0"/>
        </w:rPr>
        <w:t>&lt;RepeatBlock-By&gt;</w:t>
      </w:r>
      <w:r>
        <w:rPr>
          <w:rStyle w:val="HideTWBExt"/>
          <w:b w:val="0"/>
        </w:rPr>
        <w:t>&lt;Members&gt;</w:t>
      </w:r>
      <w:r>
        <w:t>Хавиер Морено Санчес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12 – параграф 3 – уводна част</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„Картата за участие в партньорство </w:t>
            </w:r>
            <w:r>
              <w:rPr>
                <w:b/>
                <w:i/>
              </w:rPr>
              <w:t>на ЕС</w:t>
            </w:r>
            <w:r>
              <w:t xml:space="preserve"> в подкрепа на талантите“ е видима на ИТ платформата на резерва на ЕС от таланти и в нея се съдържа информация относно един или повече от следните елементи:</w:t>
            </w:r>
          </w:p>
        </w:tc>
        <w:tc>
          <w:tcPr>
            <w:tcW w:w="4876" w:type="dxa"/>
            <w:tcBorders>
              <w:top w:val="nil"/>
              <w:left w:val="nil"/>
              <w:bottom w:val="nil"/>
              <w:right w:val="nil"/>
            </w:tcBorders>
          </w:tcPr>
          <w:p>
            <w:pPr>
              <w:pStyle w:val="Normal6a"/>
            </w:pPr>
            <w:r>
              <w:t>3.</w:t>
            </w:r>
            <w:r>
              <w:tab/>
            </w:r>
            <w:r>
              <w:t>„Картата за участие в партньорство в подкрепа на талантите“ е видима на ИТ платформата на резерва на ЕС от таланти и в нея се съдържа информация относно един или повече от следните елементи: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529</w:t>
      </w:r>
      <w:r>
        <w:rPr>
          <w:rStyle w:val="HideTWBExt"/>
        </w:rPr>
        <w:t>&lt;/NumAm&gt;</w:t>
      </w:r>
    </w:p>
    <w:p>
      <w:pPr>
        <w:pStyle w:val="NormalBold"/>
      </w:pPr>
      <w:r>
        <w:rPr>
          <w:rStyle w:val="HideTWBExt"/>
          <w:b w:val="0"/>
        </w:rPr>
        <w:t>&lt;RepeatBlock-By&gt;</w:t>
      </w:r>
      <w:r>
        <w:rPr>
          <w:rStyle w:val="HideTWBExt"/>
          <w:b w:val="0"/>
        </w:rPr>
        <w:t>&lt;Members&gt;</w:t>
      </w:r>
      <w:r>
        <w:t>Чарли Веймерс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12 – параграф 3 – буква 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а</w:t>
            </w:r>
            <w:r>
              <w:t>)</w:t>
            </w:r>
            <w:r>
              <w:tab/>
            </w:r>
            <w:r>
              <w:t xml:space="preserve">данни относно образованието и обучението, придобити от </w:t>
            </w:r>
            <w:r>
              <w:rPr>
                <w:b/>
                <w:i/>
              </w:rPr>
              <w:t>гражданина</w:t>
            </w:r>
            <w:r>
              <w:t xml:space="preserve"> на трета държава, участващ в партньорството в подкрепа на талантите, включително предмета на образованието или обучението, неговата продължителност и вида на придобитите умения </w:t>
            </w:r>
            <w:r>
              <w:rPr>
                <w:b/>
                <w:i/>
              </w:rPr>
              <w:t>и</w:t>
            </w:r>
            <w:r>
              <w:t xml:space="preserve"> тяхното ниво;</w:t>
            </w:r>
          </w:p>
        </w:tc>
        <w:tc>
          <w:tcPr>
            <w:tcW w:w="4876" w:type="dxa"/>
            <w:tcBorders>
              <w:top w:val="nil"/>
              <w:left w:val="nil"/>
              <w:bottom w:val="nil"/>
              <w:right w:val="nil"/>
            </w:tcBorders>
          </w:tcPr>
          <w:p>
            <w:pPr>
              <w:pStyle w:val="Normal6a"/>
            </w:pPr>
            <w:r>
              <w:rPr>
                <w:b/>
                <w:i/>
              </w:rPr>
              <w:t>a</w:t>
            </w:r>
            <w:r>
              <w:t>)</w:t>
            </w:r>
            <w:r>
              <w:tab/>
            </w:r>
            <w:r>
              <w:rPr>
                <w:b/>
                <w:i/>
              </w:rPr>
              <w:t>всички</w:t>
            </w:r>
            <w:r>
              <w:t xml:space="preserve"> данни относно образованието и обучението, придобити от </w:t>
            </w:r>
            <w:r>
              <w:rPr>
                <w:b/>
                <w:i/>
              </w:rPr>
              <w:t>гражданин</w:t>
            </w:r>
            <w:r>
              <w:t xml:space="preserve"> на трета държава, участващ в партньорството в подкрепа на талантите, включително предмета на образованието или обучението, неговата продължителност и вида на придобитите умения</w:t>
            </w:r>
            <w:r>
              <w:rPr>
                <w:b/>
                <w:i/>
              </w:rPr>
              <w:t>,</w:t>
            </w:r>
            <w:r>
              <w:t xml:space="preserve"> тяхното ниво</w:t>
            </w:r>
            <w:r>
              <w:rPr>
                <w:b/>
                <w:i/>
              </w:rPr>
              <w:t>, висшите учебни заведения или организациите, които са предоставили образованието и обучението, както и техните харти и копия на издадените дипломи</w:t>
            </w:r>
            <w:r>
              <w:t>;</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530</w:t>
      </w:r>
      <w:r>
        <w:rPr>
          <w:rStyle w:val="HideTWBExt"/>
        </w:rPr>
        <w:t>&lt;/NumAm&gt;</w:t>
      </w:r>
    </w:p>
    <w:p>
      <w:pPr>
        <w:pStyle w:val="NormalBold"/>
      </w:pPr>
      <w:r>
        <w:rPr>
          <w:rStyle w:val="HideTWBExt"/>
          <w:b w:val="0"/>
        </w:rPr>
        <w:t>&lt;RepeatBlock-By&gt;</w:t>
      </w:r>
      <w:r>
        <w:rPr>
          <w:rStyle w:val="HideTWBExt"/>
          <w:b w:val="0"/>
        </w:rPr>
        <w:t>&lt;Members&gt;</w:t>
      </w:r>
      <w:r>
        <w:t>Хавиер Морено Санчес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12 – параграф 3 – буква 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а</w:t>
            </w:r>
            <w:r>
              <w:t>)</w:t>
            </w:r>
            <w:r>
              <w:tab/>
            </w:r>
            <w:r>
              <w:t>данни относно образованието и обучението, придобити от гражданина на трета държава, участващ в партньорството в подкрепа на талантите, включително предмета на образованието или обучението, неговата продължителност и вида на придобитите умения и тяхното ниво;</w:t>
            </w:r>
          </w:p>
        </w:tc>
        <w:tc>
          <w:tcPr>
            <w:tcW w:w="4876" w:type="dxa"/>
            <w:tcBorders>
              <w:top w:val="nil"/>
              <w:left w:val="nil"/>
              <w:bottom w:val="nil"/>
              <w:right w:val="nil"/>
            </w:tcBorders>
          </w:tcPr>
          <w:p>
            <w:pPr>
              <w:pStyle w:val="Normal6a"/>
            </w:pPr>
            <w:r>
              <w:rPr>
                <w:b/>
                <w:i/>
              </w:rPr>
              <w:t>a</w:t>
            </w:r>
            <w:r>
              <w:t>)</w:t>
            </w:r>
            <w:r>
              <w:tab/>
            </w:r>
            <w:r>
              <w:t xml:space="preserve">данни относно образованието и обучението, придобити от гражданина на трета държава, участващ в партньорството </w:t>
            </w:r>
            <w:r>
              <w:rPr>
                <w:b/>
                <w:i/>
              </w:rPr>
              <w:t>на ЕС</w:t>
            </w:r>
            <w:r>
              <w:t xml:space="preserve"> в подкрепа на талантите </w:t>
            </w:r>
            <w:r>
              <w:rPr>
                <w:b/>
                <w:i/>
              </w:rPr>
              <w:t>или в национална рамка</w:t>
            </w:r>
            <w:r>
              <w:t>, включително предмета на образованието или обучението, неговата продължителност и вида на придобитите умения и тяхното ниво;</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531</w:t>
      </w:r>
      <w:r>
        <w:rPr>
          <w:rStyle w:val="HideTWBExt"/>
        </w:rPr>
        <w:t>&lt;/NumAm&gt;</w:t>
      </w:r>
    </w:p>
    <w:p>
      <w:pPr>
        <w:pStyle w:val="NormalBold"/>
      </w:pPr>
      <w:r>
        <w:rPr>
          <w:rStyle w:val="HideTWBExt"/>
          <w:b w:val="0"/>
        </w:rPr>
        <w:t>&lt;RepeatBlock-By&gt;</w:t>
      </w:r>
      <w:r>
        <w:rPr>
          <w:rStyle w:val="HideTWBExt"/>
          <w:b w:val="0"/>
        </w:rPr>
        <w:t>&lt;Members&gt;</w:t>
      </w:r>
      <w:r>
        <w:t>Лена Дюпон, Томас Тобé, Алис Теодореску Мове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12 – параграф 3 – буква 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а</w:t>
            </w:r>
            <w:r>
              <w:t>)</w:t>
            </w:r>
            <w:r>
              <w:tab/>
            </w:r>
            <w:r>
              <w:t>данни относно образованието и обучението, придобити от гражданина на трета държава, участващ в партньорството в подкрепа на талантите, включително предмета на образованието или обучението, неговата продължителност и вида на придобитите умения и тяхното ниво;</w:t>
            </w:r>
          </w:p>
        </w:tc>
        <w:tc>
          <w:tcPr>
            <w:tcW w:w="4876" w:type="dxa"/>
            <w:tcBorders>
              <w:top w:val="nil"/>
              <w:left w:val="nil"/>
              <w:bottom w:val="nil"/>
              <w:right w:val="nil"/>
            </w:tcBorders>
          </w:tcPr>
          <w:p>
            <w:pPr>
              <w:pStyle w:val="Normal6a"/>
            </w:pPr>
            <w:r>
              <w:rPr>
                <w:b/>
                <w:i/>
              </w:rPr>
              <w:t>a</w:t>
            </w:r>
            <w:r>
              <w:t>)</w:t>
            </w:r>
            <w:r>
              <w:tab/>
            </w:r>
            <w:r>
              <w:t xml:space="preserve">данни относно образованието и обучението, придобити от гражданина на трета държава, участващ в партньорството </w:t>
            </w:r>
            <w:r>
              <w:rPr>
                <w:b/>
                <w:i/>
              </w:rPr>
              <w:t>на ЕС</w:t>
            </w:r>
            <w:r>
              <w:t xml:space="preserve"> в подкрепа на талантите </w:t>
            </w:r>
            <w:r>
              <w:rPr>
                <w:b/>
                <w:i/>
              </w:rPr>
              <w:t>или в двустранни споразумения</w:t>
            </w:r>
            <w:r>
              <w:t>, включително предмета на образованието или обучението, неговата продължителност и вида на придобитите умения и тяхното ниво;</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532</w:t>
      </w:r>
      <w:r>
        <w:rPr>
          <w:rStyle w:val="HideTWBExt"/>
        </w:rPr>
        <w:t>&lt;/NumAm&gt;</w:t>
      </w:r>
    </w:p>
    <w:p>
      <w:pPr>
        <w:pStyle w:val="NormalBold"/>
      </w:pPr>
      <w:r>
        <w:rPr>
          <w:rStyle w:val="HideTWBExt"/>
          <w:b w:val="0"/>
        </w:rPr>
        <w:t>&lt;RepeatBlock-By&gt;</w:t>
      </w:r>
      <w:r>
        <w:rPr>
          <w:rStyle w:val="HideTWBExt"/>
          <w:b w:val="0"/>
        </w:rPr>
        <w:t>&lt;Members&gt;</w:t>
      </w:r>
      <w:r>
        <w:t>Хавиер Морено Санчес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12 – параграф 3 – буква 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б)</w:t>
            </w:r>
            <w:r>
              <w:tab/>
            </w:r>
            <w:r>
              <w:t>придобитата квалификация, както и уменията на гражданина на трета държава, които са били валидирани в контекста на партньорството в подкрепа на талантите, включително умения и компетентности, свързани с конкретна професия, езикови умения или компетентности, улесняващи интеграцията му в една или повече държави членки;</w:t>
            </w:r>
          </w:p>
        </w:tc>
        <w:tc>
          <w:tcPr>
            <w:tcW w:w="4876" w:type="dxa"/>
            <w:tcBorders>
              <w:top w:val="nil"/>
              <w:left w:val="nil"/>
              <w:bottom w:val="nil"/>
              <w:right w:val="nil"/>
            </w:tcBorders>
          </w:tcPr>
          <w:p>
            <w:pPr>
              <w:pStyle w:val="Normal6a"/>
            </w:pPr>
            <w:r>
              <w:t>б)</w:t>
            </w:r>
            <w:r>
              <w:tab/>
            </w:r>
            <w:r>
              <w:t xml:space="preserve">придобитата квалификация, както и уменията на гражданина на трета държава, които са били валидирани в контекста на партньорството </w:t>
            </w:r>
            <w:r>
              <w:rPr>
                <w:b/>
                <w:i/>
              </w:rPr>
              <w:t>на ЕС</w:t>
            </w:r>
            <w:r>
              <w:t xml:space="preserve"> в подкрепа на талантите </w:t>
            </w:r>
            <w:r>
              <w:rPr>
                <w:b/>
                <w:i/>
              </w:rPr>
              <w:t>или в национална рамка</w:t>
            </w:r>
            <w:r>
              <w:t>, включително умения и компетентности, свързани с конкретна професия, езикови умения или компетентности, улесняващи интеграцията му в една или повече държави членки;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533</w:t>
      </w:r>
      <w:r>
        <w:rPr>
          <w:rStyle w:val="HideTWBExt"/>
        </w:rPr>
        <w:t>&lt;/NumAm&gt;</w:t>
      </w:r>
    </w:p>
    <w:p>
      <w:pPr>
        <w:pStyle w:val="NormalBold"/>
      </w:pPr>
      <w:r>
        <w:rPr>
          <w:rStyle w:val="HideTWBExt"/>
          <w:b w:val="0"/>
        </w:rPr>
        <w:t>&lt;RepeatBlock-By&gt;</w:t>
      </w:r>
      <w:r>
        <w:rPr>
          <w:rStyle w:val="HideTWBExt"/>
          <w:b w:val="0"/>
        </w:rPr>
        <w:t>&lt;Members&gt;</w:t>
      </w:r>
      <w:r>
        <w:t>Лена Дюпон, Томас Тобé, Алис Теодореску Мове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12 – параграф 3 – буква 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б)</w:t>
            </w:r>
            <w:r>
              <w:tab/>
            </w:r>
            <w:r>
              <w:t>придобитата квалификация, както и уменията на гражданина на трета държава, които са били валидирани в контекста на партньорството в подкрепа на талантите, включително умения и компетентности, свързани с конкретна професия, езикови умения или компетентности, улесняващи интеграцията му в една или повече държави членки;</w:t>
            </w:r>
          </w:p>
        </w:tc>
        <w:tc>
          <w:tcPr>
            <w:tcW w:w="4876" w:type="dxa"/>
            <w:tcBorders>
              <w:top w:val="nil"/>
              <w:left w:val="nil"/>
              <w:bottom w:val="nil"/>
              <w:right w:val="nil"/>
            </w:tcBorders>
          </w:tcPr>
          <w:p>
            <w:pPr>
              <w:pStyle w:val="Normal6a"/>
            </w:pPr>
            <w:r>
              <w:t>б)</w:t>
            </w:r>
            <w:r>
              <w:tab/>
            </w:r>
            <w:r>
              <w:t xml:space="preserve">придобитата квалификация, както и уменията на гражданина на трета държава, които са били валидирани в контекста на партньорството </w:t>
            </w:r>
            <w:r>
              <w:rPr>
                <w:b/>
                <w:i/>
              </w:rPr>
              <w:t>на ЕС</w:t>
            </w:r>
            <w:r>
              <w:t xml:space="preserve"> в подкрепа на талантите </w:t>
            </w:r>
            <w:r>
              <w:rPr>
                <w:b/>
                <w:i/>
              </w:rPr>
              <w:t>или в национална рамка</w:t>
            </w:r>
            <w:r>
              <w:t>, включително умения и компетентности, свързани с конкретна професия, езикови умения или компетентности, улесняващи интеграцията му в една или повече държави членки;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534</w:t>
      </w:r>
      <w:r>
        <w:rPr>
          <w:rStyle w:val="HideTWBExt"/>
        </w:rPr>
        <w:t>&lt;/NumAm&gt;</w:t>
      </w:r>
    </w:p>
    <w:p>
      <w:pPr>
        <w:pStyle w:val="NormalBold"/>
      </w:pPr>
      <w:r>
        <w:rPr>
          <w:rStyle w:val="HideTWBExt"/>
          <w:b w:val="0"/>
        </w:rPr>
        <w:t>&lt;RepeatBlock-By&gt;</w:t>
      </w:r>
      <w:r>
        <w:rPr>
          <w:rStyle w:val="HideTWBExt"/>
          <w:b w:val="0"/>
        </w:rPr>
        <w:t>&lt;Members&gt;</w:t>
      </w:r>
      <w:r>
        <w:t>Хуан Игнасио Соидо Алварес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12 – параграф 3 – алинея 1 (нова)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Удостоверения за умения и професионални квалификации, придобити в хода на кариерата, издадени от професионални сдружения и/или институции за обучение в приемащата държава.</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535</w:t>
      </w:r>
      <w:r>
        <w:rPr>
          <w:rStyle w:val="HideTWBExt"/>
        </w:rPr>
        <w:t>&lt;/NumAm&gt;</w:t>
      </w:r>
    </w:p>
    <w:p>
      <w:pPr>
        <w:pStyle w:val="NormalBold"/>
      </w:pPr>
      <w:r>
        <w:rPr>
          <w:rStyle w:val="HideTWBExt"/>
          <w:b w:val="0"/>
        </w:rPr>
        <w:t>&lt;RepeatBlock-By&gt;</w:t>
      </w:r>
      <w:r>
        <w:rPr>
          <w:rStyle w:val="HideTWBExt"/>
          <w:b w:val="0"/>
        </w:rPr>
        <w:t>&lt;Members&gt;</w:t>
      </w:r>
      <w:r>
        <w:t>Хавиер Морено Санчес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12 – параграф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Чрез актове за изпълнение Комисията приема образци за формата на „картата за участие в партньорство </w:t>
            </w:r>
            <w:r>
              <w:rPr>
                <w:b/>
                <w:i/>
              </w:rPr>
              <w:t>на ЕС</w:t>
            </w:r>
            <w:r>
              <w:t xml:space="preserve"> в подкрепа на талантите“. Тези актове за изпълнение се приемат в съответствие с процедурата по консултиране, посочена в член 22, параграф 2.</w:t>
            </w:r>
          </w:p>
        </w:tc>
        <w:tc>
          <w:tcPr>
            <w:tcW w:w="4876" w:type="dxa"/>
            <w:tcBorders>
              <w:top w:val="nil"/>
              <w:left w:val="nil"/>
              <w:bottom w:val="nil"/>
              <w:right w:val="nil"/>
            </w:tcBorders>
          </w:tcPr>
          <w:p>
            <w:pPr>
              <w:pStyle w:val="Normal6a"/>
            </w:pPr>
            <w:r>
              <w:t>4.</w:t>
            </w:r>
            <w:r>
              <w:tab/>
            </w:r>
            <w:r>
              <w:t>Чрез актове за изпълнение Комисията приема образци за формата на „картата за участие в партньорство в подкрепа на талантите“. Тези актове за изпълнение се приемат в съответствие с процедурата по консултиране, посочена в член 22, параграф 2.</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536</w:t>
      </w:r>
      <w:r>
        <w:rPr>
          <w:rStyle w:val="HideTWBExt"/>
        </w:rPr>
        <w:t>&lt;/NumAm&gt;</w:t>
      </w:r>
    </w:p>
    <w:p>
      <w:pPr>
        <w:pStyle w:val="NormalBold"/>
      </w:pPr>
      <w:r>
        <w:rPr>
          <w:rStyle w:val="HideTWBExt"/>
          <w:b w:val="0"/>
        </w:rPr>
        <w:t>&lt;RepeatBlock-By&gt;</w:t>
      </w:r>
      <w:r>
        <w:rPr>
          <w:rStyle w:val="HideTWBExt"/>
          <w:b w:val="0"/>
        </w:rPr>
        <w:t>&lt;Members&gt;</w:t>
      </w:r>
      <w:r>
        <w:t>Франсишку Асиш</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12 – параграф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Чрез актове за изпълнение Комисията приема образци за формата на „картата за участие в партньорство </w:t>
            </w:r>
            <w:r>
              <w:rPr>
                <w:b/>
                <w:i/>
              </w:rPr>
              <w:t>на ЕС</w:t>
            </w:r>
            <w:r>
              <w:t xml:space="preserve"> в подкрепа на талантите“. Тези актове за изпълнение се приемат в съответствие с процедурата по консултиране, посочена в член 22, параграф 2.</w:t>
            </w:r>
          </w:p>
        </w:tc>
        <w:tc>
          <w:tcPr>
            <w:tcW w:w="4876" w:type="dxa"/>
            <w:tcBorders>
              <w:top w:val="nil"/>
              <w:left w:val="nil"/>
              <w:bottom w:val="nil"/>
              <w:right w:val="nil"/>
            </w:tcBorders>
          </w:tcPr>
          <w:p>
            <w:pPr>
              <w:pStyle w:val="Normal6a"/>
            </w:pPr>
            <w:r>
              <w:t>4.</w:t>
            </w:r>
            <w:r>
              <w:tab/>
            </w:r>
            <w:r>
              <w:t>Чрез актове за изпълнение Комисията приема образци за формата на „картата за участие в партньорство в подкрепа на талантите“. Тези актове за изпълнение се приемат в съответствие с процедурата по консултиране, посочена в член 22, параграф 2.</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537</w:t>
      </w:r>
      <w:r>
        <w:rPr>
          <w:rStyle w:val="HideTWBExt"/>
        </w:rPr>
        <w:t>&lt;/NumAm&gt;</w:t>
      </w:r>
    </w:p>
    <w:p>
      <w:pPr>
        <w:pStyle w:val="NormalBold"/>
      </w:pPr>
      <w:r>
        <w:rPr>
          <w:rStyle w:val="HideTWBExt"/>
          <w:b w:val="0"/>
        </w:rPr>
        <w:t>&lt;RepeatBlock-By&gt;</w:t>
      </w:r>
      <w:r>
        <w:rPr>
          <w:rStyle w:val="HideTWBExt"/>
          <w:b w:val="0"/>
        </w:rPr>
        <w:t>&lt;Members&gt;</w:t>
      </w:r>
      <w:r>
        <w:t>Хавиер Морено Санчес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12 – параграф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Условията за издаване на „карта за участие в партньорство </w:t>
            </w:r>
            <w:r>
              <w:rPr>
                <w:b/>
                <w:i/>
              </w:rPr>
              <w:t>на ЕС</w:t>
            </w:r>
            <w:r>
              <w:t xml:space="preserve"> в подкрепа на талантите“ се определят от държавите членки в рамките на партньорството в подкрепа на талантите, в което те участват. Комисията публикува информация за тези условия на ИТ платформата на резерва на ЕС от таланти.</w:t>
            </w:r>
          </w:p>
        </w:tc>
        <w:tc>
          <w:tcPr>
            <w:tcW w:w="4876" w:type="dxa"/>
            <w:tcBorders>
              <w:top w:val="nil"/>
              <w:left w:val="nil"/>
              <w:bottom w:val="nil"/>
              <w:right w:val="nil"/>
            </w:tcBorders>
          </w:tcPr>
          <w:p>
            <w:pPr>
              <w:pStyle w:val="Normal6a"/>
            </w:pPr>
            <w:r>
              <w:t>5.</w:t>
            </w:r>
            <w:r>
              <w:tab/>
            </w:r>
            <w:r>
              <w:t xml:space="preserve">Условията за издаване на „карта за участие в партньорство в подкрепа на талантите“ се определят от държавите членки в рамките на партньорството </w:t>
            </w:r>
            <w:r>
              <w:rPr>
                <w:b/>
                <w:i/>
              </w:rPr>
              <w:t>на ЕС</w:t>
            </w:r>
            <w:r>
              <w:t xml:space="preserve"> в подкрепа на талантите, в което те участват </w:t>
            </w:r>
            <w:r>
              <w:rPr>
                <w:b/>
                <w:i/>
              </w:rPr>
              <w:t>или в контекста на националната рамка, която са приложили</w:t>
            </w:r>
            <w:r>
              <w:t>. Комисията публикува информация за тези условия на ИТ платформата на резерва на ЕС от таланти.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538</w:t>
      </w:r>
      <w:r>
        <w:rPr>
          <w:rStyle w:val="HideTWBExt"/>
        </w:rPr>
        <w:t>&lt;/NumAm&gt;</w:t>
      </w:r>
    </w:p>
    <w:p>
      <w:pPr>
        <w:pStyle w:val="NormalBold"/>
      </w:pPr>
      <w:r>
        <w:rPr>
          <w:rStyle w:val="HideTWBExt"/>
          <w:b w:val="0"/>
        </w:rPr>
        <w:t>&lt;RepeatBlock-By&gt;</w:t>
      </w:r>
      <w:r>
        <w:rPr>
          <w:rStyle w:val="HideTWBExt"/>
          <w:b w:val="0"/>
        </w:rPr>
        <w:t>&lt;Members&gt;</w:t>
      </w:r>
      <w:r>
        <w:t>Лена Дюпон, Томас Тобé, Алис Теодореску Мове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12 – параграф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Условията за издаване на „карта за участие в партньорство на ЕС в подкрепа на талантите“ се определят от държавите членки в рамките на партньорството в подкрепа на талантите</w:t>
            </w:r>
            <w:r>
              <w:rPr>
                <w:b/>
                <w:i/>
              </w:rPr>
              <w:t>, в което</w:t>
            </w:r>
            <w:r>
              <w:t xml:space="preserve"> те участват. Комисията публикува информация за тези условия на ИТ платформата на резерва на ЕС от таланти.</w:t>
            </w:r>
          </w:p>
        </w:tc>
        <w:tc>
          <w:tcPr>
            <w:tcW w:w="4876" w:type="dxa"/>
            <w:tcBorders>
              <w:top w:val="nil"/>
              <w:left w:val="nil"/>
              <w:bottom w:val="nil"/>
              <w:right w:val="nil"/>
            </w:tcBorders>
          </w:tcPr>
          <w:p>
            <w:pPr>
              <w:pStyle w:val="Normal6a"/>
            </w:pPr>
            <w:r>
              <w:t>5.</w:t>
            </w:r>
            <w:r>
              <w:tab/>
            </w:r>
            <w:r>
              <w:t xml:space="preserve">Условията за издаване на „карта за участие в партньорство на ЕС в подкрепа на талантите“ се определят от държавите членки в рамките на партньорството </w:t>
            </w:r>
            <w:r>
              <w:rPr>
                <w:b/>
                <w:i/>
              </w:rPr>
              <w:t>на ЕС</w:t>
            </w:r>
            <w:r>
              <w:t xml:space="preserve"> в подкрепа на талантите </w:t>
            </w:r>
            <w:r>
              <w:rPr>
                <w:b/>
                <w:i/>
              </w:rPr>
              <w:t>или в двустранните споразумения, в които</w:t>
            </w:r>
            <w:r>
              <w:t xml:space="preserve"> те участват. Комисията публикува информация за тези условия на ИТ платформата на резерва на ЕС от таланти.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539</w:t>
      </w:r>
      <w:r>
        <w:rPr>
          <w:rStyle w:val="HideTWBExt"/>
        </w:rPr>
        <w:t>&lt;/NumAm&gt;</w:t>
      </w:r>
    </w:p>
    <w:p>
      <w:pPr>
        <w:pStyle w:val="NormalBold"/>
      </w:pPr>
      <w:r>
        <w:rPr>
          <w:rStyle w:val="HideTWBExt"/>
          <w:b w:val="0"/>
        </w:rPr>
        <w:t>&lt;RepeatBlock-By&gt;</w:t>
      </w:r>
      <w:r>
        <w:rPr>
          <w:rStyle w:val="HideTWBExt"/>
          <w:b w:val="0"/>
        </w:rPr>
        <w:t>&lt;Members&gt;</w:t>
      </w:r>
      <w:r>
        <w:t>Ян-Кристоф Йотен, Хилде Вотманс, Ирена Йовева</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12 – параграф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6.</w:t>
            </w:r>
            <w:r>
              <w:tab/>
            </w:r>
            <w:r>
              <w:rPr>
                <w:b/>
                <w:i/>
              </w:rPr>
              <w:t>Участващите държави членки може да решат, в рамките на съответното партньорство в подкрепа на талантите, да ограничат видимостта на профилите на регистрираните търсещи работа лица от трети държави, които са получили „карта за участие в партньорство на ЕС в подкрепа на талантите“, за максимален период от една година до работодатели, установени в една или повече държави членки, участващи в същото партньорство в подкрепа на талантите.</w:t>
            </w:r>
            <w:r>
              <w:t xml:space="preserve"> </w:t>
            </w:r>
            <w:r>
              <w:rPr>
                <w:b/>
                <w:i/>
              </w:rPr>
              <w:t>Секретариатът на резерва на ЕС от таланти публикува информация относно прилагането на настоящия параграф на ИТ платформата на резерва на ЕС от таланти.</w:t>
            </w:r>
          </w:p>
        </w:tc>
        <w:tc>
          <w:tcPr>
            <w:tcW w:w="4876" w:type="dxa"/>
            <w:tcBorders>
              <w:top w:val="nil"/>
              <w:left w:val="nil"/>
              <w:bottom w:val="nil"/>
              <w:right w:val="nil"/>
            </w:tcBorders>
          </w:tcPr>
          <w:p>
            <w:pPr>
              <w:pStyle w:val="Normal6a"/>
            </w:pPr>
            <w:r>
              <w:rPr>
                <w:b/>
                <w:i/>
              </w:rPr>
              <w:t>заличава се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540</w:t>
      </w:r>
      <w:r>
        <w:rPr>
          <w:rStyle w:val="HideTWBExt"/>
        </w:rPr>
        <w:t>&lt;/NumAm&gt;</w:t>
      </w:r>
    </w:p>
    <w:p>
      <w:pPr>
        <w:pStyle w:val="NormalBold"/>
      </w:pPr>
      <w:r>
        <w:rPr>
          <w:rStyle w:val="HideTWBExt"/>
          <w:b w:val="0"/>
        </w:rPr>
        <w:t>&lt;RepeatBlock-By&gt;</w:t>
      </w:r>
      <w:r>
        <w:rPr>
          <w:rStyle w:val="HideTWBExt"/>
          <w:b w:val="0"/>
        </w:rPr>
        <w:t>&lt;Members&gt;</w:t>
      </w:r>
      <w:r>
        <w:t>Томаш Здеховски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12 – параграф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Участващите държави членки може да решат, в рамките на съответното партньорство в подкрепа на талантите, да </w:t>
            </w:r>
            <w:r>
              <w:rPr>
                <w:b/>
                <w:i/>
              </w:rPr>
              <w:t>ограничат</w:t>
            </w:r>
            <w:r>
              <w:t xml:space="preserve"> видимостта на профилите на регистрираните търсещи работа лица от трети държави, които са получили „карта за участие в партньорство на ЕС в подкрепа на талантите“, за максимален период от една година до работодатели, установени в една или повече държави членки, участващи в същото партньорство в подкрепа на талантите. Секретариатът на резерва на ЕС от таланти публикува информация относно прилагането на настоящия параграф на ИТ платформата на резерва на ЕС от таланти.</w:t>
            </w:r>
          </w:p>
        </w:tc>
        <w:tc>
          <w:tcPr>
            <w:tcW w:w="4876" w:type="dxa"/>
            <w:tcBorders>
              <w:top w:val="nil"/>
              <w:left w:val="nil"/>
              <w:bottom w:val="nil"/>
              <w:right w:val="nil"/>
            </w:tcBorders>
          </w:tcPr>
          <w:p>
            <w:pPr>
              <w:pStyle w:val="Normal6a"/>
            </w:pPr>
            <w:r>
              <w:t>6.</w:t>
            </w:r>
            <w:r>
              <w:tab/>
            </w:r>
            <w:r>
              <w:t xml:space="preserve">Участващите държави членки може да решат, в рамките на съответното партньорство в подкрепа на талантите, да </w:t>
            </w:r>
            <w:r>
              <w:rPr>
                <w:b/>
                <w:i/>
              </w:rPr>
              <w:t>дадат приоритет на</w:t>
            </w:r>
            <w:r>
              <w:t xml:space="preserve"> видимостта на профилите на регистрираните търсещи работа лица от трети държави, които са получили „карта за участие в партньорство на ЕС в подкрепа на талантите“, за максимален период от една година до работодатели, установени в една или повече държави членки, участващи в същото партньорство в подкрепа на талантите. Секретариатът на резерва на ЕС от таланти публикува информация относно прилагането на настоящия параграф на ИТ платформата на резерва на ЕС от таланти.</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Обосновка</w:t>
      </w:r>
      <w:r>
        <w:rPr>
          <w:rStyle w:val="HideTWBExt"/>
        </w:rPr>
        <w:t>&lt;/TitreJust&gt;</w:t>
      </w:r>
    </w:p>
    <w:p>
      <w:pPr>
        <w:pStyle w:val="AmJustText"/>
      </w:pPr>
      <w:r>
        <w:t>Думата „ограничат“ има отрицателна конотация и може да се възприеме като ограничаване на видимостта на търсещите работа лица, докато се предполага, че видимостта е в по-голяма степен насочена към нуждите на конкретно партньорство в подкрепа на талантите.</w:t>
      </w:r>
      <w:r>
        <w:t xml:space="preserve"> </w:t>
      </w:r>
      <w:r>
        <w:t>Поради това по-логично в този случай е да се използва „дадат приоритет“.</w:t>
      </w:r>
    </w:p>
    <w:p>
      <w:r>
        <w:rPr>
          <w:rStyle w:val="HideTWBExt"/>
        </w:rPr>
        <w:t>&lt;/Amend&gt;</w:t>
      </w:r>
    </w:p>
    <w:p>
      <w:pPr>
        <w:pStyle w:val="AmNumberTabs"/>
      </w:pPr>
      <w:r>
        <w:rPr>
          <w:rStyle w:val="HideTWBExt"/>
        </w:rPr>
        <w:t>&lt;Amend&gt;</w:t>
      </w:r>
      <w:r>
        <w:t>Изменение</w:t>
      </w:r>
      <w:r>
        <w:tab/>
      </w:r>
      <w:r>
        <w:tab/>
      </w:r>
      <w:r>
        <w:rPr>
          <w:rStyle w:val="HideTWBExt"/>
        </w:rPr>
        <w:t>&lt;NumAm&gt;</w:t>
      </w:r>
      <w:r>
        <w:t>541</w:t>
      </w:r>
      <w:r>
        <w:rPr>
          <w:rStyle w:val="HideTWBExt"/>
        </w:rPr>
        <w:t>&lt;/NumAm&gt;</w:t>
      </w:r>
    </w:p>
    <w:p>
      <w:pPr>
        <w:pStyle w:val="NormalBold"/>
      </w:pPr>
      <w:r>
        <w:rPr>
          <w:rStyle w:val="HideTWBExt"/>
          <w:b w:val="0"/>
        </w:rPr>
        <w:t>&lt;RepeatBlock-By&gt;</w:t>
      </w:r>
      <w:r>
        <w:rPr>
          <w:rStyle w:val="HideTWBExt"/>
          <w:b w:val="0"/>
        </w:rPr>
        <w:t>&lt;Members&gt;</w:t>
      </w:r>
      <w:r>
        <w:t>Франсоа-Ксавие Белами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12 – параграф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Участващите държави членки може да решат, в рамките на съответното партньорство в подкрепа на талантите, да ограничат видимостта на профилите на регистрираните търсещи работа лица от трети държави, които са получили „карта за участие в партньорство на ЕС в подкрепа на талантите“, за максимален период от </w:t>
            </w:r>
            <w:r>
              <w:rPr>
                <w:b/>
                <w:i/>
              </w:rPr>
              <w:t>една година</w:t>
            </w:r>
            <w:r>
              <w:t xml:space="preserve"> до работодатели, установени в една или повече държави членки, участващи в същото партньорство в подкрепа на талантите. Секретариатът на резерва на ЕС от таланти публикува информация относно прилагането на настоящия параграф на ИТ платформата на резерва на ЕС от таланти.</w:t>
            </w:r>
          </w:p>
        </w:tc>
        <w:tc>
          <w:tcPr>
            <w:tcW w:w="4876" w:type="dxa"/>
            <w:tcBorders>
              <w:top w:val="nil"/>
              <w:left w:val="nil"/>
              <w:bottom w:val="nil"/>
              <w:right w:val="nil"/>
            </w:tcBorders>
          </w:tcPr>
          <w:p>
            <w:pPr>
              <w:pStyle w:val="Normal6a"/>
            </w:pPr>
            <w:r>
              <w:t>6.</w:t>
            </w:r>
            <w:r>
              <w:tab/>
            </w:r>
            <w:r>
              <w:t xml:space="preserve">Участващите държави членки може да решат, в рамките на съответното партньорство в подкрепа на талантите, да ограничат видимостта на профилите на регистрираните търсещи работа лица от трети държави, които са получили „карта за участие в партньорство на ЕС в подкрепа на талантите“, за максимален период от </w:t>
            </w:r>
            <w:r>
              <w:rPr>
                <w:b/>
                <w:i/>
              </w:rPr>
              <w:t>две години</w:t>
            </w:r>
            <w:r>
              <w:t xml:space="preserve"> до работодатели, установени в една или повече държави членки, участващи в същото партньорство в подкрепа на талантите. Секретариатът на резерва на ЕС от таланти публикува информация относно прилагането на настоящия параграф на ИТ платформата на резерва на ЕС от таланти.</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542</w:t>
      </w:r>
      <w:r>
        <w:rPr>
          <w:rStyle w:val="HideTWBExt"/>
        </w:rPr>
        <w:t>&lt;/NumAm&gt;</w:t>
      </w:r>
    </w:p>
    <w:p>
      <w:pPr>
        <w:pStyle w:val="NormalBold"/>
      </w:pPr>
      <w:r>
        <w:rPr>
          <w:rStyle w:val="HideTWBExt"/>
          <w:b w:val="0"/>
        </w:rPr>
        <w:t>&lt;RepeatBlock-By&gt;</w:t>
      </w:r>
      <w:r>
        <w:rPr>
          <w:rStyle w:val="HideTWBExt"/>
          <w:b w:val="0"/>
        </w:rPr>
        <w:t>&lt;Members&gt;</w:t>
      </w:r>
      <w:r>
        <w:t>Хавиер Морено Санчес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12 – параграф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Участващите държави членки може да решат, в рамките на съответното партньорство в подкрепа на талантите, да ограничат видимостта на профилите на регистрираните търсещи работа лица от трети държави, които са получили „карта за участие в партньорство </w:t>
            </w:r>
            <w:r>
              <w:rPr>
                <w:b/>
                <w:i/>
              </w:rPr>
              <w:t>на ЕС</w:t>
            </w:r>
            <w:r>
              <w:t xml:space="preserve"> в подкрепа на талантите“, за максимален период от една година до работодатели, установени в една или повече държави членки, участващи в същото партньорство в подкрепа на талантите. Секретариатът на резерва на ЕС от таланти публикува информация относно прилагането на настоящия параграф на ИТ платформата на резерва на ЕС от таланти.</w:t>
            </w:r>
          </w:p>
        </w:tc>
        <w:tc>
          <w:tcPr>
            <w:tcW w:w="4876" w:type="dxa"/>
            <w:tcBorders>
              <w:top w:val="nil"/>
              <w:left w:val="nil"/>
              <w:bottom w:val="nil"/>
              <w:right w:val="nil"/>
            </w:tcBorders>
          </w:tcPr>
          <w:p>
            <w:pPr>
              <w:pStyle w:val="Normal6a"/>
            </w:pPr>
            <w:r>
              <w:t>6.</w:t>
            </w:r>
            <w:r>
              <w:tab/>
            </w:r>
            <w:r>
              <w:t xml:space="preserve">Участващите държави членки може да решат, в рамките на съответното партньорство </w:t>
            </w:r>
            <w:r>
              <w:rPr>
                <w:b/>
                <w:i/>
              </w:rPr>
              <w:t>на ЕС</w:t>
            </w:r>
            <w:r>
              <w:t xml:space="preserve"> в подкрепа на талантите, да ограничат видимостта на профилите на регистрираните търсещи работа лица от трети държави, които са получили „карта за участие в партньорство в подкрепа на талантите“, за максимален период от една година до работодатели, установени в една или повече държави членки, участващи в същото партньорство </w:t>
            </w:r>
            <w:r>
              <w:rPr>
                <w:b/>
                <w:i/>
              </w:rPr>
              <w:t>на ЕС</w:t>
            </w:r>
            <w:r>
              <w:t xml:space="preserve"> в подкрепа на талантите. Секретариатът на резерва на ЕС от таланти публикува информация относно прилагането на настоящия параграф на ИТ платформата на резерва на ЕС от таланти.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543</w:t>
      </w:r>
      <w:r>
        <w:rPr>
          <w:rStyle w:val="HideTWBExt"/>
        </w:rPr>
        <w:t>&lt;/NumAm&gt;</w:t>
      </w:r>
    </w:p>
    <w:p>
      <w:pPr>
        <w:pStyle w:val="NormalBold"/>
      </w:pPr>
      <w:r>
        <w:rPr>
          <w:rStyle w:val="HideTWBExt"/>
          <w:b w:val="0"/>
        </w:rPr>
        <w:t>&lt;RepeatBlock-By&gt;</w:t>
      </w:r>
      <w:r>
        <w:rPr>
          <w:rStyle w:val="HideTWBExt"/>
          <w:b w:val="0"/>
        </w:rPr>
        <w:t>&lt;Members&gt;</w:t>
      </w:r>
      <w:r>
        <w:t>Том Вандендрисе, Петра Щегер, Ярослав Бжох, Фабрис Леджери, Антонио Танжер Кореа,  Хорхе Бусаде Виялба, Марике Елерс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12 – параграф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Участващите държави членки може да решат, в рамките на съответното партньорство в подкрепа на талантите, да ограничат видимостта на профилите на регистрираните търсещи работа лица от трети държави, които са получили „карта за участие в партньорство на ЕС в подкрепа на талантите“, </w:t>
            </w:r>
            <w:r>
              <w:rPr>
                <w:b/>
                <w:i/>
              </w:rPr>
              <w:t>за максимален период от една година</w:t>
            </w:r>
            <w:r>
              <w:t xml:space="preserve"> до работодатели, установени в една или повече държави членки, участващи в същото партньорство в подкрепа на талантите. Секретариатът на резерва на ЕС от таланти публикува информация относно прилагането на настоящия параграф на ИТ платформата на резерва на ЕС от таланти.</w:t>
            </w:r>
          </w:p>
        </w:tc>
        <w:tc>
          <w:tcPr>
            <w:tcW w:w="4876" w:type="dxa"/>
            <w:tcBorders>
              <w:top w:val="nil"/>
              <w:left w:val="nil"/>
              <w:bottom w:val="nil"/>
              <w:right w:val="nil"/>
            </w:tcBorders>
          </w:tcPr>
          <w:p>
            <w:pPr>
              <w:pStyle w:val="Normal6a"/>
            </w:pPr>
            <w:r>
              <w:t>6.</w:t>
            </w:r>
            <w:r>
              <w:tab/>
            </w:r>
            <w:r>
              <w:t>Участващите държави членки може да решат, в рамките на съответното партньорство в подкрепа на талантите, да ограничат видимостта на профилите на регистрираните търсещи работа лица от трети държави, които са получили „карта за участие в партньорство на ЕС в подкрепа на талантите“, до работодатели, установени в една или повече държави членки, участващи в същото партньорство в подкрепа на талантите. Секретариатът на резерва на ЕС от таланти публикува информация относно прилагането на настоящия параграф на ИТ платформата на резерва на ЕС от таланти.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544</w:t>
      </w:r>
      <w:r>
        <w:rPr>
          <w:rStyle w:val="HideTWBExt"/>
        </w:rPr>
        <w:t>&lt;/NumAm&gt;</w:t>
      </w:r>
    </w:p>
    <w:p>
      <w:pPr>
        <w:pStyle w:val="NormalBold"/>
      </w:pPr>
      <w:r>
        <w:rPr>
          <w:rStyle w:val="HideTWBExt"/>
          <w:b w:val="0"/>
        </w:rPr>
        <w:t>&lt;RepeatBlock-By&gt;</w:t>
      </w:r>
      <w:r>
        <w:rPr>
          <w:rStyle w:val="HideTWBExt"/>
          <w:b w:val="0"/>
        </w:rPr>
        <w:t>&lt;Members&gt;</w:t>
      </w:r>
      <w:r>
        <w:t>Франсишку Асиш</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12 – параграф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Участващите държави членки може да решат, в рамките на съответното партньорство в подкрепа на талантите, да ограничат видимостта на профилите на регистрираните търсещи работа лица от трети държави, които са получили „карта за участие в партньорство </w:t>
            </w:r>
            <w:r>
              <w:rPr>
                <w:b/>
                <w:i/>
              </w:rPr>
              <w:t>на ЕС</w:t>
            </w:r>
            <w:r>
              <w:t xml:space="preserve"> в подкрепа на талантите“, за максимален период от една година до работодатели, установени в една или повече държави членки, участващи в същото партньорство в подкрепа на талантите. Секретариатът на резерва на ЕС от таланти публикува информация относно прилагането на настоящия параграф на ИТ платформата на резерва на ЕС от таланти.</w:t>
            </w:r>
          </w:p>
        </w:tc>
        <w:tc>
          <w:tcPr>
            <w:tcW w:w="4876" w:type="dxa"/>
            <w:tcBorders>
              <w:top w:val="nil"/>
              <w:left w:val="nil"/>
              <w:bottom w:val="nil"/>
              <w:right w:val="nil"/>
            </w:tcBorders>
          </w:tcPr>
          <w:p>
            <w:pPr>
              <w:pStyle w:val="Normal6a"/>
            </w:pPr>
            <w:r>
              <w:t>6.</w:t>
            </w:r>
            <w:r>
              <w:tab/>
            </w:r>
            <w:r>
              <w:t>Участващите държави членки може да решат, в рамките на съответното партньорство в подкрепа на талантите, да ограничат видимостта на профилите на регистрираните търсещи работа лица от трети държави, които са получили „карта за участие в партньорство в подкрепа на талантите“, за максимален период от една година до работодатели, установени в една или повече държави членки, участващи в същото партньорство в подкрепа на талантите. Секретариатът на резерва на ЕС от таланти публикува информация относно прилагането на настоящия параграф на ИТ платформата на резерва на ЕС от таланти.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545</w:t>
      </w:r>
      <w:r>
        <w:rPr>
          <w:rStyle w:val="HideTWBExt"/>
        </w:rPr>
        <w:t>&lt;/NumAm&gt;</w:t>
      </w:r>
    </w:p>
    <w:p>
      <w:pPr>
        <w:pStyle w:val="NormalBold"/>
      </w:pPr>
      <w:r>
        <w:rPr>
          <w:rStyle w:val="HideTWBExt"/>
          <w:b w:val="0"/>
        </w:rPr>
        <w:t>&lt;RepeatBlock-By&gt;</w:t>
      </w:r>
      <w:r>
        <w:rPr>
          <w:rStyle w:val="HideTWBExt"/>
          <w:b w:val="0"/>
        </w:rPr>
        <w:t>&lt;Members&gt;</w:t>
      </w:r>
      <w:r>
        <w:t>Лена Дюпон, Томас Тобé, Алис Теодореску Мове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12 – параграф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Участващите държави членки може да решат, в рамките на съответното партньорство в подкрепа на талантите, да ограничат видимостта на профилите на регистрираните търсещи работа лица от трети държави, които са получили „карта за участие в партньорство на ЕС в подкрепа на талантите“, за максимален период от </w:t>
            </w:r>
            <w:r>
              <w:rPr>
                <w:b/>
                <w:i/>
              </w:rPr>
              <w:t>една година</w:t>
            </w:r>
            <w:r>
              <w:t xml:space="preserve"> до работодатели, установени в </w:t>
            </w:r>
            <w:r>
              <w:rPr>
                <w:b/>
                <w:i/>
              </w:rPr>
              <w:t>една или повече</w:t>
            </w:r>
            <w:r>
              <w:t xml:space="preserve"> държави членки</w:t>
            </w:r>
            <w:r>
              <w:rPr>
                <w:b/>
                <w:i/>
              </w:rPr>
              <w:t>, участващи в същото партньорство в подкрепа на талантите</w:t>
            </w:r>
            <w:r>
              <w:t>. Секретариатът на резерва на ЕС от таланти публикува информация относно прилагането на настоящия параграф на ИТ платформата на резерва на ЕС от таланти.</w:t>
            </w:r>
          </w:p>
        </w:tc>
        <w:tc>
          <w:tcPr>
            <w:tcW w:w="4876" w:type="dxa"/>
            <w:tcBorders>
              <w:top w:val="nil"/>
              <w:left w:val="nil"/>
              <w:bottom w:val="nil"/>
              <w:right w:val="nil"/>
            </w:tcBorders>
          </w:tcPr>
          <w:p>
            <w:pPr>
              <w:pStyle w:val="Normal6a"/>
            </w:pPr>
            <w:r>
              <w:t>6.</w:t>
            </w:r>
            <w:r>
              <w:tab/>
            </w:r>
            <w:r>
              <w:t xml:space="preserve">Участващите държави членки може да решат, в рамките на съответното партньорство </w:t>
            </w:r>
            <w:r>
              <w:rPr>
                <w:b/>
                <w:i/>
              </w:rPr>
              <w:t>на ЕС</w:t>
            </w:r>
            <w:r>
              <w:t xml:space="preserve"> в подкрепа на талантите </w:t>
            </w:r>
            <w:r>
              <w:rPr>
                <w:b/>
                <w:i/>
              </w:rPr>
              <w:t>или двустранни споразумения</w:t>
            </w:r>
            <w:r>
              <w:t xml:space="preserve">, да ограничат видимостта на профилите на регистрираните търсещи работа лица от трети държави, които са получили „карта за участие в партньорство на ЕС в подкрепа на талантите“, за максимален период от </w:t>
            </w:r>
            <w:r>
              <w:rPr>
                <w:b/>
                <w:i/>
              </w:rPr>
              <w:t>6 месеца</w:t>
            </w:r>
            <w:r>
              <w:t xml:space="preserve"> до работодатели, установени в </w:t>
            </w:r>
            <w:r>
              <w:rPr>
                <w:b/>
                <w:i/>
              </w:rPr>
              <w:t>съответните</w:t>
            </w:r>
            <w:r>
              <w:t> държави членки. Секретариатът на резерва на ЕС от таланти публикува информация относно прилагането на настоящия параграф на ИТ платформата на резерва на ЕС от таланти.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546</w:t>
      </w:r>
      <w:r>
        <w:rPr>
          <w:rStyle w:val="HideTWBExt"/>
        </w:rPr>
        <w:t>&lt;/NumAm&gt;</w:t>
      </w:r>
    </w:p>
    <w:p>
      <w:pPr>
        <w:pStyle w:val="NormalBold"/>
      </w:pPr>
      <w:r>
        <w:rPr>
          <w:rStyle w:val="HideTWBExt"/>
          <w:b w:val="0"/>
        </w:rPr>
        <w:t>&lt;RepeatBlock-By&gt;</w:t>
      </w:r>
      <w:r>
        <w:rPr>
          <w:rStyle w:val="HideTWBExt"/>
          <w:b w:val="0"/>
        </w:rPr>
        <w:t>&lt;Members&gt;</w:t>
      </w:r>
      <w:r>
        <w:t>Хавиер Морено Санчес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12 – параграф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Списъкът на третите държави и участващите държави членки, които са част от партньорство в подкрепа на талантите, както и съответните професии, обхванати от него, се публикуват на ИТ платформата на резерва на ЕС от таланти.</w:t>
            </w:r>
          </w:p>
        </w:tc>
        <w:tc>
          <w:tcPr>
            <w:tcW w:w="4876" w:type="dxa"/>
            <w:tcBorders>
              <w:top w:val="nil"/>
              <w:left w:val="nil"/>
              <w:bottom w:val="nil"/>
              <w:right w:val="nil"/>
            </w:tcBorders>
          </w:tcPr>
          <w:p>
            <w:pPr>
              <w:pStyle w:val="Normal6a"/>
            </w:pPr>
            <w:r>
              <w:t>7.</w:t>
            </w:r>
            <w:r>
              <w:tab/>
            </w:r>
            <w:r>
              <w:t xml:space="preserve">Списъкът на третите държави и участващите държави членки, които са част от партньорство </w:t>
            </w:r>
            <w:r>
              <w:rPr>
                <w:b/>
                <w:i/>
              </w:rPr>
              <w:t>на ЕС</w:t>
            </w:r>
            <w:r>
              <w:t xml:space="preserve"> в подкрепа на талантите, както и съответните професии, обхванати от него, се публикуват на ИТ платформата на резерва на ЕС от таланти.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547</w:t>
      </w:r>
      <w:r>
        <w:rPr>
          <w:rStyle w:val="HideTWBExt"/>
        </w:rPr>
        <w:t>&lt;/NumAm&gt;</w:t>
      </w:r>
    </w:p>
    <w:p>
      <w:pPr>
        <w:pStyle w:val="NormalBold"/>
      </w:pPr>
      <w:r>
        <w:rPr>
          <w:rStyle w:val="HideTWBExt"/>
          <w:b w:val="0"/>
        </w:rPr>
        <w:t>&lt;RepeatBlock-By&gt;</w:t>
      </w:r>
      <w:r>
        <w:rPr>
          <w:rStyle w:val="HideTWBExt"/>
          <w:b w:val="0"/>
        </w:rPr>
        <w:t>&lt;Members&gt;</w:t>
      </w:r>
      <w:r>
        <w:t>Лена Дюпон, Томас Тобé, Алис Теодореску Мове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12 – параграф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Списъкът на третите държави и участващите държави членки, които са част от партньорство в подкрепа на талантите, както и съответните професии, обхванати от него, се публикуват на ИТ платформата на резерва на ЕС от таланти.</w:t>
            </w:r>
          </w:p>
        </w:tc>
        <w:tc>
          <w:tcPr>
            <w:tcW w:w="4876" w:type="dxa"/>
            <w:tcBorders>
              <w:top w:val="nil"/>
              <w:left w:val="nil"/>
              <w:bottom w:val="nil"/>
              <w:right w:val="nil"/>
            </w:tcBorders>
          </w:tcPr>
          <w:p>
            <w:pPr>
              <w:pStyle w:val="Normal6a"/>
            </w:pPr>
            <w:r>
              <w:t>7.</w:t>
            </w:r>
            <w:r>
              <w:tab/>
            </w:r>
            <w:r>
              <w:t xml:space="preserve">Списъкът на третите държави и участващите държави членки, които са част от партньорство </w:t>
            </w:r>
            <w:r>
              <w:rPr>
                <w:b/>
                <w:i/>
              </w:rPr>
              <w:t>на ЕС</w:t>
            </w:r>
            <w:r>
              <w:t xml:space="preserve"> в подкрепа на талантите, както и съответните професии, обхванати от него, се публикуват на ИТ платформата на резерва на ЕС от таланти.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548</w:t>
      </w:r>
      <w:r>
        <w:rPr>
          <w:rStyle w:val="HideTWBExt"/>
        </w:rPr>
        <w:t>&lt;/NumAm&gt;</w:t>
      </w:r>
    </w:p>
    <w:p>
      <w:pPr>
        <w:pStyle w:val="NormalBold"/>
      </w:pPr>
      <w:r>
        <w:rPr>
          <w:rStyle w:val="HideTWBExt"/>
          <w:b w:val="0"/>
        </w:rPr>
        <w:t>&lt;RepeatBlock-By&gt;</w:t>
      </w:r>
      <w:r>
        <w:rPr>
          <w:rStyle w:val="HideTWBExt"/>
          <w:b w:val="0"/>
        </w:rPr>
        <w:t>&lt;Members&gt;</w:t>
      </w:r>
      <w:r>
        <w:t>Ян-Кристоф Йотен, Абир Ал-Сахлани, Луция Яр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12 – параграф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Списъкът на третите държави и </w:t>
            </w:r>
            <w:r>
              <w:rPr>
                <w:b/>
                <w:i/>
              </w:rPr>
              <w:t>участващите държави</w:t>
            </w:r>
            <w:r>
              <w:t xml:space="preserve"> членки, които са част от партньорство в подкрепа на талантите, както и съответните професии, обхванати от него, се публикуват на ИТ платформата на резерва на ЕС от таланти.</w:t>
            </w:r>
          </w:p>
        </w:tc>
        <w:tc>
          <w:tcPr>
            <w:tcW w:w="4876" w:type="dxa"/>
            <w:tcBorders>
              <w:top w:val="nil"/>
              <w:left w:val="nil"/>
              <w:bottom w:val="nil"/>
              <w:right w:val="nil"/>
            </w:tcBorders>
          </w:tcPr>
          <w:p>
            <w:pPr>
              <w:pStyle w:val="Normal6a"/>
            </w:pPr>
            <w:r>
              <w:t>7.</w:t>
            </w:r>
            <w:r>
              <w:tab/>
            </w:r>
            <w:r>
              <w:t xml:space="preserve">Списъкът на третите държави и </w:t>
            </w:r>
            <w:r>
              <w:rPr>
                <w:b/>
                <w:i/>
              </w:rPr>
              <w:t>държавите</w:t>
            </w:r>
            <w:r>
              <w:t xml:space="preserve"> членки, които са част от партньорство в подкрепа на талантите, както и съответните професии, обхванати от него, се публикуват на ИТ платформата на резерва на ЕС от таланти.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549</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13 – заглавие</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Участие на работодателите в резерва на ЕС от таланти</w:t>
            </w:r>
          </w:p>
        </w:tc>
        <w:tc>
          <w:tcPr>
            <w:tcW w:w="4876" w:type="dxa"/>
            <w:tcBorders>
              <w:top w:val="nil"/>
              <w:left w:val="nil"/>
              <w:bottom w:val="nil"/>
              <w:right w:val="nil"/>
            </w:tcBorders>
          </w:tcPr>
          <w:p>
            <w:pPr>
              <w:pStyle w:val="Normal6a"/>
            </w:pPr>
            <w:r>
              <w:t xml:space="preserve">Участие </w:t>
            </w:r>
            <w:r>
              <w:rPr>
                <w:b/>
                <w:i/>
              </w:rPr>
              <w:t>и проверка</w:t>
            </w:r>
            <w:r>
              <w:t xml:space="preserve"> на работодателите </w:t>
            </w:r>
            <w:r>
              <w:rPr>
                <w:b/>
                <w:i/>
              </w:rPr>
              <w:t>и посредниците</w:t>
            </w:r>
            <w:r>
              <w:t xml:space="preserve"> в резерва на ЕС от таланти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550</w:t>
      </w:r>
      <w:r>
        <w:rPr>
          <w:rStyle w:val="HideTWBExt"/>
        </w:rPr>
        <w:t>&lt;/NumAm&gt;</w:t>
      </w:r>
    </w:p>
    <w:p>
      <w:pPr>
        <w:pStyle w:val="NormalBold"/>
      </w:pPr>
      <w:r>
        <w:rPr>
          <w:rStyle w:val="HideTWBExt"/>
          <w:b w:val="0"/>
        </w:rPr>
        <w:t>&lt;RepeatBlock-By&gt;</w:t>
      </w:r>
      <w:r>
        <w:rPr>
          <w:rStyle w:val="HideTWBExt"/>
          <w:b w:val="0"/>
        </w:rPr>
        <w:t>&lt;Members&gt;</w:t>
      </w:r>
      <w:r>
        <w:t>Хавиер Морено Санчес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13 – заглавие</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Участие на работодателите в резерва на ЕС от таланти</w:t>
            </w:r>
          </w:p>
        </w:tc>
        <w:tc>
          <w:tcPr>
            <w:tcW w:w="4876" w:type="dxa"/>
            <w:tcBorders>
              <w:top w:val="nil"/>
              <w:left w:val="nil"/>
              <w:bottom w:val="nil"/>
              <w:right w:val="nil"/>
            </w:tcBorders>
          </w:tcPr>
          <w:p>
            <w:pPr>
              <w:pStyle w:val="Normal6a"/>
            </w:pPr>
            <w:r>
              <w:rPr>
                <w:b/>
                <w:i/>
              </w:rPr>
              <w:t>Регистрация и</w:t>
            </w:r>
            <w:r>
              <w:t xml:space="preserve"> участие на работодателите в резерва на ЕС от таланти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551</w:t>
      </w:r>
      <w:r>
        <w:rPr>
          <w:rStyle w:val="HideTWBExt"/>
        </w:rPr>
        <w:t>&lt;/NumAm&gt;</w:t>
      </w:r>
    </w:p>
    <w:p>
      <w:pPr>
        <w:pStyle w:val="NormalBold"/>
      </w:pPr>
      <w:r>
        <w:rPr>
          <w:rStyle w:val="HideTWBExt"/>
          <w:b w:val="0"/>
        </w:rPr>
        <w:t>&lt;RepeatBlock-By&gt;</w:t>
      </w:r>
      <w:r>
        <w:rPr>
          <w:rStyle w:val="HideTWBExt"/>
          <w:b w:val="0"/>
        </w:rPr>
        <w:t>&lt;Members&gt;</w:t>
      </w:r>
      <w:r>
        <w:t>Пернандо Барена Арса</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13 – параграф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Работодателите, които </w:t>
            </w:r>
            <w:r>
              <w:rPr>
                <w:b/>
                <w:i/>
              </w:rPr>
              <w:t>се интересуват от участие</w:t>
            </w:r>
            <w:r>
              <w:t xml:space="preserve"> в резерва на ЕС от таланти, </w:t>
            </w:r>
            <w:r>
              <w:rPr>
                <w:b/>
                <w:i/>
              </w:rPr>
              <w:t>може да поискат от националното звено</w:t>
            </w:r>
            <w:r>
              <w:t xml:space="preserve"> за контакт </w:t>
            </w:r>
            <w:r>
              <w:rPr>
                <w:b/>
                <w:i/>
              </w:rPr>
              <w:t>на резерва на ЕС от таланти в държавата членка, в която са установени, да прехвърли техните свободни работни места на ИТ платформата на резерва на ЕС от таланти</w:t>
            </w:r>
            <w:r>
              <w:t>.</w:t>
            </w:r>
          </w:p>
        </w:tc>
        <w:tc>
          <w:tcPr>
            <w:tcW w:w="4876" w:type="dxa"/>
            <w:tcBorders>
              <w:top w:val="nil"/>
              <w:left w:val="nil"/>
              <w:bottom w:val="nil"/>
              <w:right w:val="nil"/>
            </w:tcBorders>
          </w:tcPr>
          <w:p>
            <w:pPr>
              <w:pStyle w:val="Normal6a"/>
            </w:pPr>
            <w:r>
              <w:t>1.</w:t>
            </w:r>
            <w:r>
              <w:tab/>
            </w:r>
            <w:r>
              <w:t xml:space="preserve">Работодателите, които </w:t>
            </w:r>
            <w:r>
              <w:rPr>
                <w:b/>
                <w:i/>
              </w:rPr>
              <w:t>са регистрирани</w:t>
            </w:r>
            <w:r>
              <w:t xml:space="preserve"> в резерва на ЕС от таланти, </w:t>
            </w:r>
            <w:r>
              <w:rPr>
                <w:b/>
                <w:i/>
              </w:rPr>
              <w:t>предоставят информация относно своето име, фамилия, данни</w:t>
            </w:r>
            <w:r>
              <w:t> за контакт</w:t>
            </w:r>
            <w:r>
              <w:rPr>
                <w:b/>
                <w:i/>
              </w:rPr>
              <w:t>, регистрационния номер на дружеството, сектора на дейност, описание на дейността на работодателя и подробно описание на свободното работно място, включително информация относно възнаграждението, мястото и вида на работата, изискванията за квалификация, основните задачи, вида и срока на договора, работното време, както и други приложими условия на труд и заетост</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552</w:t>
      </w:r>
      <w:r>
        <w:rPr>
          <w:rStyle w:val="HideTWBExt"/>
        </w:rPr>
        <w:t>&lt;/NumAm&gt;</w:t>
      </w:r>
    </w:p>
    <w:p>
      <w:pPr>
        <w:pStyle w:val="NormalBold"/>
      </w:pPr>
      <w:r>
        <w:rPr>
          <w:rStyle w:val="HideTWBExt"/>
          <w:b w:val="0"/>
        </w:rPr>
        <w:t>&lt;RepeatBlock-By&gt;</w:t>
      </w:r>
      <w:r>
        <w:rPr>
          <w:rStyle w:val="HideTWBExt"/>
          <w:b w:val="0"/>
        </w:rPr>
        <w:t>&lt;Members&gt;</w:t>
      </w:r>
      <w:r>
        <w:t>Лена Дюпон, Томас Тобé, Алис Теодореску Мове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13 – параграф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Работодателите, които се интересуват от участие в резерва на ЕС от таланти, може да поискат от националното звено за контакт на резерва на ЕС от таланти в държавата членка, в която са установени, да прехвърли техните свободни работни места на ИТ платформата на резерва на ЕС от таланти.</w:t>
            </w:r>
          </w:p>
        </w:tc>
        <w:tc>
          <w:tcPr>
            <w:tcW w:w="4876" w:type="dxa"/>
            <w:tcBorders>
              <w:top w:val="nil"/>
              <w:left w:val="nil"/>
              <w:bottom w:val="nil"/>
              <w:right w:val="nil"/>
            </w:tcBorders>
          </w:tcPr>
          <w:p>
            <w:pPr>
              <w:pStyle w:val="Normal6a"/>
            </w:pPr>
            <w:r>
              <w:t>1.</w:t>
            </w:r>
            <w:r>
              <w:tab/>
            </w:r>
            <w:r>
              <w:t xml:space="preserve">Работодателите, които се интересуват от участие в резерва на ЕС от таланти, може да поискат от националното звено за контакт на резерва на ЕС от таланти в държавата членка, в която са установени, да прехвърли техните свободни работни места на ИТ платформата на резерва на ЕС от таланти. </w:t>
            </w:r>
            <w:r>
              <w:rPr>
                <w:b/>
                <w:i/>
              </w:rPr>
              <w:t>Това искане се осъществява чрез допълнителна функция в рамките на съществуващите национални процедури за публикуване на обяви за работни места.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553</w:t>
      </w:r>
      <w:r>
        <w:rPr>
          <w:rStyle w:val="HideTWBExt"/>
        </w:rPr>
        <w:t>&lt;/NumAm&gt;</w:t>
      </w:r>
    </w:p>
    <w:p>
      <w:pPr>
        <w:pStyle w:val="NormalBold"/>
      </w:pPr>
      <w:r>
        <w:rPr>
          <w:rStyle w:val="HideTWBExt"/>
          <w:b w:val="0"/>
        </w:rPr>
        <w:t>&lt;RepeatBlock-By&gt;</w:t>
      </w:r>
      <w:r>
        <w:rPr>
          <w:rStyle w:val="HideTWBExt"/>
          <w:b w:val="0"/>
        </w:rPr>
        <w:t>&lt;Members&gt;</w:t>
      </w:r>
      <w:r>
        <w:t>Асита Канко</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13 – параграф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Работодателите, които се интересуват от участие в резерва на ЕС от таланти, може да поискат от националното звено за контакт на резерва на ЕС от таланти в държавата членка, в която са установени, да прехвърли техните свободни работни места на ИТ платформата на резерва на ЕС от таланти.</w:t>
            </w:r>
          </w:p>
        </w:tc>
        <w:tc>
          <w:tcPr>
            <w:tcW w:w="4876" w:type="dxa"/>
            <w:tcBorders>
              <w:top w:val="nil"/>
              <w:left w:val="nil"/>
              <w:bottom w:val="nil"/>
              <w:right w:val="nil"/>
            </w:tcBorders>
          </w:tcPr>
          <w:p>
            <w:pPr>
              <w:pStyle w:val="Normal6a"/>
            </w:pPr>
            <w:r>
              <w:t>1.</w:t>
            </w:r>
            <w:r>
              <w:tab/>
            </w:r>
            <w:r>
              <w:t xml:space="preserve">Работодателите, които се интересуват от участие в резерва на ЕС от таланти, може да поискат от националното звено за контакт на резерва на ЕС от таланти в държавата членка, в която са установени, да прехвърли техните свободни работни места </w:t>
            </w:r>
            <w:r>
              <w:rPr>
                <w:b/>
                <w:i/>
              </w:rPr>
              <w:t>от други платформи</w:t>
            </w:r>
            <w:r>
              <w:t xml:space="preserve"> на ИТ платформата на резерва на ЕС от таланти.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554</w:t>
      </w:r>
      <w:r>
        <w:rPr>
          <w:rStyle w:val="HideTWBExt"/>
        </w:rPr>
        <w:t>&lt;/NumAm&gt;</w:t>
      </w:r>
    </w:p>
    <w:p>
      <w:pPr>
        <w:pStyle w:val="NormalBold"/>
      </w:pPr>
      <w:r>
        <w:rPr>
          <w:rStyle w:val="HideTWBExt"/>
          <w:b w:val="0"/>
        </w:rPr>
        <w:t>&lt;RepeatBlock-By&gt;</w:t>
      </w:r>
      <w:r>
        <w:rPr>
          <w:rStyle w:val="HideTWBExt"/>
          <w:b w:val="0"/>
        </w:rPr>
        <w:t>&lt;Members&gt;</w:t>
      </w:r>
      <w:r>
        <w:t>Хавиер Морено Санчес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13 – параграф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Работодателите, които се интересуват от участие в резерва на ЕС от таланти, </w:t>
            </w:r>
            <w:r>
              <w:rPr>
                <w:b/>
                <w:i/>
              </w:rPr>
              <w:t>може да поискат</w:t>
            </w:r>
            <w:r>
              <w:t xml:space="preserve"> от националното звено за контакт на резерва на ЕС от таланти в държавата членка, в която са установени, да прехвърли </w:t>
            </w:r>
            <w:r>
              <w:rPr>
                <w:b/>
                <w:i/>
              </w:rPr>
              <w:t>техните</w:t>
            </w:r>
            <w:r>
              <w:t xml:space="preserve"> свободни работни места на ИТ платформата на резерва на ЕС от таланти.</w:t>
            </w:r>
          </w:p>
        </w:tc>
        <w:tc>
          <w:tcPr>
            <w:tcW w:w="4876" w:type="dxa"/>
            <w:tcBorders>
              <w:top w:val="nil"/>
              <w:left w:val="nil"/>
              <w:bottom w:val="nil"/>
              <w:right w:val="nil"/>
            </w:tcBorders>
          </w:tcPr>
          <w:p>
            <w:pPr>
              <w:pStyle w:val="Normal6a"/>
            </w:pPr>
            <w:r>
              <w:t>1.</w:t>
            </w:r>
            <w:r>
              <w:tab/>
            </w:r>
            <w:r>
              <w:t xml:space="preserve">Работодателите, които се интересуват от участие в резерва на ЕС от таланти, </w:t>
            </w:r>
            <w:r>
              <w:rPr>
                <w:b/>
                <w:i/>
              </w:rPr>
              <w:t>изискват</w:t>
            </w:r>
            <w:r>
              <w:t xml:space="preserve"> от националното звено за контакт на резерва на ЕС от таланти в държавата членка, в която са установени, да прехвърли </w:t>
            </w:r>
            <w:r>
              <w:rPr>
                <w:b/>
                <w:i/>
              </w:rPr>
              <w:t>техния профил и</w:t>
            </w:r>
            <w:r>
              <w:t xml:space="preserve"> свободни работни места на ИТ платформата на резерва на ЕС от таланти.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555</w:t>
      </w:r>
      <w:r>
        <w:rPr>
          <w:rStyle w:val="HideTWBExt"/>
        </w:rPr>
        <w:t>&lt;/NumAm&gt;</w:t>
      </w:r>
    </w:p>
    <w:p>
      <w:pPr>
        <w:pStyle w:val="NormalBold"/>
      </w:pPr>
      <w:r>
        <w:rPr>
          <w:rStyle w:val="HideTWBExt"/>
          <w:b w:val="0"/>
        </w:rPr>
        <w:t>&lt;RepeatBlock-By&gt;</w:t>
      </w:r>
      <w:r>
        <w:rPr>
          <w:rStyle w:val="HideTWBExt"/>
          <w:b w:val="0"/>
        </w:rPr>
        <w:t>&lt;Members&gt;</w:t>
      </w:r>
      <w:r>
        <w:t>Ян-Кристоф Йотен, Абир Ал-Сахлани, Луция Яр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13 – параграф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Работодателите, които се интересуват от участие в резерва на ЕС от таланти, </w:t>
            </w:r>
            <w:r>
              <w:rPr>
                <w:b/>
                <w:i/>
              </w:rPr>
              <w:t>може да поискат от националното звено за контакт</w:t>
            </w:r>
            <w:r>
              <w:t xml:space="preserve"> на резерва на ЕС от таланти </w:t>
            </w:r>
            <w:r>
              <w:rPr>
                <w:b/>
                <w:i/>
              </w:rPr>
              <w:t>в държавата членка</w:t>
            </w:r>
            <w:r>
              <w:t xml:space="preserve">, </w:t>
            </w:r>
            <w:r>
              <w:rPr>
                <w:b/>
                <w:i/>
              </w:rPr>
              <w:t>в която са установени, да прехвърли техните свободни работни места на ИТ платформата на резерва на ЕС от таланти</w:t>
            </w:r>
            <w:r>
              <w:t>.</w:t>
            </w:r>
          </w:p>
        </w:tc>
        <w:tc>
          <w:tcPr>
            <w:tcW w:w="4876" w:type="dxa"/>
            <w:tcBorders>
              <w:top w:val="nil"/>
              <w:left w:val="nil"/>
              <w:bottom w:val="nil"/>
              <w:right w:val="nil"/>
            </w:tcBorders>
          </w:tcPr>
          <w:p>
            <w:pPr>
              <w:pStyle w:val="Normal6a"/>
            </w:pPr>
            <w:r>
              <w:t>1.</w:t>
            </w:r>
            <w:r>
              <w:tab/>
            </w:r>
            <w:r>
              <w:t xml:space="preserve">Работодателите, които се интересуват от участие в резерва на ЕС от таланти, </w:t>
            </w:r>
            <w:r>
              <w:rPr>
                <w:b/>
                <w:i/>
              </w:rPr>
              <w:t>могат да създадат профил на ИТ платформата</w:t>
            </w:r>
            <w:r>
              <w:t xml:space="preserve"> на резерва на ЕС от таланти</w:t>
            </w:r>
            <w:r>
              <w:rPr>
                <w:b/>
                <w:i/>
              </w:rPr>
              <w:t>, съдържащ информацията</w:t>
            </w:r>
            <w:r>
              <w:t xml:space="preserve">, </w:t>
            </w:r>
            <w:r>
              <w:rPr>
                <w:b/>
                <w:i/>
              </w:rPr>
              <w:t>посочена в член 6, параграф 3</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556</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13 – параграф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Работодателите, които се интересуват от участие в резерва на ЕС от таланти, </w:t>
            </w:r>
            <w:r>
              <w:rPr>
                <w:b/>
                <w:i/>
              </w:rPr>
              <w:t>може да поискат от националното звено за контакт</w:t>
            </w:r>
            <w:r>
              <w:t xml:space="preserve"> на резерва на ЕС от таланти </w:t>
            </w:r>
            <w:r>
              <w:rPr>
                <w:b/>
                <w:i/>
              </w:rPr>
              <w:t>в държавата членка, в която са установени, да прехвърли техните свободни работни места на ИТ платформата на резерва на ЕС от таланти</w:t>
            </w:r>
            <w:r>
              <w:t>.</w:t>
            </w:r>
          </w:p>
        </w:tc>
        <w:tc>
          <w:tcPr>
            <w:tcW w:w="4876" w:type="dxa"/>
            <w:tcBorders>
              <w:top w:val="nil"/>
              <w:left w:val="nil"/>
              <w:bottom w:val="nil"/>
              <w:right w:val="nil"/>
            </w:tcBorders>
          </w:tcPr>
          <w:p>
            <w:pPr>
              <w:pStyle w:val="Normal6a"/>
            </w:pPr>
            <w:r>
              <w:t>1.</w:t>
            </w:r>
            <w:r>
              <w:tab/>
            </w:r>
            <w:r>
              <w:t xml:space="preserve">Работодателите </w:t>
            </w:r>
            <w:r>
              <w:rPr>
                <w:b/>
                <w:i/>
              </w:rPr>
              <w:t>и посредниците</w:t>
            </w:r>
            <w:r>
              <w:t xml:space="preserve">, които се интересуват от участие в резерва на ЕС от таланти, </w:t>
            </w:r>
            <w:r>
              <w:rPr>
                <w:b/>
                <w:i/>
              </w:rPr>
              <w:t>регистрират профил на ИТ платформата</w:t>
            </w:r>
            <w:r>
              <w:t xml:space="preserve"> на резерва на ЕС от таланти</w:t>
            </w:r>
            <w:r>
              <w:rPr>
                <w:b/>
                <w:i/>
              </w:rPr>
              <w:t>, като посочват необходимата информация съгласно член 6</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557</w:t>
      </w:r>
      <w:r>
        <w:rPr>
          <w:rStyle w:val="HideTWBExt"/>
        </w:rPr>
        <w:t>&lt;/NumAm&gt;</w:t>
      </w:r>
    </w:p>
    <w:p>
      <w:pPr>
        <w:pStyle w:val="NormalBold"/>
      </w:pPr>
      <w:r>
        <w:rPr>
          <w:rStyle w:val="HideTWBExt"/>
          <w:b w:val="0"/>
        </w:rPr>
        <w:t>&lt;RepeatBlock-By&gt;</w:t>
      </w:r>
      <w:r>
        <w:rPr>
          <w:rStyle w:val="HideTWBExt"/>
          <w:b w:val="0"/>
        </w:rPr>
        <w:t>&lt;Members&gt;</w:t>
      </w:r>
      <w:r>
        <w:t>Йоан Даниелсон, Евин Инсир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13 – параграф 1 а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Когато е целесъобразно, националните звена за контакт на резерва на ЕС от таланти, заедно със съответните национални органи и социални партньори, извършват проверки, свързани с работодателите, преди техният профил да бъде регистриран и активиран.</w:t>
            </w:r>
            <w:r>
              <w:t xml:space="preserve"> </w:t>
            </w:r>
            <w:r>
              <w:rPr>
                <w:b/>
                <w:i/>
              </w:rPr>
              <w:t>Тези проверки включват просрочени плащания на заплати, социалноосигурителни плащания и данъчни плащания, както и свидетелство за съдимост на физическото лице, което отговаря за предприятието.</w:t>
            </w:r>
            <w:r>
              <w:t xml:space="preserve"> </w:t>
            </w:r>
            <w:r>
              <w:rPr>
                <w:b/>
                <w:i/>
              </w:rPr>
              <w:t>Проверката се повтаря на всеки две години след регистрацията на работодателя.</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558</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13 – параграф 1 а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Националното звено за контакт на резерва на ЕС от таланти в държавата членка, в която е установен участващият работодател или посредник, отговаря за проверката на исканията и одобряването на достъпа до ИТ платформата на резерва на ЕС от таланти.</w:t>
            </w:r>
            <w:r>
              <w:t xml:space="preserve"> </w:t>
            </w:r>
            <w:r>
              <w:rPr>
                <w:b/>
                <w:i/>
              </w:rPr>
              <w:t>При изпълнението на тази функция националното звено за контакт си сътрудничи със съответните национални органи.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559</w:t>
      </w:r>
      <w:r>
        <w:rPr>
          <w:rStyle w:val="HideTWBExt"/>
        </w:rPr>
        <w:t>&lt;/NumAm&gt;</w:t>
      </w:r>
    </w:p>
    <w:p>
      <w:pPr>
        <w:pStyle w:val="NormalBold"/>
      </w:pPr>
      <w:r>
        <w:rPr>
          <w:rStyle w:val="HideTWBExt"/>
          <w:b w:val="0"/>
        </w:rPr>
        <w:t>&lt;RepeatBlock-By&gt;</w:t>
      </w:r>
      <w:r>
        <w:rPr>
          <w:rStyle w:val="HideTWBExt"/>
          <w:b w:val="0"/>
        </w:rPr>
        <w:t>&lt;Members&gt;</w:t>
      </w:r>
      <w:r>
        <w:t>Хавиер Морено Санчес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13 – параграф 1 а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Когато е целесъобразно, националните звена за контакт на резерва на ЕС от таланти, заедно със съответните национални органи, извършват проверки, свързани с работодателите, преди техният профил да бъде регистриран и активиран.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560</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13 – параграф 1 б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1б.</w:t>
            </w:r>
            <w:r>
              <w:tab/>
            </w:r>
            <w:r>
              <w:rPr>
                <w:b/>
                <w:i/>
              </w:rPr>
              <w:t>След одобрение от съответното национално звено за контакт участващите работодатели може да публикуват информация за свободните си работни места директно на ИТ платформата или да поискат от националното звено за контакт на резерва на ЕС от таланти в държавата членка, в която са установени, да прехвърли техните свободни работни места на ИТ платформата на резерва на ЕС от таланти.</w:t>
            </w:r>
            <w:r>
              <w:t xml:space="preserve"> </w:t>
            </w:r>
            <w:r>
              <w:rPr>
                <w:b/>
                <w:i/>
              </w:rPr>
              <w:t>Проверените посредници също може да прехвърлят свободни работни места на работодателите, след като се регистрират и се свържат с профила на работодателите в резерва на ЕС от таланти.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561</w:t>
      </w:r>
      <w:r>
        <w:rPr>
          <w:rStyle w:val="HideTWBExt"/>
        </w:rPr>
        <w:t>&lt;/NumAm&gt;</w:t>
      </w:r>
    </w:p>
    <w:p>
      <w:pPr>
        <w:pStyle w:val="NormalBold"/>
      </w:pPr>
      <w:r>
        <w:rPr>
          <w:rStyle w:val="HideTWBExt"/>
          <w:b w:val="0"/>
        </w:rPr>
        <w:t>&lt;RepeatBlock-By&gt;</w:t>
      </w:r>
      <w:r>
        <w:rPr>
          <w:rStyle w:val="HideTWBExt"/>
          <w:b w:val="0"/>
        </w:rPr>
        <w:t>&lt;Members&gt;</w:t>
      </w:r>
      <w:r>
        <w:t>Йоан Даниелсон, Евин Инсир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13 – параграф 1 б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1б.</w:t>
            </w:r>
            <w:r>
              <w:tab/>
            </w:r>
            <w:r>
              <w:rPr>
                <w:b/>
                <w:i/>
              </w:rPr>
              <w:t>Националните звена за контакт на резерва на ЕС от таланти може да начисляват на работодателите такса за прехвърлянето на свободни работни места на ИТ платформата на резерва на ЕС от таланти, за да покрият административните разходи, свързани с платформата и свързаните с нея услуги.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562</w:t>
      </w:r>
      <w:r>
        <w:rPr>
          <w:rStyle w:val="HideTWBExt"/>
        </w:rPr>
        <w:t>&lt;/NumAm&gt;</w:t>
      </w:r>
    </w:p>
    <w:p>
      <w:pPr>
        <w:pStyle w:val="NormalBold"/>
      </w:pPr>
      <w:r>
        <w:rPr>
          <w:rStyle w:val="HideTWBExt"/>
          <w:b w:val="0"/>
        </w:rPr>
        <w:t>&lt;RepeatBlock-By&gt;</w:t>
      </w:r>
      <w:r>
        <w:rPr>
          <w:rStyle w:val="HideTWBExt"/>
          <w:b w:val="0"/>
        </w:rPr>
        <w:t>&lt;Members&gt;</w:t>
      </w:r>
      <w:r>
        <w:t>Пернандо Барена Арса</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13 – параграф 2 – уводна част</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Националните звена за контакт на резерва на ЕС от таланти </w:t>
            </w:r>
            <w:r>
              <w:rPr>
                <w:b/>
                <w:i/>
              </w:rPr>
              <w:t>прехвърлят на ИТ платформата на резерва на ЕС от таланти свободните работни места, които</w:t>
            </w:r>
            <w:r>
              <w:t>:</w:t>
            </w:r>
          </w:p>
        </w:tc>
        <w:tc>
          <w:tcPr>
            <w:tcW w:w="4876" w:type="dxa"/>
            <w:tcBorders>
              <w:top w:val="nil"/>
              <w:left w:val="nil"/>
              <w:bottom w:val="nil"/>
              <w:right w:val="nil"/>
            </w:tcBorders>
          </w:tcPr>
          <w:p>
            <w:pPr>
              <w:pStyle w:val="Normal6a"/>
            </w:pPr>
            <w:r>
              <w:t>2.</w:t>
            </w:r>
            <w:r>
              <w:tab/>
            </w:r>
            <w:r>
              <w:t>Националните звена за контакт на резерва на ЕС от таланти:</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а) координират действията си със съответните национални органи, когато това е целесъобразно, за да проверяват и проучват регистрираните работодатели, преди техният профил да бъде активиран.</w:t>
            </w:r>
            <w:r>
              <w:rPr>
                <w:b/>
                <w:i/>
              </w:rPr>
              <w:t>Това следва да включва проверка за просрочени плащания на заплати, социални осигуровки и данъци, подадени жалби срещу работодателя, достатъчно средства за покриване на задълженията към служителите в случай на несъстоятелност, както и проверка на свидетелството за съдимост на физическото(ите) лице(а), което (които) отговаря(т) за дружеството.</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б) прехвърлят на ИТ платформата на резерва на ЕС от таланти свободните работни места, които са отворени за наемане на търсещи работа лица от трети държави в съответствие с принципа на предпочитание на граждани на Съюза, когато това е приложимо съгласно националното право, или свободните работни места, които са от значение за дадено партньорство в подкрепа на талантите;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563</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13 – параграф 2 – уводна част</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rPr>
                <w:b/>
                <w:i/>
              </w:rPr>
              <w:t>Националните звена за контакт</w:t>
            </w:r>
            <w:r>
              <w:t xml:space="preserve"> на резерва на ЕС от таланти </w:t>
            </w:r>
            <w:r>
              <w:rPr>
                <w:b/>
                <w:i/>
              </w:rPr>
              <w:t>прехвърлят на ИТ платформата на резерва на ЕС от таланти свободните работни места, които:</w:t>
            </w:r>
          </w:p>
        </w:tc>
        <w:tc>
          <w:tcPr>
            <w:tcW w:w="4876" w:type="dxa"/>
            <w:tcBorders>
              <w:top w:val="nil"/>
              <w:left w:val="nil"/>
              <w:bottom w:val="nil"/>
              <w:right w:val="nil"/>
            </w:tcBorders>
          </w:tcPr>
          <w:p>
            <w:pPr>
              <w:pStyle w:val="Normal6a"/>
            </w:pPr>
            <w:r>
              <w:t>2.</w:t>
            </w:r>
            <w:r>
              <w:tab/>
            </w:r>
            <w:r>
              <w:rPr>
                <w:b/>
                <w:i/>
              </w:rPr>
              <w:t>Преди да качат свободно работно място на ИТ платформата</w:t>
            </w:r>
            <w:r>
              <w:t xml:space="preserve"> на резерва на ЕС от таланти</w:t>
            </w:r>
            <w:r>
              <w:rPr>
                <w:b/>
                <w:i/>
              </w:rPr>
              <w:t>, участващият работодател и посредниците декларират, че когато е приложимо, свободното работно място отговаря на всички национални критерии, необходими за отварянето му за наемане на търсещи работа лица от трети държави.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564</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13 – параграф 2 – буква 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а)</w:t>
            </w:r>
            <w:r>
              <w:tab/>
            </w:r>
            <w:r>
              <w:rPr>
                <w:b/>
                <w:i/>
              </w:rPr>
              <w:t>попадат в списъка на професиите с недостиг на работна ръка на общоевропейско равнище, посочен в член 14, и в националните корекции на списъка съгласно член 15, параграф 1, или в списъка на свободните работни места, които са от значение за дадено партньорство в подкрепа на талантите;</w:t>
            </w:r>
          </w:p>
        </w:tc>
        <w:tc>
          <w:tcPr>
            <w:tcW w:w="4876" w:type="dxa"/>
            <w:tcBorders>
              <w:top w:val="nil"/>
              <w:left w:val="nil"/>
              <w:bottom w:val="nil"/>
              <w:right w:val="nil"/>
            </w:tcBorders>
          </w:tcPr>
          <w:p>
            <w:pPr>
              <w:pStyle w:val="Normal6a"/>
            </w:pPr>
            <w:r>
              <w:rPr>
                <w:b/>
                <w:i/>
              </w:rPr>
              <w:t>заличава се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565</w:t>
      </w:r>
      <w:r>
        <w:rPr>
          <w:rStyle w:val="HideTWBExt"/>
        </w:rPr>
        <w:t>&lt;/NumAm&gt;</w:t>
      </w:r>
    </w:p>
    <w:p>
      <w:pPr>
        <w:pStyle w:val="NormalBold"/>
      </w:pPr>
      <w:r>
        <w:rPr>
          <w:rStyle w:val="HideTWBExt"/>
          <w:b w:val="0"/>
        </w:rPr>
        <w:t>&lt;RepeatBlock-By&gt;</w:t>
      </w:r>
      <w:r>
        <w:rPr>
          <w:rStyle w:val="HideTWBExt"/>
          <w:b w:val="0"/>
        </w:rPr>
        <w:t>&lt;Members&gt;</w:t>
      </w:r>
      <w:r>
        <w:t>Хавиер Морено Санчес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13 – параграф 2 – буква 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а</w:t>
            </w:r>
            <w:r>
              <w:t>)</w:t>
            </w:r>
            <w:r>
              <w:tab/>
            </w:r>
            <w:r>
              <w:t xml:space="preserve">попадат в списъка на професиите с недостиг на работна ръка на общоевропейско равнище, посочен в член 14, и в националните корекции на списъка съгласно член 15, параграф 1, или </w:t>
            </w:r>
            <w:r>
              <w:rPr>
                <w:b/>
                <w:i/>
              </w:rPr>
              <w:t>в списъка на</w:t>
            </w:r>
            <w:r>
              <w:t xml:space="preserve"> свободните работни места, които са от значение за дадено партньорство в подкрепа на талантите;</w:t>
            </w:r>
          </w:p>
        </w:tc>
        <w:tc>
          <w:tcPr>
            <w:tcW w:w="4876" w:type="dxa"/>
            <w:tcBorders>
              <w:top w:val="nil"/>
              <w:left w:val="nil"/>
              <w:bottom w:val="nil"/>
              <w:right w:val="nil"/>
            </w:tcBorders>
          </w:tcPr>
          <w:p>
            <w:pPr>
              <w:pStyle w:val="Normal6a"/>
            </w:pPr>
            <w:r>
              <w:rPr>
                <w:b/>
                <w:i/>
              </w:rPr>
              <w:t>a</w:t>
            </w:r>
            <w:r>
              <w:t>)</w:t>
            </w:r>
            <w:r>
              <w:tab/>
            </w:r>
            <w:r>
              <w:t xml:space="preserve">попадат в списъка на професиите с недостиг на работна ръка на общоевропейско равнище, посочен в член 14, и в националните корекции на списъка съгласно член 15, параграф 1, или свободните работни места, които са от значение за дадено партньорство </w:t>
            </w:r>
            <w:r>
              <w:rPr>
                <w:b/>
                <w:i/>
              </w:rPr>
              <w:t>на ЕС</w:t>
            </w:r>
            <w:r>
              <w:t xml:space="preserve"> в подкрепа на талантите </w:t>
            </w:r>
            <w:r>
              <w:rPr>
                <w:b/>
                <w:i/>
              </w:rPr>
              <w:t>и националните рамки за развиване и валидиране на умения в трета държава, включена на ИТ платформата на резерва на ЕС от таланти</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566</w:t>
      </w:r>
      <w:r>
        <w:rPr>
          <w:rStyle w:val="HideTWBExt"/>
        </w:rPr>
        <w:t>&lt;/NumAm&gt;</w:t>
      </w:r>
    </w:p>
    <w:p>
      <w:pPr>
        <w:pStyle w:val="NormalBold"/>
      </w:pPr>
      <w:r>
        <w:rPr>
          <w:rStyle w:val="HideTWBExt"/>
          <w:b w:val="0"/>
        </w:rPr>
        <w:t>&lt;RepeatBlock-By&gt;</w:t>
      </w:r>
      <w:r>
        <w:rPr>
          <w:rStyle w:val="HideTWBExt"/>
          <w:b w:val="0"/>
        </w:rPr>
        <w:t>&lt;Members&gt;</w:t>
      </w:r>
      <w:r>
        <w:t>Том Вандендрисе, Петра Щегер, Ярослав Бжох, Фабрис Леджери, Антонио Танжер Кореа,  Хорхе Бусаде Виялба, Марике Елерс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13 – параграф 2 – буква 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а</w:t>
            </w:r>
            <w:r>
              <w:t>)</w:t>
            </w:r>
            <w:r>
              <w:tab/>
            </w:r>
            <w:r>
              <w:t xml:space="preserve">попадат в </w:t>
            </w:r>
            <w:r>
              <w:rPr>
                <w:b/>
                <w:i/>
              </w:rPr>
              <w:t>списъка</w:t>
            </w:r>
            <w:r>
              <w:t xml:space="preserve"> на професиите с недостиг на работна ръка </w:t>
            </w:r>
            <w:r>
              <w:rPr>
                <w:b/>
                <w:i/>
              </w:rPr>
              <w:t>на общоевропейско равнище, посочен в член 14, и в националните корекции на списъка</w:t>
            </w:r>
            <w:r>
              <w:t xml:space="preserve"> съгласно член 15</w:t>
            </w:r>
            <w:r>
              <w:rPr>
                <w:b/>
                <w:i/>
              </w:rPr>
              <w:t>, параграф 1, или в списъка на</w:t>
            </w:r>
            <w:r>
              <w:t xml:space="preserve"> свободните работни места, които са от значение за дадено партньорство в подкрепа на талантите;</w:t>
            </w:r>
          </w:p>
        </w:tc>
        <w:tc>
          <w:tcPr>
            <w:tcW w:w="4876" w:type="dxa"/>
            <w:tcBorders>
              <w:top w:val="nil"/>
              <w:left w:val="nil"/>
              <w:bottom w:val="nil"/>
              <w:right w:val="nil"/>
            </w:tcBorders>
          </w:tcPr>
          <w:p>
            <w:pPr>
              <w:pStyle w:val="Normal6a"/>
            </w:pPr>
            <w:r>
              <w:rPr>
                <w:b/>
                <w:i/>
              </w:rPr>
              <w:t>a</w:t>
            </w:r>
            <w:r>
              <w:t>)</w:t>
            </w:r>
            <w:r>
              <w:tab/>
            </w:r>
            <w:r>
              <w:t>попадат в </w:t>
            </w:r>
            <w:r>
              <w:rPr>
                <w:b/>
                <w:i/>
              </w:rPr>
              <w:t>посочения в националното им приложение списък</w:t>
            </w:r>
            <w:r>
              <w:t xml:space="preserve"> на професиите с недостиг на работна ръка съгласно член 15 </w:t>
            </w:r>
            <w:r>
              <w:rPr>
                <w:b/>
                <w:i/>
              </w:rPr>
              <w:t>или</w:t>
            </w:r>
            <w:r>
              <w:t xml:space="preserve"> свободните работни места, които са от значение за дадено партньорство в подкрепа на талантите;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567</w:t>
      </w:r>
      <w:r>
        <w:rPr>
          <w:rStyle w:val="HideTWBExt"/>
        </w:rPr>
        <w:t>&lt;/NumAm&gt;</w:t>
      </w:r>
    </w:p>
    <w:p>
      <w:pPr>
        <w:pStyle w:val="NormalBold"/>
      </w:pPr>
      <w:r>
        <w:rPr>
          <w:rStyle w:val="HideTWBExt"/>
          <w:b w:val="0"/>
        </w:rPr>
        <w:t>&lt;RepeatBlock-By&gt;</w:t>
      </w:r>
      <w:r>
        <w:rPr>
          <w:rStyle w:val="HideTWBExt"/>
          <w:b w:val="0"/>
        </w:rPr>
        <w:t>&lt;Members&gt;</w:t>
      </w:r>
      <w:r>
        <w:t>Пернандо Барена Арса</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13 – параграф 2 – буква 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б)</w:t>
            </w:r>
            <w:r>
              <w:tab/>
            </w:r>
            <w:r>
              <w:rPr>
                <w:b/>
                <w:i/>
              </w:rPr>
              <w:t>са отворени за наемане на търсещи работа лица от трети държави в съответствие с принципа на предпочитане на граждани на Съюза, когато това е приложимо съгласно националното законодателство.</w:t>
            </w:r>
          </w:p>
        </w:tc>
        <w:tc>
          <w:tcPr>
            <w:tcW w:w="4876" w:type="dxa"/>
            <w:tcBorders>
              <w:top w:val="nil"/>
              <w:left w:val="nil"/>
              <w:bottom w:val="nil"/>
              <w:right w:val="nil"/>
            </w:tcBorders>
          </w:tcPr>
          <w:p>
            <w:pPr>
              <w:pStyle w:val="Normal6a"/>
            </w:pPr>
            <w:r>
              <w:rPr>
                <w:b/>
                <w:i/>
              </w:rPr>
              <w:t>заличава се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568</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13 – параграф 2 – буква 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б)</w:t>
            </w:r>
            <w:r>
              <w:tab/>
            </w:r>
            <w:r>
              <w:rPr>
                <w:b/>
                <w:i/>
              </w:rPr>
              <w:t>са отворени за наемане на търсещи работа лица от трети държави в съответствие с принципа на предпочитане на граждани на Съюза, когато това е приложимо съгласно националното законодателство.</w:t>
            </w:r>
          </w:p>
        </w:tc>
        <w:tc>
          <w:tcPr>
            <w:tcW w:w="4876" w:type="dxa"/>
            <w:tcBorders>
              <w:top w:val="nil"/>
              <w:left w:val="nil"/>
              <w:bottom w:val="nil"/>
              <w:right w:val="nil"/>
            </w:tcBorders>
          </w:tcPr>
          <w:p>
            <w:pPr>
              <w:pStyle w:val="Normal6a"/>
            </w:pPr>
            <w:r>
              <w:rPr>
                <w:b/>
                <w:i/>
              </w:rPr>
              <w:t>заличава се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569</w:t>
      </w:r>
      <w:r>
        <w:rPr>
          <w:rStyle w:val="HideTWBExt"/>
        </w:rPr>
        <w:t>&lt;/NumAm&gt;</w:t>
      </w:r>
    </w:p>
    <w:p>
      <w:pPr>
        <w:pStyle w:val="NormalBold"/>
      </w:pPr>
      <w:r>
        <w:rPr>
          <w:rStyle w:val="HideTWBExt"/>
          <w:b w:val="0"/>
        </w:rPr>
        <w:t>&lt;RepeatBlock-By&gt;</w:t>
      </w:r>
      <w:r>
        <w:rPr>
          <w:rStyle w:val="HideTWBExt"/>
          <w:b w:val="0"/>
        </w:rPr>
        <w:t>&lt;Members&gt;</w:t>
      </w:r>
      <w:r>
        <w:t>Хавиер Морено Санчес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13 – параграф 2 – буква 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б)</w:t>
            </w:r>
            <w:r>
              <w:tab/>
            </w:r>
            <w:r>
              <w:t xml:space="preserve">са отворени за наемане на търсещи работа лица от трети държави </w:t>
            </w:r>
            <w:r>
              <w:rPr>
                <w:b/>
                <w:i/>
              </w:rPr>
              <w:t>в съответствие с принципа на предпочитане на граждани на Съюза, когато това е приложимо съгласно националното законодателство</w:t>
            </w:r>
            <w:r>
              <w:t>.</w:t>
            </w:r>
          </w:p>
        </w:tc>
        <w:tc>
          <w:tcPr>
            <w:tcW w:w="4876" w:type="dxa"/>
            <w:tcBorders>
              <w:top w:val="nil"/>
              <w:left w:val="nil"/>
              <w:bottom w:val="nil"/>
              <w:right w:val="nil"/>
            </w:tcBorders>
          </w:tcPr>
          <w:p>
            <w:pPr>
              <w:pStyle w:val="Normal6a"/>
            </w:pPr>
            <w:r>
              <w:t>б)</w:t>
            </w:r>
            <w:r>
              <w:tab/>
            </w:r>
            <w:r>
              <w:t>са отворени за наемане на търсещи работа лица от трети държави.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570</w:t>
      </w:r>
      <w:r>
        <w:rPr>
          <w:rStyle w:val="HideTWBExt"/>
        </w:rPr>
        <w:t>&lt;/NumAm&gt;</w:t>
      </w:r>
    </w:p>
    <w:p>
      <w:pPr>
        <w:pStyle w:val="NormalBold"/>
      </w:pPr>
      <w:r>
        <w:rPr>
          <w:rStyle w:val="HideTWBExt"/>
          <w:b w:val="0"/>
        </w:rPr>
        <w:t>&lt;RepeatBlock-By&gt;</w:t>
      </w:r>
      <w:r>
        <w:rPr>
          <w:rStyle w:val="HideTWBExt"/>
          <w:b w:val="0"/>
        </w:rPr>
        <w:t>&lt;Members&gt;</w:t>
      </w:r>
      <w:r>
        <w:t>Ян-Кристоф Йотен, Абир Ал-Сахлани, Луция Яр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13 – параграф 2 – буква б a (нова)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ба)</w:t>
            </w:r>
            <w:r>
              <w:tab/>
            </w:r>
            <w:r>
              <w:rPr>
                <w:b/>
                <w:i/>
              </w:rPr>
              <w:t>работодателите от държавите — членки на ЕС, желаят да публикуват на ИТ платформата на резерва на ЕС от таланти, с освобождаване от принципа на предпочитание на гражданите на Съюза при ускорена имиграционна процедура;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571</w:t>
      </w:r>
      <w:r>
        <w:rPr>
          <w:rStyle w:val="HideTWBExt"/>
        </w:rPr>
        <w:t>&lt;/NumAm&gt;</w:t>
      </w:r>
    </w:p>
    <w:p>
      <w:pPr>
        <w:pStyle w:val="NormalBold"/>
      </w:pPr>
      <w:r>
        <w:rPr>
          <w:rStyle w:val="HideTWBExt"/>
          <w:b w:val="0"/>
        </w:rPr>
        <w:t>&lt;RepeatBlock-By&gt;</w:t>
      </w:r>
      <w:r>
        <w:rPr>
          <w:rStyle w:val="HideTWBExt"/>
          <w:b w:val="0"/>
        </w:rPr>
        <w:t>&lt;Members&gt;</w:t>
      </w:r>
      <w:r>
        <w:t>Йоан Даниелсон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13 – параграф 2 – буква б a (нова)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ба)</w:t>
            </w:r>
            <w:r>
              <w:tab/>
            </w:r>
            <w:r>
              <w:rPr>
                <w:b/>
                <w:i/>
              </w:rPr>
              <w:t>вече са публикувани в EURES за период от най-малко шест седмици, но все още са свободни.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572</w:t>
      </w:r>
      <w:r>
        <w:rPr>
          <w:rStyle w:val="HideTWBExt"/>
        </w:rPr>
        <w:t>&lt;/NumAm&gt;</w:t>
      </w:r>
    </w:p>
    <w:p>
      <w:pPr>
        <w:pStyle w:val="NormalBold"/>
      </w:pPr>
      <w:r>
        <w:rPr>
          <w:rStyle w:val="HideTWBExt"/>
          <w:b w:val="0"/>
        </w:rPr>
        <w:t>&lt;RepeatBlock-By&gt;</w:t>
      </w:r>
      <w:r>
        <w:rPr>
          <w:rStyle w:val="HideTWBExt"/>
          <w:b w:val="0"/>
        </w:rPr>
        <w:t>&lt;Members&gt;</w:t>
      </w:r>
      <w:r>
        <w:t>Ян-Кристоф Йотен, Абир Ал-Сахлани, Луция Яр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13 – параграф 3 – алинея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Работодателите, участващи в резерва на ЕС от таланти, спазват съответното право и съответните практики на Съюза и на държавите членки, за да осигурят защита на гражданите на трети държави срещу несправедливо наемане на работа и неподходящи условия на труд, както и срещу дискриминация. </w:t>
            </w:r>
            <w:r>
              <w:rPr>
                <w:b/>
                <w:i/>
              </w:rPr>
              <w:t>Участващите държави членки може да въведат допълнителни условия за участието на работодателите в резерва на ЕС от таланти, за да гарантират спазването на други съответни национални практики, колективни трудови договори и принципите и насоките, определени от Международната организация на труда, в съответствие с правото на Съюза.</w:t>
            </w:r>
          </w:p>
        </w:tc>
        <w:tc>
          <w:tcPr>
            <w:tcW w:w="4876" w:type="dxa"/>
            <w:tcBorders>
              <w:top w:val="nil"/>
              <w:left w:val="nil"/>
              <w:bottom w:val="nil"/>
              <w:right w:val="nil"/>
            </w:tcBorders>
          </w:tcPr>
          <w:p>
            <w:pPr>
              <w:pStyle w:val="Normal6a"/>
            </w:pPr>
            <w:r>
              <w:t>Работодателите, участващи в резерва на ЕС от таланти, спазват съответното право и съответните практики на Съюза и на държавите членки, за да осигурят защита на гражданите на трети държави срещу несправедливо наемане на работа и неподходящи условия на труд, както и срещу дискриминация.</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573</w:t>
      </w:r>
      <w:r>
        <w:rPr>
          <w:rStyle w:val="HideTWBExt"/>
        </w:rPr>
        <w:t>&lt;/NumAm&gt;</w:t>
      </w:r>
    </w:p>
    <w:p>
      <w:pPr>
        <w:pStyle w:val="NormalBold"/>
      </w:pPr>
      <w:r>
        <w:rPr>
          <w:rStyle w:val="HideTWBExt"/>
          <w:b w:val="0"/>
        </w:rPr>
        <w:t>&lt;RepeatBlock-By&gt;</w:t>
      </w:r>
      <w:r>
        <w:rPr>
          <w:rStyle w:val="HideTWBExt"/>
          <w:b w:val="0"/>
        </w:rPr>
        <w:t>&lt;Members&gt;</w:t>
      </w:r>
      <w:r>
        <w:t>Йоан Даниелсон, Евин Инсир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13 – параграф 3 – алинея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Работодателите, участващи в резерва на ЕС от таланти, спазват съответното право и съответните практики на Съюза и на държавите членки, за да осигурят защита на гражданите на трети държави срещу несправедливо наемане на работа и неподходящи условия на труд, както и срещу дискриминация. Участващите държави членки може да въведат допълнителни условия за участието на работодателите в резерва на ЕС от таланти, за да гарантират спазването на други съответни национални практики, колективни трудови договори и принципите и насоките, определени от Международната организация на труда, в съответствие с правото на Съюза.</w:t>
            </w:r>
          </w:p>
        </w:tc>
        <w:tc>
          <w:tcPr>
            <w:tcW w:w="4876" w:type="dxa"/>
            <w:tcBorders>
              <w:top w:val="nil"/>
              <w:left w:val="nil"/>
              <w:bottom w:val="nil"/>
              <w:right w:val="nil"/>
            </w:tcBorders>
          </w:tcPr>
          <w:p>
            <w:pPr>
              <w:pStyle w:val="Normal6a"/>
            </w:pPr>
            <w:r>
              <w:t xml:space="preserve">Работодателите, участващи в резерва на ЕС от таланти, спазват съответното право и съответните практики на Съюза и на държавите членки, </w:t>
            </w:r>
            <w:r>
              <w:rPr>
                <w:b/>
                <w:i/>
              </w:rPr>
              <w:t>включително приложимите колективни трудови договори,</w:t>
            </w:r>
            <w:r>
              <w:t xml:space="preserve"> за да осигурят защита на гражданите на трети държави срещу несправедливо наемане на работа и неподходящи условия на труд, както и срещу дискриминация. Участващите държави членки може да въведат допълнителни условия за участието на работодателите в резерва на ЕС от таланти, за да гарантират спазването на други съответни национални практики, колективни трудови договори и принципите и насоките, определени от Международната организация на труда, в съответствие с правото на Съюза.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574</w:t>
      </w:r>
      <w:r>
        <w:rPr>
          <w:rStyle w:val="HideTWBExt"/>
        </w:rPr>
        <w:t>&lt;/NumAm&gt;</w:t>
      </w:r>
    </w:p>
    <w:p>
      <w:pPr>
        <w:pStyle w:val="NormalBold"/>
      </w:pPr>
      <w:r>
        <w:rPr>
          <w:rStyle w:val="HideTWBExt"/>
          <w:b w:val="0"/>
        </w:rPr>
        <w:t>&lt;RepeatBlock-By&gt;</w:t>
      </w:r>
      <w:r>
        <w:rPr>
          <w:rStyle w:val="HideTWBExt"/>
          <w:b w:val="0"/>
        </w:rPr>
        <w:t>&lt;Members&gt;</w:t>
      </w:r>
      <w:r>
        <w:t>Хавиер Морено Санчес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13 – параграф 3 – алинея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Работодателите, участващи в резерва на ЕС от таланти, спазват съответното право и съответните практики на Съюза и на държавите членки, за да осигурят защита на гражданите на трети държави срещу несправедливо наемане на работа </w:t>
            </w:r>
            <w:r>
              <w:rPr>
                <w:b/>
                <w:i/>
              </w:rPr>
              <w:t>и</w:t>
            </w:r>
            <w:r>
              <w:t xml:space="preserve"> неподходящи условия на труд</w:t>
            </w:r>
            <w:r>
              <w:rPr>
                <w:b/>
                <w:i/>
              </w:rPr>
              <w:t>, както и срещу</w:t>
            </w:r>
            <w:r>
              <w:t xml:space="preserve"> дискриминация. Участващите държави членки може да въведат допълнителни условия за участието на работодателите в резерва на ЕС от таланти, за да гарантират спазването на други съответни национални практики, колективни трудови договори и принципите и насоките, определени от Международната организация на труда, в съответствие с правото на Съюза.</w:t>
            </w:r>
          </w:p>
        </w:tc>
        <w:tc>
          <w:tcPr>
            <w:tcW w:w="4876" w:type="dxa"/>
            <w:tcBorders>
              <w:top w:val="nil"/>
              <w:left w:val="nil"/>
              <w:bottom w:val="nil"/>
              <w:right w:val="nil"/>
            </w:tcBorders>
          </w:tcPr>
          <w:p>
            <w:pPr>
              <w:pStyle w:val="Normal6a"/>
            </w:pPr>
            <w:r>
              <w:t xml:space="preserve">Работодателите, участващи в резерва на ЕС от таланти, спазват съответното право и съответните практики на Съюза и на държавите членки, </w:t>
            </w:r>
            <w:r>
              <w:rPr>
                <w:b/>
                <w:i/>
              </w:rPr>
              <w:t>включително приложимите колективни трудови договори,</w:t>
            </w:r>
            <w:r>
              <w:t xml:space="preserve"> за да осигурят защита на гражданите на трети държави срещу несправедливо наемане на работа</w:t>
            </w:r>
            <w:r>
              <w:rPr>
                <w:b/>
                <w:i/>
              </w:rPr>
              <w:t>,</w:t>
            </w:r>
            <w:r>
              <w:t xml:space="preserve"> неподходящи условия на труд </w:t>
            </w:r>
            <w:r>
              <w:rPr>
                <w:b/>
                <w:i/>
              </w:rPr>
              <w:t>и</w:t>
            </w:r>
            <w:r>
              <w:t xml:space="preserve"> дискриминация. Участващите държави членки може да въведат допълнителни условия за </w:t>
            </w:r>
            <w:r>
              <w:rPr>
                <w:b/>
                <w:i/>
              </w:rPr>
              <w:t>регистрацията и</w:t>
            </w:r>
            <w:r>
              <w:t xml:space="preserve"> участието на работодателите в резерва на ЕС от таланти, за да гарантират спазването на други съответни национални практики, колективни трудови договори и принципите и насоките, определени от Международната организация на труда, в съответствие с правото на Съюза.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575</w:t>
      </w:r>
      <w:r>
        <w:rPr>
          <w:rStyle w:val="HideTWBExt"/>
        </w:rPr>
        <w:t>&lt;/NumAm&gt;</w:t>
      </w:r>
    </w:p>
    <w:p>
      <w:pPr>
        <w:pStyle w:val="NormalBold"/>
      </w:pPr>
      <w:r>
        <w:rPr>
          <w:rStyle w:val="HideTWBExt"/>
          <w:b w:val="0"/>
        </w:rPr>
        <w:t>&lt;RepeatBlock-By&gt;</w:t>
      </w:r>
      <w:r>
        <w:rPr>
          <w:rStyle w:val="HideTWBExt"/>
          <w:b w:val="0"/>
        </w:rPr>
        <w:t>&lt;Members&gt;</w:t>
      </w:r>
      <w:r>
        <w:t>Лена Дюпон, Томас Тобé, Алис Теодореску Мове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13 – параграф 3 – алинея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Работодателите, участващи в резерва на ЕС от таланти, спазват съответното право и съответните практики на Съюза и на държавите членки, за да осигурят защита на гражданите на трети държави срещу несправедливо наемане на работа и неподходящи условия на труд, както и срещу дискриминация. Участващите държави членки може да въведат допълнителни условия за участието на работодателите в резерва на ЕС от таланти, за да гарантират спазването на други съответни национални практики, колективни трудови договори и принципите и насоките, определени от Международната организация на труда, в съответствие с правото на Съюза.</w:t>
            </w:r>
          </w:p>
        </w:tc>
        <w:tc>
          <w:tcPr>
            <w:tcW w:w="4876" w:type="dxa"/>
            <w:tcBorders>
              <w:top w:val="nil"/>
              <w:left w:val="nil"/>
              <w:bottom w:val="nil"/>
              <w:right w:val="nil"/>
            </w:tcBorders>
          </w:tcPr>
          <w:p>
            <w:pPr>
              <w:pStyle w:val="Normal6a"/>
            </w:pPr>
            <w:r>
              <w:t xml:space="preserve">Работодателите, участващи в резерва на ЕС от таланти, спазват съответното право и съответните практики на Съюза и на държавите членки, за да осигурят защита на гражданите на трети държави срещу несправедливо наемане на работа и неподходящи условия на труд, както и срещу дискриминация. Участващите държави членки може да въведат допълнителни условия за участието на работодателите в резерва на ЕС от таланти, за да гарантират спазването на други съответни национални практики, </w:t>
            </w:r>
            <w:r>
              <w:rPr>
                <w:b/>
                <w:i/>
              </w:rPr>
              <w:t>включително други национални платформи за търсене на работа,</w:t>
            </w:r>
            <w:r>
              <w:t xml:space="preserve"> колективни трудови договори и принципите и насоките, определени от Международната организация на труда, в съответствие с правото на Съюза.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576</w:t>
      </w:r>
      <w:r>
        <w:rPr>
          <w:rStyle w:val="HideTWBExt"/>
        </w:rPr>
        <w:t>&lt;/NumAm&gt;</w:t>
      </w:r>
    </w:p>
    <w:p>
      <w:pPr>
        <w:pStyle w:val="NormalBold"/>
      </w:pPr>
      <w:r>
        <w:rPr>
          <w:rStyle w:val="HideTWBExt"/>
          <w:b w:val="0"/>
        </w:rPr>
        <w:t>&lt;RepeatBlock-By&gt;</w:t>
      </w:r>
      <w:r>
        <w:rPr>
          <w:rStyle w:val="HideTWBExt"/>
          <w:b w:val="0"/>
        </w:rPr>
        <w:t>&lt;Members&gt;</w:t>
      </w:r>
      <w:r>
        <w:t>Пернандо Барена Арса</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13 – параграф 3 – алинея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Работодателите, участващи в резерва на ЕС от таланти, спазват съответното право </w:t>
            </w:r>
            <w:r>
              <w:rPr>
                <w:b/>
                <w:i/>
              </w:rPr>
              <w:t>и съответните практики на Съюза и</w:t>
            </w:r>
            <w:r>
              <w:t xml:space="preserve"> на държавите членки, за да осигурят защита на гражданите на трети държави срещу несправедливо наемане на работа и неподходящи условия на труд, както и срещу дискриминация. Участващите държави членки може да въведат допълнителни условия за участието на работодателите в резерва на ЕС от таланти, за да гарантират спазването на други съответни национални практики, колективни трудови договори и принципите и насоките, определени от Международната организация на труда, в съответствие с правото на Съюза.</w:t>
            </w:r>
          </w:p>
        </w:tc>
        <w:tc>
          <w:tcPr>
            <w:tcW w:w="4876" w:type="dxa"/>
            <w:tcBorders>
              <w:top w:val="nil"/>
              <w:left w:val="nil"/>
              <w:bottom w:val="nil"/>
              <w:right w:val="nil"/>
            </w:tcBorders>
          </w:tcPr>
          <w:p>
            <w:pPr>
              <w:pStyle w:val="Normal6a"/>
            </w:pPr>
            <w:r>
              <w:t xml:space="preserve">Работодателите, участващи в резерва на ЕС от таланти, спазват съответното право </w:t>
            </w:r>
            <w:r>
              <w:rPr>
                <w:b/>
                <w:i/>
              </w:rPr>
              <w:t>на Съюза, колективните трудови договори и съответното трудово право и практики</w:t>
            </w:r>
            <w:r>
              <w:t xml:space="preserve"> на държавите членки, за да осигурят защита на гражданите на трети държави срещу несправедливо наемане на работа и неподходящи условия на труд, както и срещу дискриминация. Участващите държави членки може да въведат допълнителни условия за участието на работодателите в резерва на ЕС от таланти, за да гарантират спазването на други съответни национални практики, колективни трудови договори и принципите и насоките, определени от Международната организация на труда, в съответствие с правото на Съюза.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577</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13 – параграф 3 – алинея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Работодателите, участващи в резерва на ЕС от таланти, спазват съответното право и съответните практики на Съюза и на държавите членки, за да осигурят защита на гражданите на трети държави срещу несправедливо наемане на работа и неподходящи условия на труд, както и срещу дискриминация. </w:t>
            </w:r>
            <w:r>
              <w:rPr>
                <w:b/>
                <w:i/>
              </w:rPr>
              <w:t>Участващите държави</w:t>
            </w:r>
            <w:r>
              <w:t xml:space="preserve"> членки може да въведат допълнителни условия за участието на работодателите в резерва на ЕС от таланти, за да гарантират спазването на други съответни национални практики, колективни трудови договори и принципите и насоките, определени от Международната организация на труда, в съответствие с правото на Съюза.</w:t>
            </w:r>
          </w:p>
        </w:tc>
        <w:tc>
          <w:tcPr>
            <w:tcW w:w="4876" w:type="dxa"/>
            <w:tcBorders>
              <w:top w:val="nil"/>
              <w:left w:val="nil"/>
              <w:bottom w:val="nil"/>
              <w:right w:val="nil"/>
            </w:tcBorders>
          </w:tcPr>
          <w:p>
            <w:pPr>
              <w:pStyle w:val="Normal6a"/>
            </w:pPr>
            <w:r>
              <w:t xml:space="preserve">Работодателите </w:t>
            </w:r>
            <w:r>
              <w:rPr>
                <w:b/>
                <w:i/>
              </w:rPr>
              <w:t>и посредниците</w:t>
            </w:r>
            <w:r>
              <w:t xml:space="preserve">, участващи в резерва на ЕС от таланти, спазват съответното право и съответните практики на Съюза и на държавите членки, за да осигурят защита на гражданите на трети държави срещу несправедливо наемане на работа и неподходящи условия на труд, както и срещу дискриминация. </w:t>
            </w:r>
            <w:r>
              <w:rPr>
                <w:b/>
                <w:i/>
              </w:rPr>
              <w:t>Държавите</w:t>
            </w:r>
            <w:r>
              <w:t xml:space="preserve"> членки може да въведат допълнителни условия за участието на работодателите </w:t>
            </w:r>
            <w:r>
              <w:rPr>
                <w:b/>
                <w:i/>
              </w:rPr>
              <w:t>и посредниците</w:t>
            </w:r>
            <w:r>
              <w:t xml:space="preserve"> в резерва на ЕС от таланти, за да гарантират спазването на други съответни национални практики, колективни трудови договори и принципите и насоките, определени от Международната организация на труда, в съответствие с правото на Съюза.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578</w:t>
      </w:r>
      <w:r>
        <w:rPr>
          <w:rStyle w:val="HideTWBExt"/>
        </w:rPr>
        <w:t>&lt;/NumAm&gt;</w:t>
      </w:r>
    </w:p>
    <w:p>
      <w:pPr>
        <w:pStyle w:val="NormalBold"/>
      </w:pPr>
      <w:r>
        <w:rPr>
          <w:rStyle w:val="HideTWBExt"/>
          <w:b w:val="0"/>
        </w:rPr>
        <w:t>&lt;RepeatBlock-By&gt;</w:t>
      </w:r>
      <w:r>
        <w:rPr>
          <w:rStyle w:val="HideTWBExt"/>
          <w:b w:val="0"/>
        </w:rPr>
        <w:t>&lt;Members&gt;</w:t>
      </w:r>
      <w:r>
        <w:t>Асита Канко</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13 – параграф 3 – алинея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Работодателите, участващи в резерва на ЕС от таланти, спазват съответното право </w:t>
            </w:r>
            <w:r>
              <w:rPr>
                <w:b/>
                <w:i/>
              </w:rPr>
              <w:t>и съответните практики на Съюза и</w:t>
            </w:r>
            <w:r>
              <w:t xml:space="preserve"> на държавите членки, за да осигурят защита на гражданите на трети държави срещу несправедливо наемане на работа и неподходящи условия на труд, както и срещу дискриминация. Участващите държави членки може да въведат допълнителни условия за участието на работодателите в резерва на ЕС от таланти, за да гарантират спазването на други съответни национални практики, колективни трудови договори и принципите и насоките, определени от Международната организация на труда, в съответствие с правото на Съюза.</w:t>
            </w:r>
          </w:p>
        </w:tc>
        <w:tc>
          <w:tcPr>
            <w:tcW w:w="4876" w:type="dxa"/>
            <w:tcBorders>
              <w:top w:val="nil"/>
              <w:left w:val="nil"/>
              <w:bottom w:val="nil"/>
              <w:right w:val="nil"/>
            </w:tcBorders>
          </w:tcPr>
          <w:p>
            <w:pPr>
              <w:pStyle w:val="Normal6a"/>
            </w:pPr>
            <w:r>
              <w:t xml:space="preserve">Работодателите, участващи в резерва на ЕС от таланти, спазват съответното право </w:t>
            </w:r>
            <w:r>
              <w:rPr>
                <w:b/>
                <w:i/>
              </w:rPr>
              <w:t>на Съюза и съответното право и практики</w:t>
            </w:r>
            <w:r>
              <w:t> на държавите членки, за да осигурят защита на гражданите на трети държави срещу несправедливо наемане на работа и неподходящи условия на труд, както и срещу дискриминация. Участващите държави членки може да въведат допълнителни условия за участието на работодателите в резерва на ЕС от таланти, за да гарантират спазването на други съответни национални практики, колективни трудови договори и принципите и насоките, определени от Международната организация на труда, в съответствие с правото на Съюза.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579</w:t>
      </w:r>
      <w:r>
        <w:rPr>
          <w:rStyle w:val="HideTWBExt"/>
        </w:rPr>
        <w:t>&lt;/NumAm&gt;</w:t>
      </w:r>
    </w:p>
    <w:p>
      <w:pPr>
        <w:pStyle w:val="NormalBold"/>
      </w:pPr>
      <w:r>
        <w:rPr>
          <w:rStyle w:val="HideTWBExt"/>
          <w:b w:val="0"/>
        </w:rPr>
        <w:t>&lt;RepeatBlock-By&gt;</w:t>
      </w:r>
      <w:r>
        <w:rPr>
          <w:rStyle w:val="HideTWBExt"/>
          <w:b w:val="0"/>
        </w:rPr>
        <w:t>&lt;Members&gt;</w:t>
      </w:r>
      <w:r>
        <w:t>Хавиер Морено Санчес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13 – параграф 3 – алинея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Работодателите, участващи в резерва на ЕС от таланти, не могат да събират такси от регистрирани търсещи работа лица от трети държави за целите на наемането на работа.</w:t>
            </w:r>
          </w:p>
        </w:tc>
        <w:tc>
          <w:tcPr>
            <w:tcW w:w="4876" w:type="dxa"/>
            <w:tcBorders>
              <w:top w:val="nil"/>
              <w:left w:val="nil"/>
              <w:bottom w:val="nil"/>
              <w:right w:val="nil"/>
            </w:tcBorders>
          </w:tcPr>
          <w:p>
            <w:pPr>
              <w:pStyle w:val="Normal6a"/>
            </w:pPr>
            <w:r>
              <w:rPr>
                <w:b/>
                <w:i/>
              </w:rPr>
              <w:t>Използването на резерва на ЕС от таланти е безплатно за търсещите работа лица от трети държави.</w:t>
            </w:r>
            <w:r>
              <w:t xml:space="preserve"> Работодателите, участващи в резерва на ЕС от таланти, не могат да събират такси от регистрирани търсещи работа лица от трети държави за целите на наемането на работа.</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Работодателите на търсещи работа лица от трета държава, които въз основа на предложение за работа, направено чрез резерва на ЕС от таланти, подават заявление за разрешение за висококвалифицирана трудова заетост в съответствие с Директива (ЕС) 2021/1883, заплащат съответните такси, посочени в член 12 от същата директива.</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Работодателите на търсещи работа лица от трета държава, които въз основа на предложение за работа, направено чрез резерва на ЕС от таланти, подават заявление за единно разрешение за пребиваване и работа в съответствие с Директива (ЕС) 2024/1233, заплащат таксите, посочени в член 10 от същата директива.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580</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13 – параграф 3 – алинея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Работодателите, участващи в резерва на ЕС от таланти, не могат да събират такси от регистрирани търсещи работа лица от трети държави за целите на наемането на работа.</w:t>
            </w:r>
          </w:p>
        </w:tc>
        <w:tc>
          <w:tcPr>
            <w:tcW w:w="4876" w:type="dxa"/>
            <w:tcBorders>
              <w:top w:val="nil"/>
              <w:left w:val="nil"/>
              <w:bottom w:val="nil"/>
              <w:right w:val="nil"/>
            </w:tcBorders>
          </w:tcPr>
          <w:p>
            <w:pPr>
              <w:pStyle w:val="Normal6a"/>
            </w:pPr>
            <w:r>
              <w:t xml:space="preserve">Работодателите </w:t>
            </w:r>
            <w:r>
              <w:rPr>
                <w:b/>
                <w:i/>
              </w:rPr>
              <w:t>и посредниците</w:t>
            </w:r>
            <w:r>
              <w:t xml:space="preserve">, участващи в резерва на ЕС от таланти, не могат да събират </w:t>
            </w:r>
            <w:r>
              <w:rPr>
                <w:b/>
                <w:i/>
              </w:rPr>
              <w:t>никакви</w:t>
            </w:r>
            <w:r>
              <w:t xml:space="preserve"> такси </w:t>
            </w:r>
            <w:r>
              <w:rPr>
                <w:b/>
                <w:i/>
              </w:rPr>
              <w:t>или свързани с тях разходи</w:t>
            </w:r>
            <w:r>
              <w:t xml:space="preserve"> от регистрирани търсещи работа лица от трети държави за целите на наемането на работа. </w:t>
            </w:r>
            <w:r>
              <w:rPr>
                <w:b/>
                <w:i/>
              </w:rPr>
              <w:t>Когато таксата се заплаща от участващия работодател или от посредника, те нямат право да възстановяват тези плащания от гражданина на трета държава.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581</w:t>
      </w:r>
      <w:r>
        <w:rPr>
          <w:rStyle w:val="HideTWBExt"/>
        </w:rPr>
        <w:t>&lt;/NumAm&gt;</w:t>
      </w:r>
    </w:p>
    <w:p>
      <w:pPr>
        <w:pStyle w:val="NormalBold"/>
      </w:pPr>
      <w:r>
        <w:rPr>
          <w:rStyle w:val="HideTWBExt"/>
          <w:b w:val="0"/>
        </w:rPr>
        <w:t>&lt;RepeatBlock-By&gt;</w:t>
      </w:r>
      <w:r>
        <w:rPr>
          <w:rStyle w:val="HideTWBExt"/>
          <w:b w:val="0"/>
        </w:rPr>
        <w:t>&lt;Members&gt;</w:t>
      </w:r>
      <w:r>
        <w:t>Пернандо Барена Арса</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13 – параграф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Свободните работни места на работодателите, участващи в резерва на ЕС от таланти, са видими за регистрираните търсещи работа лица от трети държави на ИТ платформата на резерва на ЕС от таланти.</w:t>
            </w:r>
          </w:p>
        </w:tc>
        <w:tc>
          <w:tcPr>
            <w:tcW w:w="4876" w:type="dxa"/>
            <w:tcBorders>
              <w:top w:val="nil"/>
              <w:left w:val="nil"/>
              <w:bottom w:val="nil"/>
              <w:right w:val="nil"/>
            </w:tcBorders>
          </w:tcPr>
          <w:p>
            <w:pPr>
              <w:pStyle w:val="Normal6a"/>
            </w:pPr>
            <w:r>
              <w:t>4.</w:t>
            </w:r>
            <w:r>
              <w:tab/>
            </w:r>
            <w:r>
              <w:t xml:space="preserve">Свободните работни места на работодателите, участващи в резерва на ЕС от таланти, са видими за регистрираните търсещи работа лица от трети държави на ИТ платформата на резерва на ЕС от таланти. </w:t>
            </w:r>
            <w:r>
              <w:rPr>
                <w:b/>
                <w:i/>
              </w:rPr>
              <w:t>Свободните работни места, регистрирани в резерва на ЕС от таланти, включват името на работодателя, неговите данни за контакт, регистрационния номер на дружеството, сектора на дейност, описание на дейността на работодателя и подробно описание на свободното работно място, включително информация относно възнаграждението, мястото и вида на работата, изискванията за квалификация, основните задачи, вида и срока на договора, работното време, както и други приложими условия на труд и заетост.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582</w:t>
      </w:r>
      <w:r>
        <w:rPr>
          <w:rStyle w:val="HideTWBExt"/>
        </w:rPr>
        <w:t>&lt;/NumAm&gt;</w:t>
      </w:r>
    </w:p>
    <w:p>
      <w:pPr>
        <w:pStyle w:val="NormalBold"/>
      </w:pPr>
      <w:r>
        <w:rPr>
          <w:rStyle w:val="HideTWBExt"/>
          <w:b w:val="0"/>
        </w:rPr>
        <w:t>&lt;RepeatBlock-By&gt;</w:t>
      </w:r>
      <w:r>
        <w:rPr>
          <w:rStyle w:val="HideTWBExt"/>
          <w:b w:val="0"/>
        </w:rPr>
        <w:t>&lt;Members&gt;</w:t>
      </w:r>
      <w:r>
        <w:t>Хавиер Морено Санчес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13 – параграф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Свободните работни места на работодателите, участващи в резерва на ЕС от таланти, са видими за регистрираните търсещи работа лица от трети държави на ИТ платформата на резерва на ЕС от таланти.</w:t>
            </w:r>
          </w:p>
        </w:tc>
        <w:tc>
          <w:tcPr>
            <w:tcW w:w="4876" w:type="dxa"/>
            <w:tcBorders>
              <w:top w:val="nil"/>
              <w:left w:val="nil"/>
              <w:bottom w:val="nil"/>
              <w:right w:val="nil"/>
            </w:tcBorders>
          </w:tcPr>
          <w:p>
            <w:pPr>
              <w:pStyle w:val="Normal6a"/>
            </w:pPr>
            <w:r>
              <w:t>4.</w:t>
            </w:r>
            <w:r>
              <w:tab/>
            </w:r>
            <w:r>
              <w:t xml:space="preserve">Свободните работни места на работодателите, участващи в резерва на ЕС от таланти, са видими за регистрираните търсещи работа лица от трети държави на ИТ платформата на резерва на ЕС от таланти. </w:t>
            </w:r>
            <w:r>
              <w:rPr>
                <w:b/>
                <w:i/>
              </w:rPr>
              <w:t>Описанието на всяко свободно работно място следва да включва най-малкото информация относно обичайното място на работа, сектора на дейност, изискваната квалификация, основните задачи на работата, видът и продължителността на договора, възнаграждението, работното време и продължителността на работния ден, размерът на платения отпуск, търсения езиков профил, а когато е приложимо и други съответни условия на труд и заетост.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583</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13 – параграф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Свободните работни места на работодателите, участващи в резерва на ЕС от таланти, са видими за регистрираните търсещи работа лица от трети държави на ИТ платформата на резерва на ЕС от таланти.</w:t>
            </w:r>
          </w:p>
        </w:tc>
        <w:tc>
          <w:tcPr>
            <w:tcW w:w="4876" w:type="dxa"/>
            <w:tcBorders>
              <w:top w:val="nil"/>
              <w:left w:val="nil"/>
              <w:bottom w:val="nil"/>
              <w:right w:val="nil"/>
            </w:tcBorders>
          </w:tcPr>
          <w:p>
            <w:pPr>
              <w:pStyle w:val="Normal6a"/>
            </w:pPr>
            <w:r>
              <w:t>4.</w:t>
            </w:r>
            <w:r>
              <w:tab/>
            </w:r>
            <w:r>
              <w:t xml:space="preserve">Свободните работни места на работодателите </w:t>
            </w:r>
            <w:r>
              <w:rPr>
                <w:b/>
                <w:i/>
              </w:rPr>
              <w:t>и посредниците</w:t>
            </w:r>
            <w:r>
              <w:t>, участващи в резерва на ЕС от таланти, са видими за регистрираните търсещи работа лица от трети държави на ИТ платформата на резерва на ЕС от таланти.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584</w:t>
      </w:r>
      <w:r>
        <w:rPr>
          <w:rStyle w:val="HideTWBExt"/>
        </w:rPr>
        <w:t>&lt;/NumAm&gt;</w:t>
      </w:r>
    </w:p>
    <w:p>
      <w:pPr>
        <w:pStyle w:val="NormalBold"/>
      </w:pPr>
      <w:r>
        <w:rPr>
          <w:rStyle w:val="HideTWBExt"/>
          <w:b w:val="0"/>
        </w:rPr>
        <w:t>&lt;RepeatBlock-By&gt;</w:t>
      </w:r>
      <w:r>
        <w:rPr>
          <w:rStyle w:val="HideTWBExt"/>
          <w:b w:val="0"/>
        </w:rPr>
        <w:t>&lt;Members&gt;</w:t>
      </w:r>
      <w:r>
        <w:t>Лена Дюпон, Томас Тобé, Алис Теодореску Мове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13 – параграф 4 а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4а.</w:t>
            </w:r>
            <w:r>
              <w:tab/>
            </w:r>
            <w:r>
              <w:rPr>
                <w:b/>
                <w:i/>
              </w:rPr>
              <w:t>Участниците на пазара на труда получават автоматичен достъп до платформата веднага след като националните звена за контакт прехвърлят свободните им работни места в резерва на ЕС от таланти.</w:t>
            </w:r>
            <w:r>
              <w:t xml:space="preserve"> </w:t>
            </w:r>
            <w:r>
              <w:rPr>
                <w:b/>
                <w:i/>
              </w:rPr>
              <w:t>В случай на групи от дружества, дружеството, което очевидно има разрешение, получава достъп до резерва и за другите дружества от съответната група.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585</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13 – параграф 4 а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4а.</w:t>
            </w:r>
            <w:r>
              <w:tab/>
            </w:r>
            <w:r>
              <w:rPr>
                <w:b/>
                <w:i/>
              </w:rPr>
              <w:t>Всички свободни работни места са ясно свързани с работодател, който е регистриран на ИТ платформата на резерва на ЕС от таланти, и следва да съдържат информация най-малкото за мястото и вида на работата, продължителността на заетостта, работното време, заплатата, основните задачи и други съответни условия на труд.</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586</w:t>
      </w:r>
      <w:r>
        <w:rPr>
          <w:rStyle w:val="HideTWBExt"/>
        </w:rPr>
        <w:t>&lt;/NumAm&gt;</w:t>
      </w:r>
    </w:p>
    <w:p>
      <w:pPr>
        <w:pStyle w:val="NormalBold"/>
      </w:pPr>
      <w:r>
        <w:rPr>
          <w:rStyle w:val="HideTWBExt"/>
          <w:b w:val="0"/>
        </w:rPr>
        <w:t>&lt;RepeatBlock-By&gt;</w:t>
      </w:r>
      <w:r>
        <w:rPr>
          <w:rStyle w:val="HideTWBExt"/>
          <w:b w:val="0"/>
        </w:rPr>
        <w:t>&lt;Members&gt;</w:t>
      </w:r>
      <w:r>
        <w:t>Асита Канко</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13 – параграф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Работодателите, участващи в резерва на ЕС от таланти, посочват без неоправдано забавяне на ИТ платформата на резерва на ЕС от таланти, че са приключили успешно наемането на регистрирани търсещи работа лица от трети държави за дадено свободно работно място. </w:t>
            </w:r>
            <w:r>
              <w:rPr>
                <w:b/>
                <w:i/>
              </w:rPr>
              <w:t>Профилите на тези регистрирани търсещи работа лица и запълнените свободни работни места автоматично престават да бъдат видими на ИТ платформата на резерва на ЕС от таланти.</w:t>
            </w:r>
          </w:p>
        </w:tc>
        <w:tc>
          <w:tcPr>
            <w:tcW w:w="4876" w:type="dxa"/>
            <w:tcBorders>
              <w:top w:val="nil"/>
              <w:left w:val="nil"/>
              <w:bottom w:val="nil"/>
              <w:right w:val="nil"/>
            </w:tcBorders>
          </w:tcPr>
          <w:p>
            <w:pPr>
              <w:pStyle w:val="Normal6a"/>
            </w:pPr>
            <w:r>
              <w:t>5.</w:t>
            </w:r>
            <w:r>
              <w:tab/>
            </w:r>
            <w:r>
              <w:t>Работодателите, участващи в резерва на ЕС от таланти, посочват без неоправдано забавяне на ИТ платформата на резерва на ЕС от таланти, че са приключили успешно наемането на регистрирани търсещи работа лица от трети държави за дадено свободно работно място.</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Обосновка</w:t>
      </w:r>
      <w:r>
        <w:rPr>
          <w:rStyle w:val="HideTWBExt"/>
        </w:rPr>
        <w:t>&lt;/TitreJust&gt;</w:t>
      </w:r>
    </w:p>
    <w:p>
      <w:pPr>
        <w:pStyle w:val="AmJustText"/>
      </w:pPr>
      <w:r>
        <w:t>Премахването на профилите на регистрираните търсещи работа лица изглежда ненужно, тъй като те биха могли да бъдат потърсени от други работодатели.</w:t>
      </w:r>
      <w:r>
        <w:t xml:space="preserve"> </w:t>
      </w:r>
      <w:r>
        <w:t>Освен това работодателите често търсят повече от един служител за определени длъжности, така че може да искат да запазят свободното работно място онлайн за по-дълъг период от време.</w:t>
      </w:r>
    </w:p>
    <w:p>
      <w:r>
        <w:rPr>
          <w:rStyle w:val="HideTWBExt"/>
        </w:rPr>
        <w:t>&lt;/Amend&gt;</w:t>
      </w:r>
    </w:p>
    <w:p>
      <w:pPr>
        <w:pStyle w:val="AmNumberTabs"/>
      </w:pPr>
      <w:r>
        <w:rPr>
          <w:rStyle w:val="HideTWBExt"/>
        </w:rPr>
        <w:t>&lt;Amend&gt;</w:t>
      </w:r>
      <w:r>
        <w:t>Изменение</w:t>
      </w:r>
      <w:r>
        <w:tab/>
      </w:r>
      <w:r>
        <w:tab/>
      </w:r>
      <w:r>
        <w:rPr>
          <w:rStyle w:val="HideTWBExt"/>
        </w:rPr>
        <w:t>&lt;NumAm&gt;</w:t>
      </w:r>
      <w:r>
        <w:t>587</w:t>
      </w:r>
      <w:r>
        <w:rPr>
          <w:rStyle w:val="HideTWBExt"/>
        </w:rPr>
        <w:t>&lt;/NumAm&gt;</w:t>
      </w:r>
    </w:p>
    <w:p>
      <w:pPr>
        <w:pStyle w:val="NormalBold"/>
      </w:pPr>
      <w:r>
        <w:rPr>
          <w:rStyle w:val="HideTWBExt"/>
          <w:b w:val="0"/>
        </w:rPr>
        <w:t>&lt;RepeatBlock-By&gt;</w:t>
      </w:r>
      <w:r>
        <w:rPr>
          <w:rStyle w:val="HideTWBExt"/>
          <w:b w:val="0"/>
        </w:rPr>
        <w:t>&lt;Members&gt;</w:t>
      </w:r>
      <w:r>
        <w:t>Хавиер Морено Санчес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13 – параграф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Работодателите, участващи в резерва на ЕС от таланти, посочват без неоправдано забавяне на ИТ платформата на резерва на ЕС от таланти, че са приключили успешно наемането на регистрирани търсещи работа лица от трети държави за дадено свободно работно място. Профилите на тези регистрирани търсещи работа лица и запълнените свободни работни места автоматично престават да бъдат видими на ИТ платформата на резерва на ЕС от таланти.</w:t>
            </w:r>
          </w:p>
        </w:tc>
        <w:tc>
          <w:tcPr>
            <w:tcW w:w="4876" w:type="dxa"/>
            <w:tcBorders>
              <w:top w:val="nil"/>
              <w:left w:val="nil"/>
              <w:bottom w:val="nil"/>
              <w:right w:val="nil"/>
            </w:tcBorders>
          </w:tcPr>
          <w:p>
            <w:pPr>
              <w:pStyle w:val="Normal6a"/>
            </w:pPr>
            <w:r>
              <w:t>5.</w:t>
            </w:r>
            <w:r>
              <w:tab/>
            </w:r>
            <w:r>
              <w:t xml:space="preserve">Работодателите, участващи в резерва на ЕС от таланти, посочват без неоправдано забавяне на ИТ платформата на резерва на ЕС от таланти, че са </w:t>
            </w:r>
            <w:r>
              <w:rPr>
                <w:b/>
                <w:i/>
              </w:rPr>
              <w:t>започнали процес на набиране на персонал с търсещо работа лице, регистрирано на платформата, и че са</w:t>
            </w:r>
            <w:r>
              <w:t xml:space="preserve"> приключили успешно наемането на регистрирани търсещи работа лица от трети държави за дадено свободно работно място. Профилите на тези регистрирани търсещи работа лица и запълнените свободни работни места автоматично престават да бъдат видими на ИТ платформата на резерва на ЕС от таланти.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588</w:t>
      </w:r>
      <w:r>
        <w:rPr>
          <w:rStyle w:val="HideTWBExt"/>
        </w:rPr>
        <w:t>&lt;/NumAm&gt;</w:t>
      </w:r>
    </w:p>
    <w:p>
      <w:pPr>
        <w:pStyle w:val="NormalBold"/>
      </w:pPr>
      <w:r>
        <w:rPr>
          <w:rStyle w:val="HideTWBExt"/>
          <w:b w:val="0"/>
        </w:rPr>
        <w:t>&lt;RepeatBlock-By&gt;</w:t>
      </w:r>
      <w:r>
        <w:rPr>
          <w:rStyle w:val="HideTWBExt"/>
          <w:b w:val="0"/>
        </w:rPr>
        <w:t>&lt;Members&gt;</w:t>
      </w:r>
      <w:r>
        <w:t>Ян-Кристоф Йотен, Абир Ал-Сахлани, Луция Яр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13 – параграф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Работодателите, участващи в резерва на ЕС от таланти, посочват без неоправдано забавяне на ИТ платформата на резерва на ЕС от таланти, че са приключили успешно наемането </w:t>
            </w:r>
            <w:r>
              <w:rPr>
                <w:b/>
                <w:i/>
              </w:rPr>
              <w:t>на регистрирани търсещи работа лица от трети държави</w:t>
            </w:r>
            <w:r>
              <w:t xml:space="preserve"> за дадено свободно работно място. </w:t>
            </w:r>
            <w:r>
              <w:rPr>
                <w:b/>
                <w:i/>
              </w:rPr>
              <w:t>Профилите на тези регистрирани търсещи работа лица и</w:t>
            </w:r>
            <w:r>
              <w:t xml:space="preserve"> запълнените свободни работни места автоматично престават да бъдат видими на ИТ платформата на резерва на ЕС от таланти.</w:t>
            </w:r>
          </w:p>
        </w:tc>
        <w:tc>
          <w:tcPr>
            <w:tcW w:w="4876" w:type="dxa"/>
            <w:tcBorders>
              <w:top w:val="nil"/>
              <w:left w:val="nil"/>
              <w:bottom w:val="nil"/>
              <w:right w:val="nil"/>
            </w:tcBorders>
          </w:tcPr>
          <w:p>
            <w:pPr>
              <w:pStyle w:val="Normal6a"/>
            </w:pPr>
            <w:r>
              <w:t>5.</w:t>
            </w:r>
            <w:r>
              <w:tab/>
            </w:r>
            <w:r>
              <w:t>Работодателите, участващи в резерва на ЕС от таланти, посочват без неоправдано забавяне на ИТ платформата на резерва на ЕС от таланти, че са приключили успешно наемането за дадено свободно работно място. Запълнените свободни работни места автоматично престават да бъдат видими на ИТ платформата на резерва на ЕС от таланти.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589</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13 – параграф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Работодателите, участващи в резерва на ЕС от таланти, посочват без неоправдано забавяне на ИТ платформата на резерва на ЕС от таланти, че са приключили успешно наемането на регистрирани търсещи работа лица от трети държави за дадено свободно работно място. Профилите на тези регистрирани търсещи работа лица и запълнените свободни работни места автоматично престават да бъдат видими на ИТ платформата на резерва на ЕС от таланти.</w:t>
            </w:r>
          </w:p>
        </w:tc>
        <w:tc>
          <w:tcPr>
            <w:tcW w:w="4876" w:type="dxa"/>
            <w:tcBorders>
              <w:top w:val="nil"/>
              <w:left w:val="nil"/>
              <w:bottom w:val="nil"/>
              <w:right w:val="nil"/>
            </w:tcBorders>
          </w:tcPr>
          <w:p>
            <w:pPr>
              <w:pStyle w:val="Normal6a"/>
            </w:pPr>
            <w:r>
              <w:t>5.</w:t>
            </w:r>
            <w:r>
              <w:tab/>
            </w:r>
            <w:r>
              <w:t xml:space="preserve">Работодателите </w:t>
            </w:r>
            <w:r>
              <w:rPr>
                <w:b/>
                <w:i/>
              </w:rPr>
              <w:t>и посредниците</w:t>
            </w:r>
            <w:r>
              <w:t xml:space="preserve">, участващи в резерва на ЕС от таланти, посочват без неоправдано забавяне на ИТ платформата на резерва на ЕС от таланти </w:t>
            </w:r>
            <w:r>
              <w:rPr>
                <w:b/>
                <w:i/>
              </w:rPr>
              <w:t>и на националните звена за контакт</w:t>
            </w:r>
            <w:r>
              <w:t>, че са приключили успешно наемането на регистрирани търсещи работа лица от трети държави за дадено свободно работно място. Профилите на тези регистрирани търсещи работа лица и запълнените свободни работни места автоматично престават да бъдат видими на ИТ платформата на резерва на ЕС от таланти.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590</w:t>
      </w:r>
      <w:r>
        <w:rPr>
          <w:rStyle w:val="HideTWBExt"/>
        </w:rPr>
        <w:t>&lt;/NumAm&gt;</w:t>
      </w:r>
    </w:p>
    <w:p>
      <w:pPr>
        <w:pStyle w:val="NormalBold"/>
      </w:pPr>
      <w:r>
        <w:rPr>
          <w:rStyle w:val="HideTWBExt"/>
          <w:b w:val="0"/>
        </w:rPr>
        <w:t>&lt;RepeatBlock-By&gt;</w:t>
      </w:r>
      <w:r>
        <w:rPr>
          <w:rStyle w:val="HideTWBExt"/>
          <w:b w:val="0"/>
        </w:rPr>
        <w:t>&lt;Members&gt;</w:t>
      </w:r>
      <w:r>
        <w:t>Лена Дюпон, Томас Тобé, Алис Теодореску Мове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13 – параграф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rPr>
                <w:b/>
                <w:i/>
              </w:rPr>
              <w:t>Работодателите, участващи в</w:t>
            </w:r>
            <w:r>
              <w:t xml:space="preserve"> резерва на ЕС от таланти</w:t>
            </w:r>
            <w:r>
              <w:rPr>
                <w:b/>
                <w:i/>
              </w:rPr>
              <w:t>,</w:t>
            </w:r>
            <w:r>
              <w:t xml:space="preserve"> посочват без неоправдано забавяне на ИТ платформата на резерва на ЕС от таланти</w:t>
            </w:r>
            <w:r>
              <w:rPr>
                <w:b/>
                <w:i/>
              </w:rPr>
              <w:t>, че са приключили успешно</w:t>
            </w:r>
            <w:r>
              <w:t xml:space="preserve"> наемането на регистрирани търсещи работа лица от трети държави за дадено свободно работно място. Профилите на тези регистрирани търсещи работа лица и запълнените свободни работни места автоматично престават да бъдат видими на ИТ платформата на резерва на ЕС от таланти.</w:t>
            </w:r>
          </w:p>
        </w:tc>
        <w:tc>
          <w:tcPr>
            <w:tcW w:w="4876" w:type="dxa"/>
            <w:tcBorders>
              <w:top w:val="nil"/>
              <w:left w:val="nil"/>
              <w:bottom w:val="nil"/>
              <w:right w:val="nil"/>
            </w:tcBorders>
          </w:tcPr>
          <w:p>
            <w:pPr>
              <w:pStyle w:val="Normal6a"/>
            </w:pPr>
            <w:r>
              <w:t>5.</w:t>
            </w:r>
            <w:r>
              <w:tab/>
            </w:r>
            <w:r>
              <w:rPr>
                <w:b/>
                <w:i/>
              </w:rPr>
              <w:t>Националните звена за контакт на</w:t>
            </w:r>
            <w:r>
              <w:t xml:space="preserve"> резерва на ЕС от таланти посочват без неоправдано забавяне на ИТ платформата на резерва на ЕС от таланти </w:t>
            </w:r>
            <w:r>
              <w:rPr>
                <w:b/>
                <w:i/>
              </w:rPr>
              <w:t>успешното приключване на</w:t>
            </w:r>
            <w:r>
              <w:t xml:space="preserve"> наемането на регистрирани търсещи работа лица от трети държави за дадено свободно работно място. </w:t>
            </w:r>
            <w:r>
              <w:rPr>
                <w:b/>
                <w:i/>
              </w:rPr>
              <w:t>След това</w:t>
            </w:r>
            <w:r>
              <w:t xml:space="preserve"> профилите на тези регистрирани търсещи работа лица и запълнените свободни работни места автоматично престават да бъдат видими на ИТ платформата на резерва на ЕС от таланти.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591</w:t>
      </w:r>
      <w:r>
        <w:rPr>
          <w:rStyle w:val="HideTWBExt"/>
        </w:rPr>
        <w:t>&lt;/NumAm&gt;</w:t>
      </w:r>
    </w:p>
    <w:p>
      <w:pPr>
        <w:pStyle w:val="NormalBold"/>
      </w:pPr>
      <w:r>
        <w:rPr>
          <w:rStyle w:val="HideTWBExt"/>
          <w:b w:val="0"/>
        </w:rPr>
        <w:t>&lt;RepeatBlock-By&gt;</w:t>
      </w:r>
      <w:r>
        <w:rPr>
          <w:rStyle w:val="HideTWBExt"/>
          <w:b w:val="0"/>
        </w:rPr>
        <w:t>&lt;Members&gt;</w:t>
      </w:r>
      <w:r>
        <w:t>Ян-Кристоф Йотен, Абир Ал-Сахлани, Луция Яр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13 – параграф 5 а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5а.</w:t>
            </w:r>
            <w:r>
              <w:tab/>
            </w:r>
            <w:r>
              <w:rPr>
                <w:b/>
                <w:i/>
              </w:rPr>
              <w:t>Ако дадено свободно работно място е било успешно запълнено от регистрирано търсещо работа лице от трета държава, профилът на това търсещо работа лице автоматично престава да бъде видим на ИТ платформата на резерва на ЕС от таланти.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592</w:t>
      </w:r>
      <w:r>
        <w:rPr>
          <w:rStyle w:val="HideTWBExt"/>
        </w:rPr>
        <w:t>&lt;/NumAm&gt;</w:t>
      </w:r>
    </w:p>
    <w:p>
      <w:pPr>
        <w:pStyle w:val="NormalBold"/>
      </w:pPr>
      <w:r>
        <w:rPr>
          <w:rStyle w:val="HideTWBExt"/>
          <w:b w:val="0"/>
        </w:rPr>
        <w:t>&lt;RepeatBlock-By&gt;</w:t>
      </w:r>
      <w:r>
        <w:rPr>
          <w:rStyle w:val="HideTWBExt"/>
          <w:b w:val="0"/>
        </w:rPr>
        <w:t>&lt;Members&gt;</w:t>
      </w:r>
      <w:r>
        <w:t>Йоан Даниелсон, Евин Инсир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13 – параграф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Националните органи, отговарящи за съответното законодателство и съответните практики в участващите държави членки, незабавно информират националните звена за контакт на резерва на ЕС от таланти за всяко нарушение на разпоредбите на съответното законодателство и съответните практики, посочени в параграф 3, за целите на член 10, параграф 2, буква д).</w:t>
            </w:r>
          </w:p>
        </w:tc>
        <w:tc>
          <w:tcPr>
            <w:tcW w:w="4876" w:type="dxa"/>
            <w:tcBorders>
              <w:top w:val="nil"/>
              <w:left w:val="nil"/>
              <w:bottom w:val="nil"/>
              <w:right w:val="nil"/>
            </w:tcBorders>
          </w:tcPr>
          <w:p>
            <w:pPr>
              <w:pStyle w:val="Normal6a"/>
            </w:pPr>
            <w:r>
              <w:t>6.</w:t>
            </w:r>
            <w:r>
              <w:tab/>
            </w:r>
            <w:r>
              <w:t xml:space="preserve">Националните органи, отговарящи за съответното законодателство и съответните практики в участващите държави членки, незабавно информират националните звена за контакт на резерва на ЕС от таланти за всяко нарушение на разпоредбите на съответното законодателство и съответните практики, посочени в параграф 3, за целите на член 10, параграф 2, буква д). </w:t>
            </w:r>
            <w:r>
              <w:rPr>
                <w:b/>
                <w:i/>
              </w:rPr>
              <w:t>Националните звена за контакт на резерва на ЕС от таланти поддържат регистър на тези нарушения, за да не се допускат повече такива.</w:t>
            </w:r>
            <w:r>
              <w:t xml:space="preserve"> </w:t>
            </w:r>
            <w:r>
              <w:rPr>
                <w:b/>
                <w:i/>
              </w:rPr>
              <w:t>На работодателите, на които са наложени санкции за престъпни дейности или за нарушения на приложимите трудови стандарти или на съответното право или практика на Съюза или право или практика на държава членка, се отказва достъп до резерва на ЕС от таланти или достъпът им се спира временно за срок от пет години, считано от датата на решението за отказ или спиране на достъпа.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593</w:t>
      </w:r>
      <w:r>
        <w:rPr>
          <w:rStyle w:val="HideTWBExt"/>
        </w:rPr>
        <w:t>&lt;/NumAm&gt;</w:t>
      </w:r>
    </w:p>
    <w:p>
      <w:pPr>
        <w:pStyle w:val="NormalBold"/>
      </w:pPr>
      <w:r>
        <w:rPr>
          <w:rStyle w:val="HideTWBExt"/>
          <w:b w:val="0"/>
        </w:rPr>
        <w:t>&lt;RepeatBlock-By&gt;</w:t>
      </w:r>
      <w:r>
        <w:rPr>
          <w:rStyle w:val="HideTWBExt"/>
          <w:b w:val="0"/>
        </w:rPr>
        <w:t>&lt;Members&gt;</w:t>
      </w:r>
      <w:r>
        <w:t>Хавиер Морено Санчес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13 – параграф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Националните органи, отговарящи за съответното законодателство и съответните практики в участващите държави членки, незабавно информират националните звена за контакт на резерва на ЕС от таланти за всяко нарушение на разпоредбите на съответното законодателство и съответните практики, посочени в параграф 3, за целите на член 10, параграф 2, буква д).</w:t>
            </w:r>
          </w:p>
        </w:tc>
        <w:tc>
          <w:tcPr>
            <w:tcW w:w="4876" w:type="dxa"/>
            <w:tcBorders>
              <w:top w:val="nil"/>
              <w:left w:val="nil"/>
              <w:bottom w:val="nil"/>
              <w:right w:val="nil"/>
            </w:tcBorders>
          </w:tcPr>
          <w:p>
            <w:pPr>
              <w:pStyle w:val="Normal6a"/>
            </w:pPr>
            <w:r>
              <w:t>6.</w:t>
            </w:r>
            <w:r>
              <w:tab/>
            </w:r>
            <w:r>
              <w:t xml:space="preserve">Националните органи, отговарящи за съответното законодателство и съответните практики в участващите държави членки, незабавно информират националните звена за контакт на резерва на ЕС от таланти за всяко нарушение на разпоредбите на съответното законодателство и съответните практики, посочени в параграф 3, за целите на член 10, параграф 2, буква д). </w:t>
            </w:r>
            <w:r>
              <w:rPr>
                <w:b/>
                <w:i/>
              </w:rPr>
              <w:t>Националните звена за контакт на резерва на ЕС от таланти също поддържат регистър на тези нарушения, за да не се допуска многократното нарушаване на едни и същи разпоредби.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594</w:t>
      </w:r>
      <w:r>
        <w:rPr>
          <w:rStyle w:val="HideTWBExt"/>
        </w:rPr>
        <w:t>&lt;/NumAm&gt;</w:t>
      </w:r>
    </w:p>
    <w:p>
      <w:pPr>
        <w:pStyle w:val="NormalBold"/>
      </w:pPr>
      <w:r>
        <w:rPr>
          <w:rStyle w:val="HideTWBExt"/>
          <w:b w:val="0"/>
        </w:rPr>
        <w:t>&lt;RepeatBlock-By&gt;</w:t>
      </w:r>
      <w:r>
        <w:rPr>
          <w:rStyle w:val="HideTWBExt"/>
          <w:b w:val="0"/>
        </w:rPr>
        <w:t>&lt;Members&gt;</w:t>
      </w:r>
      <w:r>
        <w:t>Ян-Кристоф Йотен, Абир Ал-Сахлани, Луция Яр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13 – параграф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Националните органи, отговарящи за съответното законодателство и съответните практики в </w:t>
            </w:r>
            <w:r>
              <w:rPr>
                <w:b/>
                <w:i/>
              </w:rPr>
              <w:t>участващите държави</w:t>
            </w:r>
            <w:r>
              <w:t xml:space="preserve"> членки, незабавно информират националните звена за контакт на резерва на ЕС от таланти за всяко нарушение на разпоредбите на съответното законодателство и съответните практики, посочени в параграф 3, за целите на член 10, параграф 2, буква д).</w:t>
            </w:r>
          </w:p>
        </w:tc>
        <w:tc>
          <w:tcPr>
            <w:tcW w:w="4876" w:type="dxa"/>
            <w:tcBorders>
              <w:top w:val="nil"/>
              <w:left w:val="nil"/>
              <w:bottom w:val="nil"/>
              <w:right w:val="nil"/>
            </w:tcBorders>
          </w:tcPr>
          <w:p>
            <w:pPr>
              <w:pStyle w:val="Normal6a"/>
            </w:pPr>
            <w:r>
              <w:t>6.</w:t>
            </w:r>
            <w:r>
              <w:tab/>
            </w:r>
            <w:r>
              <w:t xml:space="preserve">Националните органи, отговарящи за съответното законодателство и съответните практики в </w:t>
            </w:r>
            <w:r>
              <w:rPr>
                <w:b/>
                <w:i/>
              </w:rPr>
              <w:t>държавите</w:t>
            </w:r>
            <w:r>
              <w:t xml:space="preserve"> членки, незабавно информират националните звена за контакт на резерва на ЕС от таланти за всяко нарушение на разпоредбите на съответното законодателство и съответните практики, посочени в параграф 3, за целите на член 10, параграф 2, буква д).</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595</w:t>
      </w:r>
      <w:r>
        <w:rPr>
          <w:rStyle w:val="HideTWBExt"/>
        </w:rPr>
        <w:t>&lt;/NumAm&gt;</w:t>
      </w:r>
    </w:p>
    <w:p>
      <w:pPr>
        <w:pStyle w:val="NormalBold"/>
      </w:pPr>
      <w:r>
        <w:rPr>
          <w:rStyle w:val="HideTWBExt"/>
          <w:b w:val="0"/>
        </w:rPr>
        <w:t>&lt;RepeatBlock-By&gt;</w:t>
      </w:r>
      <w:r>
        <w:rPr>
          <w:rStyle w:val="HideTWBExt"/>
          <w:b w:val="0"/>
        </w:rPr>
        <w:t>&lt;Members&gt;</w:t>
      </w:r>
      <w:r>
        <w:t>Том Вандендрисе, Петра Щегер, Ярослав Бжох, Фабрис Леджери, Антонио Танжер Кореа,  Хорхе Бусаде Виялба, Марике Елерс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Член 14</w:t>
            </w:r>
            <w:r>
              <w:tab/>
            </w:r>
          </w:p>
        </w:tc>
        <w:tc>
          <w:tcPr>
            <w:tcW w:w="4876" w:type="dxa"/>
            <w:tcBorders>
              <w:top w:val="nil"/>
              <w:left w:val="nil"/>
              <w:bottom w:val="nil"/>
              <w:right w:val="nil"/>
            </w:tcBorders>
          </w:tcPr>
          <w:p>
            <w:pPr>
              <w:pStyle w:val="Normal6a"/>
            </w:pPr>
            <w:r>
              <w:rPr>
                <w:b/>
                <w:i/>
              </w:rPr>
              <w:t>заличава се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Списък на професиите с недостиг на работна ръка на общоевропейско равнище</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За целите на настоящия регламент в приложението е представен списък на професиите с недостиг на работна ръка на общоевропейско равнище на 4-цифрено ниво по ISCO-08.</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На Комисията се предоставя правомощието да приема делегирани актове в съответствие с процедурата, посочена в член 21, за изменение на приложението в съответствие със следните критерии:</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а) професии с недостиг на работна ръка, общи за значителен брой участващи държави членки, за които секретариатът на резерва на ЕС от таланти е уведомен от националните звена за контакт на резерва на ЕС от таланти съгласно член 10, параграф 2, буква в);</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б) професии, пряко допринасящи за екологичния и цифровия преход в ЕС и чието значение вероятно ще нараства.</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Секретариатът на резерва на ЕС от таланти публикува списък на професиите с недостиг на работна ръка на общоевропейско равнище на ИТ платформата на резерва на ЕС от таланти.</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596</w:t>
      </w:r>
      <w:r>
        <w:rPr>
          <w:rStyle w:val="HideTWBExt"/>
        </w:rPr>
        <w:t>&lt;/NumAm&gt;</w:t>
      </w:r>
    </w:p>
    <w:p>
      <w:pPr>
        <w:pStyle w:val="NormalBold"/>
      </w:pPr>
      <w:r>
        <w:rPr>
          <w:rStyle w:val="HideTWBExt"/>
          <w:b w:val="0"/>
        </w:rPr>
        <w:t>&lt;RepeatBlock-By&gt;</w:t>
      </w:r>
      <w:r>
        <w:rPr>
          <w:rStyle w:val="HideTWBExt"/>
          <w:b w:val="0"/>
        </w:rPr>
        <w:t>&lt;Members&gt;</w:t>
      </w:r>
      <w:r>
        <w:t>Йоан Даниелсон, Евин Инсир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Член 14</w:t>
            </w:r>
            <w:r>
              <w:tab/>
            </w:r>
          </w:p>
        </w:tc>
        <w:tc>
          <w:tcPr>
            <w:tcW w:w="4876" w:type="dxa"/>
            <w:tcBorders>
              <w:top w:val="nil"/>
              <w:left w:val="nil"/>
              <w:bottom w:val="nil"/>
              <w:right w:val="nil"/>
            </w:tcBorders>
          </w:tcPr>
          <w:p>
            <w:pPr>
              <w:pStyle w:val="Normal6a"/>
            </w:pPr>
            <w:r>
              <w:rPr>
                <w:b/>
                <w:i/>
              </w:rPr>
              <w:t>заличава се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Списък на професиите с недостиг на работна ръка на общоевропейско равнище</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За целите на настоящия регламент в приложението е представен списък на професиите с недостиг на работна ръка на общоевропейско равнище на 4-цифрено ниво по ISCO-08.</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На Комисията се предоставя правомощието да приема делегирани актове в съответствие с процедурата, посочена в член 21, за изменение на приложението в съответствие със следните критерии:</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а) професии с недостиг на работна ръка, общи за значителен брой участващи държави членки, за които секретариатът на резерва на ЕС от таланти е уведомен от националните звена за контакт на резерва на ЕС от таланти съгласно член 10, параграф 2, буква в);</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б) професии, пряко допринасящи за екологичния и цифровия преход в ЕС и чието значение вероятно ще нараства.</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Секретариатът на резерва на ЕС от таланти публикува списък на професиите с недостиг на работна ръка на общоевропейско равнище на ИТ платформата на резерва на ЕС от таланти.</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597</w:t>
      </w:r>
      <w:r>
        <w:rPr>
          <w:rStyle w:val="HideTWBExt"/>
        </w:rPr>
        <w:t>&lt;/NumAm&gt;</w:t>
      </w:r>
    </w:p>
    <w:p>
      <w:pPr>
        <w:pStyle w:val="NormalBold"/>
      </w:pPr>
      <w:r>
        <w:rPr>
          <w:rStyle w:val="HideTWBExt"/>
          <w:b w:val="0"/>
        </w:rPr>
        <w:t>&lt;RepeatBlock-By&gt;</w:t>
      </w:r>
      <w:r>
        <w:rPr>
          <w:rStyle w:val="HideTWBExt"/>
          <w:b w:val="0"/>
        </w:rPr>
        <w:t>&lt;Members&gt;</w:t>
      </w:r>
      <w:r>
        <w:t>Чарли Веймерс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Член 14</w:t>
            </w:r>
            <w:r>
              <w:tab/>
            </w:r>
          </w:p>
        </w:tc>
        <w:tc>
          <w:tcPr>
            <w:tcW w:w="4876" w:type="dxa"/>
            <w:tcBorders>
              <w:top w:val="nil"/>
              <w:left w:val="nil"/>
              <w:bottom w:val="nil"/>
              <w:right w:val="nil"/>
            </w:tcBorders>
          </w:tcPr>
          <w:p>
            <w:pPr>
              <w:pStyle w:val="Normal6a"/>
            </w:pPr>
            <w:r>
              <w:rPr>
                <w:b/>
                <w:i/>
              </w:rPr>
              <w:t>заличава се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Списък на професиите с недостиг на работна ръка на общоевропейско равнище</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За целите на настоящия регламент в приложението е представен списък на професиите с недостиг на работна ръка на общоевропейско равнище на 4-цифрено ниво по ISCO-08.</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На Комисията се предоставя правомощието да приема делегирани актове в съответствие с процедурата, посочена в член 21, за изменение на приложението в съответствие със следните критерии:</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а) професии с недостиг на работна ръка, общи за значителен брой участващи държави членки, за които секретариатът на резерва на ЕС от таланти е уведомен от националните звена за контакт на резерва на ЕС от таланти съгласно член 10, параграф 2, буква в);</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б) професии, пряко допринасящи за екологичния и цифровия преход в ЕС и чието значение вероятно ще нараства.</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Секретариатът на резерва на ЕС от таланти публикува списък на професиите с недостиг на работна ръка на общоевропейско равнище на ИТ платформата на резерва на ЕС от таланти.</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598</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14 – параграф 1 – алинея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За целите на настоящия регламент в приложението е представен списък на професиите с недостиг на работна ръка на общоевропейско равнище на 4-цифрено ниво по ISCO-08.</w:t>
            </w:r>
          </w:p>
        </w:tc>
        <w:tc>
          <w:tcPr>
            <w:tcW w:w="4876" w:type="dxa"/>
            <w:tcBorders>
              <w:top w:val="nil"/>
              <w:left w:val="nil"/>
              <w:bottom w:val="nil"/>
              <w:right w:val="nil"/>
            </w:tcBorders>
          </w:tcPr>
          <w:p>
            <w:pPr>
              <w:pStyle w:val="Normal6a"/>
            </w:pPr>
            <w:r>
              <w:t xml:space="preserve">За целите на настоящия регламент в приложението е представен списък на професиите с недостиг на работна ръка на общоевропейско равнище на 4-цифрено ниво по ISCO-08. </w:t>
            </w:r>
            <w:r>
              <w:rPr>
                <w:b/>
                <w:i/>
              </w:rPr>
              <w:t>Списъкът на професиите с недостиг на работна ръка на общоевропейско равнище се използва, за да се направи преглед на дефицитите на пазара на труда и да се подпомогнат търсещите работа при оценяване на вероятността от потенциално съответствие и успешно наемане на работа.</w:t>
            </w:r>
            <w:r>
              <w:t xml:space="preserve"> </w:t>
            </w:r>
            <w:r>
              <w:rPr>
                <w:b/>
                <w:i/>
              </w:rPr>
              <w:t>Списъкът не се използва за ограничаване на влизането и регистрацията на граждани на трети държави или работодатели и посредници в общата ИТ платформа.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599</w:t>
      </w:r>
      <w:r>
        <w:rPr>
          <w:rStyle w:val="HideTWBExt"/>
        </w:rPr>
        <w:t>&lt;/NumAm&gt;</w:t>
      </w:r>
    </w:p>
    <w:p>
      <w:pPr>
        <w:pStyle w:val="NormalBold"/>
      </w:pPr>
      <w:r>
        <w:rPr>
          <w:rStyle w:val="HideTWBExt"/>
          <w:b w:val="0"/>
        </w:rPr>
        <w:t>&lt;RepeatBlock-By&gt;</w:t>
      </w:r>
      <w:r>
        <w:rPr>
          <w:rStyle w:val="HideTWBExt"/>
          <w:b w:val="0"/>
        </w:rPr>
        <w:t>&lt;Members&gt;</w:t>
      </w:r>
      <w:r>
        <w:t>Франсоа-Ксавие Белами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14 – параграф 1 – алинея 2 – уводна част</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На Комисията се предоставя правомощието да приема делегирани актове в съответствие с процедурата, посочена в член 21, за изменение на приложението в съответствие със следните критерии:</w:t>
            </w:r>
          </w:p>
        </w:tc>
        <w:tc>
          <w:tcPr>
            <w:tcW w:w="4876" w:type="dxa"/>
            <w:tcBorders>
              <w:top w:val="nil"/>
              <w:left w:val="nil"/>
              <w:bottom w:val="nil"/>
              <w:right w:val="nil"/>
            </w:tcBorders>
          </w:tcPr>
          <w:p>
            <w:pPr>
              <w:pStyle w:val="Normal6a"/>
            </w:pPr>
            <w:r>
              <w:t>На Комисията</w:t>
            </w:r>
            <w:r>
              <w:rPr>
                <w:b/>
                <w:i/>
              </w:rPr>
              <w:t>, след провеждане на подробни консултации с държавите членки,</w:t>
            </w:r>
            <w:r>
              <w:t xml:space="preserve"> се предоставя правомощието да приема делегирани актове в съответствие с процедурата, посочена в член 21, за изменение на приложението в съответствие със следните критерии:</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600</w:t>
      </w:r>
      <w:r>
        <w:rPr>
          <w:rStyle w:val="HideTWBExt"/>
        </w:rPr>
        <w:t>&lt;/NumAm&gt;</w:t>
      </w:r>
    </w:p>
    <w:p>
      <w:pPr>
        <w:pStyle w:val="NormalBold"/>
      </w:pPr>
      <w:r>
        <w:rPr>
          <w:rStyle w:val="HideTWBExt"/>
          <w:b w:val="0"/>
        </w:rPr>
        <w:t>&lt;RepeatBlock-By&gt;</w:t>
      </w:r>
      <w:r>
        <w:rPr>
          <w:rStyle w:val="HideTWBExt"/>
          <w:b w:val="0"/>
        </w:rPr>
        <w:t>&lt;Members&gt;</w:t>
      </w:r>
      <w:r>
        <w:t>Чарли Веймерс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14 – параграф 1 – алинея 2 – буква 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а)</w:t>
            </w:r>
            <w:r>
              <w:tab/>
            </w:r>
            <w:r>
              <w:rPr>
                <w:b/>
                <w:i/>
              </w:rPr>
              <w:t>професии с недостиг на работна ръка, общи за значителен брой участващи държави членки, за които секретариатът на резерва на ЕС от таланти е уведомен от националните звена за контакт на резерва на ЕС от таланти съгласно член 10, параграф 2, буква в);</w:t>
            </w:r>
          </w:p>
        </w:tc>
        <w:tc>
          <w:tcPr>
            <w:tcW w:w="4876" w:type="dxa"/>
            <w:tcBorders>
              <w:top w:val="nil"/>
              <w:left w:val="nil"/>
              <w:bottom w:val="nil"/>
              <w:right w:val="nil"/>
            </w:tcBorders>
          </w:tcPr>
          <w:p>
            <w:pPr>
              <w:pStyle w:val="Normal6a"/>
            </w:pPr>
            <w:r>
              <w:rPr>
                <w:b/>
                <w:i/>
              </w:rPr>
              <w:t>заличава се</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601</w:t>
      </w:r>
      <w:r>
        <w:rPr>
          <w:rStyle w:val="HideTWBExt"/>
        </w:rPr>
        <w:t>&lt;/NumAm&gt;</w:t>
      </w:r>
    </w:p>
    <w:p>
      <w:pPr>
        <w:pStyle w:val="NormalBold"/>
      </w:pPr>
      <w:r>
        <w:rPr>
          <w:rStyle w:val="HideTWBExt"/>
          <w:b w:val="0"/>
        </w:rPr>
        <w:t>&lt;RepeatBlock-By&gt;</w:t>
      </w:r>
      <w:r>
        <w:rPr>
          <w:rStyle w:val="HideTWBExt"/>
          <w:b w:val="0"/>
        </w:rPr>
        <w:t>&lt;Members&gt;</w:t>
      </w:r>
      <w:r>
        <w:t>Себастиан Тюнкюнен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14 – параграф 1 – алинея 2 – буква 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а</w:t>
            </w:r>
            <w:r>
              <w:t>)</w:t>
            </w:r>
            <w:r>
              <w:tab/>
            </w:r>
            <w:r>
              <w:t xml:space="preserve">професии с недостиг на работна ръка, общи за </w:t>
            </w:r>
            <w:r>
              <w:rPr>
                <w:b/>
                <w:i/>
              </w:rPr>
              <w:t>значителен брой участващи</w:t>
            </w:r>
            <w:r>
              <w:t xml:space="preserve"> държави членки, за които секретариатът на резерва на ЕС от таланти е уведомен от националните звена за контакт на резерва на ЕС от таланти съгласно член 10, параграф 2, буква в);</w:t>
            </w:r>
          </w:p>
        </w:tc>
        <w:tc>
          <w:tcPr>
            <w:tcW w:w="4876" w:type="dxa"/>
            <w:tcBorders>
              <w:top w:val="nil"/>
              <w:left w:val="nil"/>
              <w:bottom w:val="nil"/>
              <w:right w:val="nil"/>
            </w:tcBorders>
          </w:tcPr>
          <w:p>
            <w:pPr>
              <w:pStyle w:val="Normal6a"/>
            </w:pPr>
            <w:r>
              <w:rPr>
                <w:b/>
                <w:i/>
              </w:rPr>
              <w:t>a</w:t>
            </w:r>
            <w:r>
              <w:t>)</w:t>
            </w:r>
            <w:r>
              <w:tab/>
            </w:r>
            <w:r>
              <w:t xml:space="preserve">професии с недостиг на работна ръка, общи за </w:t>
            </w:r>
            <w:r>
              <w:rPr>
                <w:b/>
                <w:i/>
              </w:rPr>
              <w:t>две трети от участващите</w:t>
            </w:r>
            <w:r>
              <w:t xml:space="preserve"> държави членки, за които секретариатът на резерва на ЕС от таланти е уведомен от националните звена за контакт на резерва на ЕС от таланти съгласно член 10, параграф 2, буква в);</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602</w:t>
      </w:r>
      <w:r>
        <w:rPr>
          <w:rStyle w:val="HideTWBExt"/>
        </w:rPr>
        <w:t>&lt;/NumAm&gt;</w:t>
      </w:r>
    </w:p>
    <w:p>
      <w:pPr>
        <w:pStyle w:val="NormalBold"/>
      </w:pPr>
      <w:r>
        <w:rPr>
          <w:rStyle w:val="HideTWBExt"/>
          <w:b w:val="0"/>
        </w:rPr>
        <w:t>&lt;RepeatBlock-By&gt;</w:t>
      </w:r>
      <w:r>
        <w:rPr>
          <w:rStyle w:val="HideTWBExt"/>
          <w:b w:val="0"/>
        </w:rPr>
        <w:t>&lt;Members&gt;</w:t>
      </w:r>
      <w:r>
        <w:t>Хавиер Морено Санчес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14 – параграф 1 – алинея 2 – буква 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а</w:t>
            </w:r>
            <w:r>
              <w:t>)</w:t>
            </w:r>
            <w:r>
              <w:tab/>
            </w:r>
            <w:r>
              <w:t xml:space="preserve">професии с недостиг на работна ръка, общи за </w:t>
            </w:r>
            <w:r>
              <w:rPr>
                <w:b/>
                <w:i/>
              </w:rPr>
              <w:t>значителен брой</w:t>
            </w:r>
            <w:r>
              <w:t xml:space="preserve"> участващи държави членки, за които секретариатът на резерва на ЕС от таланти е уведомен от националните звена за контакт на резерва на ЕС от таланти съгласно член 10, параграф 2, буква в);</w:t>
            </w:r>
          </w:p>
        </w:tc>
        <w:tc>
          <w:tcPr>
            <w:tcW w:w="4876" w:type="dxa"/>
            <w:tcBorders>
              <w:top w:val="nil"/>
              <w:left w:val="nil"/>
              <w:bottom w:val="nil"/>
              <w:right w:val="nil"/>
            </w:tcBorders>
          </w:tcPr>
          <w:p>
            <w:pPr>
              <w:pStyle w:val="Normal6a"/>
            </w:pPr>
            <w:r>
              <w:rPr>
                <w:b/>
                <w:i/>
              </w:rPr>
              <w:t>a</w:t>
            </w:r>
            <w:r>
              <w:t>)</w:t>
            </w:r>
            <w:r>
              <w:tab/>
            </w:r>
            <w:r>
              <w:t xml:space="preserve">професии с недостиг на работна ръка, общи за </w:t>
            </w:r>
            <w:r>
              <w:rPr>
                <w:b/>
                <w:i/>
              </w:rPr>
              <w:t>повече от три</w:t>
            </w:r>
            <w:r>
              <w:t xml:space="preserve"> участващи държави членки, за които секретариатът на резерва на ЕС от таланти е уведомен от националните звена за контакт на резерва на ЕС от таланти съгласно член 10, параграф 2, буква в);</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603</w:t>
      </w:r>
      <w:r>
        <w:rPr>
          <w:rStyle w:val="HideTWBExt"/>
        </w:rPr>
        <w:t>&lt;/NumAm&gt;</w:t>
      </w:r>
    </w:p>
    <w:p>
      <w:pPr>
        <w:pStyle w:val="NormalBold"/>
      </w:pPr>
      <w:r>
        <w:rPr>
          <w:rStyle w:val="HideTWBExt"/>
          <w:b w:val="0"/>
        </w:rPr>
        <w:t>&lt;RepeatBlock-By&gt;</w:t>
      </w:r>
      <w:r>
        <w:rPr>
          <w:rStyle w:val="HideTWBExt"/>
          <w:b w:val="0"/>
        </w:rPr>
        <w:t>&lt;Members&gt;</w:t>
      </w:r>
      <w:r>
        <w:t>Лукас Мандл</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14 – параграф 1 – алинея 2 – буква 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а</w:t>
            </w:r>
            <w:r>
              <w:t>)</w:t>
            </w:r>
            <w:r>
              <w:tab/>
            </w:r>
            <w:r>
              <w:t xml:space="preserve">професии с недостиг на работна ръка, </w:t>
            </w:r>
            <w:r>
              <w:rPr>
                <w:b/>
                <w:i/>
              </w:rPr>
              <w:t>общи за значителен брой</w:t>
            </w:r>
            <w:r>
              <w:t xml:space="preserve"> участващи държави членки</w:t>
            </w:r>
            <w:r>
              <w:rPr>
                <w:b/>
                <w:i/>
              </w:rPr>
              <w:t>,</w:t>
            </w:r>
            <w:r>
              <w:t xml:space="preserve"> за които секретариатът на резерва на ЕС от таланти е уведомен от националните звена за контакт на резерва на ЕС от таланти съгласно член 10, параграф 2, буква в);</w:t>
            </w:r>
          </w:p>
        </w:tc>
        <w:tc>
          <w:tcPr>
            <w:tcW w:w="4876" w:type="dxa"/>
            <w:tcBorders>
              <w:top w:val="nil"/>
              <w:left w:val="nil"/>
              <w:bottom w:val="nil"/>
              <w:right w:val="nil"/>
            </w:tcBorders>
          </w:tcPr>
          <w:p>
            <w:pPr>
              <w:pStyle w:val="Normal6a"/>
            </w:pPr>
            <w:r>
              <w:rPr>
                <w:b/>
                <w:i/>
              </w:rPr>
              <w:t>a</w:t>
            </w:r>
            <w:r>
              <w:t>)</w:t>
            </w:r>
            <w:r>
              <w:tab/>
            </w:r>
            <w:r>
              <w:t xml:space="preserve">професии с недостиг на работна ръка, </w:t>
            </w:r>
            <w:r>
              <w:rPr>
                <w:b/>
                <w:i/>
              </w:rPr>
              <w:t>за които са съобщили най-малко две</w:t>
            </w:r>
            <w:r>
              <w:t xml:space="preserve"> участващи държави членки </w:t>
            </w:r>
            <w:r>
              <w:rPr>
                <w:b/>
                <w:i/>
              </w:rPr>
              <w:t>и</w:t>
            </w:r>
            <w:r>
              <w:t xml:space="preserve"> за които секретариатът на резерва на ЕС от таланти е уведомен от националните звена за контакт на резерва на ЕС от таланти съгласно член 10, параграф 2, буква в);</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604</w:t>
      </w:r>
      <w:r>
        <w:rPr>
          <w:rStyle w:val="HideTWBExt"/>
        </w:rPr>
        <w:t>&lt;/NumAm&gt;</w:t>
      </w:r>
    </w:p>
    <w:p>
      <w:pPr>
        <w:pStyle w:val="NormalBold"/>
      </w:pPr>
      <w:r>
        <w:rPr>
          <w:rStyle w:val="HideTWBExt"/>
          <w:b w:val="0"/>
        </w:rPr>
        <w:t>&lt;RepeatBlock-By&gt;</w:t>
      </w:r>
      <w:r>
        <w:rPr>
          <w:rStyle w:val="HideTWBExt"/>
          <w:b w:val="0"/>
        </w:rPr>
        <w:t>&lt;Members&gt;</w:t>
      </w:r>
      <w:r>
        <w:t>Франсоа-Ксавие Белами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14 – параграф 1 – алинея 2 – буква a а (нова)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aа)</w:t>
            </w:r>
            <w:r>
              <w:tab/>
            </w:r>
            <w:r>
              <w:rPr>
                <w:b/>
                <w:i/>
              </w:rPr>
              <w:t>като взема предвид нуждите на предприятията;</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605</w:t>
      </w:r>
      <w:r>
        <w:rPr>
          <w:rStyle w:val="HideTWBExt"/>
        </w:rPr>
        <w:t>&lt;/NumAm&gt;</w:t>
      </w:r>
    </w:p>
    <w:p>
      <w:pPr>
        <w:pStyle w:val="NormalBold"/>
      </w:pPr>
      <w:r>
        <w:rPr>
          <w:rStyle w:val="HideTWBExt"/>
          <w:b w:val="0"/>
        </w:rPr>
        <w:t>&lt;RepeatBlock-By&gt;</w:t>
      </w:r>
      <w:r>
        <w:rPr>
          <w:rStyle w:val="HideTWBExt"/>
          <w:b w:val="0"/>
        </w:rPr>
        <w:t>&lt;Members&gt;</w:t>
      </w:r>
      <w:r>
        <w:t>Чарли Веймерс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14 – параграф 1 – алинея 2 – буква 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б)</w:t>
            </w:r>
            <w:r>
              <w:tab/>
            </w:r>
            <w:r>
              <w:rPr>
                <w:b/>
                <w:i/>
              </w:rPr>
              <w:t>професии, пряко допринасящи за екологичния и цифровия преход в ЕС и чието значение вероятно ще нараства.</w:t>
            </w:r>
          </w:p>
        </w:tc>
        <w:tc>
          <w:tcPr>
            <w:tcW w:w="4876" w:type="dxa"/>
            <w:tcBorders>
              <w:top w:val="nil"/>
              <w:left w:val="nil"/>
              <w:bottom w:val="nil"/>
              <w:right w:val="nil"/>
            </w:tcBorders>
          </w:tcPr>
          <w:p>
            <w:pPr>
              <w:pStyle w:val="Normal6a"/>
            </w:pPr>
            <w:r>
              <w:rPr>
                <w:b/>
                <w:i/>
              </w:rPr>
              <w:t>заличава се</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606</w:t>
      </w:r>
      <w:r>
        <w:rPr>
          <w:rStyle w:val="HideTWBExt"/>
        </w:rPr>
        <w:t>&lt;/NumAm&gt;</w:t>
      </w:r>
    </w:p>
    <w:p>
      <w:pPr>
        <w:pStyle w:val="NormalBold"/>
      </w:pPr>
      <w:r>
        <w:rPr>
          <w:rStyle w:val="HideTWBExt"/>
          <w:b w:val="0"/>
        </w:rPr>
        <w:t>&lt;RepeatBlock-By&gt;</w:t>
      </w:r>
      <w:r>
        <w:rPr>
          <w:rStyle w:val="HideTWBExt"/>
          <w:b w:val="0"/>
        </w:rPr>
        <w:t>&lt;Members&gt;</w:t>
      </w:r>
      <w:r>
        <w:t>Асита Канко</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14 – параграф 1 – алинея 2 – буква 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б)</w:t>
            </w:r>
            <w:r>
              <w:tab/>
            </w:r>
            <w:r>
              <w:rPr>
                <w:b/>
                <w:i/>
              </w:rPr>
              <w:t>професии, пряко допринасящи за екологичния и цифровия преход в ЕС и чието значение вероятно ще нараства.</w:t>
            </w:r>
          </w:p>
        </w:tc>
        <w:tc>
          <w:tcPr>
            <w:tcW w:w="4876" w:type="dxa"/>
            <w:tcBorders>
              <w:top w:val="nil"/>
              <w:left w:val="nil"/>
              <w:bottom w:val="nil"/>
              <w:right w:val="nil"/>
            </w:tcBorders>
          </w:tcPr>
          <w:p>
            <w:pPr>
              <w:pStyle w:val="Normal6a"/>
            </w:pPr>
            <w:r>
              <w:rPr>
                <w:b/>
                <w:i/>
              </w:rPr>
              <w:t>заличава се</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Обосновка</w:t>
      </w:r>
      <w:r>
        <w:rPr>
          <w:rStyle w:val="HideTWBExt"/>
        </w:rPr>
        <w:t>&lt;/TitreJust&gt;</w:t>
      </w:r>
    </w:p>
    <w:p>
      <w:pPr>
        <w:pStyle w:val="AmJustText"/>
      </w:pPr>
      <w:r>
        <w:t>Резервът на ЕС от таланти ще функционира по-ефективно, ако не зависи от (променящите се) политически приоритети, а се основава на ежедневните нужди на работодателите в ЕС.</w:t>
      </w:r>
    </w:p>
    <w:p>
      <w:r>
        <w:rPr>
          <w:rStyle w:val="HideTWBExt"/>
        </w:rPr>
        <w:t>&lt;/Amend&gt;</w:t>
      </w:r>
    </w:p>
    <w:p>
      <w:pPr>
        <w:pStyle w:val="AmNumberTabs"/>
      </w:pPr>
      <w:r>
        <w:rPr>
          <w:rStyle w:val="HideTWBExt"/>
        </w:rPr>
        <w:t>&lt;Amend&gt;</w:t>
      </w:r>
      <w:r>
        <w:t>Изменение</w:t>
      </w:r>
      <w:r>
        <w:tab/>
      </w:r>
      <w:r>
        <w:tab/>
      </w:r>
      <w:r>
        <w:rPr>
          <w:rStyle w:val="HideTWBExt"/>
        </w:rPr>
        <w:t>&lt;NumAm&gt;</w:t>
      </w:r>
      <w:r>
        <w:t>607</w:t>
      </w:r>
      <w:r>
        <w:rPr>
          <w:rStyle w:val="HideTWBExt"/>
        </w:rPr>
        <w:t>&lt;/NumAm&gt;</w:t>
      </w:r>
    </w:p>
    <w:p>
      <w:pPr>
        <w:pStyle w:val="NormalBold"/>
      </w:pPr>
      <w:r>
        <w:rPr>
          <w:rStyle w:val="HideTWBExt"/>
          <w:b w:val="0"/>
        </w:rPr>
        <w:t>&lt;RepeatBlock-By&gt;</w:t>
      </w:r>
      <w:r>
        <w:rPr>
          <w:rStyle w:val="HideTWBExt"/>
          <w:b w:val="0"/>
        </w:rPr>
        <w:t>&lt;Members&gt;</w:t>
      </w:r>
      <w:r>
        <w:t>Лена Дюпон, Томас Тобé, Алис Теодореску Мове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14 – параграф 1 – алинея 2 – буква 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б)</w:t>
            </w:r>
            <w:r>
              <w:tab/>
            </w:r>
            <w:r>
              <w:t>професии, пряко допринасящи за екологичния и цифровия преход в ЕС и чието значение вероятно ще нараства.</w:t>
            </w:r>
          </w:p>
        </w:tc>
        <w:tc>
          <w:tcPr>
            <w:tcW w:w="4876" w:type="dxa"/>
            <w:tcBorders>
              <w:top w:val="nil"/>
              <w:left w:val="nil"/>
              <w:bottom w:val="nil"/>
              <w:right w:val="nil"/>
            </w:tcBorders>
          </w:tcPr>
          <w:p>
            <w:pPr>
              <w:pStyle w:val="Normal6a"/>
            </w:pPr>
            <w:r>
              <w:t>б)</w:t>
            </w:r>
            <w:r>
              <w:tab/>
            </w:r>
            <w:r>
              <w:t xml:space="preserve">професии, </w:t>
            </w:r>
            <w:r>
              <w:rPr>
                <w:b/>
                <w:i/>
              </w:rPr>
              <w:t>осигуряващи повишена конкурентоспособност и</w:t>
            </w:r>
            <w:r>
              <w:t xml:space="preserve"> пряко допринасящи за екологичния и цифровия преход в ЕС и чието значение вероятно ще нараства.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608</w:t>
      </w:r>
      <w:r>
        <w:rPr>
          <w:rStyle w:val="HideTWBExt"/>
        </w:rPr>
        <w:t>&lt;/NumAm&gt;</w:t>
      </w:r>
    </w:p>
    <w:p>
      <w:pPr>
        <w:pStyle w:val="NormalBold"/>
      </w:pPr>
      <w:r>
        <w:rPr>
          <w:rStyle w:val="HideTWBExt"/>
          <w:b w:val="0"/>
        </w:rPr>
        <w:t>&lt;RepeatBlock-By&gt;</w:t>
      </w:r>
      <w:r>
        <w:rPr>
          <w:rStyle w:val="HideTWBExt"/>
          <w:b w:val="0"/>
        </w:rPr>
        <w:t>&lt;Members&gt;</w:t>
      </w:r>
      <w:r>
        <w:t>Себастиан Тюнкюнен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14 – параграф 1 – алинея 2 – буква 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б)</w:t>
            </w:r>
            <w:r>
              <w:tab/>
            </w:r>
            <w:r>
              <w:t xml:space="preserve">професии, пряко допринасящи за </w:t>
            </w:r>
            <w:r>
              <w:rPr>
                <w:b/>
                <w:i/>
              </w:rPr>
              <w:t>екологичния и цифровия преход в ЕС</w:t>
            </w:r>
            <w:r>
              <w:t xml:space="preserve"> и чието значение вероятно ще нараства.</w:t>
            </w:r>
          </w:p>
        </w:tc>
        <w:tc>
          <w:tcPr>
            <w:tcW w:w="4876" w:type="dxa"/>
            <w:tcBorders>
              <w:top w:val="nil"/>
              <w:left w:val="nil"/>
              <w:bottom w:val="nil"/>
              <w:right w:val="nil"/>
            </w:tcBorders>
          </w:tcPr>
          <w:p>
            <w:pPr>
              <w:pStyle w:val="Normal6a"/>
            </w:pPr>
            <w:r>
              <w:t>б)</w:t>
            </w:r>
            <w:r>
              <w:tab/>
            </w:r>
            <w:r>
              <w:t xml:space="preserve">професии, пряко допринасящи за </w:t>
            </w:r>
            <w:r>
              <w:rPr>
                <w:b/>
                <w:i/>
              </w:rPr>
              <w:t>прехода на ЕС към чиста и цифрова икономика</w:t>
            </w:r>
            <w:r>
              <w:t> и чието значение вероятно ще нараства.</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609</w:t>
      </w:r>
      <w:r>
        <w:rPr>
          <w:rStyle w:val="HideTWBExt"/>
        </w:rPr>
        <w:t>&lt;/NumAm&gt;</w:t>
      </w:r>
    </w:p>
    <w:p>
      <w:pPr>
        <w:pStyle w:val="NormalBold"/>
      </w:pPr>
      <w:r>
        <w:rPr>
          <w:rStyle w:val="HideTWBExt"/>
          <w:b w:val="0"/>
        </w:rPr>
        <w:t>&lt;RepeatBlock-By&gt;</w:t>
      </w:r>
      <w:r>
        <w:rPr>
          <w:rStyle w:val="HideTWBExt"/>
          <w:b w:val="0"/>
        </w:rPr>
        <w:t>&lt;Members&gt;</w:t>
      </w:r>
      <w:r>
        <w:t>Ян-Кристоф Йотен, Абир Ал-Сахлани, Хилде Вотманс, Ирена Йовева, Луция Яр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14 – параграф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Секретариатът на резерва на ЕС от таланти публикува списък на професиите с недостиг на работна ръка на общоевропейско равнище на ИТ платформата на резерва на ЕС от таланти.</w:t>
            </w:r>
          </w:p>
        </w:tc>
        <w:tc>
          <w:tcPr>
            <w:tcW w:w="4876" w:type="dxa"/>
            <w:tcBorders>
              <w:top w:val="nil"/>
              <w:left w:val="nil"/>
              <w:bottom w:val="nil"/>
              <w:right w:val="nil"/>
            </w:tcBorders>
          </w:tcPr>
          <w:p>
            <w:pPr>
              <w:pStyle w:val="Normal6a"/>
            </w:pPr>
            <w:r>
              <w:t>2.</w:t>
            </w:r>
            <w:r>
              <w:tab/>
            </w:r>
            <w:r>
              <w:t xml:space="preserve">Секретариатът на резерва на ЕС от таланти публикува списък на професиите с недостиг на работна ръка на общоевропейско равнище на ИТ платформата на резерва на ЕС от таланти. </w:t>
            </w:r>
            <w:r>
              <w:rPr>
                <w:b/>
                <w:i/>
              </w:rPr>
              <w:t>Този списък следва да служи като ориентир за търсещите работа лица относно специфичните нужди на пазара на труда на равнището на ЕС.</w:t>
            </w:r>
            <w:r>
              <w:t xml:space="preserve"> </w:t>
            </w:r>
            <w:r>
              <w:rPr>
                <w:b/>
                <w:i/>
              </w:rPr>
              <w:t>Това по никакъв начин не ограничава кои свободни работни места могат да бъдат качени на ИТ платформата, нито кои търсещи работа лица могат да създадат профил и да кандидатстват за свободни работни места.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610</w:t>
      </w:r>
      <w:r>
        <w:rPr>
          <w:rStyle w:val="HideTWBExt"/>
        </w:rPr>
        <w:t>&lt;/NumAm&gt;</w:t>
      </w:r>
    </w:p>
    <w:p>
      <w:pPr>
        <w:pStyle w:val="NormalBold"/>
      </w:pPr>
      <w:r>
        <w:rPr>
          <w:rStyle w:val="HideTWBExt"/>
          <w:b w:val="0"/>
        </w:rPr>
        <w:t>&lt;RepeatBlock-By&gt;</w:t>
      </w:r>
      <w:r>
        <w:rPr>
          <w:rStyle w:val="HideTWBExt"/>
          <w:b w:val="0"/>
        </w:rPr>
        <w:t>&lt;Members&gt;</w:t>
      </w:r>
      <w:r>
        <w:t>Йоан Даниелсон, Евин Инсир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Член 15</w:t>
            </w:r>
            <w:r>
              <w:tab/>
            </w:r>
          </w:p>
        </w:tc>
        <w:tc>
          <w:tcPr>
            <w:tcW w:w="4876" w:type="dxa"/>
            <w:tcBorders>
              <w:top w:val="nil"/>
              <w:left w:val="nil"/>
              <w:bottom w:val="nil"/>
              <w:right w:val="nil"/>
            </w:tcBorders>
          </w:tcPr>
          <w:p>
            <w:pPr>
              <w:pStyle w:val="Normal6a"/>
            </w:pPr>
            <w:r>
              <w:rPr>
                <w:b/>
                <w:i/>
              </w:rPr>
              <w:t>заличава се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Национални корекции на списъка на професиите с недостиг на работна ръка на общоевропейско равнище</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Участващите държави членки може да решат да добавят професии с недостиг на работна ръка на 4-цифрено ниво по ISCO-08, за да задоволят специфичните нужди на своя пазар на труда.</w:t>
            </w:r>
            <w:r>
              <w:rPr>
                <w:b/>
                <w:i/>
              </w:rPr>
              <w:t xml:space="preserve"> </w:t>
            </w:r>
            <w:r>
              <w:rPr>
                <w:b/>
                <w:i/>
              </w:rPr>
              <w:t>Те може също така да решат да премахнат професии с недостиг на работна ръка от общоевропейския списък, когато те не отговарят на специфичните нужди на техния пазар на труда.</w:t>
            </w:r>
            <w:r>
              <w:rPr>
                <w:b/>
                <w:i/>
              </w:rPr>
              <w:t xml:space="preserve"> </w:t>
            </w:r>
            <w:r>
              <w:rPr>
                <w:b/>
                <w:i/>
              </w:rPr>
              <w:t>Специфичните за държавата корекции засягат единствено намирането на съответствия за свободни работни места в съответната държава членка.</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Националните звена за контакт на резерва на ЕС от таланти на държавите членки, които са уведомили за своето участие в резерва на ЕС от таланти съгласно член 3, уведомяват за всяко добавяне или премахване на професия от списъка с професиите с недостиг на работна ръка на общоевропейско равнище най-късно три месеца преди присъединяването към резерва на ЕС от таланти.</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Националните звена за контакт на резерва на ЕС от таланти на участващите държави членки уведомяват за всяко добавяне или премахване на професия от списъка на професиите с недостиг на работна ръка на общоевропейско равнище в срок от 3 месеца след измененията в приложението.</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Националните звена за контакт на резерва на ЕС от таланти може да уведомяват секретариата на резерва на ЕС от таланти за добавяне и премахване на професии от списъка на професиите с недостиг на работна ръка на общоевропейско равнище най-много веднъж годишно.</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Секретариатът на резерва на ЕС от таланти публикува на ИТ платформата на резерва на ЕС от таланти корекциите в списъка на професиите с недостиг на работна ръка на общоевропейско равнище, за които са уведомени звената за контакт на резерва на ЕС от таланти.</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rPr>
                <w:b/>
                <w:i/>
              </w:rPr>
              <w:t xml:space="preserve"> </w:t>
            </w:r>
            <w:r>
              <w:rPr>
                <w:b/>
                <w:i/>
              </w:rPr>
              <w:t>Националните звена за контакт на резерва на ЕС от таланти прехвърлят на ИТ платформата на резерва на ЕС от таланти само онези свободни работни места, които съответстват на списъка на професиите с недостиг на работна ръка на общоевропейско равнище, като се вземат предвид корекциите, посочени в параграф 1.</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611</w:t>
      </w:r>
      <w:r>
        <w:rPr>
          <w:rStyle w:val="HideTWBExt"/>
        </w:rPr>
        <w:t>&lt;/NumAm&gt;</w:t>
      </w:r>
    </w:p>
    <w:p>
      <w:pPr>
        <w:pStyle w:val="NormalBold"/>
      </w:pPr>
      <w:r>
        <w:rPr>
          <w:rStyle w:val="HideTWBExt"/>
          <w:b w:val="0"/>
        </w:rPr>
        <w:t>&lt;RepeatBlock-By&gt;</w:t>
      </w:r>
      <w:r>
        <w:rPr>
          <w:rStyle w:val="HideTWBExt"/>
          <w:b w:val="0"/>
        </w:rPr>
        <w:t>&lt;Members&gt;</w:t>
      </w:r>
      <w:r>
        <w:t>Том Вандендрисе, Петра Щегер, Ярослав Бжох, Фабрис Леджери, Антонио Танжер Кореа,  Хорхе Бусаде Виялба, Марике Елерс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15 – заглавие</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Национални корекции на списъка на професиите</w:t>
            </w:r>
            <w:r>
              <w:t xml:space="preserve"> с недостиг на работна ръка </w:t>
            </w:r>
            <w:r>
              <w:rPr>
                <w:b/>
                <w:i/>
              </w:rPr>
              <w:t>на общоевропейско равнище</w:t>
            </w:r>
          </w:p>
        </w:tc>
        <w:tc>
          <w:tcPr>
            <w:tcW w:w="4876" w:type="dxa"/>
            <w:tcBorders>
              <w:top w:val="nil"/>
              <w:left w:val="nil"/>
              <w:bottom w:val="nil"/>
              <w:right w:val="nil"/>
            </w:tcBorders>
          </w:tcPr>
          <w:p>
            <w:pPr>
              <w:pStyle w:val="Normal6a"/>
            </w:pPr>
            <w:r>
              <w:rPr>
                <w:b/>
                <w:i/>
              </w:rPr>
              <w:t>Списък на националните професии</w:t>
            </w:r>
            <w:r>
              <w:t xml:space="preserve"> с недостиг на работна ръка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612</w:t>
      </w:r>
      <w:r>
        <w:rPr>
          <w:rStyle w:val="HideTWBExt"/>
        </w:rPr>
        <w:t>&lt;/NumAm&gt;</w:t>
      </w:r>
    </w:p>
    <w:p>
      <w:pPr>
        <w:pStyle w:val="NormalBold"/>
      </w:pPr>
      <w:r>
        <w:rPr>
          <w:rStyle w:val="HideTWBExt"/>
          <w:b w:val="0"/>
        </w:rPr>
        <w:t>&lt;RepeatBlock-By&gt;</w:t>
      </w:r>
      <w:r>
        <w:rPr>
          <w:rStyle w:val="HideTWBExt"/>
          <w:b w:val="0"/>
        </w:rPr>
        <w:t>&lt;Members&gt;</w:t>
      </w:r>
      <w:r>
        <w:t>Том Вандендрисе, Петра Щегер, Ярослав Бжох, Фабрис Леджери, Антонио Танжер Кореа,  Хорхе Бусаде Виялба, Марике Елерс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15 – параграф 1 – алинея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Участващите държави членки може да решат да добавят професии</w:t>
            </w:r>
            <w:r>
              <w:t xml:space="preserve"> с недостиг на работна ръка на 4-цифрено ниво по ISCO-08, за да задоволят специфичните нужди на своя пазар на труда. </w:t>
            </w:r>
            <w:r>
              <w:rPr>
                <w:b/>
                <w:i/>
              </w:rPr>
              <w:t>Те може също така да решат да премахнат професии с недостиг на работна ръка от общоевропейския списък, когато те не отговарят на специфичните нужди на техния пазар на труда.</w:t>
            </w:r>
            <w:r>
              <w:t xml:space="preserve"> </w:t>
            </w:r>
            <w:r>
              <w:rPr>
                <w:b/>
                <w:i/>
              </w:rPr>
              <w:t>Специфичните за държавата корекции засягат единствено намирането на съответствия за свободни работни места в съответната държава членка.</w:t>
            </w:r>
          </w:p>
        </w:tc>
        <w:tc>
          <w:tcPr>
            <w:tcW w:w="4876" w:type="dxa"/>
            <w:tcBorders>
              <w:top w:val="nil"/>
              <w:left w:val="nil"/>
              <w:bottom w:val="nil"/>
              <w:right w:val="nil"/>
            </w:tcBorders>
          </w:tcPr>
          <w:p>
            <w:pPr>
              <w:pStyle w:val="Normal6a"/>
            </w:pPr>
            <w:r>
              <w:rPr>
                <w:b/>
                <w:i/>
              </w:rPr>
              <w:t>Всяка участваща държава членка разполага с приложение за професиите</w:t>
            </w:r>
            <w:r>
              <w:t xml:space="preserve"> с недостиг на работна ръка</w:t>
            </w:r>
            <w:r>
              <w:rPr>
                <w:b/>
                <w:i/>
              </w:rPr>
              <w:t>, изискващи висока квалификация</w:t>
            </w:r>
            <w:r>
              <w:t xml:space="preserve"> на 4-цифрено ниво по ISCO-08, за да задоволят специфичните нужди на своя пазар на труда.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613</w:t>
      </w:r>
      <w:r>
        <w:rPr>
          <w:rStyle w:val="HideTWBExt"/>
        </w:rPr>
        <w:t>&lt;/NumAm&gt;</w:t>
      </w:r>
    </w:p>
    <w:p>
      <w:pPr>
        <w:pStyle w:val="NormalBold"/>
      </w:pPr>
      <w:r>
        <w:rPr>
          <w:rStyle w:val="HideTWBExt"/>
          <w:b w:val="0"/>
        </w:rPr>
        <w:t>&lt;RepeatBlock-By&gt;</w:t>
      </w:r>
      <w:r>
        <w:rPr>
          <w:rStyle w:val="HideTWBExt"/>
          <w:b w:val="0"/>
        </w:rPr>
        <w:t>&lt;Members&gt;</w:t>
      </w:r>
      <w:r>
        <w:t>Алис Теодореску Мове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15 – параграф 1 – алинея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Участващите държави членки може да решат да добавят професии с недостиг на работна ръка на 4-цифрено ниво по ISCO-08, за да задоволят специфичните нужди на своя пазар на труда. Те може също така да решат да премахнат професии с недостиг на работна ръка от общоевропейския списък, когато те не отговарят на специфичните нужди на техния пазар на труда. Специфичните за държавата корекции засягат единствено намирането на съответствия за свободни работни места в съответната държава членка.</w:t>
            </w:r>
          </w:p>
        </w:tc>
        <w:tc>
          <w:tcPr>
            <w:tcW w:w="4876" w:type="dxa"/>
            <w:tcBorders>
              <w:top w:val="nil"/>
              <w:left w:val="nil"/>
              <w:bottom w:val="nil"/>
              <w:right w:val="nil"/>
            </w:tcBorders>
          </w:tcPr>
          <w:p>
            <w:pPr>
              <w:pStyle w:val="Normal6a"/>
            </w:pPr>
            <w:r>
              <w:t xml:space="preserve">Участващите държави членки може да решат да добавят професии с недостиг на работна ръка на 4-цифрено ниво по ISCO-08, за да задоволят специфичните нужди на своя пазар на труда </w:t>
            </w:r>
            <w:r>
              <w:rPr>
                <w:b/>
                <w:i/>
              </w:rPr>
              <w:t>на национално или регионално равнище или своите цели в областта на миграционната политика</w:t>
            </w:r>
            <w:r>
              <w:t xml:space="preserve">. Те може също така да решат да премахнат професии с недостиг на работна ръка от общоевропейския списък, когато те не отговарят на специфичните нужди на техния пазар на труда </w:t>
            </w:r>
            <w:r>
              <w:rPr>
                <w:b/>
                <w:i/>
              </w:rPr>
              <w:t>на национално или регионално равнище или на техните цели в областта на миграционната политика</w:t>
            </w:r>
            <w:r>
              <w:t>. Специфичните за държавата корекции засягат единствено намирането на съответствия за свободни работни места в съответната държава членка.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614</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15 – параграф 1 – алинея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Участващите държави</w:t>
            </w:r>
            <w:r>
              <w:t xml:space="preserve"> членки може да решат да добавят професии с недостиг на работна ръка на 4-цифрено ниво по ISCO-08, за да задоволят специфичните нужди на своя пазар на труда. Те може също така да решат да премахнат професии с недостиг на работна ръка от общоевропейския списък, когато те не отговарят на специфичните нужди на техния пазар на труда. </w:t>
            </w:r>
            <w:r>
              <w:rPr>
                <w:b/>
                <w:i/>
              </w:rPr>
              <w:t>Специфичните за държавата корекции засягат единствено намирането на съответствия за свободни работни места в съответната държава членка.</w:t>
            </w:r>
          </w:p>
        </w:tc>
        <w:tc>
          <w:tcPr>
            <w:tcW w:w="4876" w:type="dxa"/>
            <w:tcBorders>
              <w:top w:val="nil"/>
              <w:left w:val="nil"/>
              <w:bottom w:val="nil"/>
              <w:right w:val="nil"/>
            </w:tcBorders>
          </w:tcPr>
          <w:p>
            <w:pPr>
              <w:pStyle w:val="Normal6a"/>
            </w:pPr>
            <w:r>
              <w:rPr>
                <w:b/>
                <w:i/>
              </w:rPr>
              <w:t>Държавите</w:t>
            </w:r>
            <w:r>
              <w:t xml:space="preserve"> членки може да решат да добавят професии с недостиг на работна ръка на 4-цифрено ниво по ISCO-08, за да задоволят специфичните нужди на своя пазар на труда. Те може също така да решат да премахнат професии с недостиг на работна ръка от общоевропейския списък, когато те не отговарят на специфичните нужди на техния пазар на труда.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615</w:t>
      </w:r>
      <w:r>
        <w:rPr>
          <w:rStyle w:val="HideTWBExt"/>
        </w:rPr>
        <w:t>&lt;/NumAm&gt;</w:t>
      </w:r>
    </w:p>
    <w:p>
      <w:pPr>
        <w:pStyle w:val="NormalBold"/>
      </w:pPr>
      <w:r>
        <w:rPr>
          <w:rStyle w:val="HideTWBExt"/>
          <w:b w:val="0"/>
        </w:rPr>
        <w:t>&lt;RepeatBlock-By&gt;</w:t>
      </w:r>
      <w:r>
        <w:rPr>
          <w:rStyle w:val="HideTWBExt"/>
          <w:b w:val="0"/>
        </w:rPr>
        <w:t>&lt;Members&gt;</w:t>
      </w:r>
      <w:r>
        <w:t>Ян-Кристоф Йотен, Абир Ал-Сахлани, Хилде Вотманс, Ирена Йовева, Луция Яр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15 – параграф 1 – алинея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Участващите държави членки може да решат да добавят професии с недостиг на работна ръка на 4-цифрено ниво по ISCO-08, за да задоволят специфичните нужди на своя пазар на труда. Те може също така да решат да премахнат професии с недостиг на работна ръка от общоевропейския списък, когато те не отговарят на специфичните нужди на техния пазар на труда. Специфичните за държавата корекции </w:t>
            </w:r>
            <w:r>
              <w:rPr>
                <w:b/>
                <w:i/>
              </w:rPr>
              <w:t>засягат единствено намирането на съответствия за свободни работни места</w:t>
            </w:r>
            <w:r>
              <w:t xml:space="preserve"> в съответната държава членка.</w:t>
            </w:r>
          </w:p>
        </w:tc>
        <w:tc>
          <w:tcPr>
            <w:tcW w:w="4876" w:type="dxa"/>
            <w:tcBorders>
              <w:top w:val="nil"/>
              <w:left w:val="nil"/>
              <w:bottom w:val="nil"/>
              <w:right w:val="nil"/>
            </w:tcBorders>
          </w:tcPr>
          <w:p>
            <w:pPr>
              <w:pStyle w:val="Normal6a"/>
            </w:pPr>
            <w:r>
              <w:t xml:space="preserve">Участващите държави членки може да решат да добавят професии с недостиг на работна ръка на 4-цифрено ниво по ISCO-08, за да задоволят специфичните нужди на своя пазар на труда. Те може също така да решат да премахнат професии с недостиг на работна ръка от общоевропейския списък, когато те не отговарят на специфичните нужди на техния пазар на труда. Специфичните за държавата корекции </w:t>
            </w:r>
            <w:r>
              <w:rPr>
                <w:b/>
                <w:i/>
              </w:rPr>
              <w:t>служат като ориентир за търсещите работа относно специфичните нужди на пазара на труда</w:t>
            </w:r>
            <w:r>
              <w:t xml:space="preserve"> в съответната държава членка.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616</w:t>
      </w:r>
      <w:r>
        <w:rPr>
          <w:rStyle w:val="HideTWBExt"/>
        </w:rPr>
        <w:t>&lt;/NumAm&gt;</w:t>
      </w:r>
    </w:p>
    <w:p>
      <w:pPr>
        <w:pStyle w:val="NormalBold"/>
      </w:pPr>
      <w:r>
        <w:rPr>
          <w:rStyle w:val="HideTWBExt"/>
          <w:b w:val="0"/>
        </w:rPr>
        <w:t>&lt;RepeatBlock-By&gt;</w:t>
      </w:r>
      <w:r>
        <w:rPr>
          <w:rStyle w:val="HideTWBExt"/>
          <w:b w:val="0"/>
        </w:rPr>
        <w:t>&lt;Members&gt;</w:t>
      </w:r>
      <w:r>
        <w:t>Лена Дюпон, Томас Тобé, Алис Теодореску Мове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15 – параграф 1 – алинея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Участващите държави членки може да решат да добавят професии с недостиг на работна ръка на 4-цифрено ниво по ISCO-08, за да задоволят специфичните </w:t>
            </w:r>
            <w:r>
              <w:rPr>
                <w:b/>
                <w:i/>
              </w:rPr>
              <w:t>нужди на своя пазар на труда</w:t>
            </w:r>
            <w:r>
              <w:t xml:space="preserve">. Те може също така да решат да премахнат професии с недостиг на работна ръка от общоевропейския списък, когато те не отговарят на специфичните </w:t>
            </w:r>
            <w:r>
              <w:rPr>
                <w:b/>
                <w:i/>
              </w:rPr>
              <w:t>нужди на техния пазар на труда</w:t>
            </w:r>
            <w:r>
              <w:t>. Специфичните за държавата корекции засягат единствено намирането на съответствия за свободни работни места в съответната държава членка.</w:t>
            </w:r>
          </w:p>
        </w:tc>
        <w:tc>
          <w:tcPr>
            <w:tcW w:w="4876" w:type="dxa"/>
            <w:tcBorders>
              <w:top w:val="nil"/>
              <w:left w:val="nil"/>
              <w:bottom w:val="nil"/>
              <w:right w:val="nil"/>
            </w:tcBorders>
          </w:tcPr>
          <w:p>
            <w:pPr>
              <w:pStyle w:val="Normal6a"/>
            </w:pPr>
            <w:r>
              <w:t xml:space="preserve">Участващите държави членки може да решат да добавят професии с недостиг на работна ръка на 4-цифрено ниво по ISCO-08, за да задоволят специфичните </w:t>
            </w:r>
            <w:r>
              <w:rPr>
                <w:b/>
                <w:i/>
              </w:rPr>
              <w:t>си нужди и цели</w:t>
            </w:r>
            <w:r>
              <w:t xml:space="preserve">. Те може също така да решат да премахнат професии с недостиг на работна ръка от общоевропейския списък, когато те не отговарят на специфичните </w:t>
            </w:r>
            <w:r>
              <w:rPr>
                <w:b/>
                <w:i/>
              </w:rPr>
              <w:t>им нужди и цели</w:t>
            </w:r>
            <w:r>
              <w:t>. Специфичните за държавата корекции засягат единствено намирането на съответствия за свободни работни места в съответната държава членка.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617</w:t>
      </w:r>
      <w:r>
        <w:rPr>
          <w:rStyle w:val="HideTWBExt"/>
        </w:rPr>
        <w:t>&lt;/NumAm&gt;</w:t>
      </w:r>
    </w:p>
    <w:p>
      <w:pPr>
        <w:pStyle w:val="NormalBold"/>
      </w:pPr>
      <w:r>
        <w:rPr>
          <w:rStyle w:val="HideTWBExt"/>
          <w:b w:val="0"/>
        </w:rPr>
        <w:t>&lt;RepeatBlock-By&gt;</w:t>
      </w:r>
      <w:r>
        <w:rPr>
          <w:rStyle w:val="HideTWBExt"/>
          <w:b w:val="0"/>
        </w:rPr>
        <w:t>&lt;Members&gt;</w:t>
      </w:r>
      <w:r>
        <w:t>Чарли Веймерс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15 – параграф 1 – алинея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Националните звена за контакт на резерва на ЕС от таланти на държавите членки, които са уведомили за своето участие в резерва на ЕС от таланти съгласно член 3, уведомяват за всяко добавяне или премахване на професия от списъка с професиите с недостиг на работна ръка на общоевропейско равнище най-късно три месеца преди присъединяването към резерва на ЕС от таланти.</w:t>
            </w:r>
          </w:p>
        </w:tc>
        <w:tc>
          <w:tcPr>
            <w:tcW w:w="4876" w:type="dxa"/>
            <w:tcBorders>
              <w:top w:val="nil"/>
              <w:left w:val="nil"/>
              <w:bottom w:val="nil"/>
              <w:right w:val="nil"/>
            </w:tcBorders>
          </w:tcPr>
          <w:p>
            <w:pPr>
              <w:pStyle w:val="Normal6a"/>
            </w:pPr>
            <w:r>
              <w:rPr>
                <w:b/>
                <w:i/>
              </w:rPr>
              <w:t>заличава се</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618</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15 – параграф 1 – алинея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Националните звена за контакт на резерва на ЕС от таланти на държавите членки, които са уведомили за своето участие в резерва на ЕС от таланти съгласно член 3, уведомяват за всяко добавяне или премахване на професия от списъка с професиите с недостиг на работна ръка на общоевропейско равнище </w:t>
            </w:r>
            <w:r>
              <w:rPr>
                <w:b/>
                <w:i/>
              </w:rPr>
              <w:t>най-късно три месеца преди присъединяването към резерва на ЕС от таланти</w:t>
            </w:r>
            <w:r>
              <w:t>.</w:t>
            </w:r>
          </w:p>
        </w:tc>
        <w:tc>
          <w:tcPr>
            <w:tcW w:w="4876" w:type="dxa"/>
            <w:tcBorders>
              <w:top w:val="nil"/>
              <w:left w:val="nil"/>
              <w:bottom w:val="nil"/>
              <w:right w:val="nil"/>
            </w:tcBorders>
          </w:tcPr>
          <w:p>
            <w:pPr>
              <w:pStyle w:val="Normal6a"/>
            </w:pPr>
            <w:r>
              <w:t>Националните звена за контакт на резерва на ЕС от таланти на държавите членки, които са уведомили за своето участие в резерва на ЕС от таланти съгласно член 3, уведомяват за всяко добавяне или премахване на професия от списъка с професиите с недостиг на работна ръка на общоевропейско равнище.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619</w:t>
      </w:r>
      <w:r>
        <w:rPr>
          <w:rStyle w:val="HideTWBExt"/>
        </w:rPr>
        <w:t>&lt;/NumAm&gt;</w:t>
      </w:r>
    </w:p>
    <w:p>
      <w:pPr>
        <w:pStyle w:val="NormalBold"/>
      </w:pPr>
      <w:r>
        <w:rPr>
          <w:rStyle w:val="HideTWBExt"/>
          <w:b w:val="0"/>
        </w:rPr>
        <w:t>&lt;RepeatBlock-By&gt;</w:t>
      </w:r>
      <w:r>
        <w:rPr>
          <w:rStyle w:val="HideTWBExt"/>
          <w:b w:val="0"/>
        </w:rPr>
        <w:t>&lt;Members&gt;</w:t>
      </w:r>
      <w:r>
        <w:t>Том Вандендрисе, Петра Щегер, Ярослав Бжох, Фабрис Леджери, Антонио Танжер Кореа,  Хорхе Бусаде Виялба, Марике Елерс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15 – параграф 1 – алинея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Националните звена за контакт на резерва на ЕС от таланти на държавите членки, </w:t>
            </w:r>
            <w:r>
              <w:rPr>
                <w:b/>
                <w:i/>
              </w:rPr>
              <w:t>които са уведомили за своето участие</w:t>
            </w:r>
            <w:r>
              <w:t xml:space="preserve"> в резерва на ЕС от таланти </w:t>
            </w:r>
            <w:r>
              <w:rPr>
                <w:b/>
                <w:i/>
              </w:rPr>
              <w:t>съгласно член 3</w:t>
            </w:r>
            <w:r>
              <w:t xml:space="preserve">, уведомяват за всяко добавяне или премахване на професия от списъка с професиите с недостиг на работна ръка </w:t>
            </w:r>
            <w:r>
              <w:rPr>
                <w:b/>
                <w:i/>
              </w:rPr>
              <w:t>на общоевропейско равнище най-късно три месеца преди присъединяването към резерва на ЕС от таланти</w:t>
            </w:r>
            <w:r>
              <w:t>.</w:t>
            </w:r>
          </w:p>
        </w:tc>
        <w:tc>
          <w:tcPr>
            <w:tcW w:w="4876" w:type="dxa"/>
            <w:tcBorders>
              <w:top w:val="nil"/>
              <w:left w:val="nil"/>
              <w:bottom w:val="nil"/>
              <w:right w:val="nil"/>
            </w:tcBorders>
          </w:tcPr>
          <w:p>
            <w:pPr>
              <w:pStyle w:val="Normal6a"/>
            </w:pPr>
            <w:r>
              <w:t xml:space="preserve">Националните звена за контакт на резерва на ЕС от таланти на държавите членки, </w:t>
            </w:r>
            <w:r>
              <w:rPr>
                <w:b/>
                <w:i/>
              </w:rPr>
              <w:t>участващи</w:t>
            </w:r>
            <w:r>
              <w:t xml:space="preserve"> в резерва на ЕС от таланти, уведомяват за всяко добавяне или премахване на професия от списъка с професиите с недостиг на работна ръка </w:t>
            </w:r>
            <w:r>
              <w:rPr>
                <w:b/>
                <w:i/>
              </w:rPr>
              <w:t>с цел изменение на приложението</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620</w:t>
      </w:r>
      <w:r>
        <w:rPr>
          <w:rStyle w:val="HideTWBExt"/>
        </w:rPr>
        <w:t>&lt;/NumAm&gt;</w:t>
      </w:r>
    </w:p>
    <w:p>
      <w:pPr>
        <w:pStyle w:val="NormalBold"/>
      </w:pPr>
      <w:r>
        <w:rPr>
          <w:rStyle w:val="HideTWBExt"/>
          <w:b w:val="0"/>
        </w:rPr>
        <w:t>&lt;RepeatBlock-By&gt;</w:t>
      </w:r>
      <w:r>
        <w:rPr>
          <w:rStyle w:val="HideTWBExt"/>
          <w:b w:val="0"/>
        </w:rPr>
        <w:t>&lt;Members&gt;</w:t>
      </w:r>
      <w:r>
        <w:t>Чарли Веймерс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15 – параграф 1 – алинея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Националните звена за контакт на резерва на ЕС от таланти на участващите държави членки уведомяват за всяко добавяне или премахване на професия от списъка на професиите с недостиг на работна ръка на общоевропейско равнище в срок от 3 месеца след измененията в приложението.</w:t>
            </w:r>
          </w:p>
        </w:tc>
        <w:tc>
          <w:tcPr>
            <w:tcW w:w="4876" w:type="dxa"/>
            <w:tcBorders>
              <w:top w:val="nil"/>
              <w:left w:val="nil"/>
              <w:bottom w:val="nil"/>
              <w:right w:val="nil"/>
            </w:tcBorders>
          </w:tcPr>
          <w:p>
            <w:pPr>
              <w:pStyle w:val="Normal6a"/>
            </w:pPr>
            <w:r>
              <w:rPr>
                <w:b/>
                <w:i/>
              </w:rPr>
              <w:t>заличава се</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621</w:t>
      </w:r>
      <w:r>
        <w:rPr>
          <w:rStyle w:val="HideTWBExt"/>
        </w:rPr>
        <w:t>&lt;/NumAm&gt;</w:t>
      </w:r>
    </w:p>
    <w:p>
      <w:pPr>
        <w:pStyle w:val="NormalBold"/>
      </w:pPr>
      <w:r>
        <w:rPr>
          <w:rStyle w:val="HideTWBExt"/>
          <w:b w:val="0"/>
        </w:rPr>
        <w:t>&lt;RepeatBlock-By&gt;</w:t>
      </w:r>
      <w:r>
        <w:rPr>
          <w:rStyle w:val="HideTWBExt"/>
          <w:b w:val="0"/>
        </w:rPr>
        <w:t>&lt;Members&gt;</w:t>
      </w:r>
      <w:r>
        <w:t>Том Вандендрисе, Петра Щегер, Ярослав Бжох, Фабрис Леджери, Антонио Танжер Кореа,  Хорхе Бусаде Виялба, Марике Елерс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15 – параграф 1 – алинея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Националните звена за контакт на резерва на ЕС от таланти на участващите държави членки уведомяват за всяко добавяне или премахване на професия от списъка на професиите с недостиг на работна ръка на общоевропейско равнище в срок от 3 месеца след измененията в приложението.</w:t>
            </w:r>
          </w:p>
        </w:tc>
        <w:tc>
          <w:tcPr>
            <w:tcW w:w="4876" w:type="dxa"/>
            <w:tcBorders>
              <w:top w:val="nil"/>
              <w:left w:val="nil"/>
              <w:bottom w:val="nil"/>
              <w:right w:val="nil"/>
            </w:tcBorders>
          </w:tcPr>
          <w:p>
            <w:pPr>
              <w:pStyle w:val="Normal6a"/>
            </w:pPr>
            <w:r>
              <w:rPr>
                <w:b/>
                <w:i/>
              </w:rPr>
              <w:t>заличава се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622</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15 – параграф 1 – алинея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Националните звена за контакт на резерва на ЕС от таланти на </w:t>
            </w:r>
            <w:r>
              <w:rPr>
                <w:b/>
                <w:i/>
              </w:rPr>
              <w:t>участващите държави</w:t>
            </w:r>
            <w:r>
              <w:t xml:space="preserve"> членки уведомяват за всяко добавяне или премахване на професия от списъка на професиите с недостиг на работна ръка на общоевропейско равнище в срок от 3 месеца след измененията в приложението.</w:t>
            </w:r>
          </w:p>
        </w:tc>
        <w:tc>
          <w:tcPr>
            <w:tcW w:w="4876" w:type="dxa"/>
            <w:tcBorders>
              <w:top w:val="nil"/>
              <w:left w:val="nil"/>
              <w:bottom w:val="nil"/>
              <w:right w:val="nil"/>
            </w:tcBorders>
          </w:tcPr>
          <w:p>
            <w:pPr>
              <w:pStyle w:val="Normal6a"/>
            </w:pPr>
            <w:r>
              <w:t xml:space="preserve">Националните звена за контакт на резерва на ЕС от таланти на </w:t>
            </w:r>
            <w:r>
              <w:rPr>
                <w:b/>
                <w:i/>
              </w:rPr>
              <w:t>държавите</w:t>
            </w:r>
            <w:r>
              <w:t xml:space="preserve"> членки уведомяват за всяко добавяне или премахване на професия от списъка на професиите с недостиг на работна ръка на общоевропейско равнище в срок от 3 месеца след измененията в приложението.</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623</w:t>
      </w:r>
      <w:r>
        <w:rPr>
          <w:rStyle w:val="HideTWBExt"/>
        </w:rPr>
        <w:t>&lt;/NumAm&gt;</w:t>
      </w:r>
    </w:p>
    <w:p>
      <w:pPr>
        <w:pStyle w:val="NormalBold"/>
      </w:pPr>
      <w:r>
        <w:rPr>
          <w:rStyle w:val="HideTWBExt"/>
          <w:b w:val="0"/>
        </w:rPr>
        <w:t>&lt;RepeatBlock-By&gt;</w:t>
      </w:r>
      <w:r>
        <w:rPr>
          <w:rStyle w:val="HideTWBExt"/>
          <w:b w:val="0"/>
        </w:rPr>
        <w:t>&lt;Members&gt;</w:t>
      </w:r>
      <w:r>
        <w:t>Чарли Веймерс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15 – параграф 1 – алинея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Националните звена за контакт на резерва на ЕС от таланти може да уведомяват секретариата на резерва на ЕС от таланти за добавяне и премахване на професии от списъка на професиите с недостиг на работна ръка на общоевропейско равнище най-много веднъж годишно.</w:t>
            </w:r>
          </w:p>
        </w:tc>
        <w:tc>
          <w:tcPr>
            <w:tcW w:w="4876" w:type="dxa"/>
            <w:tcBorders>
              <w:top w:val="nil"/>
              <w:left w:val="nil"/>
              <w:bottom w:val="nil"/>
              <w:right w:val="nil"/>
            </w:tcBorders>
          </w:tcPr>
          <w:p>
            <w:pPr>
              <w:pStyle w:val="Normal6a"/>
            </w:pPr>
            <w:r>
              <w:rPr>
                <w:b/>
                <w:i/>
              </w:rPr>
              <w:t>заличава се</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624</w:t>
      </w:r>
      <w:r>
        <w:rPr>
          <w:rStyle w:val="HideTWBExt"/>
        </w:rPr>
        <w:t>&lt;/NumAm&gt;</w:t>
      </w:r>
    </w:p>
    <w:p>
      <w:pPr>
        <w:pStyle w:val="NormalBold"/>
      </w:pPr>
      <w:r>
        <w:rPr>
          <w:rStyle w:val="HideTWBExt"/>
          <w:b w:val="0"/>
        </w:rPr>
        <w:t>&lt;RepeatBlock-By&gt;</w:t>
      </w:r>
      <w:r>
        <w:rPr>
          <w:rStyle w:val="HideTWBExt"/>
          <w:b w:val="0"/>
        </w:rPr>
        <w:t>&lt;Members&gt;</w:t>
      </w:r>
      <w:r>
        <w:t>Том Вандендрисе, Петра Щегер, Ярослав Бжох, Фабрис Леджери, Антонио Танжер Кореа,  Хорхе Бусаде Виялба, Марике Елерс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15 – параграф 1 – алинея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Националните звена за контакт на резерва на ЕС от таланти може да уведомяват секретариата на резерва на ЕС от таланти за добавяне и премахване на професии от списъка на професиите с недостиг на работна ръка на общоевропейско равнище най-много веднъж годишно.</w:t>
            </w:r>
          </w:p>
        </w:tc>
        <w:tc>
          <w:tcPr>
            <w:tcW w:w="4876" w:type="dxa"/>
            <w:tcBorders>
              <w:top w:val="nil"/>
              <w:left w:val="nil"/>
              <w:bottom w:val="nil"/>
              <w:right w:val="nil"/>
            </w:tcBorders>
          </w:tcPr>
          <w:p>
            <w:pPr>
              <w:pStyle w:val="Normal6a"/>
            </w:pPr>
            <w:r>
              <w:rPr>
                <w:b/>
                <w:i/>
              </w:rPr>
              <w:t>заличава се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625</w:t>
      </w:r>
      <w:r>
        <w:rPr>
          <w:rStyle w:val="HideTWBExt"/>
        </w:rPr>
        <w:t>&lt;/NumAm&gt;</w:t>
      </w:r>
    </w:p>
    <w:p>
      <w:pPr>
        <w:pStyle w:val="NormalBold"/>
      </w:pPr>
      <w:r>
        <w:rPr>
          <w:rStyle w:val="HideTWBExt"/>
          <w:b w:val="0"/>
        </w:rPr>
        <w:t>&lt;RepeatBlock-By&gt;</w:t>
      </w:r>
      <w:r>
        <w:rPr>
          <w:rStyle w:val="HideTWBExt"/>
          <w:b w:val="0"/>
        </w:rPr>
        <w:t>&lt;Members&gt;</w:t>
      </w:r>
      <w:r>
        <w:t>Ян-Кристоф Йотен, Хилде Вотманс, Вероника Цифрова Острихоньова</w:t>
      </w:r>
      <w:r>
        <w:rPr>
          <w:rStyle w:val="HideTWBExt"/>
          <w:b w:val="0"/>
        </w:rPr>
        <w:t>&lt;/Members&gt;</w:t>
      </w:r>
    </w:p>
    <w:p>
      <w:r>
        <w:rPr>
          <w:rStyle w:val="HideTWBExt"/>
          <w:b w:val="0"/>
        </w:rPr>
        <w:t>&lt;AuNomDe&gt;</w:t>
      </w:r>
      <w:r>
        <w:rPr>
          <w:rStyle w:val="HideTWBInt"/>
        </w:rPr>
        <w:t>{LIBE}</w:t>
      </w:r>
      <w:r>
        <w:t>от името на комисията по граждански свободи, правосъдие и вътрешни работи</w:t>
      </w:r>
      <w:r>
        <w:rPr>
          <w:rStyle w:val="HideTWBExt"/>
          <w:b w:val="0"/>
        </w:rPr>
        <w:t>&lt;/AuNomDe&gt;</w:t>
      </w:r>
    </w:p>
    <w:p>
      <w:pPr>
        <w:pStyle w:val="NormalBold"/>
      </w:pPr>
      <w:r>
        <w:rPr>
          <w:rStyle w:val="HideTWBExt"/>
          <w:b w:val="0"/>
        </w:rPr>
        <w:t>&lt;Members&gt;</w:t>
      </w:r>
      <w:r>
        <w:t>Софи Вилмес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15 – параграф 1 – алинея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Националните звена за контакт на резерва на ЕС от таланти може да уведомяват секретариата на резерва на ЕС от таланти за добавяне и премахване на професии от списъка на професиите с недостиг на работна ръка на общоевропейско равнище най-много веднъж годишно.</w:t>
            </w:r>
          </w:p>
        </w:tc>
        <w:tc>
          <w:tcPr>
            <w:tcW w:w="4876" w:type="dxa"/>
            <w:tcBorders>
              <w:top w:val="nil"/>
              <w:left w:val="nil"/>
              <w:bottom w:val="nil"/>
              <w:right w:val="nil"/>
            </w:tcBorders>
          </w:tcPr>
          <w:p>
            <w:pPr>
              <w:pStyle w:val="Normal6a"/>
            </w:pPr>
            <w:r>
              <w:t xml:space="preserve">Националните звена за контакт на резерва на ЕС от таланти може да уведомяват секретариата на резерва на ЕС от таланти за добавяне и премахване на професии от списъка на професиите с недостиг на работна ръка на общоевропейско равнище най-много веднъж годишно. </w:t>
            </w:r>
            <w:r>
              <w:rPr>
                <w:b/>
                <w:i/>
              </w:rPr>
              <w:t>Той взема под внимание институционалната структура и разпределението на компетенциите във всяка държава членка.</w:t>
            </w:r>
            <w:r>
              <w:t xml:space="preserve"> </w:t>
            </w:r>
            <w:r>
              <w:rPr>
                <w:b/>
                <w:i/>
              </w:rPr>
              <w:t>Националните звена за контакт осигуряват ефективна координация и цялостно съгласуване на информацията от всички нива на управление.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626</w:t>
      </w:r>
      <w:r>
        <w:rPr>
          <w:rStyle w:val="HideTWBExt"/>
        </w:rPr>
        <w:t>&lt;/NumAm&gt;</w:t>
      </w:r>
    </w:p>
    <w:p>
      <w:pPr>
        <w:pStyle w:val="NormalBold"/>
      </w:pPr>
      <w:r>
        <w:rPr>
          <w:rStyle w:val="HideTWBExt"/>
          <w:b w:val="0"/>
        </w:rPr>
        <w:t>&lt;RepeatBlock-By&gt;</w:t>
      </w:r>
      <w:r>
        <w:rPr>
          <w:rStyle w:val="HideTWBExt"/>
          <w:b w:val="0"/>
        </w:rPr>
        <w:t>&lt;Members&gt;</w:t>
      </w:r>
      <w:r>
        <w:t>Себастиан Тюнкюнен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15 – параграф 1 – алинея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Националните звена за контакт на резерва на ЕС от таланти може да уведомяват секретариата на резерва на ЕС от таланти за добавяне и премахване на професии от списъка на професиите с недостиг на работна ръка на общоевропейско равнище </w:t>
            </w:r>
            <w:r>
              <w:rPr>
                <w:b/>
                <w:i/>
              </w:rPr>
              <w:t>най-много</w:t>
            </w:r>
            <w:r>
              <w:t xml:space="preserve"> веднъж </w:t>
            </w:r>
            <w:r>
              <w:rPr>
                <w:b/>
                <w:i/>
              </w:rPr>
              <w:t>годишно</w:t>
            </w:r>
            <w:r>
              <w:t>.</w:t>
            </w:r>
          </w:p>
        </w:tc>
        <w:tc>
          <w:tcPr>
            <w:tcW w:w="4876" w:type="dxa"/>
            <w:tcBorders>
              <w:top w:val="nil"/>
              <w:left w:val="nil"/>
              <w:bottom w:val="nil"/>
              <w:right w:val="nil"/>
            </w:tcBorders>
          </w:tcPr>
          <w:p>
            <w:pPr>
              <w:pStyle w:val="Normal6a"/>
            </w:pPr>
            <w:r>
              <w:t xml:space="preserve">Националните звена за контакт на резерва на ЕС от таланти може да уведомяват секретариата на резерва на ЕС от таланти за добавяне и премахване на професии от списъка на професиите с недостиг на работна ръка на общоевропейско равнище </w:t>
            </w:r>
            <w:r>
              <w:rPr>
                <w:b/>
                <w:i/>
              </w:rPr>
              <w:t>не по-често от</w:t>
            </w:r>
            <w:r>
              <w:t xml:space="preserve"> веднъж </w:t>
            </w:r>
            <w:r>
              <w:rPr>
                <w:b/>
                <w:i/>
              </w:rPr>
              <w:t>на всеки шест месеца</w:t>
            </w:r>
            <w:r>
              <w:t>.</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627</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15 – параграф 1 – алинея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Националните звена за контакт на резерва на ЕС от таланти може да уведомяват секретариата на резерва на ЕС от таланти за добавяне и премахване на професии от списъка на професиите с недостиг на работна ръка на общоевропейско равнище </w:t>
            </w:r>
            <w:r>
              <w:rPr>
                <w:b/>
                <w:i/>
              </w:rPr>
              <w:t>най-много веднъж годишно</w:t>
            </w:r>
            <w:r>
              <w:t>.</w:t>
            </w:r>
          </w:p>
        </w:tc>
        <w:tc>
          <w:tcPr>
            <w:tcW w:w="4876" w:type="dxa"/>
            <w:tcBorders>
              <w:top w:val="nil"/>
              <w:left w:val="nil"/>
              <w:bottom w:val="nil"/>
              <w:right w:val="nil"/>
            </w:tcBorders>
          </w:tcPr>
          <w:p>
            <w:pPr>
              <w:pStyle w:val="Normal6a"/>
            </w:pPr>
            <w:r>
              <w:t xml:space="preserve">Националните звена за контакт на резерва на ЕС от таланти може да уведомяват секретариата на резерва на ЕС от таланти за добавяне и премахване на професии от списъка на професиите с недостиг на работна ръка на общоевропейско равнище </w:t>
            </w:r>
            <w:r>
              <w:rPr>
                <w:b/>
                <w:i/>
              </w:rPr>
              <w:t>на всеки шест месеца</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628</w:t>
      </w:r>
      <w:r>
        <w:rPr>
          <w:rStyle w:val="HideTWBExt"/>
        </w:rPr>
        <w:t>&lt;/NumAm&gt;</w:t>
      </w:r>
    </w:p>
    <w:p>
      <w:pPr>
        <w:pStyle w:val="NormalBold"/>
      </w:pPr>
      <w:r>
        <w:rPr>
          <w:rStyle w:val="HideTWBExt"/>
          <w:b w:val="0"/>
        </w:rPr>
        <w:t>&lt;RepeatBlock-By&gt;</w:t>
      </w:r>
      <w:r>
        <w:rPr>
          <w:rStyle w:val="HideTWBExt"/>
          <w:b w:val="0"/>
        </w:rPr>
        <w:t>&lt;Members&gt;</w:t>
      </w:r>
      <w:r>
        <w:t>Ян-Кристоф Йотен, Абир Ал-Сахлани, Луция Яр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15 – параграф 1 – алинея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Националните звена за контакт на резерва на ЕС от таланти може да уведомяват секретариата на резерва на ЕС от таланти за добавяне и премахване на професии от списъка на професиите с недостиг на работна ръка на общоевропейско равнище </w:t>
            </w:r>
            <w:r>
              <w:rPr>
                <w:b/>
                <w:i/>
              </w:rPr>
              <w:t>най-много веднъж годишно</w:t>
            </w:r>
            <w:r>
              <w:t>.</w:t>
            </w:r>
          </w:p>
        </w:tc>
        <w:tc>
          <w:tcPr>
            <w:tcW w:w="4876" w:type="dxa"/>
            <w:tcBorders>
              <w:top w:val="nil"/>
              <w:left w:val="nil"/>
              <w:bottom w:val="nil"/>
              <w:right w:val="nil"/>
            </w:tcBorders>
          </w:tcPr>
          <w:p>
            <w:pPr>
              <w:pStyle w:val="Normal6a"/>
            </w:pPr>
            <w:r>
              <w:t>Националните звена за контакт на резерва на ЕС от таланти може да уведомяват секретариата на резерва на ЕС от таланти за добавяне и премахване на професии от списъка на професиите с недостиг на работна ръка на общоевропейско равнище.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629</w:t>
      </w:r>
      <w:r>
        <w:rPr>
          <w:rStyle w:val="HideTWBExt"/>
        </w:rPr>
        <w:t>&lt;/NumAm&gt;</w:t>
      </w:r>
    </w:p>
    <w:p>
      <w:pPr>
        <w:pStyle w:val="NormalBold"/>
      </w:pPr>
      <w:r>
        <w:rPr>
          <w:rStyle w:val="HideTWBExt"/>
          <w:b w:val="0"/>
        </w:rPr>
        <w:t>&lt;RepeatBlock-By&gt;</w:t>
      </w:r>
      <w:r>
        <w:rPr>
          <w:rStyle w:val="HideTWBExt"/>
          <w:b w:val="0"/>
        </w:rPr>
        <w:t>&lt;Members&gt;</w:t>
      </w:r>
      <w:r>
        <w:t>Том Вандендрисе, Петра Щегер, Ярослав Бжох, Фабрис Леджери, Антонио Танжер Кореа,  Хорхе Бусаде Виялба, Марике Елерс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15 – параграф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Секретариатът на резерва на ЕС от таланти публикува на ИТ платформата на резерва на ЕС от таланти корекциите в списъка </w:t>
            </w:r>
            <w:r>
              <w:rPr>
                <w:b/>
                <w:i/>
              </w:rPr>
              <w:t>на професиите с недостиг на работна ръка на общоевропейско равнище</w:t>
            </w:r>
            <w:r>
              <w:t>, за които са уведомени звената за контакт на резерва на ЕС от таланти.</w:t>
            </w:r>
          </w:p>
        </w:tc>
        <w:tc>
          <w:tcPr>
            <w:tcW w:w="4876" w:type="dxa"/>
            <w:tcBorders>
              <w:top w:val="nil"/>
              <w:left w:val="nil"/>
              <w:bottom w:val="nil"/>
              <w:right w:val="nil"/>
            </w:tcBorders>
          </w:tcPr>
          <w:p>
            <w:pPr>
              <w:pStyle w:val="Normal6a"/>
            </w:pPr>
            <w:r>
              <w:t>2.</w:t>
            </w:r>
            <w:r>
              <w:tab/>
            </w:r>
            <w:r>
              <w:t>Секретариатът на резерва на ЕС от таланти публикува на ИТ платформата на резерва на ЕС от таланти корекциите в списъка, за които са уведомени звената за контакт на резерва на ЕС от таланти.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630</w:t>
      </w:r>
      <w:r>
        <w:rPr>
          <w:rStyle w:val="HideTWBExt"/>
        </w:rPr>
        <w:t>&lt;/NumAm&gt;</w:t>
      </w:r>
    </w:p>
    <w:p>
      <w:pPr>
        <w:pStyle w:val="NormalBold"/>
      </w:pPr>
      <w:r>
        <w:rPr>
          <w:rStyle w:val="HideTWBExt"/>
          <w:b w:val="0"/>
        </w:rPr>
        <w:t>&lt;RepeatBlock-By&gt;</w:t>
      </w:r>
      <w:r>
        <w:rPr>
          <w:rStyle w:val="HideTWBExt"/>
          <w:b w:val="0"/>
        </w:rPr>
        <w:t>&lt;Members&gt;</w:t>
      </w:r>
      <w:r>
        <w:t>Чарли Веймерс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15 – параграф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tab/>
            </w:r>
            <w:r>
              <w:rPr>
                <w:b/>
                <w:i/>
              </w:rPr>
              <w:t>Националните звена за контакт на резерва на ЕС от таланти прехвърлят на ИТ платформата на резерва на ЕС от таланти само онези свободни работни места, които съответстват на списъка на професиите с недостиг на работна ръка на общоевропейско равнище, като се вземат предвид корекциите, посочени в параграф 1.</w:t>
            </w:r>
          </w:p>
        </w:tc>
        <w:tc>
          <w:tcPr>
            <w:tcW w:w="4876" w:type="dxa"/>
            <w:tcBorders>
              <w:top w:val="nil"/>
              <w:left w:val="nil"/>
              <w:bottom w:val="nil"/>
              <w:right w:val="nil"/>
            </w:tcBorders>
          </w:tcPr>
          <w:p>
            <w:pPr>
              <w:pStyle w:val="Normal6a"/>
            </w:pPr>
            <w:r>
              <w:rPr>
                <w:b/>
                <w:i/>
              </w:rPr>
              <w:t>заличава се</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631</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15 – параграф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tab/>
            </w:r>
            <w:r>
              <w:rPr>
                <w:b/>
                <w:i/>
              </w:rPr>
              <w:t>Националните звена за контакт на резерва на ЕС от таланти прехвърлят на ИТ платформата на резерва на ЕС от таланти само онези свободни работни места, които съответстват на списъка на професиите с недостиг на работна ръка на общоевропейско равнище, като се вземат предвид корекциите, посочени в параграф 1.</w:t>
            </w:r>
          </w:p>
        </w:tc>
        <w:tc>
          <w:tcPr>
            <w:tcW w:w="4876" w:type="dxa"/>
            <w:tcBorders>
              <w:top w:val="nil"/>
              <w:left w:val="nil"/>
              <w:bottom w:val="nil"/>
              <w:right w:val="nil"/>
            </w:tcBorders>
          </w:tcPr>
          <w:p>
            <w:pPr>
              <w:pStyle w:val="Normal6a"/>
            </w:pPr>
            <w:r>
              <w:rPr>
                <w:b/>
                <w:i/>
              </w:rPr>
              <w:t>заличава се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632</w:t>
      </w:r>
      <w:r>
        <w:rPr>
          <w:rStyle w:val="HideTWBExt"/>
        </w:rPr>
        <w:t>&lt;/NumAm&gt;</w:t>
      </w:r>
    </w:p>
    <w:p>
      <w:pPr>
        <w:pStyle w:val="NormalBold"/>
      </w:pPr>
      <w:r>
        <w:rPr>
          <w:rStyle w:val="HideTWBExt"/>
          <w:b w:val="0"/>
        </w:rPr>
        <w:t>&lt;RepeatBlock-By&gt;</w:t>
      </w:r>
      <w:r>
        <w:rPr>
          <w:rStyle w:val="HideTWBExt"/>
          <w:b w:val="0"/>
        </w:rPr>
        <w:t>&lt;Members&gt;</w:t>
      </w:r>
      <w:r>
        <w:t>Ян-Кристоф Йотен, Абир Ал-Сахлани, Хилде Вотманс, Луция Яр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15 – параграф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tab/>
            </w:r>
            <w:r>
              <w:rPr>
                <w:b/>
                <w:i/>
              </w:rPr>
              <w:t>Националните звена за контакт на резерва на ЕС от таланти прехвърлят на ИТ платформата на резерва на ЕС от таланти само онези свободни работни места, които съответстват на списъка на професиите с недостиг на работна ръка на общоевропейско равнище, като се вземат предвид корекциите, посочени в параграф 1.</w:t>
            </w:r>
          </w:p>
        </w:tc>
        <w:tc>
          <w:tcPr>
            <w:tcW w:w="4876" w:type="dxa"/>
            <w:tcBorders>
              <w:top w:val="nil"/>
              <w:left w:val="nil"/>
              <w:bottom w:val="nil"/>
              <w:right w:val="nil"/>
            </w:tcBorders>
          </w:tcPr>
          <w:p>
            <w:pPr>
              <w:pStyle w:val="Normal6a"/>
            </w:pPr>
            <w:r>
              <w:rPr>
                <w:b/>
                <w:i/>
              </w:rPr>
              <w:t>заличава се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633</w:t>
      </w:r>
      <w:r>
        <w:rPr>
          <w:rStyle w:val="HideTWBExt"/>
        </w:rPr>
        <w:t>&lt;/NumAm&gt;</w:t>
      </w:r>
    </w:p>
    <w:p>
      <w:pPr>
        <w:pStyle w:val="NormalBold"/>
      </w:pPr>
      <w:r>
        <w:rPr>
          <w:rStyle w:val="HideTWBExt"/>
          <w:b w:val="0"/>
        </w:rPr>
        <w:t>&lt;RepeatBlock-By&gt;</w:t>
      </w:r>
      <w:r>
        <w:rPr>
          <w:rStyle w:val="HideTWBExt"/>
          <w:b w:val="0"/>
        </w:rPr>
        <w:t>&lt;Members&gt;</w:t>
      </w:r>
      <w:r>
        <w:t>Том Вандендрисе, Петра Щегер, Ярослав Бжох, Фабрис Леджери, Антонио Танжер Кореа,  Хорхе Бусаде Виялба, Марике Елерс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15 – параграф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Националните звена за контакт на резерва на ЕС от таланти прехвърлят на ИТ платформата на резерва на ЕС от таланти само онези свободни работни места, които съответстват на </w:t>
            </w:r>
            <w:r>
              <w:rPr>
                <w:b/>
                <w:i/>
              </w:rPr>
              <w:t>списъка</w:t>
            </w:r>
            <w:r>
              <w:t xml:space="preserve"> на професиите с недостиг на работна ръка </w:t>
            </w:r>
            <w:r>
              <w:rPr>
                <w:b/>
                <w:i/>
              </w:rPr>
              <w:t>на общоевропейско равнище, като се вземат предвид корекциите, посочени в параграф 1</w:t>
            </w:r>
            <w:r>
              <w:t>.</w:t>
            </w:r>
          </w:p>
        </w:tc>
        <w:tc>
          <w:tcPr>
            <w:tcW w:w="4876" w:type="dxa"/>
            <w:tcBorders>
              <w:top w:val="nil"/>
              <w:left w:val="nil"/>
              <w:bottom w:val="nil"/>
              <w:right w:val="nil"/>
            </w:tcBorders>
          </w:tcPr>
          <w:p>
            <w:pPr>
              <w:pStyle w:val="Normal6a"/>
            </w:pPr>
            <w:r>
              <w:t>3.</w:t>
            </w:r>
            <w:r>
              <w:tab/>
            </w:r>
            <w:r>
              <w:t xml:space="preserve">Националните звена за контакт на резерва на ЕС от таланти прехвърлят на ИТ платформата на резерва на ЕС от таланти само онези свободни работни места, които съответстват на </w:t>
            </w:r>
            <w:r>
              <w:rPr>
                <w:b/>
                <w:i/>
              </w:rPr>
              <w:t>националния списък</w:t>
            </w:r>
            <w:r>
              <w:t xml:space="preserve"> на професиите с недостиг на работна ръка.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634</w:t>
      </w:r>
      <w:r>
        <w:rPr>
          <w:rStyle w:val="HideTWBExt"/>
        </w:rPr>
        <w:t>&lt;/NumAm&gt;</w:t>
      </w:r>
    </w:p>
    <w:p>
      <w:pPr>
        <w:pStyle w:val="NormalBold"/>
      </w:pPr>
      <w:r>
        <w:rPr>
          <w:rStyle w:val="HideTWBExt"/>
          <w:b w:val="0"/>
        </w:rPr>
        <w:t>&lt;RepeatBlock-By&gt;</w:t>
      </w:r>
      <w:r>
        <w:rPr>
          <w:rStyle w:val="HideTWBExt"/>
          <w:b w:val="0"/>
        </w:rPr>
        <w:t>&lt;Members&gt;</w:t>
      </w:r>
      <w:r>
        <w:t>Хавиер Морено Санчес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15 – параграф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Националните звена за контакт на резерва на ЕС от таланти прехвърлят на ИТ платформата на резерва на ЕС от таланти само онези свободни работни места, които съответстват на списъка на професиите с недостиг на работна ръка </w:t>
            </w:r>
            <w:r>
              <w:rPr>
                <w:b/>
                <w:i/>
              </w:rPr>
              <w:t>на общоевропейско равнище, като се вземат предвид корекциите, посочени в</w:t>
            </w:r>
            <w:r>
              <w:t xml:space="preserve"> параграф 1.</w:t>
            </w:r>
          </w:p>
        </w:tc>
        <w:tc>
          <w:tcPr>
            <w:tcW w:w="4876" w:type="dxa"/>
            <w:tcBorders>
              <w:top w:val="nil"/>
              <w:left w:val="nil"/>
              <w:bottom w:val="nil"/>
              <w:right w:val="nil"/>
            </w:tcBorders>
          </w:tcPr>
          <w:p>
            <w:pPr>
              <w:pStyle w:val="Normal6a"/>
            </w:pPr>
            <w:r>
              <w:t>3.</w:t>
            </w:r>
            <w:r>
              <w:tab/>
            </w:r>
            <w:r>
              <w:t>Националните звена за контакт на резерва на ЕС от таланти прехвърлят на ИТ платформата на резерва на ЕС от таланти само онези свободни работни места, които съответстват на списъка на професиите с недостиг на работна ръка</w:t>
            </w:r>
            <w:r>
              <w:rPr>
                <w:b/>
                <w:i/>
              </w:rPr>
              <w:t>, изготвен въз основа на</w:t>
            </w:r>
            <w:r>
              <w:t xml:space="preserve"> параграф 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635</w:t>
      </w:r>
      <w:r>
        <w:rPr>
          <w:rStyle w:val="HideTWBExt"/>
        </w:rPr>
        <w:t>&lt;/NumAm&gt;</w:t>
      </w:r>
    </w:p>
    <w:p>
      <w:pPr>
        <w:pStyle w:val="NormalBold"/>
      </w:pPr>
      <w:r>
        <w:rPr>
          <w:rStyle w:val="HideTWBExt"/>
          <w:b w:val="0"/>
        </w:rPr>
        <w:t>&lt;RepeatBlock-By&gt;</w:t>
      </w:r>
      <w:r>
        <w:rPr>
          <w:rStyle w:val="HideTWBExt"/>
          <w:b w:val="0"/>
        </w:rPr>
        <w:t>&lt;Members&gt;</w:t>
      </w:r>
      <w:r>
        <w:t>Ян-Кристоф Йотен, Хилде Вотманс, Вероника Цифрова Острихоньова</w:t>
      </w:r>
      <w:r>
        <w:rPr>
          <w:rStyle w:val="HideTWBExt"/>
          <w:b w:val="0"/>
        </w:rPr>
        <w:t>&lt;/Members&gt;</w:t>
      </w:r>
    </w:p>
    <w:p>
      <w:r>
        <w:rPr>
          <w:rStyle w:val="HideTWBExt"/>
          <w:b w:val="0"/>
        </w:rPr>
        <w:t>&lt;AuNomDe&gt;</w:t>
      </w:r>
      <w:r>
        <w:rPr>
          <w:rStyle w:val="HideTWBInt"/>
        </w:rPr>
        <w:t>{LIBE}</w:t>
      </w:r>
      <w:r>
        <w:t>от името на комисията по граждански свободи, правосъдие и вътрешни работи</w:t>
      </w:r>
      <w:r>
        <w:rPr>
          <w:rStyle w:val="HideTWBExt"/>
          <w:b w:val="0"/>
        </w:rPr>
        <w:t>&lt;/AuNomDe&gt;</w:t>
      </w:r>
    </w:p>
    <w:p>
      <w:pPr>
        <w:pStyle w:val="NormalBold"/>
      </w:pPr>
      <w:r>
        <w:rPr>
          <w:rStyle w:val="HideTWBExt"/>
          <w:b w:val="0"/>
        </w:rPr>
        <w:t>&lt;Members&gt;</w:t>
      </w:r>
      <w:r>
        <w:t>Софи Вилмес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15 – параграф 3 – точка 1 (нова)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ab/>
            </w:r>
            <w:r>
              <w:rPr>
                <w:b/>
                <w:i/>
              </w:rPr>
              <w:t>Комисията ще трябва да осигури обмен на най-добри практики между държавите членки по отношение на разработването и съдържанието на тези списъци.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636</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15 а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Член 15а</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Предварителна проверка на уменията и квалификациите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Търсещите работа лица може да поискат първоначална необвързваща предварителна проверка на квалификациите и уменията.</w:t>
            </w:r>
            <w:r>
              <w:t xml:space="preserve"> </w:t>
            </w:r>
            <w:r>
              <w:rPr>
                <w:b/>
                <w:i/>
              </w:rPr>
              <w:t>Националните звена за контакт, заедно със секретариата на резерва на ЕС от таланти, отговарят за изпълнението на тази задача.</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По искане на търсещото работа лице проверени трети страни, като например проверители на умения, може да предоставят необвързваща предварителна проверка на квалификациите и уменията.</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w:t>
            </w:r>
            <w:r>
              <w:t xml:space="preserve"> </w:t>
            </w:r>
            <w:r>
              <w:rPr>
                <w:b/>
                <w:i/>
              </w:rPr>
              <w:t>Инструментът на ЕС за профилиране на уменията на гражданите на трети държави е интегриран в резерва от таланти, за да се подпомогне допълнителната оценка, да се идентифицират и съобщят нуждите и възможностите за повишаване на квалификацията и преквалификация и да се подпомогне намирането на съответствия между търсенето и предлагането на работа.</w:t>
            </w:r>
            <w:r>
              <w:t xml:space="preserve"> </w:t>
            </w:r>
            <w:r>
              <w:rPr>
                <w:b/>
                <w:i/>
              </w:rPr>
              <w:t>Инструментът се използва за подпомагане на търсещите работа лица при подобряване на техния профил.</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w:t>
            </w:r>
            <w:r>
              <w:t xml:space="preserve"> </w:t>
            </w:r>
            <w:r>
              <w:rPr>
                <w:b/>
                <w:i/>
              </w:rPr>
              <w:t>По искане на търсещите работа лица, мрежата ENIC-NARIC може да предоставя услуги на търсещите работа лица, за да им помогне проверят дали техните дипломи са сравними с дипломите, издадени в избрани държави от ЕС.</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w:t>
            </w:r>
            <w:r>
              <w:t xml:space="preserve"> </w:t>
            </w:r>
            <w:r>
              <w:rPr>
                <w:b/>
                <w:i/>
              </w:rPr>
              <w:t>В рамките на три години от създаването на резерва на ЕС от таланти ръководната група изготвя необвързваща оценка на образователните квалификации и умения за всички професии в списъците с професии с недостиг на работна ръка на общоевропейско и национално равнище до този момент, за да подготви почвата за по-бърз и ефикасен предварителен подбор, и го приема като част от стандартизираната референтна рамка.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637</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16 – параграф -1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ab/>
            </w:r>
            <w:r>
              <w:rPr>
                <w:b/>
                <w:i/>
              </w:rPr>
              <w:t>Създава се механизъм за търсене и намиране на съответствия.</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638</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16 – параграф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Работодателите, участващи на ИТ платформата на резерва на ЕС от таланти, може да търсят регистрирани търсещи работа лица от трети държави на ИТ платформата на резерва на ЕС от таланти.</w:t>
            </w:r>
          </w:p>
        </w:tc>
        <w:tc>
          <w:tcPr>
            <w:tcW w:w="4876" w:type="dxa"/>
            <w:tcBorders>
              <w:top w:val="nil"/>
              <w:left w:val="nil"/>
              <w:bottom w:val="nil"/>
              <w:right w:val="nil"/>
            </w:tcBorders>
          </w:tcPr>
          <w:p>
            <w:pPr>
              <w:pStyle w:val="Normal6a"/>
            </w:pPr>
            <w:r>
              <w:t>1.</w:t>
            </w:r>
            <w:r>
              <w:tab/>
            </w:r>
            <w:r>
              <w:t xml:space="preserve">Работодателите, участващи на ИТ платформата на резерва на ЕС от таланти, може да търсят </w:t>
            </w:r>
            <w:r>
              <w:rPr>
                <w:b/>
                <w:i/>
              </w:rPr>
              <w:t>и намират съответствия с</w:t>
            </w:r>
            <w:r>
              <w:t xml:space="preserve"> регистрирани търсещи работа лица от трети държави на ИТ платформата на резерва на ЕС от таланти.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639</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16 – параграф 1 а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Комисията и платформите за намиране на съответствия от трети страни могат да предоставят алгоритми за автоматично намиране на съответствия, които да бъдат използвани на платформата на резерва на ЕС от таланти.</w:t>
            </w:r>
            <w:r>
              <w:t xml:space="preserve"> </w:t>
            </w:r>
            <w:r>
              <w:rPr>
                <w:b/>
                <w:i/>
              </w:rPr>
              <w:t>Преди прилагането на тези алгоритми те се проверяват от секретариата на резерва от таланти въз основа на критериите съгласно параграф 7.</w:t>
            </w:r>
            <w:r>
              <w:t xml:space="preserve"> </w:t>
            </w:r>
            <w:r>
              <w:rPr>
                <w:b/>
                <w:i/>
              </w:rPr>
              <w:t>Функционирането на алгоритмите на платформата на резерва от таланти се осигурява от Комисията като администратор на данни.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640</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16 – параграф 1 б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1б.</w:t>
            </w:r>
            <w:r>
              <w:tab/>
            </w:r>
            <w:r>
              <w:rPr>
                <w:b/>
                <w:i/>
              </w:rPr>
              <w:t>Търсещите работа лица и участващите работодатели дават предварителното си съгласие за прилагане на даден алгоритъм за автоматично намиране на съответствия и за споделяне на личните си данни с цел намиране на съответствия.</w:t>
            </w:r>
            <w:r>
              <w:t xml:space="preserve"> </w:t>
            </w:r>
            <w:r>
              <w:rPr>
                <w:b/>
                <w:i/>
              </w:rPr>
              <w:t>Данните, достъпът до които се осъществява чрез алгоритми за автоматично намиране на съответствия, не напускат техническата рамка на резерва на ЕС от таланти и могат да се използват само за целите на намирането на съответствия.</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641</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16 – параграф 1 в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1в.</w:t>
            </w:r>
            <w:r>
              <w:tab/>
            </w:r>
            <w:r>
              <w:rPr>
                <w:b/>
                <w:i/>
              </w:rPr>
              <w:t>Механизмите за намиране на съответствия не допускат предубеждения и дискриминация и редовно се проверяват от назначени експерти, за да се гарантира, че са спазени най-съвременните стандарти за качество, оценка на риска и киберсигурност, по-специално по отношение на разумно предвидимата област на приложение.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642</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16 – параграф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Работодателите, участващи в резерва на ЕС от таланти, може да използват </w:t>
            </w:r>
            <w:r>
              <w:rPr>
                <w:b/>
                <w:i/>
              </w:rPr>
              <w:t>специален филтър, наличен на ИТ платформата на резерва на ЕС от таланти, за да търсят профили на регистрирани търсещи работа лица, които са получили „карта за участие в партньорство на ЕС в подкрепа на талантите“.</w:t>
            </w:r>
          </w:p>
        </w:tc>
        <w:tc>
          <w:tcPr>
            <w:tcW w:w="4876" w:type="dxa"/>
            <w:tcBorders>
              <w:top w:val="nil"/>
              <w:left w:val="nil"/>
              <w:bottom w:val="nil"/>
              <w:right w:val="nil"/>
            </w:tcBorders>
          </w:tcPr>
          <w:p>
            <w:pPr>
              <w:pStyle w:val="Normal6a"/>
            </w:pPr>
            <w:r>
              <w:t>2.</w:t>
            </w:r>
            <w:r>
              <w:tab/>
            </w:r>
            <w:r>
              <w:t>Работодателите, участващи в резерва на ЕС от таланти, може да използват</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а) ръчен механизъм със специален филтър, наличен на ИТ платформата на резерва на ЕС от таланти, за да търсят профили на регистрирани търсещи работа лица въз основа на интерес, сектор и други подходящи показатели, както и регистрирани търсещи работа лица, които са получили „карта за участие в партньорство на ЕС в подкрепа на талантите“;</w:t>
            </w:r>
            <w:r>
              <w:t xml:space="preserve"> </w:t>
            </w:r>
            <w:r>
              <w:rPr>
                <w:b/>
                <w:i/>
              </w:rPr>
              <w:t>както и</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б) списък с предложени профили на регистрирани търсещи работа лица въз основа на степента на съответствие на техните умения, квалификации и професионален опит за свободното работно място, генериран от алгоритъм по подразбиране или от друг алгоритъм за автоматично намиране на съответствия.</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643</w:t>
      </w:r>
      <w:r>
        <w:rPr>
          <w:rStyle w:val="HideTWBExt"/>
        </w:rPr>
        <w:t>&lt;/NumAm&gt;</w:t>
      </w:r>
    </w:p>
    <w:p>
      <w:pPr>
        <w:pStyle w:val="NormalBold"/>
      </w:pPr>
      <w:r>
        <w:rPr>
          <w:rStyle w:val="HideTWBExt"/>
          <w:b w:val="0"/>
        </w:rPr>
        <w:t>&lt;RepeatBlock-By&gt;</w:t>
      </w:r>
      <w:r>
        <w:rPr>
          <w:rStyle w:val="HideTWBExt"/>
          <w:b w:val="0"/>
        </w:rPr>
        <w:t>&lt;Members&gt;</w:t>
      </w:r>
      <w:r>
        <w:t>Лена Дюпон, Томас Тобé, Алис Теодореску Мове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16 – параграф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Работодателите, участващи в резерва на ЕС от таланти, може да използват специален филтър, наличен на ИТ платформата на резерва на ЕС от таланти, за да търсят профили на регистрирани търсещи работа лица, които са получили „карта за участие в партньорство на ЕС в подкрепа на талантите“.</w:t>
            </w:r>
          </w:p>
        </w:tc>
        <w:tc>
          <w:tcPr>
            <w:tcW w:w="4876" w:type="dxa"/>
            <w:tcBorders>
              <w:top w:val="nil"/>
              <w:left w:val="nil"/>
              <w:bottom w:val="nil"/>
              <w:right w:val="nil"/>
            </w:tcBorders>
          </w:tcPr>
          <w:p>
            <w:pPr>
              <w:pStyle w:val="Normal6a"/>
            </w:pPr>
            <w:r>
              <w:t>2.</w:t>
            </w:r>
            <w:r>
              <w:tab/>
            </w:r>
            <w:r>
              <w:t xml:space="preserve">Работодателите, участващи в резерва на ЕС от таланти, може да използват специален филтър, наличен на ИТ платформата на резерва на ЕС от таланти, за да търсят профили на регистрирани търсещи работа лица, които са получили „карта за участие в партньорство на ЕС в подкрепа на талантите“ </w:t>
            </w:r>
            <w:r>
              <w:rPr>
                <w:b/>
                <w:i/>
              </w:rPr>
              <w:t>или друго признаване въз основа на двустранни споразумения</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644</w:t>
      </w:r>
      <w:r>
        <w:rPr>
          <w:rStyle w:val="HideTWBExt"/>
        </w:rPr>
        <w:t>&lt;/NumAm&gt;</w:t>
      </w:r>
    </w:p>
    <w:p>
      <w:pPr>
        <w:pStyle w:val="NormalBold"/>
      </w:pPr>
      <w:r>
        <w:rPr>
          <w:rStyle w:val="HideTWBExt"/>
          <w:b w:val="0"/>
        </w:rPr>
        <w:t>&lt;RepeatBlock-By&gt;</w:t>
      </w:r>
      <w:r>
        <w:rPr>
          <w:rStyle w:val="HideTWBExt"/>
          <w:b w:val="0"/>
        </w:rPr>
        <w:t>&lt;Members&gt;</w:t>
      </w:r>
      <w:r>
        <w:t>Хавиер Морено Санчес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16 – параграф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Работодателите, участващи в резерва на ЕС от таланти, може да използват специален филтър, наличен на ИТ платформата на резерва на ЕС от таланти, за да търсят профили на регистрирани търсещи работа лица, които са получили „карта за участие в партньорство </w:t>
            </w:r>
            <w:r>
              <w:rPr>
                <w:b/>
                <w:i/>
              </w:rPr>
              <w:t>на ЕС</w:t>
            </w:r>
            <w:r>
              <w:t xml:space="preserve"> в подкрепа на талантите“.</w:t>
            </w:r>
          </w:p>
        </w:tc>
        <w:tc>
          <w:tcPr>
            <w:tcW w:w="4876" w:type="dxa"/>
            <w:tcBorders>
              <w:top w:val="nil"/>
              <w:left w:val="nil"/>
              <w:bottom w:val="nil"/>
              <w:right w:val="nil"/>
            </w:tcBorders>
          </w:tcPr>
          <w:p>
            <w:pPr>
              <w:pStyle w:val="Normal6a"/>
            </w:pPr>
            <w:r>
              <w:t>2.</w:t>
            </w:r>
            <w:r>
              <w:tab/>
            </w:r>
            <w:r>
              <w:t>Работодателите, участващи в резерва на ЕС от таланти, може да използват специален филтър, наличен на ИТ платформата на резерва на ЕС от таланти, за да търсят профили на регистрирани търсещи работа лица, които са получили „карта за участие в партньорство в подкрепа на талантите“.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645</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16 – параграф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tab/>
            </w:r>
            <w:r>
              <w:rPr>
                <w:b/>
                <w:i/>
              </w:rPr>
              <w:t>Работодателите, участващи в резерва на ЕС от таланти, може да получават достъп до списък с предложени профили на регистрирани лица, търсещи работа, генериран от инструмента за автоматично намиране на съответствия между уменията, квалификациите и професионалния опит на тези лица и свободното работно място.</w:t>
            </w:r>
          </w:p>
        </w:tc>
        <w:tc>
          <w:tcPr>
            <w:tcW w:w="4876" w:type="dxa"/>
            <w:tcBorders>
              <w:top w:val="nil"/>
              <w:left w:val="nil"/>
              <w:bottom w:val="nil"/>
              <w:right w:val="nil"/>
            </w:tcBorders>
          </w:tcPr>
          <w:p>
            <w:pPr>
              <w:pStyle w:val="Normal6a"/>
            </w:pPr>
            <w:r>
              <w:rPr>
                <w:b/>
                <w:i/>
              </w:rPr>
              <w:t>заличава се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646</w:t>
      </w:r>
      <w:r>
        <w:rPr>
          <w:rStyle w:val="HideTWBExt"/>
        </w:rPr>
        <w:t>&lt;/NumAm&gt;</w:t>
      </w:r>
    </w:p>
    <w:p>
      <w:pPr>
        <w:pStyle w:val="NormalBold"/>
      </w:pPr>
      <w:r>
        <w:rPr>
          <w:rStyle w:val="HideTWBExt"/>
          <w:b w:val="0"/>
        </w:rPr>
        <w:t>&lt;RepeatBlock-By&gt;</w:t>
      </w:r>
      <w:r>
        <w:rPr>
          <w:rStyle w:val="HideTWBExt"/>
          <w:b w:val="0"/>
        </w:rPr>
        <w:t>&lt;Members&gt;</w:t>
      </w:r>
      <w:r>
        <w:t>Асита Канко</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16 – параграф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Работодателите, участващи в резерва на ЕС от таланти, може да получават достъп до списък с предложени профили на регистрирани лица, търсещи работа, генериран от инструмента за автоматично намиране на съответствия между уменията, квалификациите </w:t>
            </w:r>
            <w:r>
              <w:rPr>
                <w:b/>
                <w:i/>
              </w:rPr>
              <w:t>и</w:t>
            </w:r>
            <w:r>
              <w:t xml:space="preserve"> професионалния опит </w:t>
            </w:r>
            <w:r>
              <w:rPr>
                <w:b/>
                <w:i/>
              </w:rPr>
              <w:t>на</w:t>
            </w:r>
            <w:r>
              <w:t xml:space="preserve"> тези лица </w:t>
            </w:r>
            <w:r>
              <w:rPr>
                <w:b/>
                <w:i/>
              </w:rPr>
              <w:t>и</w:t>
            </w:r>
            <w:r>
              <w:t xml:space="preserve"> свободното работно място.</w:t>
            </w:r>
          </w:p>
        </w:tc>
        <w:tc>
          <w:tcPr>
            <w:tcW w:w="4876" w:type="dxa"/>
            <w:tcBorders>
              <w:top w:val="nil"/>
              <w:left w:val="nil"/>
              <w:bottom w:val="nil"/>
              <w:right w:val="nil"/>
            </w:tcBorders>
          </w:tcPr>
          <w:p>
            <w:pPr>
              <w:pStyle w:val="Normal6a"/>
            </w:pPr>
            <w:r>
              <w:t>3.</w:t>
            </w:r>
            <w:r>
              <w:tab/>
            </w:r>
            <w:r>
              <w:t>Работодателите, участващи в резерва на ЕС от таланти, може да получават достъп до списък с предложени профили на регистрирани лица, търсещи работа, генериран от инструмента за автоматично намиране на съответствия между уменията, квалификациите</w:t>
            </w:r>
            <w:r>
              <w:rPr>
                <w:b/>
                <w:i/>
              </w:rPr>
              <w:t>,</w:t>
            </w:r>
            <w:r>
              <w:t xml:space="preserve"> професионалния опит </w:t>
            </w:r>
            <w:r>
              <w:rPr>
                <w:b/>
                <w:i/>
              </w:rPr>
              <w:t>и други аспекти във връзка с</w:t>
            </w:r>
            <w:r>
              <w:t xml:space="preserve"> тези лица</w:t>
            </w:r>
            <w:r>
              <w:rPr>
                <w:b/>
                <w:i/>
              </w:rPr>
              <w:t>, които те считат за важни за</w:t>
            </w:r>
            <w:r>
              <w:t xml:space="preserve"> свободното работно място.</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647</w:t>
      </w:r>
      <w:r>
        <w:rPr>
          <w:rStyle w:val="HideTWBExt"/>
        </w:rPr>
        <w:t>&lt;/NumAm&gt;</w:t>
      </w:r>
    </w:p>
    <w:p>
      <w:pPr>
        <w:pStyle w:val="NormalBold"/>
      </w:pPr>
      <w:r>
        <w:rPr>
          <w:rStyle w:val="HideTWBExt"/>
          <w:b w:val="0"/>
        </w:rPr>
        <w:t>&lt;RepeatBlock-By&gt;</w:t>
      </w:r>
      <w:r>
        <w:rPr>
          <w:rStyle w:val="HideTWBExt"/>
          <w:b w:val="0"/>
        </w:rPr>
        <w:t>&lt;Members&gt;</w:t>
      </w:r>
      <w:r>
        <w:t>Ян-Кристоф Йотен, Абир Ал-Сахлани, Луция Яр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16 – параграф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Работодателите, участващи в резерва на ЕС от таланти, може да получават достъп до списък с предложени профили на регистрирани лица, търсещи работа, генериран от инструмента за автоматично намиране на съответствия между уменията, квалификациите и професионалния опит на тези лица и свободното работно място.</w:t>
            </w:r>
          </w:p>
        </w:tc>
        <w:tc>
          <w:tcPr>
            <w:tcW w:w="4876" w:type="dxa"/>
            <w:tcBorders>
              <w:top w:val="nil"/>
              <w:left w:val="nil"/>
              <w:bottom w:val="nil"/>
              <w:right w:val="nil"/>
            </w:tcBorders>
          </w:tcPr>
          <w:p>
            <w:pPr>
              <w:pStyle w:val="Normal6a"/>
            </w:pPr>
            <w:r>
              <w:t>3.</w:t>
            </w:r>
            <w:r>
              <w:tab/>
            </w:r>
            <w:r>
              <w:t>Работодателите, участващи в резерва на ЕС от таланти, може да получават достъп до списък с предложени профили на регистрирани лица, търсещи работа, генериран от инструмента за автоматично намиране на съответствия между уменията, квалификациите</w:t>
            </w:r>
            <w:r>
              <w:rPr>
                <w:b/>
                <w:i/>
              </w:rPr>
              <w:t>, наличността</w:t>
            </w:r>
            <w:r>
              <w:t> и професионалния опит на тези лица и свободното работно място.</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648</w:t>
      </w:r>
      <w:r>
        <w:rPr>
          <w:rStyle w:val="HideTWBExt"/>
        </w:rPr>
        <w:t>&lt;/NumAm&gt;</w:t>
      </w:r>
    </w:p>
    <w:p>
      <w:pPr>
        <w:pStyle w:val="NormalBold"/>
      </w:pPr>
      <w:r>
        <w:rPr>
          <w:rStyle w:val="HideTWBExt"/>
          <w:b w:val="0"/>
        </w:rPr>
        <w:t>&lt;RepeatBlock-By&gt;</w:t>
      </w:r>
      <w:r>
        <w:rPr>
          <w:rStyle w:val="HideTWBExt"/>
          <w:b w:val="0"/>
        </w:rPr>
        <w:t>&lt;Members&gt;</w:t>
      </w:r>
      <w:r>
        <w:t>Пернандо Барена Арса</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16 – параграф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Регистрираните търсещи работа лица от трети държави може да търсят свободни работни места в резерва на ЕС от таланти и да получават достъп до списък с предложени подходящи свободни работни места, генериран от инструмента за автоматично намиране на съответствия.</w:t>
            </w:r>
          </w:p>
        </w:tc>
        <w:tc>
          <w:tcPr>
            <w:tcW w:w="4876" w:type="dxa"/>
            <w:tcBorders>
              <w:top w:val="nil"/>
              <w:left w:val="nil"/>
              <w:bottom w:val="nil"/>
              <w:right w:val="nil"/>
            </w:tcBorders>
          </w:tcPr>
          <w:p>
            <w:pPr>
              <w:pStyle w:val="Normal6a"/>
            </w:pPr>
            <w:r>
              <w:t>4.</w:t>
            </w:r>
            <w:r>
              <w:tab/>
            </w:r>
            <w:r>
              <w:t xml:space="preserve">Регистрираните търсещи работа лица от трети държави може да търсят свободни работни места в резерва на ЕС от таланти и да получават достъп до списък с предложени подходящи свободни работни места, генериран от инструмента за автоматично намиране на съответствия. </w:t>
            </w:r>
            <w:r>
              <w:rPr>
                <w:b/>
                <w:i/>
              </w:rPr>
              <w:t>Търсещите работа лица от трети държави и работодателите, участващи в резерва на ЕС от таланти, може да извършват търсения в него и самостоятелно.</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649</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16 – параграф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Регистрираните търсещи работа лица от трети държави може да търсят свободни работни места в резерва на ЕС от таланти и да получават достъп до списък с предложени подходящи свободни работни места, генериран от инструмента за автоматично намиране на съответствия.</w:t>
            </w:r>
          </w:p>
        </w:tc>
        <w:tc>
          <w:tcPr>
            <w:tcW w:w="4876" w:type="dxa"/>
            <w:tcBorders>
              <w:top w:val="nil"/>
              <w:left w:val="nil"/>
              <w:bottom w:val="nil"/>
              <w:right w:val="nil"/>
            </w:tcBorders>
          </w:tcPr>
          <w:p>
            <w:pPr>
              <w:pStyle w:val="Normal6a"/>
            </w:pPr>
            <w:r>
              <w:t>4.</w:t>
            </w:r>
            <w:r>
              <w:tab/>
            </w:r>
            <w:r>
              <w:t xml:space="preserve">Регистрираните търсещи работа лица от трети държави може да търсят </w:t>
            </w:r>
            <w:r>
              <w:rPr>
                <w:b/>
                <w:i/>
              </w:rPr>
              <w:t>и намират съответствия със</w:t>
            </w:r>
            <w:r>
              <w:t xml:space="preserve"> свободни работни места в резерва на ЕС от таланти</w:t>
            </w:r>
            <w:r>
              <w:rPr>
                <w:b/>
                <w:i/>
              </w:rPr>
              <w:t>, както</w:t>
            </w:r>
            <w:r>
              <w:t xml:space="preserve"> и да получават достъп до списък с предложени подходящи свободни работни места, генериран от </w:t>
            </w:r>
            <w:r>
              <w:rPr>
                <w:b/>
                <w:i/>
              </w:rPr>
              <w:t>ръчния механизъм за филтриране,</w:t>
            </w:r>
            <w:r>
              <w:t xml:space="preserve"> инструмента </w:t>
            </w:r>
            <w:r>
              <w:rPr>
                <w:b/>
                <w:i/>
              </w:rPr>
              <w:t>за автоматично намиране на съответствия и други алгоритми</w:t>
            </w:r>
            <w:r>
              <w:t xml:space="preserve"> за автоматично намиране на съответствия.</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650</w:t>
      </w:r>
      <w:r>
        <w:rPr>
          <w:rStyle w:val="HideTWBExt"/>
        </w:rPr>
        <w:t>&lt;/NumAm&gt;</w:t>
      </w:r>
    </w:p>
    <w:p>
      <w:pPr>
        <w:pStyle w:val="NormalBold"/>
      </w:pPr>
      <w:r>
        <w:rPr>
          <w:rStyle w:val="HideTWBExt"/>
          <w:b w:val="0"/>
        </w:rPr>
        <w:t>&lt;RepeatBlock-By&gt;</w:t>
      </w:r>
      <w:r>
        <w:rPr>
          <w:rStyle w:val="HideTWBExt"/>
          <w:b w:val="0"/>
        </w:rPr>
        <w:t>&lt;Members&gt;</w:t>
      </w:r>
      <w:r>
        <w:t>Хавиер Морено Санчес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16 – параграф 4 а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4а.</w:t>
            </w:r>
            <w:r>
              <w:tab/>
            </w:r>
            <w:r>
              <w:rPr>
                <w:b/>
                <w:i/>
              </w:rPr>
              <w:t>Проектирането и функционирането на ИТ платформата гарантират, че инструментът за автоматично намиране на съответствия не води до възпроизвеждането на съществуващи предубеждения или дискриминационни практики.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651</w:t>
      </w:r>
      <w:r>
        <w:rPr>
          <w:rStyle w:val="HideTWBExt"/>
        </w:rPr>
        <w:t>&lt;/NumAm&gt;</w:t>
      </w:r>
    </w:p>
    <w:p>
      <w:pPr>
        <w:pStyle w:val="NormalBold"/>
      </w:pPr>
      <w:r>
        <w:rPr>
          <w:rStyle w:val="HideTWBExt"/>
          <w:b w:val="0"/>
        </w:rPr>
        <w:t>&lt;RepeatBlock-By&gt;</w:t>
      </w:r>
      <w:r>
        <w:rPr>
          <w:rStyle w:val="HideTWBExt"/>
          <w:b w:val="0"/>
        </w:rPr>
        <w:t>&lt;Members&gt;</w:t>
      </w:r>
      <w:r>
        <w:t>Ян-Кристоф Йотен, Абир Ал-Сахлани, Луция Яр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17 – параграф 1 – алинея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Участващите държави членки осигуряват лесен достъп до информация, свързана с резерва на ЕС от таланти и неговото функциониране.</w:t>
            </w:r>
          </w:p>
        </w:tc>
        <w:tc>
          <w:tcPr>
            <w:tcW w:w="4876" w:type="dxa"/>
            <w:tcBorders>
              <w:top w:val="nil"/>
              <w:left w:val="nil"/>
              <w:bottom w:val="nil"/>
              <w:right w:val="nil"/>
            </w:tcBorders>
          </w:tcPr>
          <w:p>
            <w:pPr>
              <w:pStyle w:val="Normal6a"/>
            </w:pPr>
            <w:r>
              <w:rPr>
                <w:b/>
                <w:i/>
              </w:rPr>
              <w:t>заличава се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652</w:t>
      </w:r>
      <w:r>
        <w:rPr>
          <w:rStyle w:val="HideTWBExt"/>
        </w:rPr>
        <w:t>&lt;/NumAm&gt;</w:t>
      </w:r>
    </w:p>
    <w:p>
      <w:pPr>
        <w:pStyle w:val="NormalBold"/>
      </w:pPr>
      <w:r>
        <w:rPr>
          <w:rStyle w:val="HideTWBExt"/>
          <w:b w:val="0"/>
        </w:rPr>
        <w:t>&lt;RepeatBlock-By&gt;</w:t>
      </w:r>
      <w:r>
        <w:rPr>
          <w:rStyle w:val="HideTWBExt"/>
          <w:b w:val="0"/>
        </w:rPr>
        <w:t>&lt;Members&gt;</w:t>
      </w:r>
      <w:r>
        <w:t>Чарли Веймерс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17 – параграф 1 – алинея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Участващите държави членки осигуряват лесен достъп до информация, свързана с резерва на ЕС от таланти и неговото функциониране.</w:t>
            </w:r>
          </w:p>
        </w:tc>
        <w:tc>
          <w:tcPr>
            <w:tcW w:w="4876" w:type="dxa"/>
            <w:tcBorders>
              <w:top w:val="nil"/>
              <w:left w:val="nil"/>
              <w:bottom w:val="nil"/>
              <w:right w:val="nil"/>
            </w:tcBorders>
          </w:tcPr>
          <w:p>
            <w:pPr>
              <w:pStyle w:val="Normal6a"/>
            </w:pPr>
            <w:r>
              <w:rPr>
                <w:b/>
                <w:i/>
              </w:rPr>
              <w:t>заличава се</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653</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17 – параграф 1 – алинея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Участващите държави</w:t>
            </w:r>
            <w:r>
              <w:t xml:space="preserve"> членки осигуряват лесен достъп до информация, свързана с резерва на ЕС от таланти и неговото функциониране.</w:t>
            </w:r>
          </w:p>
        </w:tc>
        <w:tc>
          <w:tcPr>
            <w:tcW w:w="4876" w:type="dxa"/>
            <w:tcBorders>
              <w:top w:val="nil"/>
              <w:left w:val="nil"/>
              <w:bottom w:val="nil"/>
              <w:right w:val="nil"/>
            </w:tcBorders>
          </w:tcPr>
          <w:p>
            <w:pPr>
              <w:pStyle w:val="Normal6a"/>
            </w:pPr>
            <w:r>
              <w:rPr>
                <w:b/>
                <w:i/>
              </w:rPr>
              <w:t>Държавите</w:t>
            </w:r>
            <w:r>
              <w:t xml:space="preserve"> членки осигуряват лесен достъп до </w:t>
            </w:r>
            <w:r>
              <w:rPr>
                <w:b/>
                <w:i/>
              </w:rPr>
              <w:t>разбираема и недискриминационна</w:t>
            </w:r>
            <w:r>
              <w:t xml:space="preserve"> информация, свързана с резерва на ЕС от таланти и неговото функциониране.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654</w:t>
      </w:r>
      <w:r>
        <w:rPr>
          <w:rStyle w:val="HideTWBExt"/>
        </w:rPr>
        <w:t>&lt;/NumAm&gt;</w:t>
      </w:r>
    </w:p>
    <w:p>
      <w:pPr>
        <w:pStyle w:val="NormalBold"/>
      </w:pPr>
      <w:r>
        <w:rPr>
          <w:rStyle w:val="HideTWBExt"/>
          <w:b w:val="0"/>
        </w:rPr>
        <w:t>&lt;RepeatBlock-By&gt;</w:t>
      </w:r>
      <w:r>
        <w:rPr>
          <w:rStyle w:val="HideTWBExt"/>
          <w:b w:val="0"/>
        </w:rPr>
        <w:t>&lt;Members&gt;</w:t>
      </w:r>
      <w:r>
        <w:t>Хавиер Морено Санчес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17 – параграф 1 – алинея 1 a (нова)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Резервът на ЕС от таланти предоставя всяка информация по ясен, изчерпателен и лесен за ползване начин, включително в достъпни формати за хора с увреждания, като спазва съответните изисквания за достъпност, определени в Директива 2016/2102</w:t>
            </w:r>
            <w:r>
              <w:rPr>
                <w:b/>
                <w:i/>
                <w:vertAlign w:val="superscript"/>
              </w:rPr>
              <w:t>1a</w:t>
            </w:r>
            <w:r>
              <w:t xml:space="preserve"> </w:t>
            </w:r>
            <w:r>
              <w:rPr>
                <w:b/>
                <w:i/>
              </w:rPr>
              <w:t>и Директива (ЕС) 2019/882</w:t>
            </w:r>
            <w:r>
              <w:rPr>
                <w:b/>
                <w:i/>
                <w:vertAlign w:val="superscript"/>
              </w:rPr>
              <w:t>1б</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Директива (ЕС) 2016/2102 на Европейския парламент и на Съвета от 26 октомври 2016 г. относно достъпността на уебсайтовете и мобилните приложения на организациите от обществения сектор.</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1б</w:t>
            </w:r>
            <w:r>
              <w:t xml:space="preserve"> </w:t>
            </w:r>
            <w:r>
              <w:rPr>
                <w:b/>
                <w:i/>
              </w:rPr>
              <w:t>Директива (ЕС) 2019/882 на Европейския парламент и на Съвета от 17 април 2019 г. за изискванията за достъпност на продукти и услуги.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655</w:t>
      </w:r>
      <w:r>
        <w:rPr>
          <w:rStyle w:val="HideTWBExt"/>
        </w:rPr>
        <w:t>&lt;/NumAm&gt;</w:t>
      </w:r>
    </w:p>
    <w:p>
      <w:pPr>
        <w:pStyle w:val="NormalBold"/>
      </w:pPr>
      <w:r>
        <w:rPr>
          <w:rStyle w:val="HideTWBExt"/>
          <w:b w:val="0"/>
        </w:rPr>
        <w:t>&lt;RepeatBlock-By&gt;</w:t>
      </w:r>
      <w:r>
        <w:rPr>
          <w:rStyle w:val="HideTWBExt"/>
          <w:b w:val="0"/>
        </w:rPr>
        <w:t>&lt;Members&gt;</w:t>
      </w:r>
      <w:r>
        <w:t>Чарли Веймерс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17 – параграф 1 – алинея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Секретариатът на резерва на ЕС от таланти, с подкрепата на националните звена за контакт на резерва на ЕС от таланти, предоставя на ИТ платформата на резерва на ЕС от таланти следната информация:</w:t>
            </w:r>
          </w:p>
        </w:tc>
        <w:tc>
          <w:tcPr>
            <w:tcW w:w="4876" w:type="dxa"/>
            <w:tcBorders>
              <w:top w:val="nil"/>
              <w:left w:val="nil"/>
              <w:bottom w:val="nil"/>
              <w:right w:val="nil"/>
            </w:tcBorders>
          </w:tcPr>
          <w:p>
            <w:pPr>
              <w:pStyle w:val="Normal6a"/>
            </w:pPr>
            <w:r>
              <w:rPr>
                <w:b/>
                <w:i/>
              </w:rPr>
              <w:t>заличава се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а) информация относно процедурите за наемане на работа и имиграционните процедури, признаването на квалификации и валидирането на умения, правата на гражданите на трети страни, включително по отношение на наличните механизми за правна защита, както и информация относно условията на живот и труд в участващите държави членки;</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б) ясно обяснение за търсещите работа лица от трети държави, че ако са обект на съдебно или административно решение за отказ за влизане или престой в държава членка или на забрана за влизане в съответствие с Директива 2008/115/ЕО на Европейския парламент и на Съвета, влизането и престоят им на територията на всички държави членки се забраняват.</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656</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17 – параграф 1 – алинея 2 – уводна част</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Секретариатът на резерва на ЕС от таланти, с подкрепата на националните звена за контакт на резерва на ЕС от таланти, предоставя на ИТ платформата на резерва на ЕС от таланти следната информация:</w:t>
            </w:r>
          </w:p>
        </w:tc>
        <w:tc>
          <w:tcPr>
            <w:tcW w:w="4876" w:type="dxa"/>
            <w:tcBorders>
              <w:top w:val="nil"/>
              <w:left w:val="nil"/>
              <w:bottom w:val="nil"/>
              <w:right w:val="nil"/>
            </w:tcBorders>
          </w:tcPr>
          <w:p>
            <w:pPr>
              <w:pStyle w:val="Normal6a"/>
            </w:pPr>
            <w:r>
              <w:t xml:space="preserve">Секретариатът на резерва на ЕС от таланти, с подкрепата на националните звена за контакт на резерва на ЕС от таланти </w:t>
            </w:r>
            <w:r>
              <w:rPr>
                <w:b/>
                <w:i/>
              </w:rPr>
              <w:t>и съответните национални органи</w:t>
            </w:r>
            <w:r>
              <w:t xml:space="preserve">, предоставя на ИТ платформата на резерва на ЕС от таланти следната информация </w:t>
            </w:r>
            <w:r>
              <w:rPr>
                <w:b/>
                <w:i/>
              </w:rPr>
              <w:t>за всяка държава членка относно</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657</w:t>
      </w:r>
      <w:r>
        <w:rPr>
          <w:rStyle w:val="HideTWBExt"/>
        </w:rPr>
        <w:t>&lt;/NumAm&gt;</w:t>
      </w:r>
    </w:p>
    <w:p>
      <w:pPr>
        <w:pStyle w:val="NormalBold"/>
      </w:pPr>
      <w:r>
        <w:rPr>
          <w:rStyle w:val="HideTWBExt"/>
          <w:b w:val="0"/>
        </w:rPr>
        <w:t>&lt;RepeatBlock-By&gt;</w:t>
      </w:r>
      <w:r>
        <w:rPr>
          <w:rStyle w:val="HideTWBExt"/>
          <w:b w:val="0"/>
        </w:rPr>
        <w:t>&lt;Members&gt;</w:t>
      </w:r>
      <w:r>
        <w:t>Хавиер Морено Санчес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17 – параграф 1 – алинея 2 – уводна част</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Секретариатът на резерва на ЕС от таланти, с подкрепата на националните звена за контакт на резерва на ЕС от таланти, предоставя на ИТ платформата на резерва на ЕС от таланти следната информация:</w:t>
            </w:r>
          </w:p>
        </w:tc>
        <w:tc>
          <w:tcPr>
            <w:tcW w:w="4876" w:type="dxa"/>
            <w:tcBorders>
              <w:top w:val="nil"/>
              <w:left w:val="nil"/>
              <w:bottom w:val="nil"/>
              <w:right w:val="nil"/>
            </w:tcBorders>
          </w:tcPr>
          <w:p>
            <w:pPr>
              <w:pStyle w:val="Normal6a"/>
            </w:pPr>
            <w:r>
              <w:t xml:space="preserve">Секретариатът на резерва на ЕС от таланти, с подкрепата на националните звена за контакт на резерва на ЕС от таланти, </w:t>
            </w:r>
            <w:r>
              <w:rPr>
                <w:b/>
                <w:i/>
              </w:rPr>
              <w:t>след консултация със социалните партньори,</w:t>
            </w:r>
            <w:r>
              <w:t xml:space="preserve"> предоставя на ИТ платформата на резерва на ЕС от таланти следната информация:</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658</w:t>
      </w:r>
      <w:r>
        <w:rPr>
          <w:rStyle w:val="HideTWBExt"/>
        </w:rPr>
        <w:t>&lt;/NumAm&gt;</w:t>
      </w:r>
    </w:p>
    <w:p>
      <w:pPr>
        <w:pStyle w:val="NormalBold"/>
      </w:pPr>
      <w:r>
        <w:rPr>
          <w:rStyle w:val="HideTWBExt"/>
          <w:b w:val="0"/>
        </w:rPr>
        <w:t>&lt;RepeatBlock-By&gt;</w:t>
      </w:r>
      <w:r>
        <w:rPr>
          <w:rStyle w:val="HideTWBExt"/>
          <w:b w:val="0"/>
        </w:rPr>
        <w:t>&lt;Members&gt;</w:t>
      </w:r>
      <w:r>
        <w:t>Лена Дюпон, Томас Тобé, Алис Теодореску Мове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17 – параграф 1 – алинея 2 – буква 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а</w:t>
            </w:r>
            <w:r>
              <w:t>)</w:t>
            </w:r>
            <w:r>
              <w:tab/>
            </w:r>
            <w:r>
              <w:t xml:space="preserve">информация относно процедурите за наемане на работа и имиграционните процедури, признаването на квалификации и валидирането на умения, правата на гражданите на трети </w:t>
            </w:r>
            <w:r>
              <w:rPr>
                <w:b/>
                <w:i/>
              </w:rPr>
              <w:t>страни</w:t>
            </w:r>
            <w:r>
              <w:t>, включително по отношение на наличните механизми за правна защита, както и информация относно условията на живот и труд в участващите държави членки;</w:t>
            </w:r>
          </w:p>
        </w:tc>
        <w:tc>
          <w:tcPr>
            <w:tcW w:w="4876" w:type="dxa"/>
            <w:tcBorders>
              <w:top w:val="nil"/>
              <w:left w:val="nil"/>
              <w:bottom w:val="nil"/>
              <w:right w:val="nil"/>
            </w:tcBorders>
          </w:tcPr>
          <w:p>
            <w:pPr>
              <w:pStyle w:val="Normal6a"/>
            </w:pPr>
            <w:r>
              <w:rPr>
                <w:b/>
                <w:i/>
              </w:rPr>
              <w:t>a</w:t>
            </w:r>
            <w:r>
              <w:t>)</w:t>
            </w:r>
            <w:r>
              <w:tab/>
            </w:r>
            <w:r>
              <w:t xml:space="preserve">информация относно процедурите за наемане на работа и имиграционните процедури, </w:t>
            </w:r>
            <w:r>
              <w:rPr>
                <w:b/>
                <w:i/>
              </w:rPr>
              <w:t>включително процедурите за сигурност,</w:t>
            </w:r>
            <w:r>
              <w:t xml:space="preserve"> признаването на квалификации и валидирането на умения, правата </w:t>
            </w:r>
            <w:r>
              <w:rPr>
                <w:b/>
                <w:i/>
              </w:rPr>
              <w:t>и задълженията</w:t>
            </w:r>
            <w:r>
              <w:t xml:space="preserve"> на гражданите на трети </w:t>
            </w:r>
            <w:r>
              <w:rPr>
                <w:b/>
                <w:i/>
              </w:rPr>
              <w:t>държави</w:t>
            </w:r>
            <w:r>
              <w:t xml:space="preserve">, включително по отношение на наличните механизми за правна защита, както и информация относно </w:t>
            </w:r>
            <w:r>
              <w:rPr>
                <w:b/>
                <w:i/>
              </w:rPr>
              <w:t>социалните условия и</w:t>
            </w:r>
            <w:r>
              <w:t xml:space="preserve"> условията на живот и труд в участващите държави членки </w:t>
            </w:r>
            <w:r>
              <w:rPr>
                <w:b/>
                <w:i/>
              </w:rPr>
              <w:t>и задължението за зачитане и спазване на ценностите, залегнали в член 2 от Договора за Европейския съюз</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659</w:t>
      </w:r>
      <w:r>
        <w:rPr>
          <w:rStyle w:val="HideTWBExt"/>
        </w:rPr>
        <w:t>&lt;/NumAm&gt;</w:t>
      </w:r>
    </w:p>
    <w:p>
      <w:pPr>
        <w:pStyle w:val="NormalBold"/>
      </w:pPr>
      <w:r>
        <w:rPr>
          <w:rStyle w:val="HideTWBExt"/>
          <w:b w:val="0"/>
        </w:rPr>
        <w:t>&lt;RepeatBlock-By&gt;</w:t>
      </w:r>
      <w:r>
        <w:rPr>
          <w:rStyle w:val="HideTWBExt"/>
          <w:b w:val="0"/>
        </w:rPr>
        <w:t>&lt;Members&gt;</w:t>
      </w:r>
      <w:r>
        <w:t>Хавиер Морено Санчес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17 – параграф 1 – алинея 2 – буква 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а</w:t>
            </w:r>
            <w:r>
              <w:t>)</w:t>
            </w:r>
            <w:r>
              <w:tab/>
            </w:r>
            <w:r>
              <w:t xml:space="preserve">информация относно </w:t>
            </w:r>
            <w:r>
              <w:rPr>
                <w:b/>
                <w:i/>
              </w:rPr>
              <w:t>процедурите</w:t>
            </w:r>
            <w:r>
              <w:t xml:space="preserve"> за наемане на работа и </w:t>
            </w:r>
            <w:r>
              <w:rPr>
                <w:b/>
                <w:i/>
              </w:rPr>
              <w:t>имиграционните</w:t>
            </w:r>
            <w:r>
              <w:t xml:space="preserve"> процедури, признаването на квалификации и валидирането на умения, правата на гражданите на трети </w:t>
            </w:r>
            <w:r>
              <w:rPr>
                <w:b/>
                <w:i/>
              </w:rPr>
              <w:t>страни</w:t>
            </w:r>
            <w:r>
              <w:t>, включително по отношение на наличните механизми за правна защита, както и информация относно условията на живот и труд в участващите държави членки;</w:t>
            </w:r>
          </w:p>
        </w:tc>
        <w:tc>
          <w:tcPr>
            <w:tcW w:w="4876" w:type="dxa"/>
            <w:tcBorders>
              <w:top w:val="nil"/>
              <w:left w:val="nil"/>
              <w:bottom w:val="nil"/>
              <w:right w:val="nil"/>
            </w:tcBorders>
          </w:tcPr>
          <w:p>
            <w:pPr>
              <w:pStyle w:val="Normal6a"/>
            </w:pPr>
            <w:r>
              <w:rPr>
                <w:b/>
                <w:i/>
              </w:rPr>
              <w:t>a</w:t>
            </w:r>
            <w:r>
              <w:t>)</w:t>
            </w:r>
            <w:r>
              <w:tab/>
            </w:r>
            <w:r>
              <w:t xml:space="preserve">информация относно </w:t>
            </w:r>
            <w:r>
              <w:rPr>
                <w:b/>
                <w:i/>
              </w:rPr>
              <w:t>справедливите процедури</w:t>
            </w:r>
            <w:r>
              <w:t xml:space="preserve"> за наемане на работа и </w:t>
            </w:r>
            <w:r>
              <w:rPr>
                <w:b/>
                <w:i/>
              </w:rPr>
              <w:t>справедливите имиграционни</w:t>
            </w:r>
            <w:r>
              <w:t xml:space="preserve"> процедури, </w:t>
            </w:r>
            <w:r>
              <w:rPr>
                <w:b/>
                <w:i/>
              </w:rPr>
              <w:t>относно</w:t>
            </w:r>
            <w:r>
              <w:t xml:space="preserve"> признаването на квалификации и валидирането на умения, </w:t>
            </w:r>
            <w:r>
              <w:rPr>
                <w:b/>
                <w:i/>
              </w:rPr>
              <w:t>относно трудовите и синдикалните права, относно</w:t>
            </w:r>
            <w:r>
              <w:t xml:space="preserve"> правата на гражданите на трети </w:t>
            </w:r>
            <w:r>
              <w:rPr>
                <w:b/>
                <w:i/>
              </w:rPr>
              <w:t>държави</w:t>
            </w:r>
            <w:r>
              <w:t xml:space="preserve">, включително по отношение на </w:t>
            </w:r>
            <w:r>
              <w:rPr>
                <w:b/>
                <w:i/>
              </w:rPr>
              <w:t>достъпа до правосъдие и</w:t>
            </w:r>
            <w:r>
              <w:t xml:space="preserve"> наличните механизми за правна защита </w:t>
            </w:r>
            <w:r>
              <w:rPr>
                <w:b/>
                <w:i/>
              </w:rPr>
              <w:t>и относно съответните организации, оказващи подкрепа на гражданите на трети държави</w:t>
            </w:r>
            <w:r>
              <w:t>, както и информация относно условията на живот и труд в участващите държави членки;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660</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17 – параграф 1 – алинея 2 – буква 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а</w:t>
            </w:r>
            <w:r>
              <w:t>)</w:t>
            </w:r>
            <w:r>
              <w:tab/>
            </w:r>
            <w:r>
              <w:rPr>
                <w:b/>
                <w:i/>
              </w:rPr>
              <w:t>информация относно</w:t>
            </w:r>
            <w:r>
              <w:t xml:space="preserve"> процедурите за наемане на работа </w:t>
            </w:r>
            <w:r>
              <w:rPr>
                <w:b/>
                <w:i/>
              </w:rPr>
              <w:t>и</w:t>
            </w:r>
            <w:r>
              <w:t xml:space="preserve"> имиграционните процедури, признаването на квалификации </w:t>
            </w:r>
            <w:r>
              <w:rPr>
                <w:b/>
                <w:i/>
              </w:rPr>
              <w:t>и</w:t>
            </w:r>
            <w:r>
              <w:t xml:space="preserve"> валидирането на умения, </w:t>
            </w:r>
            <w:r>
              <w:rPr>
                <w:b/>
                <w:i/>
              </w:rPr>
              <w:t>правата на гражданите на трети страни, включително по отношение на наличните механизми за правна защита, както и информация относно условията на живот и труд в участващите държави членки</w:t>
            </w:r>
            <w:r>
              <w:t>;</w:t>
            </w:r>
          </w:p>
        </w:tc>
        <w:tc>
          <w:tcPr>
            <w:tcW w:w="4876" w:type="dxa"/>
            <w:tcBorders>
              <w:top w:val="nil"/>
              <w:left w:val="nil"/>
              <w:bottom w:val="nil"/>
              <w:right w:val="nil"/>
            </w:tcBorders>
          </w:tcPr>
          <w:p>
            <w:pPr>
              <w:pStyle w:val="Normal6a"/>
            </w:pPr>
            <w:r>
              <w:rPr>
                <w:b/>
                <w:i/>
              </w:rPr>
              <w:t>a</w:t>
            </w:r>
            <w:r>
              <w:t>)</w:t>
            </w:r>
            <w:r>
              <w:tab/>
            </w:r>
            <w:r>
              <w:t>процедурите за наемане на работа</w:t>
            </w:r>
            <w:r>
              <w:rPr>
                <w:b/>
                <w:i/>
              </w:rPr>
              <w:t>, заетост,</w:t>
            </w:r>
            <w:r>
              <w:t xml:space="preserve"> имиграционните </w:t>
            </w:r>
            <w:r>
              <w:rPr>
                <w:b/>
                <w:i/>
              </w:rPr>
              <w:t>и административните</w:t>
            </w:r>
            <w:r>
              <w:t xml:space="preserve"> процедури, признаването на квалификации</w:t>
            </w:r>
            <w:r>
              <w:rPr>
                <w:b/>
                <w:i/>
              </w:rPr>
              <w:t>,</w:t>
            </w:r>
            <w:r>
              <w:t xml:space="preserve"> валидирането на умения, </w:t>
            </w:r>
            <w:r>
              <w:rPr>
                <w:b/>
                <w:i/>
              </w:rPr>
              <w:t>програмите за преквалификация и повишаване на квалификацията</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661</w:t>
      </w:r>
      <w:r>
        <w:rPr>
          <w:rStyle w:val="HideTWBExt"/>
        </w:rPr>
        <w:t>&lt;/NumAm&gt;</w:t>
      </w:r>
    </w:p>
    <w:p>
      <w:pPr>
        <w:pStyle w:val="NormalBold"/>
      </w:pPr>
      <w:r>
        <w:rPr>
          <w:rStyle w:val="HideTWBExt"/>
          <w:b w:val="0"/>
        </w:rPr>
        <w:t>&lt;RepeatBlock-By&gt;</w:t>
      </w:r>
      <w:r>
        <w:rPr>
          <w:rStyle w:val="HideTWBExt"/>
          <w:b w:val="0"/>
        </w:rPr>
        <w:t>&lt;Members&gt;</w:t>
      </w:r>
      <w:r>
        <w:t>Надин Морано</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17 – параграф 1 – алинея 2 – буква 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а)</w:t>
            </w:r>
            <w:r>
              <w:tab/>
            </w:r>
            <w:r>
              <w:t xml:space="preserve">информация относно процедурите за наемане на работа и имиграционните процедури, признаването на квалификации и валидирането на умения, правата на гражданите на трети </w:t>
            </w:r>
            <w:r>
              <w:rPr>
                <w:b/>
                <w:i/>
              </w:rPr>
              <w:t>страни</w:t>
            </w:r>
            <w:r>
              <w:t>, включително по отношение на наличните механизми за правна защита, както и информация относно условията на живот и труд в участващите държави членки;</w:t>
            </w:r>
          </w:p>
        </w:tc>
        <w:tc>
          <w:tcPr>
            <w:tcW w:w="4876" w:type="dxa"/>
            <w:tcBorders>
              <w:top w:val="nil"/>
              <w:left w:val="nil"/>
              <w:bottom w:val="nil"/>
              <w:right w:val="nil"/>
            </w:tcBorders>
          </w:tcPr>
          <w:p>
            <w:pPr>
              <w:pStyle w:val="Normal6a"/>
            </w:pPr>
            <w:r>
              <w:t>а)</w:t>
            </w:r>
            <w:r>
              <w:tab/>
            </w:r>
            <w:r>
              <w:t xml:space="preserve">информация относно процедурите за наемане на работа и имиграционните процедури, признаването на квалификации и валидирането на умения, правата </w:t>
            </w:r>
            <w:r>
              <w:rPr>
                <w:b/>
                <w:i/>
              </w:rPr>
              <w:t>и задълженията</w:t>
            </w:r>
            <w:r>
              <w:t xml:space="preserve"> на гражданите на трети </w:t>
            </w:r>
            <w:r>
              <w:rPr>
                <w:b/>
                <w:i/>
              </w:rPr>
              <w:t>държави</w:t>
            </w:r>
            <w:r>
              <w:t>, включително по отношение на наличните механизми за правна защита, както и информация относно условията на живот и труд в участващите държави членки;</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662</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17 – параграф 1 – алинея 2 – буква a а (нова)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аа)</w:t>
            </w:r>
            <w:r>
              <w:tab/>
            </w:r>
            <w:r>
              <w:rPr>
                <w:b/>
                <w:i/>
              </w:rPr>
              <w:t>права на гражданите на трети държави, включително по отношение на достъпа до правосъдие и наличните ефективни механизми за съдебна защита;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663</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17 – параграф 1 – алинея 2 – буква a б (нова)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аб)</w:t>
            </w:r>
            <w:r>
              <w:tab/>
            </w:r>
            <w:r>
              <w:rPr>
                <w:b/>
                <w:i/>
              </w:rPr>
              <w:t>правата и процедурите, свързани с условията на живот и труд в държавата членка съгласно съответното трудово право и практика на Съюза и на държавата членка, включително информацията, налична на национално равнище в подкрепа на интеграцията на граждани на трети държави и техните семейства;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664</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17 – параграф 1 – алинея 2 – буква a в (нова)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aв)</w:t>
            </w:r>
            <w:r>
              <w:tab/>
            </w:r>
            <w:r>
              <w:rPr>
                <w:b/>
                <w:i/>
              </w:rPr>
              <w:t>данъчно облагане, пенсионни права, здравно осигуряване, активни мерки на пазара на труда, жилищно настаняване, езикови курсове, професионално обучение, училищно образование и друга подходяща информация за успешна имиграция и интеграция;</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665</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17 – параграф 1 – алинея 2 – буква a г (нова)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аг)</w:t>
            </w:r>
            <w:r>
              <w:tab/>
            </w:r>
            <w:r>
              <w:rPr>
                <w:b/>
                <w:i/>
              </w:rPr>
              <w:t>наличните органи и служби по труда в държавите членки, заедно с наименованието и данните за контакт на институциите, отговарящи за прилагането на свързаните със заетостта права и задължения;</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666</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17 – параграф 1 – алинея 2 – буква 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б)</w:t>
            </w:r>
            <w:r>
              <w:tab/>
            </w:r>
            <w:r>
              <w:t xml:space="preserve">ясно обяснение за търсещите работа лица от трети държави, че ако са обект на съдебно </w:t>
            </w:r>
            <w:r>
              <w:rPr>
                <w:b/>
                <w:i/>
              </w:rPr>
              <w:t>или административно</w:t>
            </w:r>
            <w:r>
              <w:t xml:space="preserve"> решение за отказ за влизане или престой в държава членка или на забрана за влизане в съответствие с Директива 2008/115/ЕО на Европейския парламент и на Съвета, влизането и престоят им на територията на всички държави членки се забраняват.</w:t>
            </w:r>
          </w:p>
        </w:tc>
        <w:tc>
          <w:tcPr>
            <w:tcW w:w="4876" w:type="dxa"/>
            <w:tcBorders>
              <w:top w:val="nil"/>
              <w:left w:val="nil"/>
              <w:bottom w:val="nil"/>
              <w:right w:val="nil"/>
            </w:tcBorders>
          </w:tcPr>
          <w:p>
            <w:pPr>
              <w:pStyle w:val="Normal6a"/>
            </w:pPr>
            <w:r>
              <w:t>б)</w:t>
            </w:r>
            <w:r>
              <w:tab/>
            </w:r>
            <w:r>
              <w:t>ясно обяснение за търсещите работа лица от трети държави, че ако са обект на съдебно решение за отказ за влизане или престой в държава членка или на забрана за влизане в съответствие с Директива 2008/115/ЕО на Европейския парламент и на Съвета, влизането и престоят им на територията на всички държави членки се забраняват.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667</w:t>
      </w:r>
      <w:r>
        <w:rPr>
          <w:rStyle w:val="HideTWBExt"/>
        </w:rPr>
        <w:t>&lt;/NumAm&gt;</w:t>
      </w:r>
    </w:p>
    <w:p>
      <w:pPr>
        <w:pStyle w:val="NormalBold"/>
      </w:pPr>
      <w:r>
        <w:rPr>
          <w:rStyle w:val="HideTWBExt"/>
          <w:b w:val="0"/>
        </w:rPr>
        <w:t>&lt;RepeatBlock-By&gt;</w:t>
      </w:r>
      <w:r>
        <w:rPr>
          <w:rStyle w:val="HideTWBExt"/>
          <w:b w:val="0"/>
        </w:rPr>
        <w:t>&lt;Members&gt;</w:t>
      </w:r>
      <w:r>
        <w:t>Хавиер Морено Санчес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17 – параграф 1 – алинея 2 – буква б a (нова)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ба)</w:t>
            </w:r>
            <w:r>
              <w:tab/>
            </w:r>
            <w:r>
              <w:rPr>
                <w:b/>
                <w:i/>
              </w:rPr>
              <w:t>изрично пояснение, че използването на резерва на ЕС от таланти е безплатно за търсещите работа лица от трети държави и че работодателите, участващи в резерва на ЕС от таланти, и държавата членка, в която има свободно работно място, не начисляват такси на регистрираните търсещи работа лица от трети държави за целите на наемането на работа.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668</w:t>
      </w:r>
      <w:r>
        <w:rPr>
          <w:rStyle w:val="HideTWBExt"/>
        </w:rPr>
        <w:t>&lt;/NumAm&gt;</w:t>
      </w:r>
    </w:p>
    <w:p>
      <w:pPr>
        <w:pStyle w:val="NormalBold"/>
      </w:pPr>
      <w:r>
        <w:rPr>
          <w:rStyle w:val="HideTWBExt"/>
          <w:b w:val="0"/>
        </w:rPr>
        <w:t>&lt;RepeatBlock-By&gt;</w:t>
      </w:r>
      <w:r>
        <w:rPr>
          <w:rStyle w:val="HideTWBExt"/>
          <w:b w:val="0"/>
        </w:rPr>
        <w:t>&lt;Members&gt;</w:t>
      </w:r>
      <w:r>
        <w:t>Лена Дюпон, Томас Тобé, Алис Теодореску Мове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17 – параграф 1 – алинея 2 – буква б a (нова)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ба)</w:t>
            </w:r>
            <w:r>
              <w:tab/>
            </w:r>
            <w:r>
              <w:rPr>
                <w:b/>
                <w:i/>
              </w:rPr>
              <w:t>изрично пояснение за търсещите работа лица от трети държави, че ако получат предложение за назначаване на работа, това не гарантира влизането или престоя им в Съюза.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669</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17 – параграф 1 – алинея 2 a (нова)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Секретариатът на резерва на ЕС от таланти, с подкрепата на националните звена за контакт на резерва на ЕС от таланти, предоставя на търсещите работа лица, които са получили предложение за работа:</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а) конкретна информация относно правата и задълженията на гражданите на трети държави, включително по отношение на достъпа до социални обезщетения, здравна помощ, образование, жилищно настаняване, признаване на умения и квалификации и наличните механизми за подаване на жалби и ефективна съдебна защита съгласно член 18.</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670</w:t>
      </w:r>
      <w:r>
        <w:rPr>
          <w:rStyle w:val="HideTWBExt"/>
        </w:rPr>
        <w:t>&lt;/NumAm&gt;</w:t>
      </w:r>
    </w:p>
    <w:p>
      <w:pPr>
        <w:pStyle w:val="NormalBold"/>
      </w:pPr>
      <w:r>
        <w:rPr>
          <w:rStyle w:val="HideTWBExt"/>
          <w:b w:val="0"/>
        </w:rPr>
        <w:t>&lt;RepeatBlock-By&gt;</w:t>
      </w:r>
      <w:r>
        <w:rPr>
          <w:rStyle w:val="HideTWBExt"/>
          <w:b w:val="0"/>
        </w:rPr>
        <w:t>&lt;Members&gt;</w:t>
      </w:r>
      <w:r>
        <w:t>Лена Дюпон, Томас Тобé, Алис Теодореску Мове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17 – параграф 2 – уводна част</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При поискване от страна на регистрирани търсещи работа лица от трети държави и работодатели, участващи в резерва на ЕС от таланти, националните звена за контакт на резерва на ЕС от таланти оказват допълнителна подкрепа и съдействие след процеса на подбор на регистрираните търсещи работа лица от трети държави и работодателите, участващи в резерва на ЕС от таланти, по-специално по отношение на:</w:t>
            </w:r>
          </w:p>
        </w:tc>
        <w:tc>
          <w:tcPr>
            <w:tcW w:w="4876" w:type="dxa"/>
            <w:tcBorders>
              <w:top w:val="nil"/>
              <w:left w:val="nil"/>
              <w:bottom w:val="nil"/>
              <w:right w:val="nil"/>
            </w:tcBorders>
          </w:tcPr>
          <w:p>
            <w:pPr>
              <w:pStyle w:val="Normal6a"/>
            </w:pPr>
            <w:r>
              <w:t>2.</w:t>
            </w:r>
            <w:r>
              <w:tab/>
            </w:r>
            <w:r>
              <w:t xml:space="preserve">При поискване от страна на регистрирани търсещи работа лица от трети държави и работодатели, участващи в резерва на ЕС от таланти, националните звена за контакт на резерва на ЕС от таланти оказват допълнителна подкрепа и съдействие след процеса на подбор на регистрираните търсещи работа лица от трети държави и работодателите, участващи в резерва на ЕС от таланти, </w:t>
            </w:r>
            <w:r>
              <w:rPr>
                <w:b/>
                <w:i/>
              </w:rPr>
              <w:t>или препращат тези искания до други компетентни органи съгласно член 17, параграф 3,</w:t>
            </w:r>
            <w:r>
              <w:t xml:space="preserve"> по-специално по отношение на: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671</w:t>
      </w:r>
      <w:r>
        <w:rPr>
          <w:rStyle w:val="HideTWBExt"/>
        </w:rPr>
        <w:t>&lt;/NumAm&gt;</w:t>
      </w:r>
    </w:p>
    <w:p>
      <w:pPr>
        <w:pStyle w:val="NormalBold"/>
      </w:pPr>
      <w:r>
        <w:rPr>
          <w:rStyle w:val="HideTWBExt"/>
          <w:b w:val="0"/>
        </w:rPr>
        <w:t>&lt;RepeatBlock-By&gt;</w:t>
      </w:r>
      <w:r>
        <w:rPr>
          <w:rStyle w:val="HideTWBExt"/>
          <w:b w:val="0"/>
        </w:rPr>
        <w:t>&lt;Members&gt;</w:t>
      </w:r>
      <w:r>
        <w:t>Лена Дюпон, Томас Тобé, Алис Теодореску Мове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17 – параграф 2 – уводна част</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При поискване от страна на регистрирани търсещи работа лица от трети държави и работодатели, участващи в резерва на ЕС от таланти, националните звена за контакт на резерва на ЕС от таланти </w:t>
            </w:r>
            <w:r>
              <w:rPr>
                <w:b/>
                <w:i/>
              </w:rPr>
              <w:t>оказват</w:t>
            </w:r>
            <w:r>
              <w:t xml:space="preserve"> допълнителна подкрепа и съдействие след процеса на подбор на регистрираните търсещи работа лица от трети държави и работодателите, участващи в резерва на ЕС от таланти, по-специално по отношение на:</w:t>
            </w:r>
          </w:p>
        </w:tc>
        <w:tc>
          <w:tcPr>
            <w:tcW w:w="4876" w:type="dxa"/>
            <w:tcBorders>
              <w:top w:val="nil"/>
              <w:left w:val="nil"/>
              <w:bottom w:val="nil"/>
              <w:right w:val="nil"/>
            </w:tcBorders>
          </w:tcPr>
          <w:p>
            <w:pPr>
              <w:pStyle w:val="Normal6a"/>
            </w:pPr>
            <w:r>
              <w:t>2.</w:t>
            </w:r>
            <w:r>
              <w:tab/>
            </w:r>
            <w:r>
              <w:t xml:space="preserve">При поискване от страна на регистрирани търсещи работа лица от трети държави и работодатели, участващи в резерва на ЕС от таланти, националните звена за контакт на резерва на ЕС от таланти </w:t>
            </w:r>
            <w:r>
              <w:rPr>
                <w:b/>
                <w:i/>
              </w:rPr>
              <w:t>предоставят конкретна информация,</w:t>
            </w:r>
            <w:r>
              <w:t xml:space="preserve"> допълнителна подкрепа и съдействие след процеса на подбор на регистрираните търсещи работа лица от трети държави и работодателите, участващи в резерва на ЕС от таланти, по-специално по отношение на: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672</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17 – параграф 2 – уводна част</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При поискване от страна на регистрирани търсещи работа лица от трети държави и работодатели, участващи в резерва на ЕС от таланти, националните звена за контакт на резерва на ЕС от таланти оказват допълнителна подкрепа и съдействие след процеса на подбор на регистрираните търсещи работа лица от трети държави </w:t>
            </w:r>
            <w:r>
              <w:rPr>
                <w:b/>
                <w:i/>
              </w:rPr>
              <w:t>и работодателите</w:t>
            </w:r>
            <w:r>
              <w:t>, участващи в резерва на ЕС от таланти, по-специално по отношение на:</w:t>
            </w:r>
          </w:p>
        </w:tc>
        <w:tc>
          <w:tcPr>
            <w:tcW w:w="4876" w:type="dxa"/>
            <w:tcBorders>
              <w:top w:val="nil"/>
              <w:left w:val="nil"/>
              <w:bottom w:val="nil"/>
              <w:right w:val="nil"/>
            </w:tcBorders>
          </w:tcPr>
          <w:p>
            <w:pPr>
              <w:pStyle w:val="Normal6a"/>
            </w:pPr>
            <w:r>
              <w:t>2.</w:t>
            </w:r>
            <w:r>
              <w:tab/>
            </w:r>
            <w:r>
              <w:t>При поискване от страна на регистрирани търсещи работа лица от трети държави и работодатели, участващи в резерва на ЕС от таланти, националните звена за контакт на резерва на ЕС от таланти оказват допълнителна подкрепа и съдействие след процеса на подбор на регистрираните търсещи работа лица от трети държави</w:t>
            </w:r>
            <w:r>
              <w:rPr>
                <w:b/>
                <w:i/>
              </w:rPr>
              <w:t>, работодателите и посредниците</w:t>
            </w:r>
            <w:r>
              <w:t>, участващи в резерва на ЕС от таланти, по-специално по отношение на: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673</w:t>
      </w:r>
      <w:r>
        <w:rPr>
          <w:rStyle w:val="HideTWBExt"/>
        </w:rPr>
        <w:t>&lt;/NumAm&gt;</w:t>
      </w:r>
    </w:p>
    <w:p>
      <w:pPr>
        <w:pStyle w:val="NormalBold"/>
      </w:pPr>
      <w:r>
        <w:rPr>
          <w:rStyle w:val="HideTWBExt"/>
          <w:b w:val="0"/>
        </w:rPr>
        <w:t>&lt;RepeatBlock-By&gt;</w:t>
      </w:r>
      <w:r>
        <w:rPr>
          <w:rStyle w:val="HideTWBExt"/>
          <w:b w:val="0"/>
        </w:rPr>
        <w:t>&lt;Members&gt;</w:t>
      </w:r>
      <w:r>
        <w:t>Хавиер Морено Санчес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17 – параграф 2 – уводна част</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При поискване от страна на регистрирани търсещи работа лица от трети държави и работодатели, участващи в резерва на ЕС от таланти, националните звена за контакт на резерва на ЕС от таланти оказват допълнителна подкрепа и съдействие след процеса на подбор на регистрираните търсещи работа лица от трети държави и работодателите, участващи в резерва на ЕС от таланти, по-специално по отношение на:</w:t>
            </w:r>
          </w:p>
        </w:tc>
        <w:tc>
          <w:tcPr>
            <w:tcW w:w="4876" w:type="dxa"/>
            <w:tcBorders>
              <w:top w:val="nil"/>
              <w:left w:val="nil"/>
              <w:bottom w:val="nil"/>
              <w:right w:val="nil"/>
            </w:tcBorders>
          </w:tcPr>
          <w:p>
            <w:pPr>
              <w:pStyle w:val="Normal6a"/>
            </w:pPr>
            <w:r>
              <w:t>2.</w:t>
            </w:r>
            <w:r>
              <w:tab/>
            </w:r>
            <w:r>
              <w:t>При поискване от страна на регистрирани търсещи работа лица от трети държави и работодатели, участващи в резерва на ЕС от таланти, националните звена за контакт на резерва на ЕС от таланти оказват допълнителна подкрепа</w:t>
            </w:r>
            <w:r>
              <w:rPr>
                <w:b/>
                <w:i/>
              </w:rPr>
              <w:t>, съвети</w:t>
            </w:r>
            <w:r>
              <w:t xml:space="preserve"> и съдействие след процеса на подбор на регистрираните търсещи работа лица от трети държави и работодателите, участващи в резерва на ЕС от таланти, по-специално по отношение на: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674</w:t>
      </w:r>
      <w:r>
        <w:rPr>
          <w:rStyle w:val="HideTWBExt"/>
        </w:rPr>
        <w:t>&lt;/NumAm&gt;</w:t>
      </w:r>
    </w:p>
    <w:p>
      <w:pPr>
        <w:pStyle w:val="NormalBold"/>
      </w:pPr>
      <w:r>
        <w:rPr>
          <w:rStyle w:val="HideTWBExt"/>
          <w:b w:val="0"/>
        </w:rPr>
        <w:t>&lt;RepeatBlock-By&gt;</w:t>
      </w:r>
      <w:r>
        <w:rPr>
          <w:rStyle w:val="HideTWBExt"/>
          <w:b w:val="0"/>
        </w:rPr>
        <w:t>&lt;Members&gt;</w:t>
      </w:r>
      <w:r>
        <w:t>Асита Канко</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17 – параграф 2 – уводна част</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При поискване от страна на регистрирани търсещи работа лица от трети държави и работодатели, участващи в резерва на ЕС от таланти, националните звена за контакт на резерва на ЕС от таланти оказват допълнителна подкрепа и съдействие след процеса на подбор на регистрираните търсещи работа лица от трети държави и работодателите, участващи в резерва на ЕС от таланти, по-специално по отношение на:</w:t>
            </w:r>
          </w:p>
        </w:tc>
        <w:tc>
          <w:tcPr>
            <w:tcW w:w="4876" w:type="dxa"/>
            <w:tcBorders>
              <w:top w:val="nil"/>
              <w:left w:val="nil"/>
              <w:bottom w:val="nil"/>
              <w:right w:val="nil"/>
            </w:tcBorders>
          </w:tcPr>
          <w:p>
            <w:pPr>
              <w:pStyle w:val="Normal6a"/>
            </w:pPr>
            <w:r>
              <w:t>2.</w:t>
            </w:r>
            <w:r>
              <w:tab/>
            </w:r>
            <w:r>
              <w:t xml:space="preserve">При поискване от страна на регистрирани търсещи работа лица от трети държави и работодатели, участващи в резерва на ЕС от таланти, националните звена за контакт на резерва на ЕС от таланти </w:t>
            </w:r>
            <w:r>
              <w:rPr>
                <w:b/>
                <w:i/>
              </w:rPr>
              <w:t>може да</w:t>
            </w:r>
            <w:r>
              <w:t xml:space="preserve"> оказват допълнителна подкрепа и съдействие след процеса на подбор на регистрираните търсещи работа лица от трети държави и работодателите, участващи в резерва на ЕС от таланти, по-специално по отношение на: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675</w:t>
      </w:r>
      <w:r>
        <w:rPr>
          <w:rStyle w:val="HideTWBExt"/>
        </w:rPr>
        <w:t>&lt;/NumAm&gt;</w:t>
      </w:r>
    </w:p>
    <w:p>
      <w:pPr>
        <w:pStyle w:val="NormalBold"/>
      </w:pPr>
      <w:r>
        <w:rPr>
          <w:rStyle w:val="HideTWBExt"/>
          <w:b w:val="0"/>
        </w:rPr>
        <w:t>&lt;RepeatBlock-By&gt;</w:t>
      </w:r>
      <w:r>
        <w:rPr>
          <w:rStyle w:val="HideTWBExt"/>
          <w:b w:val="0"/>
        </w:rPr>
        <w:t>&lt;Members&gt;</w:t>
      </w:r>
      <w:r>
        <w:t>Лена Дюпон, Томас Тобé, Алис Теодореску Мове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17 – параграф 2 – буква 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а</w:t>
            </w:r>
            <w:r>
              <w:t>)</w:t>
            </w:r>
            <w:r>
              <w:tab/>
            </w:r>
            <w:r>
              <w:rPr>
                <w:b/>
                <w:i/>
              </w:rPr>
              <w:t>конкретна информация относно</w:t>
            </w:r>
            <w:r>
              <w:t xml:space="preserve"> националните имиграционни процедури за получаване на визи и разрешения за пребиваване с цел работа след процеса на подбор;</w:t>
            </w:r>
          </w:p>
        </w:tc>
        <w:tc>
          <w:tcPr>
            <w:tcW w:w="4876" w:type="dxa"/>
            <w:tcBorders>
              <w:top w:val="nil"/>
              <w:left w:val="nil"/>
              <w:bottom w:val="nil"/>
              <w:right w:val="nil"/>
            </w:tcBorders>
          </w:tcPr>
          <w:p>
            <w:pPr>
              <w:pStyle w:val="Normal6a"/>
            </w:pPr>
            <w:r>
              <w:rPr>
                <w:b/>
                <w:i/>
              </w:rPr>
              <w:t>a</w:t>
            </w:r>
            <w:r>
              <w:t>)</w:t>
            </w:r>
            <w:r>
              <w:tab/>
            </w:r>
            <w:r>
              <w:t>националните имиграционни процедури за получаване на визи и разрешения за пребиваване с цел работа след процеса на подбор;</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676</w:t>
      </w:r>
      <w:r>
        <w:rPr>
          <w:rStyle w:val="HideTWBExt"/>
        </w:rPr>
        <w:t>&lt;/NumAm&gt;</w:t>
      </w:r>
    </w:p>
    <w:p>
      <w:pPr>
        <w:pStyle w:val="NormalBold"/>
      </w:pPr>
      <w:r>
        <w:rPr>
          <w:rStyle w:val="HideTWBExt"/>
          <w:b w:val="0"/>
        </w:rPr>
        <w:t>&lt;RepeatBlock-By&gt;</w:t>
      </w:r>
      <w:r>
        <w:rPr>
          <w:rStyle w:val="HideTWBExt"/>
          <w:b w:val="0"/>
        </w:rPr>
        <w:t>&lt;Members&gt;</w:t>
      </w:r>
      <w:r>
        <w:t>Чарли Веймерс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17 – параграф 2 – буква 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б)</w:t>
            </w:r>
            <w:r>
              <w:tab/>
            </w:r>
            <w:r>
              <w:rPr>
                <w:b/>
                <w:i/>
              </w:rPr>
              <w:t>конкретни насоки и информация относно процедурите за събиране на семейството и правата на членовете на семейството;</w:t>
            </w:r>
          </w:p>
        </w:tc>
        <w:tc>
          <w:tcPr>
            <w:tcW w:w="4876" w:type="dxa"/>
            <w:tcBorders>
              <w:top w:val="nil"/>
              <w:left w:val="nil"/>
              <w:bottom w:val="nil"/>
              <w:right w:val="nil"/>
            </w:tcBorders>
          </w:tcPr>
          <w:p>
            <w:pPr>
              <w:pStyle w:val="Normal6a"/>
            </w:pPr>
            <w:r>
              <w:rPr>
                <w:b/>
                <w:i/>
              </w:rPr>
              <w:t>заличава се</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677</w:t>
      </w:r>
      <w:r>
        <w:rPr>
          <w:rStyle w:val="HideTWBExt"/>
        </w:rPr>
        <w:t>&lt;/NumAm&gt;</w:t>
      </w:r>
    </w:p>
    <w:p>
      <w:pPr>
        <w:pStyle w:val="NormalBold"/>
      </w:pPr>
      <w:r>
        <w:rPr>
          <w:rStyle w:val="HideTWBExt"/>
          <w:b w:val="0"/>
        </w:rPr>
        <w:t>&lt;RepeatBlock-By&gt;</w:t>
      </w:r>
      <w:r>
        <w:rPr>
          <w:rStyle w:val="HideTWBExt"/>
          <w:b w:val="0"/>
        </w:rPr>
        <w:t>&lt;Members&gt;</w:t>
      </w:r>
      <w:r>
        <w:t>Надин Морано</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17 – параграф 2 – буква 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б)</w:t>
            </w:r>
            <w:r>
              <w:tab/>
            </w:r>
            <w:r>
              <w:t>конкретни насоки и информация относно процедурите за събиране на семейството и правата на членовете на семейството;</w:t>
            </w:r>
          </w:p>
        </w:tc>
        <w:tc>
          <w:tcPr>
            <w:tcW w:w="4876" w:type="dxa"/>
            <w:tcBorders>
              <w:top w:val="nil"/>
              <w:left w:val="nil"/>
              <w:bottom w:val="nil"/>
              <w:right w:val="nil"/>
            </w:tcBorders>
          </w:tcPr>
          <w:p>
            <w:pPr>
              <w:pStyle w:val="Normal6a"/>
            </w:pPr>
            <w:r>
              <w:t>б)</w:t>
            </w:r>
            <w:r>
              <w:tab/>
            </w:r>
            <w:r>
              <w:t xml:space="preserve">конкретни насоки и информация относно процедурите за събиране на семейството и правата </w:t>
            </w:r>
            <w:r>
              <w:rPr>
                <w:b/>
                <w:i/>
              </w:rPr>
              <w:t>и задълженията</w:t>
            </w:r>
            <w:r>
              <w:t xml:space="preserve"> на членовете на семейството;</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678</w:t>
      </w:r>
      <w:r>
        <w:rPr>
          <w:rStyle w:val="HideTWBExt"/>
        </w:rPr>
        <w:t>&lt;/NumAm&gt;</w:t>
      </w:r>
    </w:p>
    <w:p>
      <w:pPr>
        <w:pStyle w:val="NormalBold"/>
      </w:pPr>
      <w:r>
        <w:rPr>
          <w:rStyle w:val="HideTWBExt"/>
          <w:b w:val="0"/>
        </w:rPr>
        <w:t>&lt;RepeatBlock-By&gt;</w:t>
      </w:r>
      <w:r>
        <w:rPr>
          <w:rStyle w:val="HideTWBExt"/>
          <w:b w:val="0"/>
        </w:rPr>
        <w:t>&lt;Members&gt;</w:t>
      </w:r>
      <w:r>
        <w:t>Том Вандендрисе, Петра Щегер, Ярослав Бжох, Фабрис Леджери, Антонио Танжер Кореа,  Хорхе Бусаде Виялба, Марике Елерс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17 – параграф 2 – буква 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б)</w:t>
            </w:r>
            <w:r>
              <w:tab/>
            </w:r>
            <w:r>
              <w:rPr>
                <w:b/>
                <w:i/>
              </w:rPr>
              <w:t>конкретни насоки и</w:t>
            </w:r>
            <w:r>
              <w:t xml:space="preserve"> информация относно процедурите за събиране на семейството и правата на членовете на семейството;</w:t>
            </w:r>
          </w:p>
        </w:tc>
        <w:tc>
          <w:tcPr>
            <w:tcW w:w="4876" w:type="dxa"/>
            <w:tcBorders>
              <w:top w:val="nil"/>
              <w:left w:val="nil"/>
              <w:bottom w:val="nil"/>
              <w:right w:val="nil"/>
            </w:tcBorders>
          </w:tcPr>
          <w:p>
            <w:pPr>
              <w:pStyle w:val="Normal6a"/>
            </w:pPr>
            <w:r>
              <w:t>б)</w:t>
            </w:r>
            <w:r>
              <w:tab/>
            </w:r>
            <w:r>
              <w:t>информация относно процедурите за събиране на семейството и правата на членовете на семейството;</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679</w:t>
      </w:r>
      <w:r>
        <w:rPr>
          <w:rStyle w:val="HideTWBExt"/>
        </w:rPr>
        <w:t>&lt;/NumAm&gt;</w:t>
      </w:r>
    </w:p>
    <w:p>
      <w:pPr>
        <w:pStyle w:val="NormalBold"/>
      </w:pPr>
      <w:r>
        <w:rPr>
          <w:rStyle w:val="HideTWBExt"/>
          <w:b w:val="0"/>
        </w:rPr>
        <w:t>&lt;RepeatBlock-By&gt;</w:t>
      </w:r>
      <w:r>
        <w:rPr>
          <w:rStyle w:val="HideTWBExt"/>
          <w:b w:val="0"/>
        </w:rPr>
        <w:t>&lt;Members&gt;</w:t>
      </w:r>
      <w:r>
        <w:t>Лена Дюпон, Томас Тобé, Алис Теодореску Мове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17 – параграф 2 – буква 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б)</w:t>
            </w:r>
            <w:r>
              <w:tab/>
            </w:r>
            <w:r>
              <w:rPr>
                <w:b/>
                <w:i/>
              </w:rPr>
              <w:t>конкретни насоки и информация относно</w:t>
            </w:r>
            <w:r>
              <w:t xml:space="preserve"> процедурите за събиране на семейството и правата на членовете на семейството;</w:t>
            </w:r>
          </w:p>
        </w:tc>
        <w:tc>
          <w:tcPr>
            <w:tcW w:w="4876" w:type="dxa"/>
            <w:tcBorders>
              <w:top w:val="nil"/>
              <w:left w:val="nil"/>
              <w:bottom w:val="nil"/>
              <w:right w:val="nil"/>
            </w:tcBorders>
          </w:tcPr>
          <w:p>
            <w:pPr>
              <w:pStyle w:val="Normal6a"/>
            </w:pPr>
            <w:r>
              <w:t>б)</w:t>
            </w:r>
            <w:r>
              <w:tab/>
            </w:r>
            <w:r>
              <w:t xml:space="preserve">процедурите за събиране на семейството и правата </w:t>
            </w:r>
            <w:r>
              <w:rPr>
                <w:b/>
                <w:i/>
              </w:rPr>
              <w:t>и задълженията</w:t>
            </w:r>
            <w:r>
              <w:t xml:space="preserve"> на членовете на семейството;</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680</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17 – параграф 2 – буква 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в)</w:t>
            </w:r>
            <w:r>
              <w:tab/>
            </w:r>
            <w:r>
              <w:rPr>
                <w:b/>
                <w:i/>
              </w:rPr>
              <w:t>конкретна информация относно правата и задълженията на гражданите на трети страни, включително по отношение на достъпа до социални обезщетения, здравна помощ, образование, жилищно настаняване, признаване на квалификации и механизъм за подаване на жалби съгласно член 18;</w:t>
            </w:r>
          </w:p>
        </w:tc>
        <w:tc>
          <w:tcPr>
            <w:tcW w:w="4876" w:type="dxa"/>
            <w:tcBorders>
              <w:top w:val="nil"/>
              <w:left w:val="nil"/>
              <w:bottom w:val="nil"/>
              <w:right w:val="nil"/>
            </w:tcBorders>
          </w:tcPr>
          <w:p>
            <w:pPr>
              <w:pStyle w:val="Normal6a"/>
            </w:pPr>
            <w:r>
              <w:rPr>
                <w:b/>
                <w:i/>
              </w:rPr>
              <w:t>заличава се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681</w:t>
      </w:r>
      <w:r>
        <w:rPr>
          <w:rStyle w:val="HideTWBExt"/>
        </w:rPr>
        <w:t>&lt;/NumAm&gt;</w:t>
      </w:r>
    </w:p>
    <w:p>
      <w:pPr>
        <w:pStyle w:val="NormalBold"/>
      </w:pPr>
      <w:r>
        <w:rPr>
          <w:rStyle w:val="HideTWBExt"/>
          <w:b w:val="0"/>
        </w:rPr>
        <w:t>&lt;RepeatBlock-By&gt;</w:t>
      </w:r>
      <w:r>
        <w:rPr>
          <w:rStyle w:val="HideTWBExt"/>
          <w:b w:val="0"/>
        </w:rPr>
        <w:t>&lt;Members&gt;</w:t>
      </w:r>
      <w:r>
        <w:t>Хавиер Морено Санчес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17 – параграф 2 – буква 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в)</w:t>
            </w:r>
            <w:r>
              <w:tab/>
            </w:r>
            <w:r>
              <w:t xml:space="preserve">конкретна информация относно правата и задълженията на гражданите на трети страни, включително по отношение на достъпа до социални обезщетения, здравна помощ, образование, жилищно настаняване, признаване на квалификации и </w:t>
            </w:r>
            <w:r>
              <w:rPr>
                <w:b/>
                <w:i/>
              </w:rPr>
              <w:t>механизъм</w:t>
            </w:r>
            <w:r>
              <w:t xml:space="preserve"> за подаване на жалби съгласно член 18;</w:t>
            </w:r>
          </w:p>
        </w:tc>
        <w:tc>
          <w:tcPr>
            <w:tcW w:w="4876" w:type="dxa"/>
            <w:tcBorders>
              <w:top w:val="nil"/>
              <w:left w:val="nil"/>
              <w:bottom w:val="nil"/>
              <w:right w:val="nil"/>
            </w:tcBorders>
          </w:tcPr>
          <w:p>
            <w:pPr>
              <w:pStyle w:val="Normal6a"/>
            </w:pPr>
            <w:r>
              <w:t>в)</w:t>
            </w:r>
            <w:r>
              <w:tab/>
            </w:r>
            <w:r>
              <w:t xml:space="preserve">конкретна информация относно правата и задълженията на гражданите на трети страни, включително по отношение на </w:t>
            </w:r>
            <w:r>
              <w:rPr>
                <w:b/>
                <w:i/>
              </w:rPr>
              <w:t>условията на труд,</w:t>
            </w:r>
            <w:r>
              <w:t xml:space="preserve"> достъпа до социални обезщетения, здравна помощ, образование, жилищно настаняване, признаване на </w:t>
            </w:r>
            <w:r>
              <w:rPr>
                <w:b/>
                <w:i/>
              </w:rPr>
              <w:t>умения и</w:t>
            </w:r>
            <w:r>
              <w:t xml:space="preserve"> квалификации и </w:t>
            </w:r>
            <w:r>
              <w:rPr>
                <w:b/>
                <w:i/>
              </w:rPr>
              <w:t>механизма</w:t>
            </w:r>
            <w:r>
              <w:t xml:space="preserve"> за подаване на жалби </w:t>
            </w:r>
            <w:r>
              <w:rPr>
                <w:b/>
                <w:i/>
              </w:rPr>
              <w:t>и правна защита</w:t>
            </w:r>
            <w:r>
              <w:t xml:space="preserve"> съгласно член 18;</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682</w:t>
      </w:r>
      <w:r>
        <w:rPr>
          <w:rStyle w:val="HideTWBExt"/>
        </w:rPr>
        <w:t>&lt;/NumAm&gt;</w:t>
      </w:r>
    </w:p>
    <w:p>
      <w:pPr>
        <w:pStyle w:val="NormalBold"/>
      </w:pPr>
      <w:r>
        <w:rPr>
          <w:rStyle w:val="HideTWBExt"/>
          <w:b w:val="0"/>
        </w:rPr>
        <w:t>&lt;RepeatBlock-By&gt;</w:t>
      </w:r>
      <w:r>
        <w:rPr>
          <w:rStyle w:val="HideTWBExt"/>
          <w:b w:val="0"/>
        </w:rPr>
        <w:t>&lt;Members&gt;</w:t>
      </w:r>
      <w:r>
        <w:t>Чарли Веймерс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17 – параграф 2 – буква 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в)</w:t>
            </w:r>
            <w:r>
              <w:tab/>
            </w:r>
            <w:r>
              <w:t xml:space="preserve">конкретна информация относно </w:t>
            </w:r>
            <w:r>
              <w:rPr>
                <w:b/>
                <w:i/>
              </w:rPr>
              <w:t>правата и</w:t>
            </w:r>
            <w:r>
              <w:t xml:space="preserve"> задълженията на гражданите на трети </w:t>
            </w:r>
            <w:r>
              <w:rPr>
                <w:b/>
                <w:i/>
              </w:rPr>
              <w:t>страни, включително по отношение на достъпа до социални обезщетения, здравна помощ, образование, жилищно настаняване, признаване на квалификации и механизъм за подаване на жалби съгласно член 18</w:t>
            </w:r>
            <w:r>
              <w:t>;</w:t>
            </w:r>
          </w:p>
        </w:tc>
        <w:tc>
          <w:tcPr>
            <w:tcW w:w="4876" w:type="dxa"/>
            <w:tcBorders>
              <w:top w:val="nil"/>
              <w:left w:val="nil"/>
              <w:bottom w:val="nil"/>
              <w:right w:val="nil"/>
            </w:tcBorders>
          </w:tcPr>
          <w:p>
            <w:pPr>
              <w:pStyle w:val="Normal6a"/>
            </w:pPr>
            <w:r>
              <w:t>в)</w:t>
            </w:r>
            <w:r>
              <w:tab/>
            </w:r>
            <w:r>
              <w:t xml:space="preserve">конкретна информация относно задълженията на гражданите на трети </w:t>
            </w:r>
            <w:r>
              <w:rPr>
                <w:b/>
                <w:i/>
              </w:rPr>
              <w:t>държави</w:t>
            </w:r>
            <w:r>
              <w:t>;</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683</w:t>
      </w:r>
      <w:r>
        <w:rPr>
          <w:rStyle w:val="HideTWBExt"/>
        </w:rPr>
        <w:t>&lt;/NumAm&gt;</w:t>
      </w:r>
    </w:p>
    <w:p>
      <w:pPr>
        <w:pStyle w:val="NormalBold"/>
      </w:pPr>
      <w:r>
        <w:rPr>
          <w:rStyle w:val="HideTWBExt"/>
          <w:b w:val="0"/>
        </w:rPr>
        <w:t>&lt;RepeatBlock-By&gt;</w:t>
      </w:r>
      <w:r>
        <w:rPr>
          <w:rStyle w:val="HideTWBExt"/>
          <w:b w:val="0"/>
        </w:rPr>
        <w:t>&lt;Members&gt;</w:t>
      </w:r>
      <w:r>
        <w:t>Лена Дюпон, Томас Тобé, Алис Теодореску Мове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17 – параграф 2 – буква 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в)</w:t>
            </w:r>
            <w:r>
              <w:tab/>
            </w:r>
            <w:r>
              <w:rPr>
                <w:b/>
                <w:i/>
              </w:rPr>
              <w:t>конкретна информация относно</w:t>
            </w:r>
            <w:r>
              <w:t xml:space="preserve"> правата и задълженията на гражданите на трети </w:t>
            </w:r>
            <w:r>
              <w:rPr>
                <w:b/>
                <w:i/>
              </w:rPr>
              <w:t>страни</w:t>
            </w:r>
            <w:r>
              <w:t>, включително по отношение на достъпа до социални обезщетения, здравна помощ, образование, жилищно настаняване, признаване на квалификации и механизъм за подаване на жалби съгласно член 18;</w:t>
            </w:r>
          </w:p>
        </w:tc>
        <w:tc>
          <w:tcPr>
            <w:tcW w:w="4876" w:type="dxa"/>
            <w:tcBorders>
              <w:top w:val="nil"/>
              <w:left w:val="nil"/>
              <w:bottom w:val="nil"/>
              <w:right w:val="nil"/>
            </w:tcBorders>
          </w:tcPr>
          <w:p>
            <w:pPr>
              <w:pStyle w:val="Normal6a"/>
            </w:pPr>
            <w:r>
              <w:t>в)</w:t>
            </w:r>
            <w:r>
              <w:tab/>
            </w:r>
            <w:r>
              <w:t xml:space="preserve">правата и задълженията на гражданите на трети </w:t>
            </w:r>
            <w:r>
              <w:rPr>
                <w:b/>
                <w:i/>
              </w:rPr>
              <w:t>държави</w:t>
            </w:r>
            <w:r>
              <w:t xml:space="preserve">, включително по отношение на </w:t>
            </w:r>
            <w:r>
              <w:rPr>
                <w:b/>
                <w:i/>
              </w:rPr>
              <w:t>спазването и зачитането на националните закони,</w:t>
            </w:r>
            <w:r>
              <w:t xml:space="preserve"> достъпа до социални обезщетения, здравна помощ, образование, жилищно настаняване, признаване на квалификации и механизъм за подаване на жалби съгласно член 18;</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684</w:t>
      </w:r>
      <w:r>
        <w:rPr>
          <w:rStyle w:val="HideTWBExt"/>
        </w:rPr>
        <w:t>&lt;/NumAm&gt;</w:t>
      </w:r>
    </w:p>
    <w:p>
      <w:pPr>
        <w:pStyle w:val="NormalBold"/>
      </w:pPr>
      <w:r>
        <w:rPr>
          <w:rStyle w:val="HideTWBExt"/>
          <w:b w:val="0"/>
        </w:rPr>
        <w:t>&lt;RepeatBlock-By&gt;</w:t>
      </w:r>
      <w:r>
        <w:rPr>
          <w:rStyle w:val="HideTWBExt"/>
          <w:b w:val="0"/>
        </w:rPr>
        <w:t>&lt;Members&gt;</w:t>
      </w:r>
      <w:r>
        <w:t>Чарли Веймерс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17 – параграф 2 – буква г</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г)</w:t>
            </w:r>
            <w:r>
              <w:tab/>
            </w:r>
            <w:r>
              <w:rPr>
                <w:b/>
                <w:i/>
              </w:rPr>
              <w:t>наличната на национално равнище информация относно улесняването на интеграцията на гражданите на трети страни в приемащата държава членка, като например езикови курсове, професионално обучение и образование, както и други мерки за интеграция;</w:t>
            </w:r>
          </w:p>
        </w:tc>
        <w:tc>
          <w:tcPr>
            <w:tcW w:w="4876" w:type="dxa"/>
            <w:tcBorders>
              <w:top w:val="nil"/>
              <w:left w:val="nil"/>
              <w:bottom w:val="nil"/>
              <w:right w:val="nil"/>
            </w:tcBorders>
          </w:tcPr>
          <w:p>
            <w:pPr>
              <w:pStyle w:val="Normal6a"/>
            </w:pPr>
            <w:r>
              <w:rPr>
                <w:b/>
                <w:i/>
              </w:rPr>
              <w:t>заличава се</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685</w:t>
      </w:r>
      <w:r>
        <w:rPr>
          <w:rStyle w:val="HideTWBExt"/>
        </w:rPr>
        <w:t>&lt;/NumAm&gt;</w:t>
      </w:r>
    </w:p>
    <w:p>
      <w:pPr>
        <w:pStyle w:val="NormalBold"/>
      </w:pPr>
      <w:r>
        <w:rPr>
          <w:rStyle w:val="HideTWBExt"/>
          <w:b w:val="0"/>
        </w:rPr>
        <w:t>&lt;RepeatBlock-By&gt;</w:t>
      </w:r>
      <w:r>
        <w:rPr>
          <w:rStyle w:val="HideTWBExt"/>
          <w:b w:val="0"/>
        </w:rPr>
        <w:t>&lt;Members&gt;</w:t>
      </w:r>
      <w:r>
        <w:t>Лена Дюпон, Томас Тобé, Алис Теодореску Мове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17 – параграф 2 – буква г</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г)</w:t>
            </w:r>
            <w:r>
              <w:tab/>
            </w:r>
            <w:r>
              <w:rPr>
                <w:b/>
                <w:i/>
              </w:rPr>
              <w:t>наличната на национално равнище информация относно улесняването на интеграцията на гражданите на трети страни</w:t>
            </w:r>
            <w:r>
              <w:t xml:space="preserve"> в приемащата държава членка, като </w:t>
            </w:r>
            <w:r>
              <w:rPr>
                <w:b/>
                <w:i/>
              </w:rPr>
              <w:t>например</w:t>
            </w:r>
            <w:r>
              <w:t xml:space="preserve"> езикови курсове, професионално обучение и образование, както и други мерки за интеграция;</w:t>
            </w:r>
          </w:p>
        </w:tc>
        <w:tc>
          <w:tcPr>
            <w:tcW w:w="4876" w:type="dxa"/>
            <w:tcBorders>
              <w:top w:val="nil"/>
              <w:left w:val="nil"/>
              <w:bottom w:val="nil"/>
              <w:right w:val="nil"/>
            </w:tcBorders>
          </w:tcPr>
          <w:p>
            <w:pPr>
              <w:pStyle w:val="Normal6a"/>
            </w:pPr>
            <w:r>
              <w:t>г)</w:t>
            </w:r>
            <w:r>
              <w:tab/>
            </w:r>
            <w:r>
              <w:rPr>
                <w:b/>
                <w:i/>
              </w:rPr>
              <w:t>дейности за интеграция</w:t>
            </w:r>
            <w:r>
              <w:t xml:space="preserve"> в приемащата държава членка, като езикови курсове, професионално обучение и образование, както и други мерки за интеграция;</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686</w:t>
      </w:r>
      <w:r>
        <w:rPr>
          <w:rStyle w:val="HideTWBExt"/>
        </w:rPr>
        <w:t>&lt;/NumAm&gt;</w:t>
      </w:r>
    </w:p>
    <w:p>
      <w:pPr>
        <w:pStyle w:val="NormalBold"/>
      </w:pPr>
      <w:r>
        <w:rPr>
          <w:rStyle w:val="HideTWBExt"/>
          <w:b w:val="0"/>
        </w:rPr>
        <w:t>&lt;RepeatBlock-By&gt;</w:t>
      </w:r>
      <w:r>
        <w:rPr>
          <w:rStyle w:val="HideTWBExt"/>
          <w:b w:val="0"/>
        </w:rPr>
        <w:t>&lt;Members&gt;</w:t>
      </w:r>
      <w:r>
        <w:t>Хавиер Морено Санчес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17 – параграф 2 – буква д</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д)</w:t>
            </w:r>
            <w:r>
              <w:tab/>
            </w:r>
            <w:r>
              <w:t>данните за контакт с организации, предлагащи помощ на граждани на трети държави след наемане на работа, където има такива.</w:t>
            </w:r>
          </w:p>
        </w:tc>
        <w:tc>
          <w:tcPr>
            <w:tcW w:w="4876" w:type="dxa"/>
            <w:tcBorders>
              <w:top w:val="nil"/>
              <w:left w:val="nil"/>
              <w:bottom w:val="nil"/>
              <w:right w:val="nil"/>
            </w:tcBorders>
          </w:tcPr>
          <w:p>
            <w:pPr>
              <w:pStyle w:val="Normal6a"/>
            </w:pPr>
            <w:r>
              <w:t>д)</w:t>
            </w:r>
            <w:r>
              <w:tab/>
            </w:r>
            <w:r>
              <w:t xml:space="preserve">данните за контакт с организации, предлагащи </w:t>
            </w:r>
            <w:r>
              <w:rPr>
                <w:b/>
                <w:i/>
              </w:rPr>
              <w:t>подкрепа и</w:t>
            </w:r>
            <w:r>
              <w:t xml:space="preserve"> помощ на граждани на трети държави след наемане на работа, където има такива</w:t>
            </w:r>
            <w:r>
              <w:rPr>
                <w:b/>
                <w:i/>
              </w:rPr>
              <w:t>, например синдикални организации, сдружения на работодателите и търговски камари</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687</w:t>
      </w:r>
      <w:r>
        <w:rPr>
          <w:rStyle w:val="HideTWBExt"/>
        </w:rPr>
        <w:t>&lt;/NumAm&gt;</w:t>
      </w:r>
    </w:p>
    <w:p>
      <w:pPr>
        <w:pStyle w:val="NormalBold"/>
      </w:pPr>
      <w:r>
        <w:rPr>
          <w:rStyle w:val="HideTWBExt"/>
          <w:b w:val="0"/>
        </w:rPr>
        <w:t>&lt;RepeatBlock-By&gt;</w:t>
      </w:r>
      <w:r>
        <w:rPr>
          <w:rStyle w:val="HideTWBExt"/>
          <w:b w:val="0"/>
        </w:rPr>
        <w:t>&lt;Members&gt;</w:t>
      </w:r>
      <w:r>
        <w:t>Пернандо Барена Арса</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17 – параграф 2 – буква д</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д)</w:t>
            </w:r>
            <w:r>
              <w:tab/>
            </w:r>
            <w:r>
              <w:t>данните за контакт с организации, предлагащи помощ на граждани на трети държави след наемане на работа</w:t>
            </w:r>
            <w:r>
              <w:rPr>
                <w:b/>
                <w:i/>
              </w:rPr>
              <w:t>, където има такива</w:t>
            </w:r>
            <w:r>
              <w:t>.</w:t>
            </w:r>
          </w:p>
        </w:tc>
        <w:tc>
          <w:tcPr>
            <w:tcW w:w="4876" w:type="dxa"/>
            <w:tcBorders>
              <w:top w:val="nil"/>
              <w:left w:val="nil"/>
              <w:bottom w:val="nil"/>
              <w:right w:val="nil"/>
            </w:tcBorders>
          </w:tcPr>
          <w:p>
            <w:pPr>
              <w:pStyle w:val="Normal6a"/>
            </w:pPr>
            <w:r>
              <w:t>д)</w:t>
            </w:r>
            <w:r>
              <w:tab/>
            </w:r>
            <w:r>
              <w:t xml:space="preserve">данните за контакт с организации, </w:t>
            </w:r>
            <w:r>
              <w:rPr>
                <w:b/>
                <w:i/>
              </w:rPr>
              <w:t>включително синдикални организации,</w:t>
            </w:r>
            <w:r>
              <w:t xml:space="preserve"> предлагащи помощ на граждани на трети държави след наемане на работа.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688</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17 – параграф 2 – буква д</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д)</w:t>
            </w:r>
            <w:r>
              <w:tab/>
            </w:r>
            <w:r>
              <w:t>данните за контакт с организации, предлагащи помощ на граждани на трети държави след наемане на работа</w:t>
            </w:r>
            <w:r>
              <w:rPr>
                <w:b/>
                <w:i/>
              </w:rPr>
              <w:t>, където има такива</w:t>
            </w:r>
            <w:r>
              <w:t>.</w:t>
            </w:r>
          </w:p>
        </w:tc>
        <w:tc>
          <w:tcPr>
            <w:tcW w:w="4876" w:type="dxa"/>
            <w:tcBorders>
              <w:top w:val="nil"/>
              <w:left w:val="nil"/>
              <w:bottom w:val="nil"/>
              <w:right w:val="nil"/>
            </w:tcBorders>
          </w:tcPr>
          <w:p>
            <w:pPr>
              <w:pStyle w:val="Normal6a"/>
            </w:pPr>
            <w:r>
              <w:t>д)</w:t>
            </w:r>
            <w:r>
              <w:tab/>
            </w:r>
            <w:r>
              <w:t>данните за контакт с организации, предлагащи помощ на граждани на трети държави след наемане на работа.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689</w:t>
      </w:r>
      <w:r>
        <w:rPr>
          <w:rStyle w:val="HideTWBExt"/>
        </w:rPr>
        <w:t>&lt;/NumAm&gt;</w:t>
      </w:r>
    </w:p>
    <w:p>
      <w:pPr>
        <w:pStyle w:val="NormalBold"/>
      </w:pPr>
      <w:r>
        <w:rPr>
          <w:rStyle w:val="HideTWBExt"/>
          <w:b w:val="0"/>
        </w:rPr>
        <w:t>&lt;RepeatBlock-By&gt;</w:t>
      </w:r>
      <w:r>
        <w:rPr>
          <w:rStyle w:val="HideTWBExt"/>
          <w:b w:val="0"/>
        </w:rPr>
        <w:t>&lt;Members&gt;</w:t>
      </w:r>
      <w:r>
        <w:t>Ян-Кристоф Йотен, Абир Ал-Сахлани, Луция Яр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17 – параграф 2 – буква д</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д)</w:t>
            </w:r>
            <w:r>
              <w:tab/>
            </w:r>
            <w:r>
              <w:t>данните за контакт с организации, предлагащи помощ на граждани на трети държави след наемане на работа</w:t>
            </w:r>
            <w:r>
              <w:rPr>
                <w:b/>
                <w:i/>
              </w:rPr>
              <w:t>, където има такива</w:t>
            </w:r>
            <w:r>
              <w:t>.</w:t>
            </w:r>
          </w:p>
        </w:tc>
        <w:tc>
          <w:tcPr>
            <w:tcW w:w="4876" w:type="dxa"/>
            <w:tcBorders>
              <w:top w:val="nil"/>
              <w:left w:val="nil"/>
              <w:bottom w:val="nil"/>
              <w:right w:val="nil"/>
            </w:tcBorders>
          </w:tcPr>
          <w:p>
            <w:pPr>
              <w:pStyle w:val="Normal6a"/>
            </w:pPr>
            <w:r>
              <w:t>д)</w:t>
            </w:r>
            <w:r>
              <w:tab/>
            </w:r>
            <w:r>
              <w:t>данните за контакт с организации, предлагащи помощ на граждани на трети държави след наемане на работа.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690</w:t>
      </w:r>
      <w:r>
        <w:rPr>
          <w:rStyle w:val="HideTWBExt"/>
        </w:rPr>
        <w:t>&lt;/NumAm&gt;</w:t>
      </w:r>
    </w:p>
    <w:p>
      <w:pPr>
        <w:pStyle w:val="NormalBold"/>
      </w:pPr>
      <w:r>
        <w:rPr>
          <w:rStyle w:val="HideTWBExt"/>
          <w:b w:val="0"/>
        </w:rPr>
        <w:t>&lt;RepeatBlock-By&gt;</w:t>
      </w:r>
      <w:r>
        <w:rPr>
          <w:rStyle w:val="HideTWBExt"/>
          <w:b w:val="0"/>
        </w:rPr>
        <w:t>&lt;Members&gt;</w:t>
      </w:r>
      <w:r>
        <w:t>Ян-Кристоф Йотен, Абир Ал-Сахлани, Хилде Вотманс, Ирена Йовева, Луция Яр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17 – параграф 2 – буква д a (нова)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да)</w:t>
            </w:r>
            <w:r>
              <w:tab/>
            </w:r>
            <w:r>
              <w:rPr>
                <w:b/>
                <w:i/>
              </w:rPr>
              <w:t>информация за гражданите на трети държави относно законния престой в държавата членка на приемане в случай на прекратяване на договор или преход между назначения въз основа на Директива (ЕС) 2024/1233 или националните разрешения за работа и пребиваване, както и информация относно помощта, налична за гражданите на трети държави при връщането им в техните държави по произход, включително относно подкрепата за реинтеграция в контекста на партньорствата в подкрепа на талантите с развиващите се държави;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691</w:t>
      </w:r>
      <w:r>
        <w:rPr>
          <w:rStyle w:val="HideTWBExt"/>
        </w:rPr>
        <w:t>&lt;/NumAm&gt;</w:t>
      </w:r>
    </w:p>
    <w:p>
      <w:pPr>
        <w:pStyle w:val="NormalBold"/>
      </w:pPr>
      <w:r>
        <w:rPr>
          <w:rStyle w:val="HideTWBExt"/>
          <w:b w:val="0"/>
        </w:rPr>
        <w:t>&lt;RepeatBlock-By&gt;</w:t>
      </w:r>
      <w:r>
        <w:rPr>
          <w:rStyle w:val="HideTWBExt"/>
          <w:b w:val="0"/>
        </w:rPr>
        <w:t>&lt;Members&gt;</w:t>
      </w:r>
      <w:r>
        <w:t>Ян-Кристоф Йотен, Абир Ал-Сахлани, Луция Яр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17 – параграф 2 – буква д б (нова)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дб)</w:t>
            </w:r>
            <w:r>
              <w:tab/>
            </w:r>
            <w:r>
              <w:rPr>
                <w:b/>
                <w:i/>
              </w:rPr>
              <w:t>когато е уместно, информация относно възможностите за развиване на умения и компетентности, образование и професионално обучение, предоставяна чрез програми за сътрудничество за развитие.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692</w:t>
      </w:r>
      <w:r>
        <w:rPr>
          <w:rStyle w:val="HideTWBExt"/>
        </w:rPr>
        <w:t>&lt;/NumAm&gt;</w:t>
      </w:r>
    </w:p>
    <w:p>
      <w:pPr>
        <w:pStyle w:val="NormalBold"/>
      </w:pPr>
      <w:r>
        <w:rPr>
          <w:rStyle w:val="HideTWBExt"/>
          <w:b w:val="0"/>
        </w:rPr>
        <w:t>&lt;RepeatBlock-By&gt;</w:t>
      </w:r>
      <w:r>
        <w:rPr>
          <w:rStyle w:val="HideTWBExt"/>
          <w:b w:val="0"/>
        </w:rPr>
        <w:t>&lt;Members&gt;</w:t>
      </w:r>
      <w:r>
        <w:t>Чарли Веймерс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17 – параграф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tab/>
            </w:r>
            <w:r>
              <w:rPr>
                <w:b/>
                <w:i/>
              </w:rPr>
              <w:t>Когато е целесъобразно, националните звена за контакт на резерва на ЕС от талантите насочват исканията за предоставяне на сведения, насоки и подкрепа към други национални компетентни органи и, ако е приложимо, към други подходящи органи на национално равнище, подкрепящи интеграцията на граждани на трети държави на пазара на труда.</w:t>
            </w:r>
          </w:p>
        </w:tc>
        <w:tc>
          <w:tcPr>
            <w:tcW w:w="4876" w:type="dxa"/>
            <w:tcBorders>
              <w:top w:val="nil"/>
              <w:left w:val="nil"/>
              <w:bottom w:val="nil"/>
              <w:right w:val="nil"/>
            </w:tcBorders>
          </w:tcPr>
          <w:p>
            <w:pPr>
              <w:pStyle w:val="Normal6a"/>
            </w:pPr>
            <w:r>
              <w:rPr>
                <w:b/>
                <w:i/>
              </w:rPr>
              <w:t>заличава се</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693</w:t>
      </w:r>
      <w:r>
        <w:rPr>
          <w:rStyle w:val="HideTWBExt"/>
        </w:rPr>
        <w:t>&lt;/NumAm&gt;</w:t>
      </w:r>
    </w:p>
    <w:p>
      <w:pPr>
        <w:pStyle w:val="NormalBold"/>
      </w:pPr>
      <w:r>
        <w:rPr>
          <w:rStyle w:val="HideTWBExt"/>
          <w:b w:val="0"/>
        </w:rPr>
        <w:t>&lt;RepeatBlock-By&gt;</w:t>
      </w:r>
      <w:r>
        <w:rPr>
          <w:rStyle w:val="HideTWBExt"/>
          <w:b w:val="0"/>
        </w:rPr>
        <w:t>&lt;Members&gt;</w:t>
      </w:r>
      <w:r>
        <w:t>Ян-Кристоф Йотен, Абир Ал-Сахлани, Луция Яр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12 – параграф 3 – параграф 1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Секретариатът на резерва на ЕС от таланти в сътрудничество с ръководната група провежда кампании за повишаване на осведомеността, насочени към работодателите, по-специално МСП, за задълбочаване на разбирането сред обществеността за резерва на ЕС от таланти и по този начин за подобряване на неговото използване.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694</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17 – параграф 3 а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3а.</w:t>
            </w:r>
            <w:r>
              <w:tab/>
            </w:r>
            <w:r>
              <w:rPr>
                <w:b/>
                <w:i/>
              </w:rPr>
              <w:t>Секретариатът на резерва на ЕС от таланти, в сътрудничество с държавите членки, провежда онлайн и офлайн кампании за повишаване на осведомеността с цел популяризиране на резерва на ЕС от таланти както на национално равнище, така и на равнището на ЕС.</w:t>
            </w:r>
            <w:r>
              <w:t xml:space="preserve"> </w:t>
            </w:r>
            <w:r>
              <w:rPr>
                <w:b/>
                <w:i/>
              </w:rPr>
              <w:t>Специалните усилия се насочват и към трети държави, като акцентът е върху ключовите целеви региони, включително чрез партньорства с делегациите на ЕС и националните посолства.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695</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18 – заглавие</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Улесняване на подаването на жалби</w:t>
            </w:r>
          </w:p>
        </w:tc>
        <w:tc>
          <w:tcPr>
            <w:tcW w:w="4876" w:type="dxa"/>
            <w:tcBorders>
              <w:top w:val="nil"/>
              <w:left w:val="nil"/>
              <w:bottom w:val="nil"/>
              <w:right w:val="nil"/>
            </w:tcBorders>
          </w:tcPr>
          <w:p>
            <w:pPr>
              <w:pStyle w:val="Normal6a"/>
            </w:pPr>
            <w:r>
              <w:t xml:space="preserve">Улесняване на подаването на жалби </w:t>
            </w:r>
            <w:r>
              <w:rPr>
                <w:b/>
                <w:i/>
              </w:rPr>
              <w:t>срещу участващи работодатели и посредници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696</w:t>
      </w:r>
      <w:r>
        <w:rPr>
          <w:rStyle w:val="HideTWBExt"/>
        </w:rPr>
        <w:t>&lt;/NumAm&gt;</w:t>
      </w:r>
    </w:p>
    <w:p>
      <w:pPr>
        <w:pStyle w:val="NormalBold"/>
      </w:pPr>
      <w:r>
        <w:rPr>
          <w:rStyle w:val="HideTWBExt"/>
          <w:b w:val="0"/>
        </w:rPr>
        <w:t>&lt;RepeatBlock-By&gt;</w:t>
      </w:r>
      <w:r>
        <w:rPr>
          <w:rStyle w:val="HideTWBExt"/>
          <w:b w:val="0"/>
        </w:rPr>
        <w:t>&lt;Members&gt;</w:t>
      </w:r>
      <w:r>
        <w:t>Пернандо Барена Арса</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18 – заглавие</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Улесняване на подаването на жалби</w:t>
            </w:r>
          </w:p>
        </w:tc>
        <w:tc>
          <w:tcPr>
            <w:tcW w:w="4876" w:type="dxa"/>
            <w:tcBorders>
              <w:top w:val="nil"/>
              <w:left w:val="nil"/>
              <w:bottom w:val="nil"/>
              <w:right w:val="nil"/>
            </w:tcBorders>
          </w:tcPr>
          <w:p>
            <w:pPr>
              <w:pStyle w:val="Normal6a"/>
            </w:pPr>
            <w:r>
              <w:t xml:space="preserve">Улесняване на подаването на жалби </w:t>
            </w:r>
            <w:r>
              <w:rPr>
                <w:b/>
                <w:i/>
              </w:rPr>
              <w:t>и правна защита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697</w:t>
      </w:r>
      <w:r>
        <w:rPr>
          <w:rStyle w:val="HideTWBExt"/>
        </w:rPr>
        <w:t>&lt;/NumAm&gt;</w:t>
      </w:r>
    </w:p>
    <w:p>
      <w:pPr>
        <w:pStyle w:val="NormalBold"/>
      </w:pPr>
      <w:r>
        <w:rPr>
          <w:rStyle w:val="HideTWBExt"/>
          <w:b w:val="0"/>
        </w:rPr>
        <w:t>&lt;RepeatBlock-By&gt;</w:t>
      </w:r>
      <w:r>
        <w:rPr>
          <w:rStyle w:val="HideTWBExt"/>
          <w:b w:val="0"/>
        </w:rPr>
        <w:t>&lt;Members&gt;</w:t>
      </w:r>
      <w:r>
        <w:t>Хавиер Морено Санчес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18 – заглавие</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Улесняване на подаването на жалби</w:t>
            </w:r>
          </w:p>
        </w:tc>
        <w:tc>
          <w:tcPr>
            <w:tcW w:w="4876" w:type="dxa"/>
            <w:tcBorders>
              <w:top w:val="nil"/>
              <w:left w:val="nil"/>
              <w:bottom w:val="nil"/>
              <w:right w:val="nil"/>
            </w:tcBorders>
          </w:tcPr>
          <w:p>
            <w:pPr>
              <w:pStyle w:val="Normal6a"/>
            </w:pPr>
            <w:r>
              <w:t xml:space="preserve">Улесняване на подаването на жалби </w:t>
            </w:r>
            <w:r>
              <w:rPr>
                <w:b/>
                <w:i/>
              </w:rPr>
              <w:t>и обезщетения</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698</w:t>
      </w:r>
      <w:r>
        <w:rPr>
          <w:rStyle w:val="HideTWBExt"/>
        </w:rPr>
        <w:t>&lt;/NumAm&gt;</w:t>
      </w:r>
    </w:p>
    <w:p>
      <w:pPr>
        <w:pStyle w:val="NormalBold"/>
      </w:pPr>
      <w:r>
        <w:rPr>
          <w:rStyle w:val="HideTWBExt"/>
          <w:b w:val="0"/>
        </w:rPr>
        <w:t>&lt;RepeatBlock-By&gt;</w:t>
      </w:r>
      <w:r>
        <w:rPr>
          <w:rStyle w:val="HideTWBExt"/>
          <w:b w:val="0"/>
        </w:rPr>
        <w:t>&lt;Members&gt;</w:t>
      </w:r>
      <w:r>
        <w:t>Пернандо Барена Арса</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18 – параграф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Участващите държави членки гарантират наличието на ефективни механизми, чрез които регистрираните търсещи работа лица от трети държави може да подават жалби в случай на неизпълнение на задълженията и условията, посочени в член 13, параграф 3, от страна на работодателите, участващи в резерва на ЕС таланти.</w:t>
            </w:r>
          </w:p>
        </w:tc>
        <w:tc>
          <w:tcPr>
            <w:tcW w:w="4876" w:type="dxa"/>
            <w:tcBorders>
              <w:top w:val="nil"/>
              <w:left w:val="nil"/>
              <w:bottom w:val="nil"/>
              <w:right w:val="nil"/>
            </w:tcBorders>
          </w:tcPr>
          <w:p>
            <w:pPr>
              <w:pStyle w:val="Normal6a"/>
            </w:pPr>
            <w:r>
              <w:t>1.</w:t>
            </w:r>
            <w:r>
              <w:tab/>
            </w:r>
            <w:r>
              <w:t xml:space="preserve">Участващите държави членки гарантират наличието на </w:t>
            </w:r>
            <w:r>
              <w:rPr>
                <w:b/>
                <w:i/>
              </w:rPr>
              <w:t>достъпни, навременни и</w:t>
            </w:r>
            <w:r>
              <w:t xml:space="preserve"> ефективни механизми, чрез които регистрираните търсещи работа лица </w:t>
            </w:r>
            <w:r>
              <w:rPr>
                <w:b/>
                <w:i/>
              </w:rPr>
              <w:t>и работници</w:t>
            </w:r>
            <w:r>
              <w:t xml:space="preserve"> от трети държави може да подават жалби </w:t>
            </w:r>
            <w:r>
              <w:rPr>
                <w:b/>
                <w:i/>
              </w:rPr>
              <w:t>пряко чрез трети страни, които в съответствие с критериите, определени в националното им право, имат законен интерес да гарантират спазването на настоящия регламент, или чрез компетентен орган на участващата държава членка, когато това е предвидено в националното право,</w:t>
            </w:r>
            <w:r>
              <w:t xml:space="preserve"> в случай на неизпълнение на задълженията и условията, посочени в член 13, параграф 3, от страна на работодателите, участващи в резерва на ЕС таланти</w:t>
            </w:r>
            <w:r>
              <w:rPr>
                <w:b/>
                <w:i/>
              </w:rPr>
              <w:t>, или други приложими разпоредби.</w:t>
            </w:r>
            <w:r>
              <w:t xml:space="preserve"> </w:t>
            </w:r>
            <w:r>
              <w:rPr>
                <w:b/>
                <w:i/>
              </w:rPr>
              <w:t>Регистрираните търсещи работа лица и работници, които подават жалба, са защитени от ответни действия с цел отмъщение или всякакви други неблагоприятни последици в резултат на жалба</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699</w:t>
      </w:r>
      <w:r>
        <w:rPr>
          <w:rStyle w:val="HideTWBExt"/>
        </w:rPr>
        <w:t>&lt;/NumAm&gt;</w:t>
      </w:r>
    </w:p>
    <w:p>
      <w:pPr>
        <w:pStyle w:val="NormalBold"/>
      </w:pPr>
      <w:r>
        <w:rPr>
          <w:rStyle w:val="HideTWBExt"/>
          <w:b w:val="0"/>
        </w:rPr>
        <w:t>&lt;RepeatBlock-By&gt;</w:t>
      </w:r>
      <w:r>
        <w:rPr>
          <w:rStyle w:val="HideTWBExt"/>
          <w:b w:val="0"/>
        </w:rPr>
        <w:t>&lt;Members&gt;</w:t>
      </w:r>
      <w:r>
        <w:t>Хавиер Морено Санчес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18 – параграф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Участващите държави членки гарантират наличието на ефективни механизми, чрез които регистрираните търсещи работа лица от трети държави може да подават жалби в случай на неизпълнение на задълженията и условията, посочени в член 13, параграф 3, от страна на работодателите, участващи в резерва на ЕС таланти.</w:t>
            </w:r>
          </w:p>
        </w:tc>
        <w:tc>
          <w:tcPr>
            <w:tcW w:w="4876" w:type="dxa"/>
            <w:tcBorders>
              <w:top w:val="nil"/>
              <w:left w:val="nil"/>
              <w:bottom w:val="nil"/>
              <w:right w:val="nil"/>
            </w:tcBorders>
          </w:tcPr>
          <w:p>
            <w:pPr>
              <w:pStyle w:val="Normal6a"/>
            </w:pPr>
            <w:r>
              <w:t>1.</w:t>
            </w:r>
            <w:r>
              <w:tab/>
            </w:r>
            <w:r>
              <w:t xml:space="preserve">Участващите държави членки гарантират наличието на </w:t>
            </w:r>
            <w:r>
              <w:rPr>
                <w:b/>
                <w:i/>
              </w:rPr>
              <w:t>достъпни,</w:t>
            </w:r>
            <w:r>
              <w:t xml:space="preserve"> ефективни </w:t>
            </w:r>
            <w:r>
              <w:rPr>
                <w:b/>
                <w:i/>
              </w:rPr>
              <w:t>и навременни</w:t>
            </w:r>
            <w:r>
              <w:t xml:space="preserve"> механизми, чрез които регистрираните търсещи работа лица от трети държави</w:t>
            </w:r>
            <w:r>
              <w:rPr>
                <w:b/>
                <w:i/>
              </w:rPr>
              <w:t>, техните представители или социалните партньори</w:t>
            </w:r>
            <w:r>
              <w:t xml:space="preserve"> може да подават жалби в случай на неизпълнение на задълженията и условията, посочени в член 13, параграф 3, от страна на работодателите, участващи в резерва на ЕС таланти. </w:t>
            </w:r>
            <w:r>
              <w:rPr>
                <w:b/>
                <w:i/>
              </w:rPr>
              <w:t>Жалбоподателят е защитен от ответни действия с цел отмъщение или всякакви други неблагоприятни последици в резултат на жалба.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700</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18 – параграф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rPr>
                <w:b/>
                <w:i/>
              </w:rPr>
              <w:t>Участващите държави</w:t>
            </w:r>
            <w:r>
              <w:t xml:space="preserve"> членки гарантират наличието на ефективни механизми, чрез които регистрираните търсещи работа лица от трети държави може да подават жалби в случай на </w:t>
            </w:r>
            <w:r>
              <w:rPr>
                <w:b/>
                <w:i/>
              </w:rPr>
              <w:t>неизпълнение</w:t>
            </w:r>
            <w:r>
              <w:t xml:space="preserve"> на задълженията и условията, посочени в член 13, параграф 3, от страна на работодателите, участващи в резерва на ЕС таланти.</w:t>
            </w:r>
          </w:p>
        </w:tc>
        <w:tc>
          <w:tcPr>
            <w:tcW w:w="4876" w:type="dxa"/>
            <w:tcBorders>
              <w:top w:val="nil"/>
              <w:left w:val="nil"/>
              <w:bottom w:val="nil"/>
              <w:right w:val="nil"/>
            </w:tcBorders>
          </w:tcPr>
          <w:p>
            <w:pPr>
              <w:pStyle w:val="Normal6a"/>
            </w:pPr>
            <w:r>
              <w:t>1.</w:t>
            </w:r>
            <w:r>
              <w:tab/>
            </w:r>
            <w:r>
              <w:rPr>
                <w:b/>
                <w:i/>
              </w:rPr>
              <w:t>Държавите</w:t>
            </w:r>
            <w:r>
              <w:t xml:space="preserve"> членки гарантират наличието на </w:t>
            </w:r>
            <w:r>
              <w:rPr>
                <w:b/>
                <w:i/>
              </w:rPr>
              <w:t>достъпни, справедливи, съобразени с равенството между половете и</w:t>
            </w:r>
            <w:r>
              <w:t xml:space="preserve"> ефективни механизми, чрез които регистрираните търсещи работа лица </w:t>
            </w:r>
            <w:r>
              <w:rPr>
                <w:b/>
                <w:i/>
              </w:rPr>
              <w:t>и работниците</w:t>
            </w:r>
            <w:r>
              <w:t xml:space="preserve"> от трети държави</w:t>
            </w:r>
            <w:r>
              <w:rPr>
                <w:b/>
                <w:i/>
              </w:rPr>
              <w:t>, наети чрез резерва от таланти,</w:t>
            </w:r>
            <w:r>
              <w:t xml:space="preserve"> може да подават жалби в случай на </w:t>
            </w:r>
            <w:r>
              <w:rPr>
                <w:b/>
                <w:i/>
              </w:rPr>
              <w:t>нарушения</w:t>
            </w:r>
            <w:r>
              <w:t xml:space="preserve"> на задълженията и условията, посочени в член 13, параграф 3, от страна на работодателите </w:t>
            </w:r>
            <w:r>
              <w:rPr>
                <w:b/>
                <w:i/>
              </w:rPr>
              <w:t>и посредниците</w:t>
            </w:r>
            <w:r>
              <w:t xml:space="preserve">, участващи в резерва на ЕС </w:t>
            </w:r>
            <w:r>
              <w:rPr>
                <w:b/>
                <w:i/>
              </w:rPr>
              <w:t>от</w:t>
            </w:r>
            <w:r>
              <w:t xml:space="preserve"> таланти.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701</w:t>
      </w:r>
      <w:r>
        <w:rPr>
          <w:rStyle w:val="HideTWBExt"/>
        </w:rPr>
        <w:t>&lt;/NumAm&gt;</w:t>
      </w:r>
    </w:p>
    <w:p>
      <w:pPr>
        <w:pStyle w:val="NormalBold"/>
      </w:pPr>
      <w:r>
        <w:rPr>
          <w:rStyle w:val="HideTWBExt"/>
          <w:b w:val="0"/>
        </w:rPr>
        <w:t>&lt;RepeatBlock-By&gt;</w:t>
      </w:r>
      <w:r>
        <w:rPr>
          <w:rStyle w:val="HideTWBExt"/>
          <w:b w:val="0"/>
        </w:rPr>
        <w:t>&lt;Members&gt;</w:t>
      </w:r>
      <w:r>
        <w:t>Никос Анадиотис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18 – параграф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Участващите държави членки гарантират наличието на ефективни механизми, чрез които регистрираните търсещи работа лица от трети държави може да подават жалби в случай на неизпълнение на задълженията и условията, посочени в член 13, параграф 3, от страна на работодателите, участващи в резерва на ЕС таланти.</w:t>
            </w:r>
          </w:p>
        </w:tc>
        <w:tc>
          <w:tcPr>
            <w:tcW w:w="4876" w:type="dxa"/>
            <w:tcBorders>
              <w:top w:val="nil"/>
              <w:left w:val="nil"/>
              <w:bottom w:val="nil"/>
              <w:right w:val="nil"/>
            </w:tcBorders>
          </w:tcPr>
          <w:p>
            <w:pPr>
              <w:pStyle w:val="Normal6a"/>
            </w:pPr>
            <w:r>
              <w:t>1.</w:t>
            </w:r>
            <w:r>
              <w:tab/>
            </w:r>
            <w:r>
              <w:t>Участващите държави членки гарантират наличието на ефективни механизми, чрез които регистрираните търсещи работа лица от трети държави може да подават жалби в случай на неизпълнение</w:t>
            </w:r>
            <w:r>
              <w:rPr>
                <w:b/>
                <w:i/>
              </w:rPr>
              <w:t>, съгласно приложимото национално законодателство,</w:t>
            </w:r>
            <w:r>
              <w:t xml:space="preserve"> на задълженията и условията, посочени в член 13, параграф 3, от страна на работодателите, участващи в резерва на ЕС таланти.</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702</w:t>
      </w:r>
      <w:r>
        <w:rPr>
          <w:rStyle w:val="HideTWBExt"/>
        </w:rPr>
        <w:t>&lt;/NumAm&gt;</w:t>
      </w:r>
    </w:p>
    <w:p>
      <w:pPr>
        <w:pStyle w:val="NormalBold"/>
      </w:pPr>
      <w:r>
        <w:rPr>
          <w:rStyle w:val="HideTWBExt"/>
          <w:b w:val="0"/>
        </w:rPr>
        <w:t>&lt;RepeatBlock-By&gt;</w:t>
      </w:r>
      <w:r>
        <w:rPr>
          <w:rStyle w:val="HideTWBExt"/>
          <w:b w:val="0"/>
        </w:rPr>
        <w:t>&lt;Members&gt;</w:t>
      </w:r>
      <w:r>
        <w:t>Лена Дюпон, Томас Тобé, Алис Теодореску Мове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18 – параграф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Участващите държави членки гарантират наличието на ефективни механизми, чрез които регистрираните търсещи работа лица от трети държави може да подават жалби в случай на неизпълнение на задълженията и условията, </w:t>
            </w:r>
            <w:r>
              <w:rPr>
                <w:b/>
                <w:i/>
              </w:rPr>
              <w:t>посочени в член 13, параграф 3, от страна на работодателите, участващи в резерва на ЕС таланти</w:t>
            </w:r>
            <w:r>
              <w:t>.</w:t>
            </w:r>
          </w:p>
        </w:tc>
        <w:tc>
          <w:tcPr>
            <w:tcW w:w="4876" w:type="dxa"/>
            <w:tcBorders>
              <w:top w:val="nil"/>
              <w:left w:val="nil"/>
              <w:bottom w:val="nil"/>
              <w:right w:val="nil"/>
            </w:tcBorders>
          </w:tcPr>
          <w:p>
            <w:pPr>
              <w:pStyle w:val="Normal6a"/>
            </w:pPr>
            <w:r>
              <w:t>1.</w:t>
            </w:r>
            <w:r>
              <w:tab/>
            </w:r>
            <w:r>
              <w:t xml:space="preserve">Участващите държави членки гарантират наличието на ефективни механизми, чрез които регистрираните търсещи работа лица от трети държави </w:t>
            </w:r>
            <w:r>
              <w:rPr>
                <w:b/>
                <w:i/>
              </w:rPr>
              <w:t>и работодателите</w:t>
            </w:r>
            <w:r>
              <w:t xml:space="preserve"> може да подават жалби в случай на неизпълнение на задълженията и условията, </w:t>
            </w:r>
            <w:r>
              <w:rPr>
                <w:b/>
                <w:i/>
              </w:rPr>
              <w:t>при които е извършено наемането</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703</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18 – параграф 1 а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ИТ платформата на резерва на ЕС от таланти разполага с пряко достъпен механизъм за подаване на жалби за регистрирани търсещи работа лица срещу незаконно наемане на работа и неправомерни практики за наемане на работа.</w:t>
            </w:r>
            <w:r>
              <w:t xml:space="preserve"> </w:t>
            </w:r>
            <w:r>
              <w:rPr>
                <w:b/>
                <w:i/>
              </w:rPr>
              <w:t>При получаване на жалба националното звено за контакт предава въпроса на съответните национални органи за проверка.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704</w:t>
      </w:r>
      <w:r>
        <w:rPr>
          <w:rStyle w:val="HideTWBExt"/>
        </w:rPr>
        <w:t>&lt;/NumAm&gt;</w:t>
      </w:r>
    </w:p>
    <w:p>
      <w:pPr>
        <w:pStyle w:val="NormalBold"/>
      </w:pPr>
      <w:r>
        <w:rPr>
          <w:rStyle w:val="HideTWBExt"/>
          <w:b w:val="0"/>
        </w:rPr>
        <w:t>&lt;RepeatBlock-By&gt;</w:t>
      </w:r>
      <w:r>
        <w:rPr>
          <w:rStyle w:val="HideTWBExt"/>
          <w:b w:val="0"/>
        </w:rPr>
        <w:t>&lt;Members&gt;</w:t>
      </w:r>
      <w:r>
        <w:t>Пернандо Барена Арса</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18 – параграф 1 а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Участващите държави членки предоставят, за всеки отделен случай и в съответствие с критериите, предвидени в националното им право, разрешение с ограничен срок на работник от трета държава, ако той е бил обект на нарушение на правата му, установени в член 13, параграф 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705</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18 – параграф 1 б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1б.</w:t>
            </w:r>
            <w:r>
              <w:tab/>
            </w:r>
            <w:r>
              <w:rPr>
                <w:b/>
                <w:i/>
              </w:rPr>
              <w:t>Когато при проверка от съответните национални органи се установи наличие на експлоататорски практики или нарушение на условията и задълженията, посочени в член 13, параграф 3, работодателят или посредникът и всички свързани с тях свободни работни места се премахват незабавно от ИТ платформата на резерва на ЕС от таланти.</w:t>
            </w:r>
            <w:r>
              <w:t xml:space="preserve"> </w:t>
            </w:r>
            <w:r>
              <w:rPr>
                <w:b/>
                <w:i/>
              </w:rPr>
              <w:t>По време на разследването от страна на националните органи работодателят или посредникът и всички свързани с тях свободни работни места се отстраняват от резерва от таланти.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706</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18 – параграф 1 в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1в.</w:t>
            </w:r>
            <w:r>
              <w:tab/>
            </w:r>
            <w:r>
              <w:rPr>
                <w:b/>
                <w:i/>
              </w:rPr>
              <w:t>Държавите членки предвиждат санкции срещу работодателите, които не са изпълнили задълженията си съгласно съответното право на Съюза и национално законодателство.</w:t>
            </w:r>
            <w:r>
              <w:t xml:space="preserve"> </w:t>
            </w:r>
            <w:r>
              <w:rPr>
                <w:b/>
                <w:i/>
              </w:rPr>
              <w:t>Тези санкции са ефективни, пропорционални и възпиращи.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707</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18 – параграф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tab/>
            </w:r>
            <w:r>
              <w:rPr>
                <w:b/>
                <w:i/>
              </w:rPr>
              <w:t>Участващите държави членки осигуряват лесен достъп до информация относно наличните механизми за правна защита.</w:t>
            </w:r>
          </w:p>
        </w:tc>
        <w:tc>
          <w:tcPr>
            <w:tcW w:w="4876" w:type="dxa"/>
            <w:tcBorders>
              <w:top w:val="nil"/>
              <w:left w:val="nil"/>
              <w:bottom w:val="nil"/>
              <w:right w:val="nil"/>
            </w:tcBorders>
          </w:tcPr>
          <w:p>
            <w:pPr>
              <w:pStyle w:val="Normal6a"/>
            </w:pPr>
            <w:r>
              <w:rPr>
                <w:b/>
                <w:i/>
              </w:rPr>
              <w:t>заличава се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708</w:t>
      </w:r>
      <w:r>
        <w:rPr>
          <w:rStyle w:val="HideTWBExt"/>
        </w:rPr>
        <w:t>&lt;/NumAm&gt;</w:t>
      </w:r>
    </w:p>
    <w:p>
      <w:pPr>
        <w:pStyle w:val="NormalBold"/>
      </w:pPr>
      <w:r>
        <w:rPr>
          <w:rStyle w:val="HideTWBExt"/>
          <w:b w:val="0"/>
        </w:rPr>
        <w:t>&lt;RepeatBlock-By&gt;</w:t>
      </w:r>
      <w:r>
        <w:rPr>
          <w:rStyle w:val="HideTWBExt"/>
          <w:b w:val="0"/>
        </w:rPr>
        <w:t>&lt;Members&gt;</w:t>
      </w:r>
      <w:r>
        <w:t>Пернандо Барена Арса</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18 – параграф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Участващите държави членки осигуряват лесен достъп до информация относно наличните механизми за правна защита.</w:t>
            </w:r>
          </w:p>
        </w:tc>
        <w:tc>
          <w:tcPr>
            <w:tcW w:w="4876" w:type="dxa"/>
            <w:tcBorders>
              <w:top w:val="nil"/>
              <w:left w:val="nil"/>
              <w:bottom w:val="nil"/>
              <w:right w:val="nil"/>
            </w:tcBorders>
          </w:tcPr>
          <w:p>
            <w:pPr>
              <w:pStyle w:val="Normal6a"/>
            </w:pPr>
            <w:r>
              <w:t>2.</w:t>
            </w:r>
            <w:r>
              <w:tab/>
            </w:r>
            <w:r>
              <w:t xml:space="preserve">Участващите държави членки осигуряват лесен достъп до информация относно наличните механизми за </w:t>
            </w:r>
            <w:r>
              <w:rPr>
                <w:b/>
                <w:i/>
              </w:rPr>
              <w:t>подаване на жалба и</w:t>
            </w:r>
            <w:r>
              <w:t xml:space="preserve"> правна защита </w:t>
            </w:r>
            <w:r>
              <w:rPr>
                <w:b/>
                <w:i/>
              </w:rPr>
              <w:t>и на език, който гражданинът на трета държава може да разбере или за който с основание може да се предполага, че разбира</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709</w:t>
      </w:r>
      <w:r>
        <w:rPr>
          <w:rStyle w:val="HideTWBExt"/>
        </w:rPr>
        <w:t>&lt;/NumAm&gt;</w:t>
      </w:r>
    </w:p>
    <w:p>
      <w:pPr>
        <w:pStyle w:val="NormalBold"/>
      </w:pPr>
      <w:r>
        <w:rPr>
          <w:rStyle w:val="HideTWBExt"/>
          <w:b w:val="0"/>
        </w:rPr>
        <w:t>&lt;RepeatBlock-By&gt;</w:t>
      </w:r>
      <w:r>
        <w:rPr>
          <w:rStyle w:val="HideTWBExt"/>
          <w:b w:val="0"/>
        </w:rPr>
        <w:t>&lt;Members&gt;</w:t>
      </w:r>
      <w:r>
        <w:t>Хавиер Морено Санчес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18 – параграф 2 а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Веднага щом узнаят за евентуално нарушение от страна на работодател на задълженията и условията, посочени в член 13, параграф 3, националните звена за контакт на резерва на ЕС от таланти спират достъпа на този участващ в резерва на ЕС от таланти работодател до ИТ платформата на резерва на ЕС от таланти и премахват свободните работни места на този работодател от нея.</w:t>
            </w:r>
            <w:r>
              <w:t xml:space="preserve"> </w:t>
            </w:r>
            <w:r>
              <w:rPr>
                <w:b/>
                <w:i/>
              </w:rPr>
              <w:t>Националните звена за контакт на резерва на ЕС от таланти предоставят също така информация относно такива нарушения и съответните мерки, предприети от ръководната група на резерва на ЕС от таланти.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710</w:t>
      </w:r>
      <w:r>
        <w:rPr>
          <w:rStyle w:val="HideTWBExt"/>
        </w:rPr>
        <w:t>&lt;/NumAm&gt;</w:t>
      </w:r>
    </w:p>
    <w:p>
      <w:pPr>
        <w:pStyle w:val="NormalBold"/>
      </w:pPr>
      <w:r>
        <w:rPr>
          <w:rStyle w:val="HideTWBExt"/>
          <w:b w:val="0"/>
        </w:rPr>
        <w:t>&lt;RepeatBlock-By&gt;</w:t>
      </w:r>
      <w:r>
        <w:rPr>
          <w:rStyle w:val="HideTWBExt"/>
          <w:b w:val="0"/>
        </w:rPr>
        <w:t>&lt;Members&gt;</w:t>
      </w:r>
      <w:r>
        <w:t>Франсоа-Ксавие Белами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Член 19</w:t>
            </w:r>
            <w:r>
              <w:tab/>
            </w:r>
          </w:p>
        </w:tc>
        <w:tc>
          <w:tcPr>
            <w:tcW w:w="4876" w:type="dxa"/>
            <w:tcBorders>
              <w:top w:val="nil"/>
              <w:left w:val="nil"/>
              <w:bottom w:val="nil"/>
              <w:right w:val="nil"/>
            </w:tcBorders>
          </w:tcPr>
          <w:p>
            <w:pPr>
              <w:pStyle w:val="Normal6a"/>
            </w:pPr>
            <w:r>
              <w:rPr>
                <w:b/>
                <w:i/>
              </w:rPr>
              <w:t>заличава се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Ускорени имиграционни процедури</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r>
              <w:rPr>
                <w:b/>
                <w:i/>
              </w:rPr>
              <w:t xml:space="preserve"> </w:t>
            </w:r>
            <w:r>
              <w:rPr>
                <w:b/>
                <w:i/>
              </w:rPr>
              <w:t>Участващите държави членки може да решат да въведат ускорени имиграционни процедури, за да създадат възможност за по-бързо наемане на регистрираните търсещи работа лица от трети държави, които са били избрани за свободно работно място в резерва на ЕС от таланти.</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В процедурата, посочена в параграф 1, може да се включва:</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а) получаване на визи и разрешения за пребиваване с цел работа;</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б) освобождаване от принципа на предпочитане на граждани на Съюза за свободните работни места, прехвърлени на ИТ платформата на резерва на ЕС от таланти.</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711</w:t>
      </w:r>
      <w:r>
        <w:rPr>
          <w:rStyle w:val="HideTWBExt"/>
        </w:rPr>
        <w:t>&lt;/NumAm&gt;</w:t>
      </w:r>
    </w:p>
    <w:p>
      <w:pPr>
        <w:pStyle w:val="NormalBold"/>
      </w:pPr>
      <w:r>
        <w:rPr>
          <w:rStyle w:val="HideTWBExt"/>
          <w:b w:val="0"/>
        </w:rPr>
        <w:t>&lt;RepeatBlock-By&gt;</w:t>
      </w:r>
      <w:r>
        <w:rPr>
          <w:rStyle w:val="HideTWBExt"/>
          <w:b w:val="0"/>
        </w:rPr>
        <w:t>&lt;Members&gt;</w:t>
      </w:r>
      <w:r>
        <w:t>Йоан Даниелсон, Евин Инсир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Член 19</w:t>
            </w:r>
            <w:r>
              <w:tab/>
            </w:r>
          </w:p>
        </w:tc>
        <w:tc>
          <w:tcPr>
            <w:tcW w:w="4876" w:type="dxa"/>
            <w:tcBorders>
              <w:top w:val="nil"/>
              <w:left w:val="nil"/>
              <w:bottom w:val="nil"/>
              <w:right w:val="nil"/>
            </w:tcBorders>
          </w:tcPr>
          <w:p>
            <w:pPr>
              <w:pStyle w:val="Normal6a"/>
            </w:pPr>
            <w:r>
              <w:rPr>
                <w:b/>
                <w:i/>
              </w:rPr>
              <w:t>заличава се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Ускорени имиграционни процедури</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r>
              <w:rPr>
                <w:b/>
                <w:i/>
              </w:rPr>
              <w:t xml:space="preserve"> </w:t>
            </w:r>
            <w:r>
              <w:rPr>
                <w:b/>
                <w:i/>
              </w:rPr>
              <w:t>Участващите държави членки може да решат да въведат ускорени имиграционни процедури, за да създадат възможност за по-бързо наемане на регистрираните търсещи работа лица от трети държави, които са били избрани за свободно работно място в резерва на ЕС от таланти.</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В процедурата, посочена в параграф 1, може да се включва:</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а) получаване на визи и разрешения за пребиваване с цел работа;</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б) освобождаване от принципа на предпочитане на граждани на Съюза за свободните работни места, прехвърлени на ИТ платформата на резерва на ЕС от таланти.</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712</w:t>
      </w:r>
      <w:r>
        <w:rPr>
          <w:rStyle w:val="HideTWBExt"/>
        </w:rPr>
        <w:t>&lt;/NumAm&gt;</w:t>
      </w:r>
    </w:p>
    <w:p>
      <w:pPr>
        <w:pStyle w:val="NormalBold"/>
      </w:pPr>
      <w:r>
        <w:rPr>
          <w:rStyle w:val="HideTWBExt"/>
          <w:b w:val="0"/>
        </w:rPr>
        <w:t>&lt;RepeatBlock-By&gt;</w:t>
      </w:r>
      <w:r>
        <w:rPr>
          <w:rStyle w:val="HideTWBExt"/>
          <w:b w:val="0"/>
        </w:rPr>
        <w:t>&lt;Members&gt;</w:t>
      </w:r>
      <w:r>
        <w:t>Том Вандендрисе, Петра Щегер, Ярослав Бжох, Фабрис Леджери, Антонио Танжер Кореа,  Хорхе Бусаде Виялба, Марике Елерс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19 – заглавие</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Ускорени</w:t>
            </w:r>
            <w:r>
              <w:t xml:space="preserve"> имиграционни процедури</w:t>
            </w:r>
          </w:p>
        </w:tc>
        <w:tc>
          <w:tcPr>
            <w:tcW w:w="4876" w:type="dxa"/>
            <w:tcBorders>
              <w:top w:val="nil"/>
              <w:left w:val="nil"/>
              <w:bottom w:val="nil"/>
              <w:right w:val="nil"/>
            </w:tcBorders>
          </w:tcPr>
          <w:p>
            <w:pPr>
              <w:pStyle w:val="Normal6a"/>
            </w:pPr>
            <w:r>
              <w:t>Имиграционни процедури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713</w:t>
      </w:r>
      <w:r>
        <w:rPr>
          <w:rStyle w:val="HideTWBExt"/>
        </w:rPr>
        <w:t>&lt;/NumAm&gt;</w:t>
      </w:r>
    </w:p>
    <w:p>
      <w:pPr>
        <w:pStyle w:val="NormalBold"/>
      </w:pPr>
      <w:r>
        <w:rPr>
          <w:rStyle w:val="HideTWBExt"/>
          <w:b w:val="0"/>
        </w:rPr>
        <w:t>&lt;RepeatBlock-By&gt;</w:t>
      </w:r>
      <w:r>
        <w:rPr>
          <w:rStyle w:val="HideTWBExt"/>
          <w:b w:val="0"/>
        </w:rPr>
        <w:t>&lt;Members&gt;</w:t>
      </w:r>
      <w:r>
        <w:t>Чарли Веймерс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19 – параграф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Участващите държави членки може </w:t>
            </w:r>
            <w:r>
              <w:rPr>
                <w:b/>
                <w:i/>
              </w:rPr>
              <w:t>да решат да въведат ускорени имиграционни процедури, за да създадат възможност за по-бързо наемане на регистрираните търсещи работа лица от</w:t>
            </w:r>
            <w:r>
              <w:t xml:space="preserve"> трети държави, </w:t>
            </w:r>
            <w:r>
              <w:rPr>
                <w:b/>
                <w:i/>
              </w:rPr>
              <w:t>които са били избрани за свободно работно място в</w:t>
            </w:r>
            <w:r>
              <w:t xml:space="preserve"> резерва на ЕС от таланти.</w:t>
            </w:r>
          </w:p>
        </w:tc>
        <w:tc>
          <w:tcPr>
            <w:tcW w:w="4876" w:type="dxa"/>
            <w:tcBorders>
              <w:top w:val="nil"/>
              <w:left w:val="nil"/>
              <w:bottom w:val="nil"/>
              <w:right w:val="nil"/>
            </w:tcBorders>
          </w:tcPr>
          <w:p>
            <w:pPr>
              <w:pStyle w:val="Normal6a"/>
            </w:pPr>
            <w:r>
              <w:t>1.</w:t>
            </w:r>
            <w:r>
              <w:tab/>
            </w:r>
            <w:r>
              <w:t xml:space="preserve">Участващите държави членки може </w:t>
            </w:r>
            <w:r>
              <w:rPr>
                <w:b/>
                <w:i/>
              </w:rPr>
              <w:t>свободно да решават как да издават разрешения на търсещите работа лица при спазване на следните изключения:</w:t>
            </w:r>
            <w:r>
              <w:t xml:space="preserve"> </w:t>
            </w:r>
            <w:r>
              <w:rPr>
                <w:b/>
                <w:i/>
              </w:rPr>
              <w:t>гражданите на</w:t>
            </w:r>
            <w:r>
              <w:t xml:space="preserve"> трети държави, </w:t>
            </w:r>
            <w:r>
              <w:rPr>
                <w:b/>
                <w:i/>
              </w:rPr>
              <w:t>наети чрез резерва на ЕС от таланти, не могат да останат в ЕС повече от три години след като са били приети чрез</w:t>
            </w:r>
            <w:r>
              <w:t xml:space="preserve"> резерва на ЕС от таланти </w:t>
            </w:r>
            <w:r>
              <w:rPr>
                <w:b/>
                <w:i/>
              </w:rPr>
              <w:t>и нямат право да се върнат до 5 години; те нямат право на постоянно пребиваване в ЕС и на събиране на семейството в ЕС</w:t>
            </w:r>
            <w:r>
              <w:t>.</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714</w:t>
      </w:r>
      <w:r>
        <w:rPr>
          <w:rStyle w:val="HideTWBExt"/>
        </w:rPr>
        <w:t>&lt;/NumAm&gt;</w:t>
      </w:r>
    </w:p>
    <w:p>
      <w:pPr>
        <w:pStyle w:val="NormalBold"/>
      </w:pPr>
      <w:r>
        <w:rPr>
          <w:rStyle w:val="HideTWBExt"/>
          <w:b w:val="0"/>
        </w:rPr>
        <w:t>&lt;RepeatBlock-By&gt;</w:t>
      </w:r>
      <w:r>
        <w:rPr>
          <w:rStyle w:val="HideTWBExt"/>
          <w:b w:val="0"/>
        </w:rPr>
        <w:t>&lt;Members&gt;</w:t>
      </w:r>
      <w:r>
        <w:t>Лена Дюпон, Томас Тобé, Алис Теодореску Мове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19 – параграф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Участващите държави членки може да решат да въведат ускорени имиграционни процедури, за да създадат възможност за по-бързо наемане на регистрираните търсещи работа лица от трети държави, които са били избрани за свободно работно място в резерва на ЕС от таланти.</w:t>
            </w:r>
          </w:p>
        </w:tc>
        <w:tc>
          <w:tcPr>
            <w:tcW w:w="4876" w:type="dxa"/>
            <w:tcBorders>
              <w:top w:val="nil"/>
              <w:left w:val="nil"/>
              <w:bottom w:val="nil"/>
              <w:right w:val="nil"/>
            </w:tcBorders>
          </w:tcPr>
          <w:p>
            <w:pPr>
              <w:pStyle w:val="Normal6a"/>
            </w:pPr>
            <w:r>
              <w:t>1.</w:t>
            </w:r>
            <w:r>
              <w:tab/>
            </w:r>
            <w:r>
              <w:t xml:space="preserve">Участващите държави членки може да решат да въведат ускорени имиграционни процедури, за да създадат възможност за по-бързо наемане на регистрираните търсещи работа лица от трети държави, които са били избрани за свободно работно място в резерва на ЕС от таланти. </w:t>
            </w:r>
            <w:r>
              <w:rPr>
                <w:b/>
                <w:i/>
              </w:rPr>
              <w:t>Ускорените имиграционни процедури не засягат извършването на проверки за сигурност в съответствие с националното право.</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715</w:t>
      </w:r>
      <w:r>
        <w:rPr>
          <w:rStyle w:val="HideTWBExt"/>
        </w:rPr>
        <w:t>&lt;/NumAm&gt;</w:t>
      </w:r>
    </w:p>
    <w:p>
      <w:pPr>
        <w:pStyle w:val="NormalBold"/>
      </w:pPr>
      <w:r>
        <w:rPr>
          <w:rStyle w:val="HideTWBExt"/>
          <w:b w:val="0"/>
        </w:rPr>
        <w:t>&lt;RepeatBlock-By&gt;</w:t>
      </w:r>
      <w:r>
        <w:rPr>
          <w:rStyle w:val="HideTWBExt"/>
          <w:b w:val="0"/>
        </w:rPr>
        <w:t>&lt;Members&gt;</w:t>
      </w:r>
      <w:r>
        <w:t>Лена Дюпон, Томас Тобé, Алис Теодореску Мове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19 – параграф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Участващите държави членки може да решат да въведат ускорени имиграционни процедури, за да създадат възможност за по-бързо наемане на регистрираните търсещи работа лица от трети държави, които са били избрани за свободно работно място в резерва на ЕС от таланти.</w:t>
            </w:r>
          </w:p>
        </w:tc>
        <w:tc>
          <w:tcPr>
            <w:tcW w:w="4876" w:type="dxa"/>
            <w:tcBorders>
              <w:top w:val="nil"/>
              <w:left w:val="nil"/>
              <w:bottom w:val="nil"/>
              <w:right w:val="nil"/>
            </w:tcBorders>
          </w:tcPr>
          <w:p>
            <w:pPr>
              <w:pStyle w:val="Normal6a"/>
            </w:pPr>
            <w:r>
              <w:t>1.</w:t>
            </w:r>
            <w:r>
              <w:tab/>
            </w:r>
            <w:r>
              <w:t xml:space="preserve">Участващите държави членки може да решат </w:t>
            </w:r>
            <w:r>
              <w:rPr>
                <w:b/>
                <w:i/>
              </w:rPr>
              <w:t>на индивидуална основа</w:t>
            </w:r>
            <w:r>
              <w:t xml:space="preserve"> да въведат ускорени имиграционни процедури, за да създадат възможност за по-бързо наемане на регистрираните търсещи работа лица от трети държави, които са били избрани за свободно работно място в резерва на ЕС от таланти. </w:t>
            </w:r>
            <w:r>
              <w:rPr>
                <w:b/>
                <w:i/>
              </w:rPr>
              <w:t>За другите участващи държави членки не съществува задължение или очакване да направят същото.</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716</w:t>
      </w:r>
      <w:r>
        <w:rPr>
          <w:rStyle w:val="HideTWBExt"/>
        </w:rPr>
        <w:t>&lt;/NumAm&gt;</w:t>
      </w:r>
    </w:p>
    <w:p>
      <w:pPr>
        <w:pStyle w:val="NormalBold"/>
      </w:pPr>
      <w:r>
        <w:rPr>
          <w:rStyle w:val="HideTWBExt"/>
          <w:b w:val="0"/>
        </w:rPr>
        <w:t>&lt;RepeatBlock-By&gt;</w:t>
      </w:r>
      <w:r>
        <w:rPr>
          <w:rStyle w:val="HideTWBExt"/>
          <w:b w:val="0"/>
        </w:rPr>
        <w:t>&lt;Members&gt;</w:t>
      </w:r>
      <w:r>
        <w:t>Никос Анадиотис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19 – параграф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Участващите държави членки може да решат да въведат </w:t>
            </w:r>
            <w:r>
              <w:rPr>
                <w:b/>
                <w:i/>
              </w:rPr>
              <w:t>ускорени имиграционни процедури, за да създадат възможност за по-бързо наемане на регистрираните търсещи</w:t>
            </w:r>
            <w:r>
              <w:t xml:space="preserve"> работа </w:t>
            </w:r>
            <w:r>
              <w:rPr>
                <w:b/>
                <w:i/>
              </w:rPr>
              <w:t>лица от трети държави, които са били избрани за свободно работно място в резерва на ЕС от таланти</w:t>
            </w:r>
            <w:r>
              <w:t>.</w:t>
            </w:r>
          </w:p>
        </w:tc>
        <w:tc>
          <w:tcPr>
            <w:tcW w:w="4876" w:type="dxa"/>
            <w:tcBorders>
              <w:top w:val="nil"/>
              <w:left w:val="nil"/>
              <w:bottom w:val="nil"/>
              <w:right w:val="nil"/>
            </w:tcBorders>
          </w:tcPr>
          <w:p>
            <w:pPr>
              <w:pStyle w:val="Normal6a"/>
            </w:pPr>
            <w:r>
              <w:t>1.</w:t>
            </w:r>
            <w:r>
              <w:tab/>
            </w:r>
            <w:r>
              <w:t xml:space="preserve">Участващите държави членки може да решат да въведат </w:t>
            </w:r>
            <w:r>
              <w:rPr>
                <w:b/>
                <w:i/>
              </w:rPr>
              <w:t>мерки, с които да гарантират, че търсещите работа лица от държави извън ЕС получават</w:t>
            </w:r>
            <w:r>
              <w:t xml:space="preserve"> работа </w:t>
            </w:r>
            <w:r>
              <w:rPr>
                <w:b/>
                <w:i/>
              </w:rPr>
              <w:t>само когато е налице доказана и обоснована причина за спешна необходимост с оглед на конкретните социални, икономически и трудови нужди и особености на съответната държава членка</w:t>
            </w:r>
            <w:r>
              <w:t>.</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717</w:t>
      </w:r>
      <w:r>
        <w:rPr>
          <w:rStyle w:val="HideTWBExt"/>
        </w:rPr>
        <w:t>&lt;/NumAm&gt;</w:t>
      </w:r>
    </w:p>
    <w:p>
      <w:pPr>
        <w:pStyle w:val="NormalBold"/>
      </w:pPr>
      <w:r>
        <w:rPr>
          <w:rStyle w:val="HideTWBExt"/>
          <w:b w:val="0"/>
        </w:rPr>
        <w:t>&lt;RepeatBlock-By&gt;</w:t>
      </w:r>
      <w:r>
        <w:rPr>
          <w:rStyle w:val="HideTWBExt"/>
          <w:b w:val="0"/>
        </w:rPr>
        <w:t>&lt;Members&gt;</w:t>
      </w:r>
      <w:r>
        <w:t>Том Вандендрисе, Петра Щегер, Ярослав Бжох, Фабрис Леджери, Антонио Танжер Кореа,  Хорхе Бусаде Виялба, Марике Елерс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19 – параграф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rPr>
                <w:b/>
                <w:i/>
              </w:rPr>
              <w:t>Участващите държави членки</w:t>
            </w:r>
            <w:r>
              <w:t xml:space="preserve"> може да </w:t>
            </w:r>
            <w:r>
              <w:rPr>
                <w:b/>
                <w:i/>
              </w:rPr>
              <w:t>решат да въведат ускорени имиграционни процедури</w:t>
            </w:r>
            <w:r>
              <w:t xml:space="preserve">, за да </w:t>
            </w:r>
            <w:r>
              <w:rPr>
                <w:b/>
                <w:i/>
              </w:rPr>
              <w:t>създадат</w:t>
            </w:r>
            <w:r>
              <w:t xml:space="preserve"> възможност за </w:t>
            </w:r>
            <w:r>
              <w:rPr>
                <w:b/>
                <w:i/>
              </w:rPr>
              <w:t>по-бързо</w:t>
            </w:r>
            <w:r>
              <w:t xml:space="preserve"> наемане на регистрираните търсещи работа лица от трети държави, които са били избрани за свободно работно място в резерва на ЕС от таланти.</w:t>
            </w:r>
          </w:p>
        </w:tc>
        <w:tc>
          <w:tcPr>
            <w:tcW w:w="4876" w:type="dxa"/>
            <w:tcBorders>
              <w:top w:val="nil"/>
              <w:left w:val="nil"/>
              <w:bottom w:val="nil"/>
              <w:right w:val="nil"/>
            </w:tcBorders>
          </w:tcPr>
          <w:p>
            <w:pPr>
              <w:pStyle w:val="Normal6a"/>
            </w:pPr>
            <w:r>
              <w:t>1.</w:t>
            </w:r>
            <w:r>
              <w:tab/>
            </w:r>
            <w:r>
              <w:rPr>
                <w:b/>
                <w:i/>
              </w:rPr>
              <w:t>Всяка участваща държава членка</w:t>
            </w:r>
            <w:r>
              <w:t xml:space="preserve"> може да </w:t>
            </w:r>
            <w:r>
              <w:rPr>
                <w:b/>
                <w:i/>
              </w:rPr>
              <w:t>въведе имиграционните процедури, предвидени в съответното ѝ национално право</w:t>
            </w:r>
            <w:r>
              <w:t xml:space="preserve">, за да </w:t>
            </w:r>
            <w:r>
              <w:rPr>
                <w:b/>
                <w:i/>
              </w:rPr>
              <w:t>даде</w:t>
            </w:r>
            <w:r>
              <w:t xml:space="preserve"> възможност за наемане на регистрираните търсещи работа лица от трети държави, които са били избрани за свободно работно място в резерва на ЕС от таланти.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718</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19 – параграф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rPr>
                <w:b/>
                <w:i/>
              </w:rPr>
              <w:t>Участващите държави</w:t>
            </w:r>
            <w:r>
              <w:t xml:space="preserve"> членки </w:t>
            </w:r>
            <w:r>
              <w:rPr>
                <w:b/>
                <w:i/>
              </w:rPr>
              <w:t>може да решат да въведат</w:t>
            </w:r>
            <w:r>
              <w:t xml:space="preserve"> ускорени имиграционни процедури, за да създадат възможност за по-бързо наемане на регистрираните търсещи работа лица от трети държави, които са били избрани за свободно работно място в резерва на ЕС от таланти.</w:t>
            </w:r>
          </w:p>
        </w:tc>
        <w:tc>
          <w:tcPr>
            <w:tcW w:w="4876" w:type="dxa"/>
            <w:tcBorders>
              <w:top w:val="nil"/>
              <w:left w:val="nil"/>
              <w:bottom w:val="nil"/>
              <w:right w:val="nil"/>
            </w:tcBorders>
          </w:tcPr>
          <w:p>
            <w:pPr>
              <w:pStyle w:val="Normal6a"/>
            </w:pPr>
            <w:r>
              <w:t>1.</w:t>
            </w:r>
            <w:r>
              <w:tab/>
            </w:r>
            <w:r>
              <w:rPr>
                <w:b/>
                <w:i/>
              </w:rPr>
              <w:t>Държавите</w:t>
            </w:r>
            <w:r>
              <w:t xml:space="preserve"> членки </w:t>
            </w:r>
            <w:r>
              <w:rPr>
                <w:b/>
                <w:i/>
              </w:rPr>
              <w:t>оценяват възможността за въвеждане на</w:t>
            </w:r>
            <w:r>
              <w:t xml:space="preserve"> ускорени имиграционни процедури, за да създадат възможност за по-бързо наемане на регистрираните търсещи работа лица от трети държави, които са били избрани за свободно работно място в резерва на ЕС от таланти.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719</w:t>
      </w:r>
      <w:r>
        <w:rPr>
          <w:rStyle w:val="HideTWBExt"/>
        </w:rPr>
        <w:t>&lt;/NumAm&gt;</w:t>
      </w:r>
    </w:p>
    <w:p>
      <w:pPr>
        <w:pStyle w:val="NormalBold"/>
      </w:pPr>
      <w:r>
        <w:rPr>
          <w:rStyle w:val="HideTWBExt"/>
          <w:b w:val="0"/>
        </w:rPr>
        <w:t>&lt;RepeatBlock-By&gt;</w:t>
      </w:r>
      <w:r>
        <w:rPr>
          <w:rStyle w:val="HideTWBExt"/>
          <w:b w:val="0"/>
        </w:rPr>
        <w:t>&lt;Members&gt;</w:t>
      </w:r>
      <w:r>
        <w:t>Ян-Кристоф Йотен, Абир Ал-Сахлани, Луция Яр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19 – параграф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Участващите държави членки </w:t>
            </w:r>
            <w:r>
              <w:rPr>
                <w:b/>
                <w:i/>
              </w:rPr>
              <w:t>може да решат да въведат</w:t>
            </w:r>
            <w:r>
              <w:t xml:space="preserve"> ускорени имиграционни процедури, за да създадат възможност за по-бързо наемане на регистрираните търсещи работа лица от трети държави, които са били избрани за свободно работно място в резерва на ЕС от таланти.</w:t>
            </w:r>
          </w:p>
        </w:tc>
        <w:tc>
          <w:tcPr>
            <w:tcW w:w="4876" w:type="dxa"/>
            <w:tcBorders>
              <w:top w:val="nil"/>
              <w:left w:val="nil"/>
              <w:bottom w:val="nil"/>
              <w:right w:val="nil"/>
            </w:tcBorders>
          </w:tcPr>
          <w:p>
            <w:pPr>
              <w:pStyle w:val="Normal6a"/>
            </w:pPr>
            <w:r>
              <w:t>1.</w:t>
            </w:r>
            <w:r>
              <w:tab/>
            </w:r>
            <w:r>
              <w:t xml:space="preserve">Участващите държави членки </w:t>
            </w:r>
            <w:r>
              <w:rPr>
                <w:b/>
                <w:i/>
              </w:rPr>
              <w:t>въвеждат</w:t>
            </w:r>
            <w:r>
              <w:t xml:space="preserve"> ускорени имиграционни процедури, за да създадат възможност за по-бързо наемане на регистрираните търсещи работа лица от трети държави, които са били избрани за свободно работно място в резерва на ЕС от таланти.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720</w:t>
      </w:r>
      <w:r>
        <w:rPr>
          <w:rStyle w:val="HideTWBExt"/>
        </w:rPr>
        <w:t>&lt;/NumAm&gt;</w:t>
      </w:r>
    </w:p>
    <w:p>
      <w:pPr>
        <w:pStyle w:val="NormalBold"/>
      </w:pPr>
      <w:r>
        <w:rPr>
          <w:rStyle w:val="HideTWBExt"/>
          <w:b w:val="0"/>
        </w:rPr>
        <w:t>&lt;RepeatBlock-By&gt;</w:t>
      </w:r>
      <w:r>
        <w:rPr>
          <w:rStyle w:val="HideTWBExt"/>
          <w:b w:val="0"/>
        </w:rPr>
        <w:t>&lt;Members&gt;</w:t>
      </w:r>
      <w:r>
        <w:t>Хавиер Морено Санчес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19 – параграф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Участващите държави членки </w:t>
            </w:r>
            <w:r>
              <w:rPr>
                <w:b/>
                <w:i/>
              </w:rPr>
              <w:t>може да решат да въведат</w:t>
            </w:r>
            <w:r>
              <w:t xml:space="preserve"> ускорени имиграционни процедури, за да създадат възможност за по-бързо наемане на регистрираните търсещи работа лица от трети държави, които са били избрани за свободно работно място в резерва на ЕС от таланти.</w:t>
            </w:r>
          </w:p>
        </w:tc>
        <w:tc>
          <w:tcPr>
            <w:tcW w:w="4876" w:type="dxa"/>
            <w:tcBorders>
              <w:top w:val="nil"/>
              <w:left w:val="nil"/>
              <w:bottom w:val="nil"/>
              <w:right w:val="nil"/>
            </w:tcBorders>
          </w:tcPr>
          <w:p>
            <w:pPr>
              <w:pStyle w:val="Normal6a"/>
            </w:pPr>
            <w:r>
              <w:t>1.</w:t>
            </w:r>
            <w:r>
              <w:tab/>
            </w:r>
            <w:r>
              <w:t xml:space="preserve">Участващите държави членки </w:t>
            </w:r>
            <w:r>
              <w:rPr>
                <w:b/>
                <w:i/>
              </w:rPr>
              <w:t>въвеждат</w:t>
            </w:r>
            <w:r>
              <w:t xml:space="preserve"> ускорени имиграционни процедури, за да създадат възможност за по-бързо наемане на регистрираните търсещи работа лица от трети държави, които са били избрани за свободно работно място в резерва на ЕС от таланти.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721</w:t>
      </w:r>
      <w:r>
        <w:rPr>
          <w:rStyle w:val="HideTWBExt"/>
        </w:rPr>
        <w:t>&lt;/NumAm&gt;</w:t>
      </w:r>
    </w:p>
    <w:p>
      <w:pPr>
        <w:pStyle w:val="NormalBold"/>
      </w:pPr>
      <w:r>
        <w:rPr>
          <w:rStyle w:val="HideTWBExt"/>
          <w:b w:val="0"/>
        </w:rPr>
        <w:t>&lt;RepeatBlock-By&gt;</w:t>
      </w:r>
      <w:r>
        <w:rPr>
          <w:rStyle w:val="HideTWBExt"/>
          <w:b w:val="0"/>
        </w:rPr>
        <w:t>&lt;Members&gt;</w:t>
      </w:r>
      <w:r>
        <w:t>Хавиер Морено Санчес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19 – параграф 2 – уводна част</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В процедурата, посочена в параграф 1, </w:t>
            </w:r>
            <w:r>
              <w:rPr>
                <w:b/>
                <w:i/>
              </w:rPr>
              <w:t>може да</w:t>
            </w:r>
            <w:r>
              <w:t xml:space="preserve"> се включва:</w:t>
            </w:r>
          </w:p>
        </w:tc>
        <w:tc>
          <w:tcPr>
            <w:tcW w:w="4876" w:type="dxa"/>
            <w:tcBorders>
              <w:top w:val="nil"/>
              <w:left w:val="nil"/>
              <w:bottom w:val="nil"/>
              <w:right w:val="nil"/>
            </w:tcBorders>
          </w:tcPr>
          <w:p>
            <w:pPr>
              <w:pStyle w:val="Normal6a"/>
            </w:pPr>
            <w:r>
              <w:t>2.</w:t>
            </w:r>
            <w:r>
              <w:tab/>
            </w:r>
            <w:r>
              <w:t>В процедурата, посочена в параграф 1, се включва:</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а) неизвършване на проучване пазара на труда за свободните работни места, публикувани на платформата на резерва на ЕС от таланти;</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б) признаване на квалификациите и уменията на търсещите работа лица от трета държава, в която тези умения са развити или валидирани в рамките на партньорство на ЕС в подкрепа на талантите или национална рамка и са удостоверени с „карта за участие в партньорство в подкрепа на талантите“.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722</w:t>
      </w:r>
      <w:r>
        <w:rPr>
          <w:rStyle w:val="HideTWBExt"/>
        </w:rPr>
        <w:t>&lt;/NumAm&gt;</w:t>
      </w:r>
    </w:p>
    <w:p>
      <w:pPr>
        <w:pStyle w:val="NormalBold"/>
      </w:pPr>
      <w:r>
        <w:rPr>
          <w:rStyle w:val="HideTWBExt"/>
          <w:b w:val="0"/>
        </w:rPr>
        <w:t>&lt;RepeatBlock-By&gt;</w:t>
      </w:r>
      <w:r>
        <w:rPr>
          <w:rStyle w:val="HideTWBExt"/>
          <w:b w:val="0"/>
        </w:rPr>
        <w:t>&lt;Members&gt;</w:t>
      </w:r>
      <w:r>
        <w:t>Том Вандендрисе, Петра Щегер, Ярослав Бжох, Фабрис Леджери, Антонио Танжер Кореа,  Хорхе Бусаде Виялба, Марике Елерс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19 – параграф 2 – уводна част</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В </w:t>
            </w:r>
            <w:r>
              <w:rPr>
                <w:b/>
                <w:i/>
              </w:rPr>
              <w:t>процедурата, посочена</w:t>
            </w:r>
            <w:r>
              <w:t xml:space="preserve"> в параграф 1, </w:t>
            </w:r>
            <w:r>
              <w:rPr>
                <w:b/>
                <w:i/>
              </w:rPr>
              <w:t>може да се включва</w:t>
            </w:r>
            <w:r>
              <w:t>:</w:t>
            </w:r>
          </w:p>
        </w:tc>
        <w:tc>
          <w:tcPr>
            <w:tcW w:w="4876" w:type="dxa"/>
            <w:tcBorders>
              <w:top w:val="nil"/>
              <w:left w:val="nil"/>
              <w:bottom w:val="nil"/>
              <w:right w:val="nil"/>
            </w:tcBorders>
          </w:tcPr>
          <w:p>
            <w:pPr>
              <w:pStyle w:val="Normal6a"/>
            </w:pPr>
            <w:r>
              <w:t>2.</w:t>
            </w:r>
            <w:r>
              <w:tab/>
            </w:r>
            <w:r>
              <w:t xml:space="preserve">В </w:t>
            </w:r>
            <w:r>
              <w:rPr>
                <w:b/>
                <w:i/>
              </w:rPr>
              <w:t>процедурите, посочени</w:t>
            </w:r>
            <w:r>
              <w:t xml:space="preserve"> в параграф 1, </w:t>
            </w:r>
            <w:r>
              <w:rPr>
                <w:b/>
                <w:i/>
              </w:rPr>
              <w:t>се включват</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723</w:t>
      </w:r>
      <w:r>
        <w:rPr>
          <w:rStyle w:val="HideTWBExt"/>
        </w:rPr>
        <w:t>&lt;/NumAm&gt;</w:t>
      </w:r>
    </w:p>
    <w:p>
      <w:pPr>
        <w:pStyle w:val="NormalBold"/>
      </w:pPr>
      <w:r>
        <w:rPr>
          <w:rStyle w:val="HideTWBExt"/>
          <w:b w:val="0"/>
        </w:rPr>
        <w:t>&lt;RepeatBlock-By&gt;</w:t>
      </w:r>
      <w:r>
        <w:rPr>
          <w:rStyle w:val="HideTWBExt"/>
          <w:b w:val="0"/>
        </w:rPr>
        <w:t>&lt;Members&gt;</w:t>
      </w:r>
      <w:r>
        <w:t>Ян-Кристоф Йотен, Абир Ал-Сахлани, Луция Яр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19 – параграф 2 – уводна част</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В процедурата, посочена в параграф 1, </w:t>
            </w:r>
            <w:r>
              <w:rPr>
                <w:b/>
                <w:i/>
              </w:rPr>
              <w:t>може да</w:t>
            </w:r>
            <w:r>
              <w:t xml:space="preserve"> се включва:</w:t>
            </w:r>
          </w:p>
        </w:tc>
        <w:tc>
          <w:tcPr>
            <w:tcW w:w="4876" w:type="dxa"/>
            <w:tcBorders>
              <w:top w:val="nil"/>
              <w:left w:val="nil"/>
              <w:bottom w:val="nil"/>
              <w:right w:val="nil"/>
            </w:tcBorders>
          </w:tcPr>
          <w:p>
            <w:pPr>
              <w:pStyle w:val="Normal6a"/>
            </w:pPr>
            <w:r>
              <w:t>2.</w:t>
            </w:r>
            <w:r>
              <w:tab/>
            </w:r>
            <w:r>
              <w:t>В процедурата, посочена в параграф 1, се включва: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724</w:t>
      </w:r>
      <w:r>
        <w:rPr>
          <w:rStyle w:val="HideTWBExt"/>
        </w:rPr>
        <w:t>&lt;/NumAm&gt;</w:t>
      </w:r>
    </w:p>
    <w:p>
      <w:pPr>
        <w:pStyle w:val="NormalBold"/>
      </w:pPr>
      <w:r>
        <w:rPr>
          <w:rStyle w:val="HideTWBExt"/>
          <w:b w:val="0"/>
        </w:rPr>
        <w:t>&lt;RepeatBlock-By&gt;</w:t>
      </w:r>
      <w:r>
        <w:rPr>
          <w:rStyle w:val="HideTWBExt"/>
          <w:b w:val="0"/>
        </w:rPr>
        <w:t>&lt;Members&gt;</w:t>
      </w:r>
      <w:r>
        <w:t>Чарли Веймерс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19 – параграф 2 – буква 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а</w:t>
            </w:r>
            <w:r>
              <w:t>)</w:t>
            </w:r>
            <w:r>
              <w:tab/>
            </w:r>
            <w:r>
              <w:t>получаване на визи и разрешения за пребиваване с цел работа</w:t>
            </w:r>
            <w:r>
              <w:rPr>
                <w:b/>
                <w:i/>
              </w:rPr>
              <w:t>;</w:t>
            </w:r>
          </w:p>
        </w:tc>
        <w:tc>
          <w:tcPr>
            <w:tcW w:w="4876" w:type="dxa"/>
            <w:tcBorders>
              <w:top w:val="nil"/>
              <w:left w:val="nil"/>
              <w:bottom w:val="nil"/>
              <w:right w:val="nil"/>
            </w:tcBorders>
          </w:tcPr>
          <w:p>
            <w:pPr>
              <w:pStyle w:val="Normal6a"/>
            </w:pPr>
            <w:r>
              <w:rPr>
                <w:b/>
                <w:i/>
              </w:rPr>
              <w:t>a</w:t>
            </w:r>
            <w:r>
              <w:t>)</w:t>
            </w:r>
            <w:r>
              <w:tab/>
            </w:r>
            <w:r>
              <w:t>получаване на визи и разрешения за пребиваване с цел работа</w:t>
            </w:r>
            <w:r>
              <w:rPr>
                <w:b/>
                <w:i/>
              </w:rPr>
              <w:t>.</w:t>
            </w:r>
            <w:r>
              <w:t xml:space="preserve"> </w:t>
            </w:r>
            <w:r>
              <w:rPr>
                <w:b/>
                <w:i/>
              </w:rPr>
              <w:t>Визата за дадена държава членка не предоставя право на свободно движение в рамките на Шенгенското пространство за категорията временни работници от трети държави, които са влезли в ЕС чрез резерва от таланти.</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725</w:t>
      </w:r>
      <w:r>
        <w:rPr>
          <w:rStyle w:val="HideTWBExt"/>
        </w:rPr>
        <w:t>&lt;/NumAm&gt;</w:t>
      </w:r>
    </w:p>
    <w:p>
      <w:pPr>
        <w:pStyle w:val="NormalBold"/>
      </w:pPr>
      <w:r>
        <w:rPr>
          <w:rStyle w:val="HideTWBExt"/>
          <w:b w:val="0"/>
        </w:rPr>
        <w:t>&lt;RepeatBlock-By&gt;</w:t>
      </w:r>
      <w:r>
        <w:rPr>
          <w:rStyle w:val="HideTWBExt"/>
          <w:b w:val="0"/>
        </w:rPr>
        <w:t>&lt;Members&gt;</w:t>
      </w:r>
      <w:r>
        <w:t>Хавиер Морено Санчес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19 – параграф 2 – буква 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а</w:t>
            </w:r>
            <w:r>
              <w:t>)</w:t>
            </w:r>
            <w:r>
              <w:tab/>
            </w:r>
            <w:r>
              <w:rPr>
                <w:b/>
                <w:i/>
              </w:rPr>
              <w:t>получаване на визи и разрешения за пребиваване с цел работа;</w:t>
            </w:r>
          </w:p>
        </w:tc>
        <w:tc>
          <w:tcPr>
            <w:tcW w:w="4876" w:type="dxa"/>
            <w:tcBorders>
              <w:top w:val="nil"/>
              <w:left w:val="nil"/>
              <w:bottom w:val="nil"/>
              <w:right w:val="nil"/>
            </w:tcBorders>
          </w:tcPr>
          <w:p>
            <w:pPr>
              <w:pStyle w:val="Normal6a"/>
            </w:pPr>
            <w:r>
              <w:rPr>
                <w:b/>
                <w:i/>
              </w:rPr>
              <w:t>a</w:t>
            </w:r>
            <w:r>
              <w:t>)</w:t>
            </w:r>
            <w:r>
              <w:tab/>
            </w:r>
            <w:r>
              <w:rPr>
                <w:b/>
                <w:i/>
              </w:rPr>
              <w:t>В процедурата, посочена в параграф 1, може да се включва също:</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а) получаване на визи и разрешения за пребиваване с цел работа;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726</w:t>
      </w:r>
      <w:r>
        <w:rPr>
          <w:rStyle w:val="HideTWBExt"/>
        </w:rPr>
        <w:t>&lt;/NumAm&gt;</w:t>
      </w:r>
    </w:p>
    <w:p>
      <w:pPr>
        <w:pStyle w:val="NormalBold"/>
      </w:pPr>
      <w:r>
        <w:rPr>
          <w:rStyle w:val="HideTWBExt"/>
          <w:b w:val="0"/>
        </w:rPr>
        <w:t>&lt;RepeatBlock-By&gt;</w:t>
      </w:r>
      <w:r>
        <w:rPr>
          <w:rStyle w:val="HideTWBExt"/>
          <w:b w:val="0"/>
        </w:rPr>
        <w:t>&lt;Members&gt;</w:t>
      </w:r>
      <w:r>
        <w:t>Том Вандендрисе, Петра Щегер, Ярослав Бжох, Фабрис Леджери, Антонио Танжер Кореа,  Хорхе Бусаде Виялба, Марике Елерс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19 – параграф 2 – буква 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а</w:t>
            </w:r>
            <w:r>
              <w:t>)</w:t>
            </w:r>
            <w:r>
              <w:tab/>
            </w:r>
            <w:r>
              <w:t>получаване на визи и разрешения за пребиваване с цел работа;</w:t>
            </w:r>
          </w:p>
        </w:tc>
        <w:tc>
          <w:tcPr>
            <w:tcW w:w="4876" w:type="dxa"/>
            <w:tcBorders>
              <w:top w:val="nil"/>
              <w:left w:val="nil"/>
              <w:bottom w:val="nil"/>
              <w:right w:val="nil"/>
            </w:tcBorders>
          </w:tcPr>
          <w:p>
            <w:pPr>
              <w:pStyle w:val="Normal6a"/>
            </w:pPr>
            <w:r>
              <w:rPr>
                <w:b/>
                <w:i/>
              </w:rPr>
              <w:t>a</w:t>
            </w:r>
            <w:r>
              <w:t>)</w:t>
            </w:r>
            <w:r>
              <w:tab/>
            </w:r>
            <w:r>
              <w:t xml:space="preserve">получаване на визи и </w:t>
            </w:r>
            <w:r>
              <w:rPr>
                <w:b/>
                <w:i/>
              </w:rPr>
              <w:t>национални</w:t>
            </w:r>
            <w:r>
              <w:t xml:space="preserve"> разрешения за пребиваване с цел работа;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727</w:t>
      </w:r>
      <w:r>
        <w:rPr>
          <w:rStyle w:val="HideTWBExt"/>
        </w:rPr>
        <w:t>&lt;/NumAm&gt;</w:t>
      </w:r>
    </w:p>
    <w:p>
      <w:pPr>
        <w:pStyle w:val="NormalBold"/>
      </w:pPr>
      <w:r>
        <w:rPr>
          <w:rStyle w:val="HideTWBExt"/>
          <w:b w:val="0"/>
        </w:rPr>
        <w:t>&lt;RepeatBlock-By&gt;</w:t>
      </w:r>
      <w:r>
        <w:rPr>
          <w:rStyle w:val="HideTWBExt"/>
          <w:b w:val="0"/>
        </w:rPr>
        <w:t>&lt;Members&gt;</w:t>
      </w:r>
      <w:r>
        <w:t>Надин Морано</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19 – параграф 2 – буква 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б)</w:t>
            </w:r>
            <w:r>
              <w:tab/>
            </w:r>
            <w:r>
              <w:rPr>
                <w:b/>
                <w:i/>
              </w:rPr>
              <w:t>освобождаване от принципа на предпочитане на граждани на Съюза за свободните работни места, прехвърлени на ИТ платформата на резерва на ЕС от таланти.</w:t>
            </w:r>
          </w:p>
        </w:tc>
        <w:tc>
          <w:tcPr>
            <w:tcW w:w="4876" w:type="dxa"/>
            <w:tcBorders>
              <w:top w:val="nil"/>
              <w:left w:val="nil"/>
              <w:bottom w:val="nil"/>
              <w:right w:val="nil"/>
            </w:tcBorders>
          </w:tcPr>
          <w:p>
            <w:pPr>
              <w:pStyle w:val="Normal6a"/>
            </w:pPr>
            <w:r>
              <w:rPr>
                <w:b/>
                <w:i/>
              </w:rPr>
              <w:t>заличава се</w:t>
            </w:r>
          </w:p>
        </w:tc>
      </w:tr>
    </w:tbl>
    <w:p>
      <w:pPr>
        <w:pStyle w:val="AmOrLang"/>
      </w:pPr>
      <w:r>
        <w:t xml:space="preserve">Or. </w:t>
      </w:r>
      <w:r>
        <w:rPr>
          <w:rStyle w:val="HideTWBExt"/>
        </w:rPr>
        <w:t>&lt;Original&gt;</w:t>
      </w:r>
      <w:r>
        <w:rPr>
          <w:rStyle w:val="HideTWBInt"/>
        </w:rPr>
        <w:t>{FR}</w:t>
      </w:r>
      <w:r>
        <w:t>fr</w:t>
      </w:r>
      <w:r>
        <w:rPr>
          <w:rStyle w:val="HideTWBExt"/>
        </w:rPr>
        <w:t>&lt;/Original&gt;</w:t>
      </w:r>
    </w:p>
    <w:p>
      <w:pPr>
        <w:pStyle w:val="AmJustTitle"/>
      </w:pPr>
      <w:r>
        <w:rPr>
          <w:rStyle w:val="HideTWBExt"/>
        </w:rPr>
        <w:t>&lt;TitreJust&gt;</w:t>
      </w:r>
      <w:r>
        <w:t>Обосновка</w:t>
      </w:r>
      <w:r>
        <w:rPr>
          <w:rStyle w:val="HideTWBExt"/>
        </w:rPr>
        <w:t>&lt;/TitreJust&gt;</w:t>
      </w:r>
    </w:p>
    <w:p>
      <w:pPr>
        <w:pStyle w:val="AmJustText"/>
      </w:pPr>
      <w:r>
        <w:t>В съответствие с изложеното в съображения 5 и 23, резервът на ЕС от таланти следва да се използва само в краен случай, когато работодателите не могат да наемат гражданин на ЕС за съответната работа.</w:t>
      </w:r>
    </w:p>
    <w:p>
      <w:r>
        <w:rPr>
          <w:rStyle w:val="HideTWBExt"/>
        </w:rPr>
        <w:t>&lt;/Amend&gt;</w:t>
      </w:r>
    </w:p>
    <w:p>
      <w:pPr>
        <w:pStyle w:val="AmNumberTabs"/>
      </w:pPr>
      <w:r>
        <w:rPr>
          <w:rStyle w:val="HideTWBExt"/>
        </w:rPr>
        <w:t>&lt;Amend&gt;</w:t>
      </w:r>
      <w:r>
        <w:t>Изменение</w:t>
      </w:r>
      <w:r>
        <w:tab/>
      </w:r>
      <w:r>
        <w:tab/>
      </w:r>
      <w:r>
        <w:rPr>
          <w:rStyle w:val="HideTWBExt"/>
        </w:rPr>
        <w:t>&lt;NumAm&gt;</w:t>
      </w:r>
      <w:r>
        <w:t>728</w:t>
      </w:r>
      <w:r>
        <w:rPr>
          <w:rStyle w:val="HideTWBExt"/>
        </w:rPr>
        <w:t>&lt;/NumAm&gt;</w:t>
      </w:r>
    </w:p>
    <w:p>
      <w:pPr>
        <w:pStyle w:val="NormalBold"/>
      </w:pPr>
      <w:r>
        <w:rPr>
          <w:rStyle w:val="HideTWBExt"/>
          <w:b w:val="0"/>
        </w:rPr>
        <w:t>&lt;RepeatBlock-By&gt;</w:t>
      </w:r>
      <w:r>
        <w:rPr>
          <w:rStyle w:val="HideTWBExt"/>
          <w:b w:val="0"/>
        </w:rPr>
        <w:t>&lt;Members&gt;</w:t>
      </w:r>
      <w:r>
        <w:t>Никос Анадиотис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19 – параграф 2 – буква 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б)</w:t>
            </w:r>
            <w:r>
              <w:tab/>
            </w:r>
            <w:r>
              <w:rPr>
                <w:b/>
                <w:i/>
              </w:rPr>
              <w:t>освобождаване от принципа на предпочитане на граждани на Съюза за свободните работни места, прехвърлени на ИТ платформата на резерва на ЕС от таланти.</w:t>
            </w:r>
          </w:p>
        </w:tc>
        <w:tc>
          <w:tcPr>
            <w:tcW w:w="4876" w:type="dxa"/>
            <w:tcBorders>
              <w:top w:val="nil"/>
              <w:left w:val="nil"/>
              <w:bottom w:val="nil"/>
              <w:right w:val="nil"/>
            </w:tcBorders>
          </w:tcPr>
          <w:p>
            <w:pPr>
              <w:pStyle w:val="Normal6a"/>
            </w:pPr>
            <w:r>
              <w:rPr>
                <w:b/>
                <w:i/>
              </w:rPr>
              <w:t>заличава се</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729</w:t>
      </w:r>
      <w:r>
        <w:rPr>
          <w:rStyle w:val="HideTWBExt"/>
        </w:rPr>
        <w:t>&lt;/NumAm&gt;</w:t>
      </w:r>
    </w:p>
    <w:p>
      <w:pPr>
        <w:pStyle w:val="NormalBold"/>
      </w:pPr>
      <w:r>
        <w:rPr>
          <w:rStyle w:val="HideTWBExt"/>
          <w:b w:val="0"/>
        </w:rPr>
        <w:t>&lt;RepeatBlock-By&gt;</w:t>
      </w:r>
      <w:r>
        <w:rPr>
          <w:rStyle w:val="HideTWBExt"/>
          <w:b w:val="0"/>
        </w:rPr>
        <w:t>&lt;Members&gt;</w:t>
      </w:r>
      <w:r>
        <w:t>Себастиан Тюнкюнен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19 – параграф 2 – буква 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б)</w:t>
            </w:r>
            <w:r>
              <w:tab/>
            </w:r>
            <w:r>
              <w:rPr>
                <w:b/>
                <w:i/>
              </w:rPr>
              <w:t>освобождаване от принципа на предпочитане на граждани на Съюза за свободните работни места, прехвърлени на ИТ платформата на резерва на ЕС от таланти.</w:t>
            </w:r>
          </w:p>
        </w:tc>
        <w:tc>
          <w:tcPr>
            <w:tcW w:w="4876" w:type="dxa"/>
            <w:tcBorders>
              <w:top w:val="nil"/>
              <w:left w:val="nil"/>
              <w:bottom w:val="nil"/>
              <w:right w:val="nil"/>
            </w:tcBorders>
          </w:tcPr>
          <w:p>
            <w:pPr>
              <w:pStyle w:val="Normal6a"/>
            </w:pPr>
            <w:r>
              <w:rPr>
                <w:b/>
                <w:i/>
              </w:rPr>
              <w:t>заличава се</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730</w:t>
      </w:r>
      <w:r>
        <w:rPr>
          <w:rStyle w:val="HideTWBExt"/>
        </w:rPr>
        <w:t>&lt;/NumAm&gt;</w:t>
      </w:r>
    </w:p>
    <w:p>
      <w:pPr>
        <w:pStyle w:val="NormalBold"/>
      </w:pPr>
      <w:r>
        <w:rPr>
          <w:rStyle w:val="HideTWBExt"/>
          <w:b w:val="0"/>
        </w:rPr>
        <w:t>&lt;RepeatBlock-By&gt;</w:t>
      </w:r>
      <w:r>
        <w:rPr>
          <w:rStyle w:val="HideTWBExt"/>
          <w:b w:val="0"/>
        </w:rPr>
        <w:t>&lt;Members&gt;</w:t>
      </w:r>
      <w:r>
        <w:t>Чарли Веймерс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19 – параграф 2 – буква 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б)</w:t>
            </w:r>
            <w:r>
              <w:tab/>
            </w:r>
            <w:r>
              <w:rPr>
                <w:b/>
                <w:i/>
              </w:rPr>
              <w:t>освобождаване от принципа на предпочитане на граждани на Съюза за свободните работни места, прехвърлени на ИТ платформата на резерва на ЕС от таланти.</w:t>
            </w:r>
          </w:p>
        </w:tc>
        <w:tc>
          <w:tcPr>
            <w:tcW w:w="4876" w:type="dxa"/>
            <w:tcBorders>
              <w:top w:val="nil"/>
              <w:left w:val="nil"/>
              <w:bottom w:val="nil"/>
              <w:right w:val="nil"/>
            </w:tcBorders>
          </w:tcPr>
          <w:p>
            <w:pPr>
              <w:pStyle w:val="Normal6a"/>
            </w:pPr>
            <w:r>
              <w:rPr>
                <w:b/>
                <w:i/>
              </w:rPr>
              <w:t>заличава се</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731</w:t>
      </w:r>
      <w:r>
        <w:rPr>
          <w:rStyle w:val="HideTWBExt"/>
        </w:rPr>
        <w:t>&lt;/NumAm&gt;</w:t>
      </w:r>
    </w:p>
    <w:p>
      <w:pPr>
        <w:pStyle w:val="NormalBold"/>
      </w:pPr>
      <w:r>
        <w:rPr>
          <w:rStyle w:val="HideTWBExt"/>
          <w:b w:val="0"/>
        </w:rPr>
        <w:t>&lt;RepeatBlock-By&gt;</w:t>
      </w:r>
      <w:r>
        <w:rPr>
          <w:rStyle w:val="HideTWBExt"/>
          <w:b w:val="0"/>
        </w:rPr>
        <w:t>&lt;Members&gt;</w:t>
      </w:r>
      <w:r>
        <w:t>Лена Дюпон, Томас Тобé, Алис Теодореску Мове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19 – параграф 2 – буква 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б)</w:t>
            </w:r>
            <w:r>
              <w:tab/>
            </w:r>
            <w:r>
              <w:rPr>
                <w:b/>
                <w:i/>
              </w:rPr>
              <w:t>освобождаване от принципа на предпочитане на граждани на Съюза за свободните работни места, прехвърлени на ИТ платформата на резерва на ЕС от таланти.</w:t>
            </w:r>
          </w:p>
        </w:tc>
        <w:tc>
          <w:tcPr>
            <w:tcW w:w="4876" w:type="dxa"/>
            <w:tcBorders>
              <w:top w:val="nil"/>
              <w:left w:val="nil"/>
              <w:bottom w:val="nil"/>
              <w:right w:val="nil"/>
            </w:tcBorders>
          </w:tcPr>
          <w:p>
            <w:pPr>
              <w:pStyle w:val="Normal6a"/>
            </w:pPr>
            <w:r>
              <w:rPr>
                <w:b/>
                <w:i/>
              </w:rPr>
              <w:t>заличава се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732</w:t>
      </w:r>
      <w:r>
        <w:rPr>
          <w:rStyle w:val="HideTWBExt"/>
        </w:rPr>
        <w:t>&lt;/NumAm&gt;</w:t>
      </w:r>
    </w:p>
    <w:p>
      <w:pPr>
        <w:pStyle w:val="NormalBold"/>
      </w:pPr>
      <w:r>
        <w:rPr>
          <w:rStyle w:val="HideTWBExt"/>
          <w:b w:val="0"/>
        </w:rPr>
        <w:t>&lt;RepeatBlock-By&gt;</w:t>
      </w:r>
      <w:r>
        <w:rPr>
          <w:rStyle w:val="HideTWBExt"/>
          <w:b w:val="0"/>
        </w:rPr>
        <w:t>&lt;Members&gt;</w:t>
      </w:r>
      <w:r>
        <w:t>Том Вандендрисе, Петра Щегер, Ярослав Бжох, Фабрис Леджери, Антонио Танжер Кореа,  Хорхе Бусаде Виялба, Марике Елерс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19 – параграф 2 – буква 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б)</w:t>
            </w:r>
            <w:r>
              <w:tab/>
            </w:r>
            <w:r>
              <w:rPr>
                <w:b/>
                <w:i/>
              </w:rPr>
              <w:t>освобождаване от принципа на предпочитане на граждани на Съюза за свободните работни места, прехвърлени на ИТ платформата на резерва</w:t>
            </w:r>
            <w:r>
              <w:t xml:space="preserve"> на ЕС </w:t>
            </w:r>
            <w:r>
              <w:rPr>
                <w:b/>
                <w:i/>
              </w:rPr>
              <w:t>от таланти</w:t>
            </w:r>
            <w:r>
              <w:t>.</w:t>
            </w:r>
          </w:p>
        </w:tc>
        <w:tc>
          <w:tcPr>
            <w:tcW w:w="4876" w:type="dxa"/>
            <w:tcBorders>
              <w:top w:val="nil"/>
              <w:left w:val="nil"/>
              <w:bottom w:val="nil"/>
              <w:right w:val="nil"/>
            </w:tcBorders>
          </w:tcPr>
          <w:p>
            <w:pPr>
              <w:pStyle w:val="Normal6a"/>
            </w:pPr>
            <w:r>
              <w:t>б)</w:t>
            </w:r>
            <w:r>
              <w:tab/>
            </w:r>
            <w:r>
              <w:rPr>
                <w:b/>
                <w:i/>
              </w:rPr>
              <w:t>необходимите проверки за сигурност съгласно националното право и съответните бази данни</w:t>
            </w:r>
            <w:r>
              <w:t xml:space="preserve"> на ЕС</w:t>
            </w:r>
            <w:r>
              <w:rPr>
                <w:b/>
                <w:i/>
              </w:rPr>
              <w:t>, включително Шенгенската информационна система</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733</w:t>
      </w:r>
      <w:r>
        <w:rPr>
          <w:rStyle w:val="HideTWBExt"/>
        </w:rPr>
        <w:t>&lt;/NumAm&gt;</w:t>
      </w:r>
    </w:p>
    <w:p>
      <w:pPr>
        <w:pStyle w:val="NormalBold"/>
      </w:pPr>
      <w:r>
        <w:rPr>
          <w:rStyle w:val="HideTWBExt"/>
          <w:b w:val="0"/>
        </w:rPr>
        <w:t>&lt;RepeatBlock-By&gt;</w:t>
      </w:r>
      <w:r>
        <w:rPr>
          <w:rStyle w:val="HideTWBExt"/>
          <w:b w:val="0"/>
        </w:rPr>
        <w:t>&lt;Members&gt;</w:t>
      </w:r>
      <w:r>
        <w:t>Ян-Кристоф Йотен, Абир Ал-Сахлани, Хилде Вотманс, Ирена Йовева, Луция Яр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19 – параграф 2 а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Ако не се прилага ускорената имиграционна процедура, държавите членки издават разрешения за работа и пребиваване съгласно Директива (ЕС) 2024/1233, за да се гарантира гладка и хармонизирана имиграционна процедура и да се увеличи гъвкавостта на европейския пазар на труда.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734</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19 а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Член 19a</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Такси</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 Услугите за търсещите работа лица, участващите работодатели и посредници, посочени в член 12, 13, 15а (нов), 16, 17, 18 и 19, са безплатни.</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 Допълнителните услуги, предоставяни от проверени трети страни на участващите работодатели и посредници, може да бъдат предмет на такса, заплащана от работодателя или посредника.</w:t>
            </w:r>
            <w:r>
              <w:t xml:space="preserve"> </w:t>
            </w:r>
            <w:r>
              <w:rPr>
                <w:b/>
                <w:i/>
              </w:rPr>
              <w:t>Такса се изисква само когато съответствието е успешно, а приходите се използват за компенсиране на допълнителни функции и услуги, предоставяни на ИТ платформата на резерва на ЕС от таланти, като например услуги за намиране на съответствия, преквалификация и повишаване на квалификацията на граждани от трети държави.</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w:t>
            </w:r>
            <w:r>
              <w:t xml:space="preserve"> </w:t>
            </w:r>
            <w:r>
              <w:rPr>
                <w:b/>
                <w:i/>
              </w:rPr>
              <w:t>Размерът на таксите не трябва да бъде непропорционален или прекомерно висок.</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735</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20 – заглавие</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Дейности за мониторинг</w:t>
            </w:r>
          </w:p>
        </w:tc>
        <w:tc>
          <w:tcPr>
            <w:tcW w:w="4876" w:type="dxa"/>
            <w:tcBorders>
              <w:top w:val="nil"/>
              <w:left w:val="nil"/>
              <w:bottom w:val="nil"/>
              <w:right w:val="nil"/>
            </w:tcBorders>
          </w:tcPr>
          <w:p>
            <w:pPr>
              <w:pStyle w:val="Normal6a"/>
            </w:pPr>
            <w:r>
              <w:t xml:space="preserve">Дейности за мониторинг </w:t>
            </w:r>
            <w:r>
              <w:rPr>
                <w:b/>
                <w:i/>
              </w:rPr>
              <w:t>и обратна връзка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736</w:t>
      </w:r>
      <w:r>
        <w:rPr>
          <w:rStyle w:val="HideTWBExt"/>
        </w:rPr>
        <w:t>&lt;/NumAm&gt;</w:t>
      </w:r>
    </w:p>
    <w:p>
      <w:pPr>
        <w:pStyle w:val="NormalBold"/>
      </w:pPr>
      <w:r>
        <w:rPr>
          <w:rStyle w:val="HideTWBExt"/>
          <w:b w:val="0"/>
        </w:rPr>
        <w:t>&lt;RepeatBlock-By&gt;</w:t>
      </w:r>
      <w:r>
        <w:rPr>
          <w:rStyle w:val="HideTWBExt"/>
          <w:b w:val="0"/>
        </w:rPr>
        <w:t>&lt;Members&gt;</w:t>
      </w:r>
      <w:r>
        <w:t>Пернандо Барена Арса</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20 – параграф 1 – уводна част</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Резултатите от дейността на резерва на ЕС от таланти са обект на редовен мониторинг от страна на секретариата на резерва на ЕС от таланти в съответствие с член 8, параграф 2, буква д). По-специално се събират данни относно:</w:t>
            </w:r>
          </w:p>
        </w:tc>
        <w:tc>
          <w:tcPr>
            <w:tcW w:w="4876" w:type="dxa"/>
            <w:tcBorders>
              <w:top w:val="nil"/>
              <w:left w:val="nil"/>
              <w:bottom w:val="nil"/>
              <w:right w:val="nil"/>
            </w:tcBorders>
          </w:tcPr>
          <w:p>
            <w:pPr>
              <w:pStyle w:val="Normal6a"/>
            </w:pPr>
            <w:r>
              <w:t>1.</w:t>
            </w:r>
            <w:r>
              <w:tab/>
            </w:r>
            <w:r>
              <w:t>Резултатите от дейността на резерва на ЕС от таланти са обект на редовен мониторинг от страна на секретариата на резерва на ЕС от таланти в съответствие с член 8, параграф 2, буква д)</w:t>
            </w:r>
            <w:r>
              <w:rPr>
                <w:b/>
                <w:i/>
              </w:rPr>
              <w:t>, а важните констатации се докладват редовно на ръководната група на резерва на ЕС от таланти</w:t>
            </w:r>
            <w:r>
              <w:t>. По-специално се събират данни относно:</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737</w:t>
      </w:r>
      <w:r>
        <w:rPr>
          <w:rStyle w:val="HideTWBExt"/>
        </w:rPr>
        <w:t>&lt;/NumAm&gt;</w:t>
      </w:r>
    </w:p>
    <w:p>
      <w:pPr>
        <w:pStyle w:val="NormalBold"/>
      </w:pPr>
      <w:r>
        <w:rPr>
          <w:rStyle w:val="HideTWBExt"/>
          <w:b w:val="0"/>
        </w:rPr>
        <w:t>&lt;RepeatBlock-By&gt;</w:t>
      </w:r>
      <w:r>
        <w:rPr>
          <w:rStyle w:val="HideTWBExt"/>
          <w:b w:val="0"/>
        </w:rPr>
        <w:t>&lt;Members&gt;</w:t>
      </w:r>
      <w:r>
        <w:t>Ян-Кристоф Йотен, Абир Ал-Сахлани, Луция Яр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20 – параграф 1 – уводна част</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Резултатите от дейността на резерва на ЕС от таланти са обект на редовен мониторинг от страна на секретариата на резерва на ЕС от таланти в съответствие с член 8, параграф 2, буква д). По-специално се събират данни относно:</w:t>
            </w:r>
          </w:p>
        </w:tc>
        <w:tc>
          <w:tcPr>
            <w:tcW w:w="4876" w:type="dxa"/>
            <w:tcBorders>
              <w:top w:val="nil"/>
              <w:left w:val="nil"/>
              <w:bottom w:val="nil"/>
              <w:right w:val="nil"/>
            </w:tcBorders>
          </w:tcPr>
          <w:p>
            <w:pPr>
              <w:pStyle w:val="Normal6a"/>
            </w:pPr>
            <w:r>
              <w:t>1.</w:t>
            </w:r>
            <w:r>
              <w:tab/>
            </w:r>
            <w:r>
              <w:t>Резултатите от дейността на резерва на ЕС от таланти са обект на редовен мониторинг от страна на секретариата на резерва на ЕС от таланти в съответствие с член 8, параграф 2, буква д). По-специално</w:t>
            </w:r>
            <w:r>
              <w:rPr>
                <w:b/>
                <w:i/>
              </w:rPr>
              <w:t>, на доброволна и анонимна основа</w:t>
            </w:r>
            <w:r>
              <w:t xml:space="preserve"> се събират данни относно:</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738</w:t>
      </w:r>
      <w:r>
        <w:rPr>
          <w:rStyle w:val="HideTWBExt"/>
        </w:rPr>
        <w:t>&lt;/NumAm&gt;</w:t>
      </w:r>
    </w:p>
    <w:p>
      <w:pPr>
        <w:pStyle w:val="NormalBold"/>
      </w:pPr>
      <w:r>
        <w:rPr>
          <w:rStyle w:val="HideTWBExt"/>
          <w:b w:val="0"/>
        </w:rPr>
        <w:t>&lt;RepeatBlock-By&gt;</w:t>
      </w:r>
      <w:r>
        <w:rPr>
          <w:rStyle w:val="HideTWBExt"/>
          <w:b w:val="0"/>
        </w:rPr>
        <w:t>&lt;Members&gt;</w:t>
      </w:r>
      <w:r>
        <w:t>Лена Дюпон, Томас Тобé, Алис Теодореску Мове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20 – параграф 1 – уводна част</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Резултатите от дейността на резерва на ЕС от таланти са обект на редовен мониторинг от страна на секретариата на резерва на ЕС от таланти в съответствие с член 8, параграф 2, буква д). По-специално се събират данни относно:</w:t>
            </w:r>
          </w:p>
        </w:tc>
        <w:tc>
          <w:tcPr>
            <w:tcW w:w="4876" w:type="dxa"/>
            <w:tcBorders>
              <w:top w:val="nil"/>
              <w:left w:val="nil"/>
              <w:bottom w:val="nil"/>
              <w:right w:val="nil"/>
            </w:tcBorders>
          </w:tcPr>
          <w:p>
            <w:pPr>
              <w:pStyle w:val="Normal6a"/>
            </w:pPr>
            <w:r>
              <w:t>1.</w:t>
            </w:r>
            <w:r>
              <w:tab/>
            </w:r>
            <w:r>
              <w:t xml:space="preserve">Резултатите от дейността на резерва на ЕС от таланти </w:t>
            </w:r>
            <w:r>
              <w:rPr>
                <w:b/>
                <w:i/>
              </w:rPr>
              <w:t>и неговата разходна ефективност</w:t>
            </w:r>
            <w:r>
              <w:t xml:space="preserve"> са обект на редовен мониторинг от страна на секретариата на резерва на ЕС от таланти в съответствие с член 8, параграф 2, буква д). По-специално се събират данни относно:</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739</w:t>
      </w:r>
      <w:r>
        <w:rPr>
          <w:rStyle w:val="HideTWBExt"/>
        </w:rPr>
        <w:t>&lt;/NumAm&gt;</w:t>
      </w:r>
    </w:p>
    <w:p>
      <w:pPr>
        <w:pStyle w:val="NormalBold"/>
      </w:pPr>
      <w:r>
        <w:rPr>
          <w:rStyle w:val="HideTWBExt"/>
          <w:b w:val="0"/>
        </w:rPr>
        <w:t>&lt;RepeatBlock-By&gt;</w:t>
      </w:r>
      <w:r>
        <w:rPr>
          <w:rStyle w:val="HideTWBExt"/>
          <w:b w:val="0"/>
        </w:rPr>
        <w:t>&lt;Members&gt;</w:t>
      </w:r>
      <w:r>
        <w:t>Алис Теодореску Мове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20 – параграф 1 – уводна част</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Резултатите от дейността на резерва на ЕС от таланти са обект на редовен мониторинг от страна на секретариата на резерва на ЕС от таланти в съответствие с член 8, параграф 2, буква д). По-специално се събират данни относно:</w:t>
            </w:r>
          </w:p>
        </w:tc>
        <w:tc>
          <w:tcPr>
            <w:tcW w:w="4876" w:type="dxa"/>
            <w:tcBorders>
              <w:top w:val="nil"/>
              <w:left w:val="nil"/>
              <w:bottom w:val="nil"/>
              <w:right w:val="nil"/>
            </w:tcBorders>
          </w:tcPr>
          <w:p>
            <w:pPr>
              <w:pStyle w:val="Normal6a"/>
            </w:pPr>
            <w:r>
              <w:t>1.</w:t>
            </w:r>
            <w:r>
              <w:tab/>
            </w:r>
            <w:r>
              <w:t xml:space="preserve">Резултатите от дейността на резерва на ЕС от таланти </w:t>
            </w:r>
            <w:r>
              <w:rPr>
                <w:b/>
                <w:i/>
              </w:rPr>
              <w:t>и неговата разходна ефективност</w:t>
            </w:r>
            <w:r>
              <w:t xml:space="preserve"> са обект на редовен мониторинг от страна на секретариата на резерва на ЕС от таланти в съответствие с член 8, параграф 2, буква д). По-специално се събират данни относно:</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740</w:t>
      </w:r>
      <w:r>
        <w:rPr>
          <w:rStyle w:val="HideTWBExt"/>
        </w:rPr>
        <w:t>&lt;/NumAm&gt;</w:t>
      </w:r>
    </w:p>
    <w:p>
      <w:pPr>
        <w:pStyle w:val="NormalBold"/>
      </w:pPr>
      <w:r>
        <w:rPr>
          <w:rStyle w:val="HideTWBExt"/>
          <w:b w:val="0"/>
        </w:rPr>
        <w:t>&lt;RepeatBlock-By&gt;</w:t>
      </w:r>
      <w:r>
        <w:rPr>
          <w:rStyle w:val="HideTWBExt"/>
          <w:b w:val="0"/>
        </w:rPr>
        <w:t>&lt;Members&gt;</w:t>
      </w:r>
      <w:r>
        <w:t>Чарли Веймерс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20 – параграф 1 – уводна част</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Резултатите от дейността на резерва на ЕС от таланти са обект на редовен мониторинг </w:t>
            </w:r>
            <w:r>
              <w:rPr>
                <w:b/>
                <w:i/>
              </w:rPr>
              <w:t>от страна на секретариата на резерва на ЕС от таланти в съответствие с член 8, параграф 2, буква д)</w:t>
            </w:r>
            <w:r>
              <w:t>. По-специално се събират данни относно:</w:t>
            </w:r>
          </w:p>
        </w:tc>
        <w:tc>
          <w:tcPr>
            <w:tcW w:w="4876" w:type="dxa"/>
            <w:tcBorders>
              <w:top w:val="nil"/>
              <w:left w:val="nil"/>
              <w:bottom w:val="nil"/>
              <w:right w:val="nil"/>
            </w:tcBorders>
          </w:tcPr>
          <w:p>
            <w:pPr>
              <w:pStyle w:val="Normal6a"/>
            </w:pPr>
            <w:r>
              <w:t>1.</w:t>
            </w:r>
            <w:r>
              <w:tab/>
            </w:r>
            <w:r>
              <w:t>Резултатите от дейността на резерва на ЕС от таланти са обект на редовен мониторинг</w:t>
            </w:r>
            <w:r>
              <w:rPr>
                <w:b/>
                <w:i/>
              </w:rPr>
              <w:t>, като Комисията докладва за тях на медиите и на Европейския парламент</w:t>
            </w:r>
            <w:r>
              <w:t>. По-специално се събират данни относно:</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741</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20 – параграф 1 – буква 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б)</w:t>
            </w:r>
            <w:r>
              <w:tab/>
            </w:r>
            <w:r>
              <w:t>броя и вида на свободните работни места, прехвърлени на ИТ платформата на резерва на ЕС от таланти;</w:t>
            </w:r>
          </w:p>
        </w:tc>
        <w:tc>
          <w:tcPr>
            <w:tcW w:w="4876" w:type="dxa"/>
            <w:tcBorders>
              <w:top w:val="nil"/>
              <w:left w:val="nil"/>
              <w:bottom w:val="nil"/>
              <w:right w:val="nil"/>
            </w:tcBorders>
          </w:tcPr>
          <w:p>
            <w:pPr>
              <w:pStyle w:val="Normal6a"/>
            </w:pPr>
            <w:r>
              <w:t>б)</w:t>
            </w:r>
            <w:r>
              <w:tab/>
            </w:r>
            <w:r>
              <w:t xml:space="preserve">броя </w:t>
            </w:r>
            <w:r>
              <w:rPr>
                <w:b/>
                <w:i/>
              </w:rPr>
              <w:t>на работодателите и посредниците, регистрирани на ИТ платформата на резерва на ЕС от таланти, и броя</w:t>
            </w:r>
            <w:r>
              <w:t xml:space="preserve"> и вида на свободните работни места, прехвърлени на ИТ платформата на резерва на ЕС от таланти;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742</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20 – параграф 1 – буква г</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г)</w:t>
            </w:r>
            <w:r>
              <w:tab/>
            </w:r>
            <w:r>
              <w:t>броя и вида на случаите на наемане на работа, улеснени чрез резерва на ЕС от таланти;</w:t>
            </w:r>
          </w:p>
        </w:tc>
        <w:tc>
          <w:tcPr>
            <w:tcW w:w="4876" w:type="dxa"/>
            <w:tcBorders>
              <w:top w:val="nil"/>
              <w:left w:val="nil"/>
              <w:bottom w:val="nil"/>
              <w:right w:val="nil"/>
            </w:tcBorders>
          </w:tcPr>
          <w:p>
            <w:pPr>
              <w:pStyle w:val="Normal6a"/>
            </w:pPr>
            <w:r>
              <w:t>г)</w:t>
            </w:r>
            <w:r>
              <w:tab/>
            </w:r>
            <w:r>
              <w:t xml:space="preserve">броя и вида на случаите на наемане на работа </w:t>
            </w:r>
            <w:r>
              <w:rPr>
                <w:b/>
                <w:i/>
              </w:rPr>
              <w:t>и съответствията</w:t>
            </w:r>
            <w:r>
              <w:t>, улеснени чрез резерва на ЕС от таланти;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743</w:t>
      </w:r>
      <w:r>
        <w:rPr>
          <w:rStyle w:val="HideTWBExt"/>
        </w:rPr>
        <w:t>&lt;/NumAm&gt;</w:t>
      </w:r>
    </w:p>
    <w:p>
      <w:pPr>
        <w:pStyle w:val="NormalBold"/>
      </w:pPr>
      <w:r>
        <w:rPr>
          <w:rStyle w:val="HideTWBExt"/>
          <w:b w:val="0"/>
        </w:rPr>
        <w:t>&lt;RepeatBlock-By&gt;</w:t>
      </w:r>
      <w:r>
        <w:rPr>
          <w:rStyle w:val="HideTWBExt"/>
          <w:b w:val="0"/>
        </w:rPr>
        <w:t>&lt;Members&gt;</w:t>
      </w:r>
      <w:r>
        <w:t>Пернандо Барена Арса</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20 – параграф 1 – буква г a (нова)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гa)</w:t>
            </w:r>
            <w:r>
              <w:tab/>
            </w:r>
            <w:r>
              <w:rPr>
                <w:b/>
                <w:i/>
              </w:rPr>
              <w:t>броя на процедурите за подбор, улеснени чрез резерва на ЕС от таланти, които не са довели до назначаване на работа, и причината за прекратяване на процеса на набиране на персонал;</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744</w:t>
      </w:r>
      <w:r>
        <w:rPr>
          <w:rStyle w:val="HideTWBExt"/>
        </w:rPr>
        <w:t>&lt;/NumAm&gt;</w:t>
      </w:r>
    </w:p>
    <w:p>
      <w:pPr>
        <w:pStyle w:val="NormalBold"/>
      </w:pPr>
      <w:r>
        <w:rPr>
          <w:rStyle w:val="HideTWBExt"/>
          <w:b w:val="0"/>
        </w:rPr>
        <w:t>&lt;RepeatBlock-By&gt;</w:t>
      </w:r>
      <w:r>
        <w:rPr>
          <w:rStyle w:val="HideTWBExt"/>
          <w:b w:val="0"/>
        </w:rPr>
        <w:t>&lt;Members&gt;</w:t>
      </w:r>
      <w:r>
        <w:t>Пернандо Барена Арса</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20 – параграф 1 – буква г б (нова)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гб)</w:t>
            </w:r>
            <w:r>
              <w:tab/>
            </w:r>
            <w:r>
              <w:rPr>
                <w:b/>
                <w:i/>
              </w:rPr>
              <w:t>броя и вида на разрешенията, издадени на работници от трети държави, наети чрез резерва на ЕС от таланти;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745</w:t>
      </w:r>
      <w:r>
        <w:rPr>
          <w:rStyle w:val="HideTWBExt"/>
        </w:rPr>
        <w:t>&lt;/NumAm&gt;</w:t>
      </w:r>
    </w:p>
    <w:p>
      <w:pPr>
        <w:pStyle w:val="NormalBold"/>
      </w:pPr>
      <w:r>
        <w:rPr>
          <w:rStyle w:val="HideTWBExt"/>
          <w:b w:val="0"/>
        </w:rPr>
        <w:t>&lt;RepeatBlock-By&gt;</w:t>
      </w:r>
      <w:r>
        <w:rPr>
          <w:rStyle w:val="HideTWBExt"/>
          <w:b w:val="0"/>
        </w:rPr>
        <w:t>&lt;Members&gt;</w:t>
      </w:r>
      <w:r>
        <w:t>Чарли Веймерс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20 – параграф 1 – буква д</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д)</w:t>
            </w:r>
            <w:r>
              <w:tab/>
            </w:r>
            <w:r>
              <w:t>броя на издадените „карти за участие в партньорство на ЕС в подкрепа на талантите“</w:t>
            </w:r>
            <w:r>
              <w:rPr>
                <w:b/>
                <w:i/>
              </w:rPr>
              <w:t>;</w:t>
            </w:r>
          </w:p>
        </w:tc>
        <w:tc>
          <w:tcPr>
            <w:tcW w:w="4876" w:type="dxa"/>
            <w:tcBorders>
              <w:top w:val="nil"/>
              <w:left w:val="nil"/>
              <w:bottom w:val="nil"/>
              <w:right w:val="nil"/>
            </w:tcBorders>
          </w:tcPr>
          <w:p>
            <w:pPr>
              <w:pStyle w:val="Normal6a"/>
            </w:pPr>
            <w:r>
              <w:t>д)</w:t>
            </w:r>
            <w:r>
              <w:tab/>
            </w:r>
            <w:r>
              <w:t>броя на издадените „карти за участие в партньорство на ЕС в подкрепа на талантите“</w:t>
            </w:r>
            <w:r>
              <w:rPr>
                <w:b/>
                <w:i/>
              </w:rPr>
              <w:t>, броя на случаите на измама, броя на неправилно издадените разрешения, всички случаи на измама с квалификация във връзка с предполагаемо образование и обучение, както и случаите, в които лицата просто изчезват и придобиват незаконен статут.</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746</w:t>
      </w:r>
      <w:r>
        <w:rPr>
          <w:rStyle w:val="HideTWBExt"/>
        </w:rPr>
        <w:t>&lt;/NumAm&gt;</w:t>
      </w:r>
    </w:p>
    <w:p>
      <w:pPr>
        <w:pStyle w:val="NormalBold"/>
      </w:pPr>
      <w:r>
        <w:rPr>
          <w:rStyle w:val="HideTWBExt"/>
          <w:b w:val="0"/>
        </w:rPr>
        <w:t>&lt;RepeatBlock-By&gt;</w:t>
      </w:r>
      <w:r>
        <w:rPr>
          <w:rStyle w:val="HideTWBExt"/>
          <w:b w:val="0"/>
        </w:rPr>
        <w:t>&lt;Members&gt;</w:t>
      </w:r>
      <w:r>
        <w:t>Хавиер Морено Санчес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20 – параграф 1 – буква е</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е)</w:t>
            </w:r>
            <w:r>
              <w:tab/>
            </w:r>
            <w:r>
              <w:t xml:space="preserve">броя на случаите на наемане </w:t>
            </w:r>
            <w:r>
              <w:rPr>
                <w:b/>
                <w:i/>
              </w:rPr>
              <w:t>на работа</w:t>
            </w:r>
            <w:r>
              <w:t>, улеснени чрез резерва на ЕС от таланти в контекста на партньорствата в подкрепа на талантите</w:t>
            </w:r>
            <w:r>
              <w:rPr>
                <w:b/>
                <w:i/>
              </w:rPr>
              <w:t>.</w:t>
            </w:r>
          </w:p>
        </w:tc>
        <w:tc>
          <w:tcPr>
            <w:tcW w:w="4876" w:type="dxa"/>
            <w:tcBorders>
              <w:top w:val="nil"/>
              <w:left w:val="nil"/>
              <w:bottom w:val="nil"/>
              <w:right w:val="nil"/>
            </w:tcBorders>
          </w:tcPr>
          <w:p>
            <w:pPr>
              <w:pStyle w:val="Normal6a"/>
            </w:pPr>
            <w:r>
              <w:t>е)</w:t>
            </w:r>
            <w:r>
              <w:tab/>
            </w:r>
            <w:r>
              <w:t xml:space="preserve">броя на случаите на наемане, улеснени чрез резерва на ЕС от таланти в контекста на партньорствата в подкрепа на талантите </w:t>
            </w:r>
            <w:r>
              <w:rPr>
                <w:b/>
                <w:i/>
              </w:rPr>
              <w:t>или националните рамки за развиване и валидиране на умения в трета държава;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747</w:t>
      </w:r>
      <w:r>
        <w:rPr>
          <w:rStyle w:val="HideTWBExt"/>
        </w:rPr>
        <w:t>&lt;/NumAm&gt;</w:t>
      </w:r>
    </w:p>
    <w:p>
      <w:pPr>
        <w:pStyle w:val="NormalBold"/>
      </w:pPr>
      <w:r>
        <w:rPr>
          <w:rStyle w:val="HideTWBExt"/>
          <w:b w:val="0"/>
        </w:rPr>
        <w:t>&lt;RepeatBlock-By&gt;</w:t>
      </w:r>
      <w:r>
        <w:rPr>
          <w:rStyle w:val="HideTWBExt"/>
          <w:b w:val="0"/>
        </w:rPr>
        <w:t>&lt;Members&gt;</w:t>
      </w:r>
      <w:r>
        <w:t>Хавиер Морено Санчес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20 – параграф 1 – буква e a (нова)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еa)</w:t>
            </w:r>
            <w:r>
              <w:tab/>
            </w:r>
            <w:r>
              <w:rPr>
                <w:b/>
                <w:i/>
              </w:rPr>
              <w:t>броя на работодателите, чийто достъп до ИТ платформата на резерва на ЕС от таланти е спрян в резултат на нарушение на задълженията и условията, предвидени в член 13, параграф 3 и публичен списък на тези работодатели.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748</w:t>
      </w:r>
      <w:r>
        <w:rPr>
          <w:rStyle w:val="HideTWBExt"/>
        </w:rPr>
        <w:t>&lt;/NumAm&gt;</w:t>
      </w:r>
    </w:p>
    <w:p>
      <w:pPr>
        <w:pStyle w:val="NormalBold"/>
      </w:pPr>
      <w:r>
        <w:rPr>
          <w:rStyle w:val="HideTWBExt"/>
          <w:b w:val="0"/>
        </w:rPr>
        <w:t>&lt;RepeatBlock-By&gt;</w:t>
      </w:r>
      <w:r>
        <w:rPr>
          <w:rStyle w:val="HideTWBExt"/>
          <w:b w:val="0"/>
        </w:rPr>
        <w:t>&lt;Members&gt;</w:t>
      </w:r>
      <w:r>
        <w:t>Ян-Кристоф Йотен, Абир Ал-Сахлани, Луция Яр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20 – параграф 1 – буква e a (нова)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еa)</w:t>
            </w:r>
            <w:r>
              <w:tab/>
            </w:r>
            <w:r>
              <w:rPr>
                <w:b/>
                <w:i/>
              </w:rPr>
              <w:t>броя и вида на регистрираните търсещи работа лица и назначенията от развиващите се държави, за да се проследи въздействието на регламента върху развиващите се държави чрез ясни показатели, основани на ЦУР</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749</w:t>
      </w:r>
      <w:r>
        <w:rPr>
          <w:rStyle w:val="HideTWBExt"/>
        </w:rPr>
        <w:t>&lt;/NumAm&gt;</w:t>
      </w:r>
    </w:p>
    <w:p>
      <w:pPr>
        <w:pStyle w:val="NormalBold"/>
      </w:pPr>
      <w:r>
        <w:rPr>
          <w:rStyle w:val="HideTWBExt"/>
          <w:b w:val="0"/>
        </w:rPr>
        <w:t>&lt;RepeatBlock-By&gt;</w:t>
      </w:r>
      <w:r>
        <w:rPr>
          <w:rStyle w:val="HideTWBExt"/>
          <w:b w:val="0"/>
        </w:rPr>
        <w:t>&lt;Members&gt;</w:t>
      </w:r>
      <w:r>
        <w:t>Пернандо Барена Арса</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20 – параграф 1 – буква e a (нова)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еa)</w:t>
            </w:r>
            <w:r>
              <w:tab/>
            </w:r>
            <w:r>
              <w:rPr>
                <w:b/>
                <w:i/>
              </w:rPr>
              <w:t>броя на жалбите, подадени срещу регистрирани работодатели;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750</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20 – параграф 1 – буква e a (нова)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еa)</w:t>
            </w:r>
            <w:r>
              <w:tab/>
            </w:r>
            <w:r>
              <w:rPr>
                <w:b/>
                <w:i/>
              </w:rPr>
              <w:t>актуални данни за секторите с недостиг на работна ръка;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751</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20 – параграф 1 – буква e б (нова)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еб)</w:t>
            </w:r>
            <w:r>
              <w:tab/>
            </w:r>
            <w:r>
              <w:rPr>
                <w:b/>
                <w:i/>
              </w:rPr>
              <w:t>обратна информация от регистрирани работодатели, посредници и търсещи работа лица относно техния потребителски опит и процеса на набиране на персонал с ИТ платформата на резерва на ЕС от таланти.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752</w:t>
      </w:r>
      <w:r>
        <w:rPr>
          <w:rStyle w:val="HideTWBExt"/>
        </w:rPr>
        <w:t>&lt;/NumAm&gt;</w:t>
      </w:r>
    </w:p>
    <w:p>
      <w:pPr>
        <w:pStyle w:val="NormalBold"/>
      </w:pPr>
      <w:r>
        <w:rPr>
          <w:rStyle w:val="HideTWBExt"/>
          <w:b w:val="0"/>
        </w:rPr>
        <w:t>&lt;RepeatBlock-By&gt;</w:t>
      </w:r>
      <w:r>
        <w:rPr>
          <w:rStyle w:val="HideTWBExt"/>
          <w:b w:val="0"/>
        </w:rPr>
        <w:t>&lt;Members&gt;</w:t>
      </w:r>
      <w:r>
        <w:t>Пернандо Барена Арса</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20 – параграф 1 – буква e б (нова)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еб)</w:t>
            </w:r>
            <w:r>
              <w:tab/>
            </w:r>
            <w:r>
              <w:rPr>
                <w:b/>
                <w:i/>
              </w:rPr>
              <w:t>броя на регистрираните работодатели, премахнати от резерва на ЕС от таланти поради нарушения;</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753</w:t>
      </w:r>
      <w:r>
        <w:rPr>
          <w:rStyle w:val="HideTWBExt"/>
        </w:rPr>
        <w:t>&lt;/NumAm&gt;</w:t>
      </w:r>
    </w:p>
    <w:p>
      <w:pPr>
        <w:pStyle w:val="NormalBold"/>
      </w:pPr>
      <w:r>
        <w:rPr>
          <w:rStyle w:val="HideTWBExt"/>
          <w:b w:val="0"/>
        </w:rPr>
        <w:t>&lt;RepeatBlock-By&gt;</w:t>
      </w:r>
      <w:r>
        <w:rPr>
          <w:rStyle w:val="HideTWBExt"/>
          <w:b w:val="0"/>
        </w:rPr>
        <w:t>&lt;Members&gt;</w:t>
      </w:r>
      <w:r>
        <w:t>Пернандо Барена Арса</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20 – параграф 1 – буква e в (нова)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ев)</w:t>
            </w:r>
            <w:r>
              <w:tab/>
            </w:r>
            <w:r>
              <w:rPr>
                <w:b/>
                <w:i/>
              </w:rPr>
              <w:t>опита при наемане на работа на регистрирани търсещи работа лица и работници от трети държави.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754</w:t>
      </w:r>
      <w:r>
        <w:rPr>
          <w:rStyle w:val="HideTWBExt"/>
        </w:rPr>
        <w:t>&lt;/NumAm&gt;</w:t>
      </w:r>
    </w:p>
    <w:p>
      <w:pPr>
        <w:pStyle w:val="NormalBold"/>
      </w:pPr>
      <w:r>
        <w:rPr>
          <w:rStyle w:val="HideTWBExt"/>
          <w:b w:val="0"/>
        </w:rPr>
        <w:t>&lt;RepeatBlock-By&gt;</w:t>
      </w:r>
      <w:r>
        <w:rPr>
          <w:rStyle w:val="HideTWBExt"/>
          <w:b w:val="0"/>
        </w:rPr>
        <w:t>&lt;Members&gt;</w:t>
      </w:r>
      <w:r>
        <w:t>Ян-Кристоф Йотен, Абир Ал-Сахлани, Луция Яр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20 – параграф 2 а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Секретариатът на резерва на ЕС от таланти, в сътрудничество с националните звена за контакт към този резерв, провежда анонимни проучвания сред работодателите и търсещите работа лица относно тяхната оценка на пригодността на механизма за намиране на съответствия, броя на назначенията, улеснени чрез резерва на ЕС от таланти, цялостното удовлетворение от предоставената информация и помощ по време на процеса, както и достъпността на платформата.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755</w:t>
      </w:r>
      <w:r>
        <w:rPr>
          <w:rStyle w:val="HideTWBExt"/>
        </w:rPr>
        <w:t>&lt;/NumAm&gt;</w:t>
      </w:r>
    </w:p>
    <w:p>
      <w:pPr>
        <w:pStyle w:val="NormalBold"/>
      </w:pPr>
      <w:r>
        <w:rPr>
          <w:rStyle w:val="HideTWBExt"/>
          <w:b w:val="0"/>
        </w:rPr>
        <w:t>&lt;RepeatBlock-By&gt;</w:t>
      </w:r>
      <w:r>
        <w:rPr>
          <w:rStyle w:val="HideTWBExt"/>
          <w:b w:val="0"/>
        </w:rPr>
        <w:t>&lt;Members&gt;</w:t>
      </w:r>
      <w:r>
        <w:t>Ян-Кристоф Йотен, Абир Ал-Сахлани, Луция Яр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20 – параграф 3 а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3а.</w:t>
            </w:r>
            <w:r>
              <w:tab/>
            </w:r>
            <w:r>
              <w:rPr>
                <w:b/>
                <w:i/>
              </w:rPr>
              <w:t>Като взема предвид събраната информация, както е посочено в настоящата глава, ръководната група на резерва на ЕС от таланти, в сътрудничество с националните звена за контакт, на всеки две години представя на Европейския парламент, Съвета, Европейския икономически и социален комитет и Комитета на регионите доклад за дейността на резерва на ЕС от таланти.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756</w:t>
      </w:r>
      <w:r>
        <w:rPr>
          <w:rStyle w:val="HideTWBExt"/>
        </w:rPr>
        <w:t>&lt;/NumAm&gt;</w:t>
      </w:r>
    </w:p>
    <w:p>
      <w:pPr>
        <w:pStyle w:val="NormalBold"/>
      </w:pPr>
      <w:r>
        <w:rPr>
          <w:rStyle w:val="HideTWBExt"/>
          <w:b w:val="0"/>
        </w:rPr>
        <w:t>&lt;RepeatBlock-By&gt;</w:t>
      </w:r>
      <w:r>
        <w:rPr>
          <w:rStyle w:val="HideTWBExt"/>
          <w:b w:val="0"/>
        </w:rPr>
        <w:t>&lt;Members&gt;</w:t>
      </w:r>
      <w:r>
        <w:t>Хавиер Морено Санчес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20 – параграф 3 а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3а.</w:t>
            </w:r>
            <w:r>
              <w:tab/>
            </w:r>
            <w:r>
              <w:rPr>
                <w:b/>
                <w:i/>
              </w:rPr>
              <w:t>Секретариатът на резерва на ЕС от таланти стартира всеобхватна маркетингова кампания и информационни дейности в трети държави, за да утвърди резерва на ЕС от таланти като световна марка.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757</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20 – параграф 3 а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3а.</w:t>
            </w:r>
            <w:r>
              <w:tab/>
            </w:r>
            <w:r>
              <w:rPr>
                <w:b/>
                <w:i/>
              </w:rPr>
              <w:t>Статистическите обобщени данни, събрани в резерва на ЕС от таланти, са публично достъпни, без да се разкрива личната информация за профила или свободното работно място.</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758</w:t>
      </w:r>
      <w:r>
        <w:rPr>
          <w:rStyle w:val="HideTWBExt"/>
        </w:rPr>
        <w:t>&lt;/NumAm&gt;</w:t>
      </w:r>
    </w:p>
    <w:p>
      <w:pPr>
        <w:pStyle w:val="NormalBold"/>
      </w:pPr>
      <w:r>
        <w:rPr>
          <w:rStyle w:val="HideTWBExt"/>
          <w:b w:val="0"/>
        </w:rPr>
        <w:t>&lt;RepeatBlock-By&gt;</w:t>
      </w:r>
      <w:r>
        <w:rPr>
          <w:rStyle w:val="HideTWBExt"/>
          <w:b w:val="0"/>
        </w:rPr>
        <w:t>&lt;Members&gt;</w:t>
      </w:r>
      <w:r>
        <w:t>Анна Строленберг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20 – параграф 3 б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3б.</w:t>
            </w:r>
            <w:r>
              <w:tab/>
            </w:r>
            <w:r>
              <w:rPr>
                <w:b/>
                <w:i/>
              </w:rPr>
              <w:t>Секретариатът на резерва на ЕС от таланти поддържа базата данни на ИТ платформата на резерва на ЕС от таланти и непрекъснато подобрява функционалността на платформата.</w:t>
            </w:r>
            <w:r>
              <w:t xml:space="preserve"> </w:t>
            </w:r>
            <w:r>
              <w:rPr>
                <w:b/>
                <w:i/>
              </w:rPr>
              <w:t>Остарелите свободни работни места и профили на търсещи работа лица, които успешно са намерили работа или са поискали да бъдат свалени от ИТ платформата на резерва на ЕС от таланти, се премахват във възможно най-кратък срок.</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759</w:t>
      </w:r>
      <w:r>
        <w:rPr>
          <w:rStyle w:val="HideTWBExt"/>
        </w:rPr>
        <w:t>&lt;/NumAm&gt;</w:t>
      </w:r>
    </w:p>
    <w:p>
      <w:pPr>
        <w:pStyle w:val="NormalBold"/>
      </w:pPr>
      <w:r>
        <w:rPr>
          <w:rStyle w:val="HideTWBExt"/>
          <w:b w:val="0"/>
        </w:rPr>
        <w:t>&lt;RepeatBlock-By&gt;</w:t>
      </w:r>
      <w:r>
        <w:rPr>
          <w:rStyle w:val="HideTWBExt"/>
          <w:b w:val="0"/>
        </w:rPr>
        <w:t>&lt;Members&gt;</w:t>
      </w:r>
      <w:r>
        <w:t>Себастиан Тюнкюнен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Член 21</w:t>
            </w:r>
            <w:r>
              <w:tab/>
            </w:r>
          </w:p>
        </w:tc>
        <w:tc>
          <w:tcPr>
            <w:tcW w:w="4876" w:type="dxa"/>
            <w:tcBorders>
              <w:top w:val="nil"/>
              <w:left w:val="nil"/>
              <w:bottom w:val="nil"/>
              <w:right w:val="nil"/>
            </w:tcBorders>
          </w:tcPr>
          <w:p>
            <w:pPr>
              <w:pStyle w:val="Normal6a"/>
            </w:pPr>
            <w:r>
              <w:rPr>
                <w:b/>
                <w:i/>
              </w:rPr>
              <w:t>заличава се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Упражняване на делегирането</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r>
              <w:rPr>
                <w:b/>
                <w:i/>
              </w:rPr>
              <w:t xml:space="preserve"> </w:t>
            </w:r>
            <w:r>
              <w:rPr>
                <w:b/>
                <w:i/>
              </w:rPr>
              <w:t>Правомощието да приема делегирани актове се предоставя на Комисията при спазване на предвидените в настоящия член условия.</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Правомощието да приема делегирани актове, посочено в член 14, се предоставя на Комисията за срок от пет години, считано от влизането в сила на настоящия регламент.</w:t>
            </w:r>
            <w:r>
              <w:rPr>
                <w:b/>
                <w:i/>
              </w:rPr>
              <w:t xml:space="preserve"> </w:t>
            </w:r>
            <w:r>
              <w:rPr>
                <w:b/>
                <w:i/>
              </w:rPr>
              <w:t>Комисията изготвя доклад относно делегирането на правомощия не по-късно от девет месеца преди изтичането на петгодишния срок.</w:t>
            </w:r>
            <w:r>
              <w:rPr>
                <w:b/>
                <w:i/>
              </w:rPr>
              <w:t xml:space="preserve"> </w:t>
            </w:r>
            <w:r>
              <w:rPr>
                <w:b/>
                <w:i/>
              </w:rPr>
              <w:t>Делегирането на правомощия се продължава мълчаливо за срокове с еднаква продължителност, освен ако Европейският парламент или Съветът не възразят срещу подобно продължаване не по-късно от три месеца преди изтичането на всеки срок.</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rPr>
                <w:b/>
                <w:i/>
              </w:rPr>
              <w:t xml:space="preserve"> </w:t>
            </w:r>
            <w:r>
              <w:rPr>
                <w:b/>
                <w:i/>
              </w:rPr>
              <w:t>Делегирането на правомощия, посочено в член 14, може да бъде оттеглено по всяко време от Европейския парламент или от Съвета.</w:t>
            </w:r>
            <w:r>
              <w:rPr>
                <w:b/>
                <w:i/>
              </w:rPr>
              <w:t xml:space="preserve"> </w:t>
            </w:r>
            <w:r>
              <w:rPr>
                <w:b/>
                <w:i/>
              </w:rPr>
              <w:t>С решението за оттегляне се прекратява посоченото в него делегиране на правомощия.</w:t>
            </w:r>
            <w:r>
              <w:rPr>
                <w:b/>
                <w:i/>
              </w:rPr>
              <w:t xml:space="preserve"> </w:t>
            </w:r>
            <w:r>
              <w:rPr>
                <w:b/>
                <w:i/>
              </w:rPr>
              <w:t>Оттеглянето поражда действие в деня след публикуването на решението в Официален вестник на Европейския съюз или на по-късна дата, посочена в решението.</w:t>
            </w:r>
            <w:r>
              <w:rPr>
                <w:b/>
                <w:i/>
              </w:rPr>
              <w:t xml:space="preserve"> </w:t>
            </w:r>
            <w:r>
              <w:rPr>
                <w:b/>
                <w:i/>
              </w:rPr>
              <w:t>То не засяга действителността на делегираните актове, които вече са в сила.</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w:t>
            </w:r>
            <w:r>
              <w:rPr>
                <w:b/>
                <w:i/>
              </w:rPr>
              <w:t xml:space="preserve"> </w:t>
            </w:r>
            <w:r>
              <w:rPr>
                <w:b/>
                <w:i/>
              </w:rPr>
              <w:t>Преди приемането на делегиран акт Комисията се консултира с експерти, определени от всяка държава членка в съответствие с принципите, залегнали в Междуинституционалното споразумение от 13 април 2016 г.</w:t>
            </w:r>
            <w:r>
              <w:rPr>
                <w:b/>
                <w:i/>
              </w:rPr>
              <w:t xml:space="preserve"> </w:t>
            </w:r>
            <w:r>
              <w:rPr>
                <w:b/>
                <w:i/>
              </w:rPr>
              <w:t>за по-добро законотворчество.</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5.</w:t>
            </w:r>
            <w:r>
              <w:rPr>
                <w:b/>
                <w:i/>
              </w:rPr>
              <w:t xml:space="preserve"> </w:t>
            </w:r>
            <w:r>
              <w:rPr>
                <w:b/>
                <w:i/>
              </w:rPr>
              <w:t>Веднага след като приеме делегиран акт, Комисията нотифицира акта едновременно на Европейския парламент и на Съвета.</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6.</w:t>
            </w:r>
            <w:r>
              <w:rPr>
                <w:b/>
                <w:i/>
              </w:rPr>
              <w:t xml:space="preserve"> </w:t>
            </w:r>
            <w:r>
              <w:rPr>
                <w:b/>
                <w:i/>
              </w:rPr>
              <w:t>Делегиран акт, приет съгласно член 14 влиза в сила единствено ако нито Европейският парламент, нито Съветът не са представили възражения в срок от два месеца след нотифицирането на акта на Европейския парламент и Съвета или ако преди изтичането на този срок както Европейският парламент, така и Съветът са уведомили Комисията, че няма да представят възражения.</w:t>
            </w:r>
            <w:r>
              <w:rPr>
                <w:b/>
                <w:i/>
              </w:rPr>
              <w:t xml:space="preserve"> </w:t>
            </w:r>
            <w:r>
              <w:rPr>
                <w:b/>
                <w:i/>
              </w:rPr>
              <w:t>Посоченият срок се удължава с два месеца по инициатива на Европейския парламент или на Съвета.</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760</w:t>
      </w:r>
      <w:r>
        <w:rPr>
          <w:rStyle w:val="HideTWBExt"/>
        </w:rPr>
        <w:t>&lt;/NumAm&gt;</w:t>
      </w:r>
    </w:p>
    <w:p>
      <w:pPr>
        <w:pStyle w:val="NormalBold"/>
      </w:pPr>
      <w:r>
        <w:rPr>
          <w:rStyle w:val="HideTWBExt"/>
          <w:b w:val="0"/>
        </w:rPr>
        <w:t>&lt;RepeatBlock-By&gt;</w:t>
      </w:r>
      <w:r>
        <w:rPr>
          <w:rStyle w:val="HideTWBExt"/>
          <w:b w:val="0"/>
        </w:rPr>
        <w:t>&lt;Members&gt;</w:t>
      </w:r>
      <w:r>
        <w:t>Том Вандендрисе, Петра Щегер, Ярослав Бжох, Фабрис Леджери, Антонио Танжер Кореа,  Хорхе Бусаде Виялба, Марике Елерс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Член 21</w:t>
            </w:r>
            <w:r>
              <w:tab/>
            </w:r>
          </w:p>
        </w:tc>
        <w:tc>
          <w:tcPr>
            <w:tcW w:w="4876" w:type="dxa"/>
            <w:tcBorders>
              <w:top w:val="nil"/>
              <w:left w:val="nil"/>
              <w:bottom w:val="nil"/>
              <w:right w:val="nil"/>
            </w:tcBorders>
          </w:tcPr>
          <w:p>
            <w:pPr>
              <w:pStyle w:val="Normal6a"/>
            </w:pPr>
            <w:r>
              <w:rPr>
                <w:b/>
                <w:i/>
              </w:rPr>
              <w:t>заличава се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Упражняване на делегирането</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r>
              <w:rPr>
                <w:b/>
                <w:i/>
              </w:rPr>
              <w:t xml:space="preserve"> </w:t>
            </w:r>
            <w:r>
              <w:rPr>
                <w:b/>
                <w:i/>
              </w:rPr>
              <w:t>Правомощието да приема делегирани актове се предоставя на Комисията при спазване на предвидените в настоящия член условия.</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Правомощието да приема делегирани актове, посочено в член 14, се предоставя на Комисията за срок от пет години, считано от влизането в сила на настоящия регламент.</w:t>
            </w:r>
            <w:r>
              <w:rPr>
                <w:b/>
                <w:i/>
              </w:rPr>
              <w:t xml:space="preserve"> </w:t>
            </w:r>
            <w:r>
              <w:rPr>
                <w:b/>
                <w:i/>
              </w:rPr>
              <w:t>Комисията изготвя доклад относно делегирането на правомощия не по-късно от девет месеца преди изтичането на петгодишния срок.</w:t>
            </w:r>
            <w:r>
              <w:rPr>
                <w:b/>
                <w:i/>
              </w:rPr>
              <w:t xml:space="preserve"> </w:t>
            </w:r>
            <w:r>
              <w:rPr>
                <w:b/>
                <w:i/>
              </w:rPr>
              <w:t>Делегирането на правомощия се продължава мълчаливо за срокове с еднаква продължителност, освен ако Европейският парламент или Съветът не възразят срещу подобно продължаване не по-късно от три месеца преди изтичането на всеки срок.</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rPr>
                <w:b/>
                <w:i/>
              </w:rPr>
              <w:t xml:space="preserve"> </w:t>
            </w:r>
            <w:r>
              <w:rPr>
                <w:b/>
                <w:i/>
              </w:rPr>
              <w:t>Делегирането на правомощия, посочено в член 14, може да бъде оттеглено по всяко време от Европейския парламент или от Съвета.</w:t>
            </w:r>
            <w:r>
              <w:rPr>
                <w:b/>
                <w:i/>
              </w:rPr>
              <w:t xml:space="preserve"> </w:t>
            </w:r>
            <w:r>
              <w:rPr>
                <w:b/>
                <w:i/>
              </w:rPr>
              <w:t>С решението за оттегляне се прекратява посоченото в него делегиране на правомощия.</w:t>
            </w:r>
            <w:r>
              <w:rPr>
                <w:b/>
                <w:i/>
              </w:rPr>
              <w:t xml:space="preserve"> </w:t>
            </w:r>
            <w:r>
              <w:rPr>
                <w:b/>
                <w:i/>
              </w:rPr>
              <w:t>Оттеглянето поражда действие в деня след публикуването на решението в Официален вестник на Европейския съюз или на по-късна дата, посочена в решението.</w:t>
            </w:r>
            <w:r>
              <w:rPr>
                <w:b/>
                <w:i/>
              </w:rPr>
              <w:t xml:space="preserve"> </w:t>
            </w:r>
            <w:r>
              <w:rPr>
                <w:b/>
                <w:i/>
              </w:rPr>
              <w:t>То не засяга действителността на делегираните актове, които вече са в сила.</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w:t>
            </w:r>
            <w:r>
              <w:rPr>
                <w:b/>
                <w:i/>
              </w:rPr>
              <w:t xml:space="preserve"> </w:t>
            </w:r>
            <w:r>
              <w:rPr>
                <w:b/>
                <w:i/>
              </w:rPr>
              <w:t>Преди приемането на делегиран акт Комисията се консултира с експерти, определени от всяка държава членка в съответствие с принципите, залегнали в Междуинституционалното споразумение от 13 април 2016 г.</w:t>
            </w:r>
            <w:r>
              <w:rPr>
                <w:b/>
                <w:i/>
              </w:rPr>
              <w:t xml:space="preserve"> </w:t>
            </w:r>
            <w:r>
              <w:rPr>
                <w:b/>
                <w:i/>
              </w:rPr>
              <w:t>за по-добро законотворчество.</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5.</w:t>
            </w:r>
            <w:r>
              <w:rPr>
                <w:b/>
                <w:i/>
              </w:rPr>
              <w:t xml:space="preserve"> </w:t>
            </w:r>
            <w:r>
              <w:rPr>
                <w:b/>
                <w:i/>
              </w:rPr>
              <w:t>Веднага след като приеме делегиран акт, Комисията нотифицира акта едновременно на Европейския парламент и на Съвета.</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6.</w:t>
            </w:r>
            <w:r>
              <w:rPr>
                <w:b/>
                <w:i/>
              </w:rPr>
              <w:t xml:space="preserve"> </w:t>
            </w:r>
            <w:r>
              <w:rPr>
                <w:b/>
                <w:i/>
              </w:rPr>
              <w:t>Делегиран акт, приет съгласно член 14 влиза в сила единствено ако нито Европейският парламент, нито Съветът не са представили възражения в срок от два месеца след нотифицирането на акта на Европейския парламент и Съвета или ако преди изтичането на този срок както Европейският парламент, така и Съветът са уведомили Комисията, че няма да представят възражения.</w:t>
            </w:r>
            <w:r>
              <w:rPr>
                <w:b/>
                <w:i/>
              </w:rPr>
              <w:t xml:space="preserve"> </w:t>
            </w:r>
            <w:r>
              <w:rPr>
                <w:b/>
                <w:i/>
              </w:rPr>
              <w:t>Посоченият срок се удължава с два месеца по инициатива на Европейския парламент или на Съвета.</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761</w:t>
      </w:r>
      <w:r>
        <w:rPr>
          <w:rStyle w:val="HideTWBExt"/>
        </w:rPr>
        <w:t>&lt;/NumAm&gt;</w:t>
      </w:r>
    </w:p>
    <w:p>
      <w:pPr>
        <w:pStyle w:val="NormalBold"/>
      </w:pPr>
      <w:r>
        <w:rPr>
          <w:rStyle w:val="HideTWBExt"/>
          <w:b w:val="0"/>
        </w:rPr>
        <w:t>&lt;RepeatBlock-By&gt;</w:t>
      </w:r>
      <w:r>
        <w:rPr>
          <w:rStyle w:val="HideTWBExt"/>
          <w:b w:val="0"/>
        </w:rPr>
        <w:t>&lt;Members&gt;</w:t>
      </w:r>
      <w:r>
        <w:t>Чарли Веймерс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21 – параграф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Текст, предложен от Комисията</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r>
              <w:tab/>
            </w:r>
            <w:r>
              <w:rPr>
                <w:b/>
                <w:i/>
              </w:rPr>
              <w:t>Правомощието да приема делегирани актове се предоставя на Комисията при спазване на предвидените в настоящия член условия.</w:t>
            </w:r>
          </w:p>
        </w:tc>
        <w:tc>
          <w:tcPr>
            <w:tcW w:w="4876" w:type="dxa"/>
            <w:tcBorders>
              <w:top w:val="nil"/>
              <w:left w:val="nil"/>
              <w:bottom w:val="nil"/>
              <w:right w:val="nil"/>
            </w:tcBorders>
          </w:tcPr>
          <w:p>
            <w:pPr>
              <w:pStyle w:val="Normal6a"/>
            </w:pPr>
            <w:r>
              <w:rPr>
                <w:b/>
                <w:i/>
              </w:rPr>
              <w:t>заличава се</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768.051</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204</w:t>
    </w:r>
    <w:r>
      <w:fldChar w:fldCharType="end"/>
    </w:r>
    <w:r>
      <w:t>/</w:t>
    </w:r>
    <w:r>
      <w:fldChar w:fldCharType="begin"/>
    </w:r>
    <w:r>
      <w:instrText xml:space="preserve"> NUMPAGES </w:instrText>
    </w:r>
    <w:r>
      <w:fldChar w:fldCharType="separate"/>
    </w:r>
    <w:r>
      <w:t>204</w:t>
    </w:r>
    <w:r>
      <w:fldChar w:fldCharType="end"/>
    </w:r>
    <w:r>
      <w:tab/>
    </w:r>
    <w:r>
      <w:rPr>
        <w:rStyle w:val="HideTWBExt"/>
      </w:rPr>
      <w:t>&lt;PathFdR&gt;</w:t>
    </w:r>
    <w:r>
      <w:t>AM\1314143BG.docx</w:t>
    </w:r>
    <w:r>
      <w:rPr>
        <w:rStyle w:val="HideTWBExt"/>
      </w:rPr>
      <w:t>&lt;/PathFdR&gt;</w:t>
    </w:r>
  </w:p>
  <w:p>
    <w:pPr>
      <w:pStyle w:val="EPFooter2"/>
    </w:pPr>
    <w:r>
      <w:t>BG</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AM\1314143BG.docx</w:t>
    </w:r>
    <w:r>
      <w:rPr>
        <w:rStyle w:val="HideTWBExt"/>
      </w:rPr>
      <w:t>&lt;/PathFdR&gt;</w:t>
    </w:r>
    <w:r>
      <w:tab/>
    </w:r>
    <w:r>
      <w:fldChar w:fldCharType="begin"/>
    </w:r>
    <w:r>
      <w:instrText xml:space="preserve"> PAGE </w:instrText>
    </w:r>
    <w:r>
      <w:fldChar w:fldCharType="separate"/>
    </w:r>
    <w:r>
      <w:t>203</w:t>
    </w:r>
    <w:r>
      <w:fldChar w:fldCharType="end"/>
    </w:r>
    <w:r>
      <w:t>/</w:t>
    </w:r>
    <w:r>
      <w:fldChar w:fldCharType="begin"/>
    </w:r>
    <w:r>
      <w:instrText xml:space="preserve"> NUMPAGES </w:instrText>
    </w:r>
    <w:r>
      <w:fldChar w:fldCharType="separate"/>
    </w:r>
    <w:r>
      <w:t>204</w:t>
    </w:r>
    <w:r>
      <w:fldChar w:fldCharType="end"/>
    </w:r>
    <w:r>
      <w:tab/>
    </w:r>
    <w:r>
      <w:t>PE</w:t>
    </w:r>
    <w:r>
      <w:rPr>
        <w:rStyle w:val="HideTWBExt"/>
      </w:rPr>
      <w:t>&lt;NoPE&gt;</w:t>
    </w:r>
    <w:r>
      <w:t>768.051</w:t>
    </w:r>
    <w:r>
      <w:rPr>
        <w:rStyle w:val="HideTWBExt"/>
      </w:rPr>
      <w:t>&lt;/NoPE&gt;</w:t>
    </w:r>
    <w:r>
      <w:rPr>
        <w:rStyle w:val="HideTWBExt"/>
      </w:rPr>
      <w:t>&lt;Version&gt;</w:t>
    </w:r>
    <w:r>
      <w:t>v01-00</w:t>
    </w:r>
    <w:r>
      <w:rPr>
        <w:rStyle w:val="HideTWBExt"/>
      </w:rPr>
      <w:t>&lt;/Version&gt;</w:t>
    </w:r>
  </w:p>
  <w:p>
    <w:pPr>
      <w:pStyle w:val="EPFooter2"/>
    </w:pPr>
    <w:r>
      <w:tab/>
    </w:r>
    <w:r>
      <w:tab/>
    </w:r>
    <w:r>
      <w:t>BG</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AM\1314143BG.docx</w:t>
    </w:r>
    <w:r>
      <w:rPr>
        <w:rStyle w:val="HideTWBExt"/>
      </w:rPr>
      <w:t>&lt;/PathFdR&gt;</w:t>
    </w:r>
    <w:r>
      <w:tab/>
    </w:r>
    <w:r>
      <w:tab/>
    </w:r>
    <w:r>
      <w:t>PE</w:t>
    </w:r>
    <w:r>
      <w:rPr>
        <w:rStyle w:val="HideTWBExt"/>
      </w:rPr>
      <w:t>&lt;NoPE&gt;</w:t>
    </w:r>
    <w:r>
      <w:t>768.051</w:t>
    </w:r>
    <w:r>
      <w:rPr>
        <w:rStyle w:val="HideTWBExt"/>
      </w:rPr>
      <w:t>&lt;/NoPE&gt;</w:t>
    </w:r>
    <w:r>
      <w:rPr>
        <w:rStyle w:val="HideTWBExt"/>
      </w:rPr>
      <w:t>&lt;Version&gt;</w:t>
    </w:r>
    <w:r>
      <w:t>v01-00</w:t>
    </w:r>
    <w:r>
      <w:rPr>
        <w:rStyle w:val="HideTWBExt"/>
      </w:rPr>
      <w:t>&lt;/Version&gt;</w:t>
    </w:r>
  </w:p>
  <w:p>
    <w:pPr>
      <w:pStyle w:val="EPFooter2"/>
    </w:pPr>
    <w:r>
      <w:t>BG</w:t>
    </w:r>
    <w:r>
      <w:tab/>
    </w:r>
    <w:r>
      <w:rPr>
        <w:rStyle w:val="EPFooter2Motto"/>
      </w:rPr>
      <w:t>Единство в многообразието</w:t>
    </w:r>
    <w:r>
      <w:tab/>
    </w:r>
    <w:r>
      <w:t>BG</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5080417 HideTWBExt;}}{\*\rsidtbl \rsid24658\rsid358857\rsid735077\rsid787282\rsid2892074\rsid3622648\rsid4666813\rsid5708216\rsid6641733\rsid7553164\rsid8465581\rsid8681905\rsid8724649&#13;_x000a_\rsid9590763\rsid9636012\rsid9862312\rsid11215221\rsid11370291\rsid11434737\rsid11607138\rsid11824949\rsid12154954\rsid14424199\rsid15080417\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3}{\nofchars36}{\*\company European Parliament}{\nofcharsws37}{\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5080417\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9590763 &#13;_x000a_\chftnsep &#13;_x000a_\par }}{\*\ftnsepc \ltrpar \pard\plain \ltrpar\ql \li0\ri0\widctlpar\wrapdefault\aspalpha\aspnum\faauto\adjustright\rin0\lin0\itap0 \rtlch\fcs1 \af0\afs20\alang1025 \ltrch\fcs0 \fs24\lang2057\langfe2057\cgrid\langnp2057\langfenp2057 {\rtlch\fcs1 \af0 &#13;_x000a_\ltrch\fcs0 \insrsid9590763 \chftnsepc &#13;_x000a_\par }}{\*\aftnsep \ltrpar \pard\plain \ltrpar\ql \li0\ri0\widctlpar\wrapdefault\aspalpha\aspnum\faauto\adjustright\rin0\lin0\itap0 \rtlch\fcs1 \af0\afs20\alang1025 \ltrch\fcs0 \fs24\lang2057\langfe2057\cgrid\langnp2057\langfenp2057 {\rtlch\fcs1 \af0 &#13;_x000a_\ltrch\fcs0 \insrsid9590763 \chftnsep &#13;_x000a_\par }}{\*\aftnsepc \ltrpar \pard\plain \ltrpar\ql \li0\ri0\widctlpar\wrapdefault\aspalpha\aspnum\faauto\adjustright\rin0\lin0\itap0 \rtlch\fcs1 \af0\afs20\alang1025 \ltrch\fcs0 \fs24\lang2057\langfe2057\cgrid\langnp2057\langfenp2057 {\rtlch\fcs1 \af0 &#13;_x000a_\ltrch\fcs0 \insrsid959076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5080417 \rtlch\fcs1 \af0\afs20\alang1025 \ltrch\fcs0 \fs24\lang2057\langfe2057\cgrid\langnp2057\langfenp2057 {\rtlch\fcs1 \af0 \ltrch\fcs0 &#13;_x000a_\cs15\v\f1\fs20\cf9\insrsid15080417\charrsid946740 {\*\bkmkstart EndA}&lt;&lt;&lt;}{\rtlch\fcs1 \af0 \ltrch\fcs0 \insrsid15080417\charrsid946740 #@&gt;ZOTHAMA&lt;@#}{\rtlch\fcs1 \af0 \ltrch\fcs0 \cs15\v\f1\fs20\cf9\insrsid15080417\charrsid946740 &lt;/RepeatBlock-AmendA&gt;}{&#13;_x000a_\rtlch\fcs1 \af0 \ltrch\fcs0 \insrsid15080417\charrsid946740 &#13;_x000a_\par }\pard \ltrpar\ql \li0\ri0\widctlpar\wrapdefault\aspalpha\aspnum\faauto\adjustright\rin0\lin0\itap0\pararsid16324206 {\rtlch\fcs1 \af0 \ltrch\fcs0 \insrsid24658\charrsid16324206 {\*\bkmkend End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2086&#13;_x000a_6318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4184271 HideTWBExt;}}{\*\rsidtbl \rsid24658\rsid358857\rsid735077\rsid787282\rsid2236920\rsid2892074\rsid3622648\rsid4666813\rsid5708216\rsid6641733\rsid7553164\rsid8465581\rsid8681905&#13;_x000a_\rsid8724649\rsid9636012\rsid9862312\rsid11215221\rsid11370291\rsid11434737\rsid11607138\rsid11824949\rsid12154954\rsid14184271\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3}{\nofchars35}{\*\company European Parliament}{\nofcharsws36}{\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4184271\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2236920 &#13;_x000a_\chftnsep &#13;_x000a_\par }}{\*\ftnsepc \ltrpar \pard\plain \ltrpar\ql \li0\ri0\widctlpar\wrapdefault\aspalpha\aspnum\faauto\adjustright\rin0\lin0\itap0 \rtlch\fcs1 \af0\afs20\alang1025 \ltrch\fcs0 \fs24\lang2057\langfe2057\cgrid\langnp2057\langfenp2057 {\rtlch\fcs1 \af0 &#13;_x000a_\ltrch\fcs0 \insrsid2236920 \chftnsepc &#13;_x000a_\par }}{\*\aftnsep \ltrpar \pard\plain \ltrpar\ql \li0\ri0\widctlpar\wrapdefault\aspalpha\aspnum\faauto\adjustright\rin0\lin0\itap0 \rtlch\fcs1 \af0\afs20\alang1025 \ltrch\fcs0 \fs24\lang2057\langfe2057\cgrid\langnp2057\langfenp2057 {\rtlch\fcs1 \af0 &#13;_x000a_\ltrch\fcs0 \insrsid2236920 \chftnsep &#13;_x000a_\par }}{\*\aftnsepc \ltrpar \pard\plain \ltrpar\ql \li0\ri0\widctlpar\wrapdefault\aspalpha\aspnum\faauto\adjustright\rin0\lin0\itap0 \rtlch\fcs1 \af0\afs20\alang1025 \ltrch\fcs0 \fs24\lang2057\langfe2057\cgrid\langnp2057\langfenp2057 {\rtlch\fcs1 \af0 &#13;_x000a_\ltrch\fcs0 \insrsid223692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14184271\charrsid946740 {\*\bkmkstart EndB}&lt;&lt;&lt;}{\rtlch\fcs1 \af0 \ltrch\fcs0 \insrsid14184271\charrsid946740 #@&gt;ZOTHAMB&lt;@#}{\rtlch\fcs1 \af0 \ltrch\fcs0 \cs15\v\f1\fs20\cf9\insrsid14184271\charrsid946740 &lt;/RepeatBlock-AmendB&gt;}{&#13;_x000a_\rtlch\fcs1 \af0 \ltrch\fcs0 \insrsid24658\charrsid16324206 {\*\bkmkend End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904f&#13;_x000a_ed18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8941110 HideTWBExt;}}{\*\rsidtbl \rsid24658\rsid358857\rsid735077\rsid787282\rsid2431835\rsid2892074\rsid3622648\rsid4666813\rsid5708216\rsid6641733\rsid7553164\rsid8465581\rsid8681905&#13;_x000a_\rsid8724649\rsid8941110\rsid9636012\rsid9862312\rsid11215221\rsid11370291\rsid11434737\rsid11607138\rsid11824949\rsid12154954\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1}{\nofchars20}{\*\company European Parliament}{\nofcharsws20}{\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8941110\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2431835 &#13;_x000a_\chftnsep &#13;_x000a_\par }}{\*\ftnsepc \ltrpar \pard\plain \ltrpar\ql \li0\ri0\widctlpar\wrapdefault\aspalpha\aspnum\faauto\adjustright\rin0\lin0\itap0 \rtlch\fcs1 \af0\afs20\alang1025 \ltrch\fcs0 \fs24\lang2057\langfe2057\cgrid\langnp2057\langfenp2057 {\rtlch\fcs1 \af0 &#13;_x000a_\ltrch\fcs0 \insrsid2431835 \chftnsepc &#13;_x000a_\par }}{\*\aftnsep \ltrpar \pard\plain \ltrpar\ql \li0\ri0\widctlpar\wrapdefault\aspalpha\aspnum\faauto\adjustright\rin0\lin0\itap0 \rtlch\fcs1 \af0\afs20\alang1025 \ltrch\fcs0 \fs24\lang2057\langfe2057\cgrid\langnp2057\langfenp2057 {\rtlch\fcs1 \af0 &#13;_x000a_\ltrch\fcs0 \insrsid2431835 \chftnsep &#13;_x000a_\par }}{\*\aftnsepc \ltrpar \pard\plain \ltrpar\ql \li0\ri0\widctlpar\wrapdefault\aspalpha\aspnum\faauto\adjustright\rin0\lin0\itap0 \rtlch\fcs1 \af0\afs20\alang1025 \ltrch\fcs0 \fs24\lang2057\langfe2057\cgrid\langnp2057\langfenp2057 {\rtlch\fcs1 \af0 &#13;_x000a_\ltrch\fcs0 \insrsid2431835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8941110\charrsid946740 {\*\bkmkstart IntroA}&lt;RepeatBlock-AmendA&gt;}{\rtlch\fcs1 \af0 \ltrch\fcs0 \insrsid24658\charrsid16324206 {\*\bkmkend Intro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d0da&#13;_x000a_6417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721985 HideTWBExt;}}{\*\rsidtbl \rsid24658\rsid358857\rsid721985\rsid735077\rsid787282\rsid2892074\rsid3622648\rsid4666813\rsid5708216\rsid6641733\rsid7553164\rsid8465581\rsid8681905&#13;_x000a_\rsid8724649\rsid9636012\rsid9862312\rsid11215221\rsid11370291\rsid11434340\rsid11434737\rsid11607138\rsid11824949\rsid12154954\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1}{\nofchars20}{\*\company European Parliament}{\nofcharsws20}{\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721985\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1434340 &#13;_x000a_\chftnsep &#13;_x000a_\par }}{\*\ftnsepc \ltrpar \pard\plain \ltrpar\ql \li0\ri0\widctlpar\wrapdefault\aspalpha\aspnum\faauto\adjustright\rin0\lin0\itap0 \rtlch\fcs1 \af0\afs20\alang1025 \ltrch\fcs0 \fs24\lang2057\langfe2057\cgrid\langnp2057\langfenp2057 {\rtlch\fcs1 \af0 &#13;_x000a_\ltrch\fcs0 \insrsid11434340 \chftnsepc &#13;_x000a_\par }}{\*\aftnsep \ltrpar \pard\plain \ltrpar\ql \li0\ri0\widctlpar\wrapdefault\aspalpha\aspnum\faauto\adjustright\rin0\lin0\itap0 \rtlch\fcs1 \af0\afs20\alang1025 \ltrch\fcs0 \fs24\lang2057\langfe2057\cgrid\langnp2057\langfenp2057 {\rtlch\fcs1 \af0 &#13;_x000a_\ltrch\fcs0 \insrsid11434340 \chftnsep &#13;_x000a_\par }}{\*\aftnsepc \ltrpar \pard\plain \ltrpar\ql \li0\ri0\widctlpar\wrapdefault\aspalpha\aspnum\faauto\adjustright\rin0\lin0\itap0 \rtlch\fcs1 \af0\afs20\alang1025 \ltrch\fcs0 \fs24\lang2057\langfe2057\cgrid\langnp2057\langfenp2057 {\rtlch\fcs1 \af0 &#13;_x000a_\ltrch\fcs0 \insrsid1143434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721985\charrsid946740 {\*\bkmkstart IntroB}&lt;RepeatBlock-AmendB&gt;}{\rtlch\fcs1 \af0 \ltrch\fcs0 \insrsid24658\charrsid16324206 {\*\bkmkend Intro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f0ab&#13;_x000a_e117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5184084 HideTWBExt;}{\s16\ql \li0\ri0\sa120\nowidctlpar\wrapdefault\aspalpha\aspnum\faauto\adjustright\rin0\lin0\itap0 \rtlch\fcs1 \af0\afs20\alang1025 \ltrch\fcs0 &#13;_x000a_\fs24\lang2057\langfe2057\cgrid\langnp2057\langfenp2057 \sbasedon0 \snext16 \spriority0 \styrsid5184084 Normal6a;}{\s17\ql \li0\ri0\nowidctlpar\wrapdefault\aspalpha\aspnum\faauto\adjustright\rin0\lin0\itap0 \rtlch\fcs1 \af0\afs20\alang1025 \ltrch\fcs0 &#13;_x000a_\b\fs24\lang2057\langfe2057\cgrid\langnp2057\langfenp2057 \sbasedon0 \snext17 \spriority0 \styrsid5184084 NormalBold;}{\s18\qr \li0\ri0\sb240\sa240\nowidctlpar\wrapdefault\aspalpha\aspnum\faauto\adjustright\rin0\lin0\itap0 \rtlch\fcs1 &#13;_x000a_\af0\afs20\alang1025 \ltrch\fcs0 \fs24\lang2057\langfe2057\cgrid\langnp2057\langfenp2057 \sbasedon0 \snext18 \spriority0 \styrsid5184084 AmOrLang;}{\s19\qc \li0\ri0\sa240\nowidctlpar\wrapdefault\aspalpha\aspnum\faauto\adjustright\rin0\lin0\itap0 &#13;_x000a_\rtlch\fcs1 \af0\afs20\alang1025 \ltrch\fcs0 \i\fs24\lang2057\langfe2057\cgrid\langnp2057\langfenp2057 \sbasedon0 \snext19 \spriority0 \styrsid5184084 AmColumnHeading;}{\s20\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0 \spriority0 \styrsid5184084 AmNumberTabs;}}{\*\rsidtbl \rsid24658\rsid358857\rsid735077\rsid787282\rsid2892074\rsid3622648\rsid4666813\rsid5184084\rsid5708216&#13;_x000a_\rsid6641733\rsid7553164\rsid8465581\rsid8681905\rsid8724649\rsid9636012\rsid9862312\rsid10499370\rsid11215221\rsid11370291\rsid11434737\rsid11607138\rsid11824949\rsid12154954\rsid14424199\rsid15204470\rsid15285974\rsid15535219\rsid15950462\rsid16324206&#13;_x000a_\rsid16662270}{\mmathPr\mmathFont34\mbrkBin0\mbrkBinSub0\msmallFrac0\mdispDef1\mlMargin0\mrMargin0\mdefJc1\mwrapIndent1440\mintLim0\mnaryLim1}{\info{\author FELIX Karina}{\operator FELIX Karina}{\creatim\yr2019\mo7\dy3\hr16\min3}&#13;_x000a_{\revtim\yr2019\mo7\dy3\hr16\min3}{\version1}{\edmins0}{\nofpages1}{\nofwords26}{\nofchars301}{\*\company European Parliament}{\nofcharsws304}{\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5184084\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0499370 &#13;_x000a_\chftnsep &#13;_x000a_\par }}{\*\ftnsepc \ltrpar \pard\plain \ltrpar\ql \li0\ri0\widctlpar\wrapdefault\aspalpha\aspnum\faauto\adjustright\rin0\lin0\itap0 \rtlch\fcs1 \af0\afs20\alang1025 \ltrch\fcs0 \fs24\lang2057\langfe2057\cgrid\langnp2057\langfenp2057 {\rtlch\fcs1 \af0 &#13;_x000a_\ltrch\fcs0 \insrsid10499370 \chftnsepc &#13;_x000a_\par }}{\*\aftnsep \ltrpar \pard\plain \ltrpar\ql \li0\ri0\widctlpar\wrapdefault\aspalpha\aspnum\faauto\adjustright\rin0\lin0\itap0 \rtlch\fcs1 \af0\afs20\alang1025 \ltrch\fcs0 \fs24\lang2057\langfe2057\cgrid\langnp2057\langfenp2057 {\rtlch\fcs1 \af0 &#13;_x000a_\ltrch\fcs0 \insrsid10499370 \chftnsep &#13;_x000a_\par }}{\*\aftnsepc \ltrpar \pard\plain \ltrpar\ql \li0\ri0\widctlpar\wrapdefault\aspalpha\aspnum\faauto\adjustright\rin0\lin0\itap0 \rtlch\fcs1 \af0\afs20\alang1025 \ltrch\fcs0 \fs24\lang2057\langfe2057\cgrid\langnp2057\langfenp2057 {\rtlch\fcs1 \af0 &#13;_x000a_\ltrch\fcs0 \insrsid1049937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0\ql \li0\ri0\sb240\keepn\nowidctlpar\tx879\tx936\tx1021\tx1077\tx1134\tx1191\tx1247\tx1304\tx1361\tx1418\tx1474\tx1531\tx1588\tx1644\tx1701\tx1758\tx1814\tx1871\tx2070\tx2126\tx3374\tx3430\wrapdefault\aspalpha\aspnum\faauto\adjustright\rin0&#13;_x000a_\lin0\itap0\pararsid5184084 \rtlch\fcs1 \af0\afs20\alang1025 \ltrch\fcs0 \b\fs24\lang2057\langfe2057\cgrid\langnp2057\langfenp2057 {\rtlch\fcs1 \af0 \ltrch\fcs0 \cs15\b0\v\f1\fs20\cf9\insrsid5184084\charrsid946740 {\*\bkmkstart restartA}&lt;AmendA&gt;}{&#13;_x000a_\rtlch\fcs1 \af0 \ltrch\fcs0 \insrsid5184084\charrsid946740 [ZAMENDMENT]\tab \tab }{\rtlch\fcs1 \af0 \ltrch\fcs0 \cs15\b0\v\f1\fs20\cf9\insrsid5184084\charrsid946740 &lt;NumAmA&gt;}{\rtlch\fcs1 \af0 \ltrch\fcs0 \insrsid5184084\charrsid946740 [ZNRAM]}{&#13;_x000a_\rtlch\fcs1 \af0 \ltrch\fcs0 \cs15\b0\v\f1\fs20\cf9\insrsid5184084\charrsid946740 &lt;/NumAmA&gt;}{\rtlch\fcs1 \af0 \ltrch\fcs0 \insrsid5184084\charrsid946740 &#13;_x000a_\par }\pard\plain \ltrpar\s17\ql \li0\ri0\nowidctlpar\wrapdefault\aspalpha\aspnum\faauto\adjustright\rin0\lin0\itap0\pararsid5184084 \rtlch\fcs1 \af0\afs20\alang1025 \ltrch\fcs0 \b\fs24\lang2057\langfe2057\cgrid\langnp2057\langfenp2057 {\rtlch\fcs1 \af0 &#13;_x000a_\ltrch\fcs0 \cs15\b0\v\f1\fs20\cf9\lang1024\langfe1024\noproof\insrsid5184084\charrsid14699840 &lt;RepeatBlock-By&gt;}{\rtlch\fcs1 \af0 \ltrch\fcs0 \lang1024\langfe1024\noproof\insrsid5184084\charrsid14699840 [RepeatMembers]}{\rtlch\fcs1 \af0 \ltrch\fcs0 &#13;_x000a_\cs15\b0\v\f1\fs20\cf9\lang1024\langfe1024\noproof\insrsid5184084\charrsid14699840 &lt;Members&gt;}{\rtlch\fcs1 \af0 \ltrch\fcs0 \insrsid5184084\charrsid14699840 [ZMEMBERS]}{\rtlch\fcs1 \af0 \ltrch\fcs0 &#13;_x000a_\cs15\b0\v\f1\fs20\cf9\lang1024\langfe1024\noproof\insrsid5184084\charrsid14699840 &lt;/Members&gt;}{\rtlch\fcs1 \af0 \ltrch\fcs0 \insrsid5184084\charrsid14699840 &#13;_x000a_\par }\pard\plain \ltrpar\ql \li0\ri0\widctlpar\wrapdefault\aspalpha\aspnum\faauto\adjustright\rin0\lin0\itap0\pararsid5184084 \rtlch\fcs1 \af0\afs20\alang1025 \ltrch\fcs0 \fs24\lang2057\langfe2057\cgrid\langnp2057\langfenp2057 {\rtlch\fcs1 \af0 \ltrch\fcs0 &#13;_x000a_\cs15\v\f1\fs20\cf9\lang1024\langfe1024\noproof\langnp1043\insrsid5184084\charrsid2237221 &lt;AuNomDe&gt;&lt;OptDel&gt;}{\rtlch\fcs1 \af0 \ltrch\fcs0 \lang1024\langfe1024\noproof\langnp1043\insrsid5184084\charrsid2237221 [ZONBEHALF]}{\rtlch\fcs1 \af0 \ltrch\fcs0 &#13;_x000a_\cs15\v\f1\fs20\cf9\lang1024\langfe1024\noproof\langnp1043\insrsid5184084\charrsid2237221 &lt;/OptDel&gt;&lt;/AuNomDe&gt;}{\rtlch\fcs1 \af0 \ltrch\fcs0 \lang1043\langfe2057\langnp1043\insrsid5184084\charrsid2237221 &#13;_x000a_\par }{\rtlch\fcs1 \af0 \ltrch\fcs0 \insrsid5184084\charrsid14699840 &lt;&lt;&lt;}{\rtlch\fcs1 \af0 \ltrch\fcs0 \cs15\v\f1\fs20\cf9\lang1024\langfe1024\noproof\insrsid5184084\charrsid14699840 &lt;/RepeatBlock-By&gt;}{\rtlch\fcs1 \af0 \ltrch\fcs0 &#13;_x000a_\insrsid5184084\charrsid14699840 &#13;_x000a_\par }\pard\plain \ltrpar\s17\ql \li0\ri0\nowidctlpar\wrapdefault\aspalpha\aspnum\faauto\adjustright\rin0\lin0\itap0\pararsid5184084 \rtlch\fcs1 \af0\afs20\alang1025 \ltrch\fcs0 \b\fs24\lang2057\langfe2057\cgrid\langnp2057\langfenp2057 {\rtlch\fcs1 \af0 &#13;_x000a_\ltrch\fcs0 \cs15\b0\v\f1\fs20\cf9\insrsid5184084\charrsid946740 &lt;DocAmend&gt;}{\rtlch\fcs1 \af0 \ltrch\fcs0 \insrsid5184084\charrsid946740 [ZRESOLUTION]}{\rtlch\fcs1 \af0 \ltrch\fcs0 \cs15\b0\v\f1\fs20\cf9\insrsid5184084\charrsid946740 &lt;/DocAmend&gt;}{&#13;_x000a_\rtlch\fcs1 \af0 \ltrch\fcs0 \insrsid5184084\charrsid946740 &#13;_x000a_\par }{\rtlch\fcs1 \af0 \ltrch\fcs0 \cs15\b0\v\f1\fs20\cf9\lang1024\langfe1024\noproof\insrsid5184084\charrsid16013815 &lt;Article&gt;}{\rtlch\fcs1 \af0 \ltrch\fcs0 \insrsid5184084\charrsid16013815 [ZRESPART]}{\rtlch\fcs1 \af0 \ltrch\fcs0 &#13;_x000a_\cs15\b0\v\f1\fs20\cf9\lang1024\langfe1024\noproof\insrsid5184084\charrsid16013815 &lt;/Article&gt;}{\rtlch\fcs1 \af0 \ltrch\fcs0 \insrsid5184084\charrsid16013815 &#13;_x000a_\par \ltrrow}\trowd \irow0\irowband0\ltrrow\ts11\trqc\trgaph340\trleft-340\trftsWidth1\trftsWidthB3\trpaddl340\trpaddr340\trpaddfl3\trpaddft3\trpaddfb3\trpaddfr3\tblind0\tblindtype3 \clvertalt\clbrdrt\brdrtbl \clbrdrl\brdrtbl \clbrdrb\brdrtbl \clbrdrr\brdrtbl &#13;_x000a_\cltxlrtb\clftsWidth3\clwWidth9752\clshdrawnil \cellx9412\pard\plain \ltrpar\ql \li0\ri0\keepn\widctlpar\intbl\wrapdefault\aspalpha\aspnum\faauto\adjustright\rin0\lin0\pararsid10630121 \rtlch\fcs1 \af0\afs20\alang1025 \ltrch\fcs0 &#13;_x000a_\fs24\lang2057\langfe2057\cgrid\langnp2057\langfenp2057 {\rtlch\fcs1 \af0 \ltrch\fcs0 \insrsid5184084\charrsid946740 \cell }\pard\plain \ltrpar\ql \li0\ri0\widctlpar\intbl\wrapdefault\aspalpha\aspnum\faauto\adjustright\rin0\lin0 \rtlch\fcs1 &#13;_x000a_\af0\afs20\alang1025 \ltrch\fcs0 \fs24\lang2057\langfe2057\cgrid\langnp2057\langfenp2057 {\rtlch\fcs1 \af0 \ltrch\fcs0 \insrsid5184084\charrsid946740 \trowd \irow0\irowband0\ltrrow&#13;_x000a_\ts11\trqc\trgaph340\trleft-340\trftsWidth1\trftsWidthB3\trpaddl340\trpaddr340\trpaddfl3\trpaddft3\trpaddfb3\trpaddfr3\tblind0\tblindtype3 \clvertalt\clbrdrt\brdrtbl \clbrdrl\brdrtbl \clbrdrb\brdrtbl \clbrdrr\brdrtbl &#13;_x000a_\cltxlrtb\clftsWidth3\clwWidth9752\clshdrawnil \cellx9412\row \ltrrow}\trowd \irow1\irowband1\ltrrow\ts11\trqc\trgaph340\trleft-340\trftsWidth1\trftsWidthB3\trpaddl340\trpaddr340\trpaddfl3\trpaddft3\trpaddfb3\trpaddfr3\tblind0\tblindtype3 \clvertalt&#13;_x000a_\clbrdrt\brdrtbl \clbrdrl\brdrtbl \clbrdrb\brdrtbl \clbrdrr\brdrtbl \cltxlrtb\clftsWidth3\clwWidth4876\clshdrawnil \cellx4536\clvertalt\clbrdrt\brdrtbl \clbrdrl\brdrtbl \clbrdrb\brdrtbl \clbrdrr\brdrtbl \cltxlrtb\clftsWidth3\clwWidth4876\clshdrawnil &#13;_x000a_\cellx9412\pard\plain \ltrpar\s19\qc \li0\ri0\sa240\keepn\nowidctlpar\intbl\wrapdefault\aspalpha\aspnum\faauto\adjustright\rin0\lin0\pararsid10630121 \rtlch\fcs1 \af0\afs20\alang1025 \ltrch\fcs0 \i\fs24\lang2057\langfe2057\cgrid\langnp2057\langfenp2057 {&#13;_x000a_\rtlch\fcs1 \af0 \ltrch\fcs0 \insrsid5184084\charrsid946740 [ZLEFTA]\cell [ZRIGHT]\cell }\pard\plain \ltrpar\ql \li0\ri0\widctlpar\intbl\wrapdefault\aspalpha\aspnum\faauto\adjustright\rin0\lin0 \rtlch\fcs1 \af0\afs20\alang1025 \ltrch\fcs0 &#13;_x000a_\fs24\lang2057\langfe2057\cgrid\langnp2057\langfenp2057 {\rtlch\fcs1 \af0 \ltrch\fcs0 \insrsid5184084\charrsid946740 \trowd \irow1\irowband1\ltrrow&#13;_x000a_\ts11\trqc\trgaph340\trleft-340\trftsWidth1\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6\ql \li0\ri0\sa120\nowidctlpar\intbl\wrapdefault\aspalpha\aspnum\faauto\adjustright\rin0\lin0\pararsid12024389 \rtlch\fcs1 \af0\afs20\alang1025 \ltrch\fcs0 \fs24\lang2057\langfe2057\cgrid\langnp2057\langfenp2057 {\rtlch\fcs1 \af0 \ltrch\fcs0 &#13;_x000a_\insrsid5184084\charrsid946740 [ZTEXTL]\cell [ZTEXTR]}{\rtlch\fcs1 \af0\afs24 \ltrch\fcs0 \insrsid5184084\charrsid946740 \cell }\pard\plain \ltrpar\ql \li0\ri0\widctlpar\intbl\wrapdefault\aspalpha\aspnum\faauto\adjustright\rin0\lin0 \rtlch\fcs1 &#13;_x000a_\af0\afs20\alang1025 \ltrch\fcs0 \fs24\lang2057\langfe2057\cgrid\langnp2057\langfenp2057 {\rtlch\fcs1 \af0 \ltrch\fcs0 \insrsid5184084\charrsid946740 \trowd \irow2\irowband2\lastrow \ltrrow&#13;_x000a_\ts11\trqc\trgaph340\trleft-340\trftsWidth1\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18\qr \li0\ri0\sb240\sa240\nowidctlpar\wrapdefault\aspalpha\aspnum\faauto\adjustright\rin0\lin0\itap0\pararsid5184084 \rtlch\fcs1 \af0\afs20\alang1025 \ltrch\fcs0 \fs24\lang2057\langfe2057\cgrid\langnp2057\langfenp2057 {\rtlch\fcs1 \af0 \ltrch\fcs0 &#13;_x000a_\insrsid5184084\charrsid946740 Or. }{\rtlch\fcs1 \af0 \ltrch\fcs0 \cs15\v\f1\fs20\cf9\insrsid5184084\charrsid946740 &lt;Original&gt;}{\rtlch\fcs1 \af0 \ltrch\fcs0 \insrsid5184084\charrsid946740 [ZORLANG]}{\rtlch\fcs1 \af0 \ltrch\fcs0 &#13;_x000a_\cs15\v\f1\fs20\cf9\insrsid5184084\charrsid946740 &lt;/Original&gt;}{\rtlch\fcs1 \af0 \ltrch\fcs0 \insrsid5184084\charrsid946740 &#13;_x000a_\par }\pard\plain \ltrpar\ql \li0\ri0\widctlpar\wrapdefault\aspalpha\aspnum\faauto\adjustright\rin0\lin0\itap0\pararsid5184084 \rtlch\fcs1 \af0\afs20\alang1025 \ltrch\fcs0 \fs24\lang2057\langfe2057\cgrid\langnp2057\langfenp2057 {\rtlch\fcs1 \af0 \ltrch\fcs0 &#13;_x000a_\cs15\v\f1\fs20\cf9\insrsid5184084\charrsid946740 &lt;/AmendA&gt;}{\rtlch\fcs1 \af0 \ltrch\fcs0 \insrsid24658\charrsid16324206 {\*\bkmkend restart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f062&#13;_x000a_7919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7344099 HideTWBExt;}{\s16\ql \li0\ri0\sa120\nowidctlpar\wrapdefault\aspalpha\aspnum\faauto\adjustright\rin0\lin0\itap0 \rtlch\fcs1 \af0\afs20\alang1025 \ltrch\fcs0 &#13;_x000a_\fs24\lang2057\langfe2057\cgrid\langnp2057\langfenp2057 \sbasedon0 \snext16 \spriority0 \styrsid7344099 Normal6a;}{\s17\ql \li0\ri0\nowidctlpar\wrapdefault\aspalpha\aspnum\faauto\adjustright\rin0\lin0\itap0 \rtlch\fcs1 \af0\afs20\alang1025 \ltrch\fcs0 &#13;_x000a_\b\fs24\lang2057\langfe2057\cgrid\langnp2057\langfenp2057 \sbasedon0 \snext17 \spriority0 \styrsid7344099 NormalBold;}{\s18\ql \li0\ri0\sa240\nowidctlpar\wrapdefault\aspalpha\aspnum\faauto\adjustright\rin0\lin0\itap0 \rtlch\fcs1 \af0\afs20\alang1025 &#13;_x000a_\ltrch\fcs0 \i\fs24\lang2057\langfe2057\cgrid\langnp2057\langfenp2057 \sbasedon0 \snext18 \spriority0 \styrsid7344099 AmJustText;}{\s19\qc \li0\ri0\sb240\sa240\nowidctlpar\wrapdefault\aspalpha\aspnum\faauto\adjustright\rin0\lin0\itap0 \rtlch\fcs1 &#13;_x000a_\af0\afs20\alang1025 \ltrch\fcs0 \i\fs24\lang2057\langfe2057\cgrid\langnp2057\langfenp2057 \sbasedon0 \snext19 \spriority0 \styrsid7344099 AmCrossRef;}{&#13;_x000a_\s20\qc \li0\ri0\sb240\sa240\keepn\nowidctlpar\wrapdefault\aspalpha\aspnum\faauto\adjustright\rin0\lin0\itap0 \rtlch\fcs1 \af0\afs20\alang1025 \ltrch\fcs0 \i\fs24\lang2057\langfe2057\cgrid\langnp2057\langfenp2057 &#13;_x000a_\sbasedon0 \snext18 \spriority0 \styrsid7344099 AmJustTitle;}{\s21\qr \li0\ri0\sb240\sa240\nowidctlpar\wrapdefault\aspalpha\aspnum\faauto\adjustright\rin0\lin0\itap0 \rtlch\fcs1 \af0\afs20\alang1025 \ltrch\fcs0 &#13;_x000a_\fs24\lang2057\langfe2057\cgrid\langnp2057\langfenp2057 \sbasedon0 \snext21 \spriority0 \styrsid7344099 AmOrLang;}{\s22\qc \li0\ri0\sa240\nowidctlpar\wrapdefault\aspalpha\aspnum\faauto\adjustright\rin0\lin0\itap0 \rtlch\fcs1 \af0\afs20\alang1025 &#13;_x000a_\ltrch\fcs0 \i\fs24\lang2057\langfe2057\cgrid\langnp2057\langfenp2057 \sbasedon0 \snext22 \spriority0 \styrsid7344099 AmColumnHeading;}{\s23\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3 \spriority0 \styrsid7344099 AmNumberTabs;}}{\*\rsidtbl \rsid24658\rsid358857\rsid735077\rsid787282\rsid2892074\rsid3622648\rsid4666813\rsid5708216\rsid6641733&#13;_x000a_\rsid7344099\rsid7553164\rsid8465581\rsid8681905\rsid8724649\rsid9636012\rsid9862312\rsid11215221\rsid11370291\rsid11434737\rsid11607138\rsid11824949\rsid12154954\rsid13981856\rsid14424199\rsid15204470\rsid15285974\rsid15535219\rsid15950462\rsid16324206&#13;_x000a_\rsid16662270}{\mmathPr\mmathFont34\mbrkBin0\mbrkBinSub0\msmallFrac0\mdispDef1\mlMargin0\mrMargin0\mdefJc1\mwrapIndent1440\mintLim0\mnaryLim1}{\info{\author FELIX Karina}{\operator FELIX Karina}{\creatim\yr2019\mo7\dy3\hr16\min3}&#13;_x000a_{\revtim\yr2019\mo7\dy3\hr16\min3}{\version1}{\edmins0}{\nofpages1}{\nofwords42}{\nofchars483}{\*\company European Parliament}{\nofcharsws488}{\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7344099\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3981856 &#13;_x000a_\chftnsep &#13;_x000a_\par }}{\*\ftnsepc \ltrpar \pard\plain \ltrpar\ql \li0\ri0\widctlpar\wrapdefault\aspalpha\aspnum\faauto\adjustright\rin0\lin0\itap0 \rtlch\fcs1 \af0\afs20\alang1025 \ltrch\fcs0 \fs24\lang2057\langfe2057\cgrid\langnp2057\langfenp2057 {\rtlch\fcs1 \af0 &#13;_x000a_\ltrch\fcs0 \insrsid13981856 \chftnsepc &#13;_x000a_\par }}{\*\aftnsep \ltrpar \pard\plain \ltrpar\ql \li0\ri0\widctlpar\wrapdefault\aspalpha\aspnum\faauto\adjustright\rin0\lin0\itap0 \rtlch\fcs1 \af0\afs20\alang1025 \ltrch\fcs0 \fs24\lang2057\langfe2057\cgrid\langnp2057\langfenp2057 {\rtlch\fcs1 \af0 &#13;_x000a_\ltrch\fcs0 \insrsid13981856 \chftnsep &#13;_x000a_\par }}{\*\aftnsepc \ltrpar \pard\plain \ltrpar\ql \li0\ri0\widctlpar\wrapdefault\aspalpha\aspnum\faauto\adjustright\rin0\lin0\itap0 \rtlch\fcs1 \af0\afs20\alang1025 \ltrch\fcs0 \fs24\lang2057\langfe2057\cgrid\langnp2057\langfenp2057 {\rtlch\fcs1 \af0 &#13;_x000a_\ltrch\fcs0 \insrsid13981856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3\ql \li0\ri0\sb240\keepn\nowidctlpar\tx879\tx936\tx1021\tx1077\tx1134\tx1191\tx1247\tx1304\tx1361\tx1418\tx1474\tx1531\tx1588\tx1644\tx1701\tx1758\tx1814\tx1871\tx2070\tx2126\tx3374\tx3430\wrapdefault\aspalpha\aspnum\faauto\adjustright\rin0&#13;_x000a_\lin0\itap0\pararsid7344099 \rtlch\fcs1 \af0\afs20\alang1025 \ltrch\fcs0 \b\fs24\lang2057\langfe2057\cgrid\langnp2057\langfenp2057 {\rtlch\fcs1 \af0 \ltrch\fcs0 \cs15\b0\v\f1\fs20\cf9\insrsid7344099\charrsid946740 {\*\bkmkstart restartB}&lt;AmendB&gt;}{&#13;_x000a_\rtlch\fcs1 \af0 \ltrch\fcs0 \insrsid7344099\charrsid946740 [ZAMENDMENT]\tab \tab }{\rtlch\fcs1 \af0 \ltrch\fcs0 \cs15\b0\v\f1\fs20\cf9\insrsid7344099\charrsid946740 &lt;NumAmB&gt;}{\rtlch\fcs1 \af0 \ltrch\fcs0 \insrsid7344099\charrsid946740 [ZNRAM]}{&#13;_x000a_\rtlch\fcs1 \af0 \ltrch\fcs0 \cs15\b0\v\f1\fs20\cf9\insrsid7344099\charrsid946740 &lt;/NumAmB&gt;}{\rtlch\fcs1 \af0 \ltrch\fcs0 \insrsid7344099\charrsid946740 &#13;_x000a_\par }\pard\plain \ltrpar\s17\ql \li0\ri0\nowidctlpar\wrapdefault\aspalpha\aspnum\faauto\adjustright\rin0\lin0\itap0\pararsid7344099 \rtlch\fcs1 \af0\afs20\alang1025 \ltrch\fcs0 \b\fs24\lang2057\langfe2057\cgrid\langnp2057\langfenp2057 {\rtlch\fcs1 \af0 &#13;_x000a_\ltrch\fcs0 \cs15\b0\v\f1\fs20\cf9\lang1024\langfe1024\noproof\insrsid7344099\charrsid14699840 &lt;RepeatBlock-By&gt;}{\rtlch\fcs1 \af0 \ltrch\fcs0 \lang1024\langfe1024\noproof\insrsid7344099\charrsid14699840 [RepeatMembers]}{\rtlch\fcs1 \af0 \ltrch\fcs0 &#13;_x000a_\cs15\b0\v\f1\fs20\cf9\lang1024\langfe1024\noproof\insrsid7344099\charrsid14699840 &lt;Members&gt;}{\rtlch\fcs1 \af0 \ltrch\fcs0 \insrsid7344099\charrsid14699840 [ZMEMBERS]}{\rtlch\fcs1 \af0 \ltrch\fcs0 &#13;_x000a_\cs15\b0\v\f1\fs20\cf9\lang1024\langfe1024\noproof\insrsid7344099\charrsid14699840 &lt;/Members&gt;}{\rtlch\fcs1 \af0 \ltrch\fcs0 \insrsid7344099\charrsid14699840 &#13;_x000a_\par }\pard\plain \ltrpar\ql \li0\ri0\widctlpar\wrapdefault\aspalpha\aspnum\faauto\adjustright\rin0\lin0\itap0\pararsid7344099 \rtlch\fcs1 \af0\afs20\alang1025 \ltrch\fcs0 \fs24\lang2057\langfe2057\cgrid\langnp2057\langfenp2057 {\rtlch\fcs1 \af0 \ltrch\fcs0 &#13;_x000a_\cs15\v\f1\fs20\cf9\lang1024\langfe1024\noproof\langnp1043\insrsid7344099\charrsid2237221 &lt;AuNomDe&gt;&lt;OptDel&gt;}{\rtlch\fcs1 \af0 \ltrch\fcs0 \lang1024\langfe1024\noproof\langnp1043\insrsid7344099\charrsid2237221 [ZONBEHALF]}{\rtlch\fcs1 \af0 \ltrch\fcs0 &#13;_x000a_\cs15\v\f1\fs20\cf9\lang1024\langfe1024\noproof\langnp1043\insrsid7344099\charrsid2237221 &lt;/OptDel&gt;&lt;/AuNomDe&gt;}{\rtlch\fcs1 \af0 \ltrch\fcs0 \lang1043\langfe2057\langnp1043\insrsid7344099\charrsid2237221 &#13;_x000a_\par }{\rtlch\fcs1 \af0 \ltrch\fcs0 \insrsid7344099\charrsid14699840 &lt;&lt;&lt;}{\rtlch\fcs1 \af0 \ltrch\fcs0 \cs15\v\f1\fs20\cf9\lang1024\langfe1024\noproof\insrsid7344099\charrsid14699840 &lt;/RepeatBlock-By&gt;}{\rtlch\fcs1 \af0 \ltrch\fcs0 &#13;_x000a_\insrsid7344099\charrsid14699840 &#13;_x000a_\par }\pard\plain \ltrpar\s17\ql \li0\ri0\nowidctlpar\wrapdefault\aspalpha\aspnum\faauto\adjustright\rin0\lin0\itap0\pararsid7344099 \rtlch\fcs1 \af0\afs20\alang1025 \ltrch\fcs0 \b\fs24\lang2057\langfe2057\cgrid\langnp2057\langfenp2057 {\rtlch\fcs1 \af0 &#13;_x000a_\ltrch\fcs0 \cs15\b0\v\f1\fs20\cf9\insrsid7344099\charrsid946740 &lt;DocAmend&gt;}{\rtlch\fcs1 \af0 \ltrch\fcs0 \insrsid7344099\charrsid946740 [Z}{\rtlch\fcs1 \af0 \ltrch\fcs0 \insrsid7344099 AMDOC}{\rtlch\fcs1 \af0 \ltrch\fcs0 \insrsid7344099\charrsid946740 ]}&#13;_x000a_{\rtlch\fcs1 \af0 \ltrch\fcs0 \cs15\b0\v\f1\fs20\cf9\insrsid7344099\charrsid946740 &lt;/DocAmend&gt;}{\rtlch\fcs1 \af0 \ltrch\fcs0 \insrsid7344099\charrsid946740 &#13;_x000a_\par }\pard \ltrpar\s17\ql \li0\ri0\keepn\nowidctlpar\wrapdefault\aspalpha\aspnum\faauto\adjustright\rin0\lin0\itap0\pararsid7344099 {\rtlch\fcs1 \af0 \ltrch\fcs0 \cs15\b0\v\f1\fs20\cf9\insrsid7344099\charrsid946740 &lt;Article&gt;}{\rtlch\fcs1 \af0 \ltrch\fcs0 &#13;_x000a_\insrsid7344099\charrsid946740 [ZAMPART]}{\rtlch\fcs1 \af0 \ltrch\fcs0 \cs15\b0\v\f1\fs20\cf9\insrsid7344099\charrsid946740 &lt;/Article&gt;}{\rtlch\fcs1 \af0 \ltrch\fcs0 \insrsid7344099\charrsid946740 &#13;_x000a_\par }\pard\plain \ltrpar\ql \li0\ri0\keepn\widctlpar\wrapdefault\aspalpha\aspnum\faauto\adjustright\rin0\lin0\itap0\pararsid7344099 \rtlch\fcs1 \af0\afs20\alang1025 \ltrch\fcs0 \fs24\lang2057\langfe2057\cgrid\langnp2057\langfenp2057 {\rtlch\fcs1 \af0 &#13;_x000a_\ltrch\fcs0 \cs15\v\f1\fs20\cf9\lang1043\langfe2057\langnp1043\insrsid7344099\charrsid2237221 &lt;DocAmend2&gt;&lt;OptDel&gt;}{\rtlch\fcs1 \af0 \ltrch\fcs0 \lang1043\langfe2057\langnp1043\insrsid7344099\charrsid2237221 [ZNRACT]}{\rtlch\fcs1 \af0 \ltrch\fcs0 &#13;_x000a_\cs15\v\f1\fs20\cf9\lang1043\langfe2057\langnp1043\insrsid7344099\charrsid2237221 &lt;/OptDel&gt;&lt;/DocAmend2&gt;}{\rtlch\fcs1 \af0 \ltrch\fcs0 \lang1043\langfe2057\langnp1043\insrsid7344099\charrsid2237221 &#13;_x000a_\par }\pard \ltrpar\ql \li0\ri0\widctlpar\wrapdefault\aspalpha\aspnum\faauto\adjustright\rin0\lin0\itap0\pararsid7344099 {\rtlch\fcs1 \af0 \ltrch\fcs0 \cs15\v\f1\fs20\cf9\lang1036\langfe2057\langnp1036\insrsid7344099\charrsid2237221 &lt;Article2&gt;&lt;OptDel&gt;}{&#13;_x000a_\rtlch\fcs1 \af0 \ltrch\fcs0 \lang1036\langfe2057\langnp1036\insrsid7344099\charrsid2237221 [ZACTPART]}{\rtlch\fcs1 \af0 \ltrch\fcs0 \cs15\v\f1\fs20\cf9\lang1036\langfe2057\langnp1036\insrsid7344099\charrsid2237221 &lt;/OptDel&gt;&lt;/Article2&gt;}{\rtlch\fcs1 \af0 &#13;_x000a_\ltrch\fcs0 \lang1036\langfe2057\langnp1036\insrsid7344099\charrsid2237221 &#13;_x000a_\par \ltrrow}\trowd \irow0\irowband0\ltrrow\ts11\trqc\trgaph340\trleft-340\trftsWidth3\trwWidth9752\trftsWidthB3\trpaddl340\trpaddr340\trpaddfl3\trpaddft3\trpaddfb3\trpaddfr3\tblind0\tblindtype3 \clvertalt\clbrdrt\brdrtbl \clbrdrl\brdrtbl \clbrdrb\brdrtbl &#13;_x000a_\clbrdrr\brdrtbl \cltxlrtb\clftsWidth3\clwWidth9752\clshdrawnil \cellx9412\pard\plain \ltrpar\ql \li0\ri0\keepn\widctlpar\intbl\wrapdefault\aspalpha\aspnum\faauto\adjustright\rin0\lin0\pararsid10630121 \rtlch\fcs1 \af0\afs20\alang1025 \ltrch\fcs0 &#13;_x000a_\fs24\lang2057\langfe2057\cgrid\langnp2057\langfenp2057 {\rtlch\fcs1 \af0 \ltrch\fcs0 \lang1036\langfe2057\langnp1036\insrsid7344099\charrsid2237221 \cell }\pard\plain \ltrpar&#13;_x000a_\ql \li0\ri0\widctlpar\intbl\wrapdefault\aspalpha\aspnum\faauto\adjustright\rin0\lin0 \rtlch\fcs1 \af0\afs20\alang1025 \ltrch\fcs0 \fs24\lang2057\langfe2057\cgrid\langnp2057\langfenp2057 {\rtlch\fcs1 \af0 \ltrch\fcs0 \insrsid7344099\charrsid11559818 &#13;_x000a_\trowd \irow0\irowband0\ltrrow\ts11\trqc\trgaph340\trleft-340\trftsWidth3\trwWidth9752\trftsWidthB3\trpaddl340\trpaddr340\trpaddfl3\trpaddft3\trpaddfb3\trpaddfr3\tblind0\tblindtype3 \clvertalt\clbrdrt\brdrtbl \clbrdrl\brdrtbl \clbrdrb\brdrtbl \clbrdrr&#13;_x000a_\brdrtbl \cltxlrtb\clftsWidth3\clwWidth9752\clshdrawnil \cellx9412\row \ltrrow}\trowd \irow1\irowband1\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22\qc \li0\ri0\sa240\keepn\nowidctlpar\intbl\wrapdefault\aspalpha\aspnum\faauto\adjustright\rin0\lin0\pararsid10630121 \rtlch\fcs1 \af0\afs20\alang1025 \ltrch\fcs0 \i\fs24\lang2057\langfe2057\cgrid\langnp2057\langfenp2057 {\rtlch\fcs1 \af0 \ltrch\fcs0 &#13;_x000a_\insrsid7344099\charrsid946740 [ZLEFTB]\cell [ZRIGHT]\cell }\pard\plain \ltrpar\ql \li0\ri0\widctlpar\intbl\wrapdefault\aspalpha\aspnum\faauto\adjustright\rin0\lin0 \rtlch\fcs1 \af0\afs20\alang1025 \ltrch\fcs0 &#13;_x000a_\fs24\lang2057\langfe2057\cgrid\langnp2057\langfenp2057 {\rtlch\fcs1 \af0 \ltrch\fcs0 \insrsid7344099\charrsid946740 \trowd \irow1\irowband1\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6\ql \li0\ri0\sa120\nowidctlpar\intbl\wrapdefault\aspalpha\aspnum\faauto\adjustright\rin0\lin0\pararsid12024389 \rtlch\fcs1 \af0\afs20\alang1025 \ltrch\fcs0 \fs24\lang2057\langfe2057\cgrid\langnp2057\langfenp2057 {\rtlch\fcs1 \af0 \ltrch\fcs0 &#13;_x000a_\insrsid7344099\charrsid946740 [ZTEXTL]\cell [ZTEXTR]}{\rtlch\fcs1 \af0\afs24 \ltrch\fcs0 \insrsid7344099\charrsid946740 \cell }\pard\plain \ltrpar\ql \li0\ri0\widctlpar\intbl\wrapdefault\aspalpha\aspnum\faauto\adjustright\rin0\lin0 \rtlch\fcs1 &#13;_x000a_\af0\afs20\alang1025 \ltrch\fcs0 \fs24\lang2057\langfe2057\cgrid\langnp2057\langfenp2057 {\rtlch\fcs1 \af0 \ltrch\fcs0 \insrsid7344099\charrsid946740 \trowd \irow2\irowband2\lastrow \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21\qr \li0\ri0\sb240\sa240\nowidctlpar\wrapdefault\aspalpha\aspnum\faauto\adjustright\rin0\lin0\itap0\pararsid7344099 \rtlch\fcs1 \af0\afs20\alang1025 \ltrch\fcs0 \fs24\lang2057\langfe2057\cgrid\langnp2057\langfenp2057 {\rtlch\fcs1 \af0 \ltrch\fcs0 &#13;_x000a_\insrsid7344099\charrsid946740 Or. }{\rtlch\fcs1 \af0 \ltrch\fcs0 \cs15\v\f1\fs20\cf9\insrsid7344099\charrsid946740 &lt;Original&gt;}{\rtlch\fcs1 \af0 \ltrch\fcs0 \insrsid7344099\charrsid946740 [ZORLANG]}{\rtlch\fcs1 \af0 \ltrch\fcs0 &#13;_x000a_\cs15\v\f1\fs20\cf9\insrsid7344099\charrsid946740 &lt;/Original&gt;}{\rtlch\fcs1 \af0 \ltrch\fcs0 \insrsid7344099\charrsid946740 &#13;_x000a_\par }\pard\plain \ltrpar\s19\qc \li0\ri0\sb240\sa240\nowidctlpar\wrapdefault\aspalpha\aspnum\faauto\adjustright\rin0\lin0\itap0\pararsid7344099 \rtlch\fcs1 \af0\afs20\alang1025 \ltrch\fcs0 \i\fs24\lang2057\langfe2057\cgrid\langnp2057\langfenp2057 {&#13;_x000a_\rtlch\fcs1 \af0 \ltrch\fcs0 \cs15\i0\v\f1\fs20\cf9\insrsid7344099\charrsid946740 &lt;OptDel&gt;}{\rtlch\fcs1 \af0 \ltrch\fcs0 \insrsid7344099\charrsid946740 [ZCROSSREF]}{\rtlch\fcs1 \af0 \ltrch\fcs0 \cs15\i0\v\f1\fs20\cf9\insrsid7344099\charrsid946740 &#13;_x000a_&lt;/OptDel&gt;}{\rtlch\fcs1 \af0 \ltrch\fcs0 \insrsid7344099\charrsid946740 &#13;_x000a_\par }\pard\plain \ltrpar\s20\qc \li0\ri0\sb240\sa240\keepn\nowidctlpar\wrapdefault\aspalpha\aspnum\faauto\adjustright\rin0\lin0\itap0\pararsid7344099 \rtlch\fcs1 \af0\afs20\alang1025 \ltrch\fcs0 \i\fs24\lang2057\langfe2057\cgrid\langnp2057\langfenp2057 {&#13;_x000a_\rtlch\fcs1 \af0 \ltrch\fcs0 \cs15\i0\v\f1\fs20\cf9\insrsid7344099\charrsid946740 &lt;TitreJust&gt;}{\rtlch\fcs1 \af0 \ltrch\fcs0 \insrsid7344099\charrsid946740 [ZJUSTIFICATION]}{\rtlch\fcs1 \af0 \ltrch\fcs0 \cs15\i0\v\f1\fs20\cf9\insrsid7344099\charrsid946740 &#13;_x000a_&lt;/TitreJust&gt;}{\rtlch\fcs1 \af0 \ltrch\fcs0 \insrsid7344099\charrsid946740 &#13;_x000a_\par }\pard\plain \ltrpar\s18\ql \li0\ri0\sa240\nowidctlpar\wrapdefault\aspalpha\aspnum\faauto\adjustright\rin0\lin0\itap0\pararsid7344099 \rtlch\fcs1 \af0\afs20\alang1025 \ltrch\fcs0 \i\fs24\lang2057\langfe2057\cgrid\langnp2057\langfenp2057 {\rtlch\fcs1 \af0 &#13;_x000a_\ltrch\fcs0 \cs15\i0\v\f1\fs20\cf9\insrsid7344099\charrsid946740 &lt;OptDelPrev&gt;}{\rtlch\fcs1 \af0 \ltrch\fcs0 \insrsid7344099\charrsid946740 [ZTEXTJUST]}{\rtlch\fcs1 \af0 \ltrch\fcs0 \cs15\i0\v\f1\fs20\cf9\insrsid7344099\charrsid946740 &lt;/OptDelPrev&gt;}{&#13;_x000a_\rtlch\fcs1 \af0 \ltrch\fcs0 \insrsid7344099\charrsid946740 &#13;_x000a_\par }\pard\plain \ltrpar\ql \li0\ri0\widctlpar\wrapdefault\aspalpha\aspnum\faauto\adjustright\rin0\lin0\itap0\pararsid7344099 \rtlch\fcs1 \af0\afs20\alang1025 \ltrch\fcs0 \fs24\lang2057\langfe2057\cgrid\langnp2057\langfenp2057 {\rtlch\fcs1 \af0 \ltrch\fcs0 &#13;_x000a_\cs15\v\f1\fs20\cf9\insrsid7344099\charrsid946740 &lt;/AmendB&gt;}{\rtlch\fcs1 \af0 \ltrch\fcs0 \insrsid24658\charrsid16324206 {\*\bkmkend restart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40a2&#13;_x000a_0c1a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bg-BG"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EPName">
    <w:name w:val="EPName"/>
    <w:basedOn w:val="Normal"/>
    <w:pPr>
      <w:widowControl w:val="0"/>
      <w:spacing w:before="80" w:after="80"/>
    </w:pPr>
    <w:rPr>
      <w:rFonts w:ascii="Arial Narrow" w:eastAsia="Arial" w:hAnsi="Arial Narrow" w:cs="Arial"/>
      <w:b/>
      <w:sz w:val="32"/>
    </w:rPr>
  </w:style>
  <w:style w:type="paragraph" w:customStyle="1" w:styleId="CoverNormal24a">
    <w:name w:val="CoverNormal24a"/>
    <w:basedOn w:val="Normal"/>
    <w:pPr>
      <w:widowControl w:val="0"/>
      <w:spacing w:after="480"/>
      <w:ind w:left="1416"/>
    </w:pPr>
  </w:style>
  <w:style w:type="paragraph" w:customStyle="1" w:styleId="CoverNormal">
    <w:name w:val="CoverNormal"/>
    <w:basedOn w:val="Normal"/>
    <w:pPr>
      <w:widowControl w:val="0"/>
      <w:ind w:left="1418"/>
    </w:pPr>
  </w:style>
  <w:style w:type="paragraph" w:customStyle="1" w:styleId="CoverReference">
    <w:name w:val="CoverReference"/>
    <w:basedOn w:val="Normal"/>
    <w:pPr>
      <w:widowControl w:val="0"/>
      <w:spacing w:before="1080"/>
      <w:jc w:val="right"/>
    </w:pPr>
    <w:rPr>
      <w:rFonts w:ascii="Arial" w:eastAsia="Arial" w:hAnsi="Arial" w:cs="Arial"/>
      <w:b/>
    </w:rPr>
  </w:style>
  <w:style w:type="paragraph" w:customStyle="1" w:styleId="CoverDocType">
    <w:name w:val="CoverDocType"/>
    <w:basedOn w:val="Normal"/>
    <w:pPr>
      <w:widowControl w:val="0"/>
      <w:ind w:left="1418"/>
    </w:pPr>
    <w:rPr>
      <w:rFonts w:ascii="Arial" w:hAnsi="Arial"/>
      <w:b/>
      <w:sz w:val="48"/>
    </w:rPr>
  </w:style>
  <w:style w:type="paragraph" w:customStyle="1" w:styleId="CoverDate">
    <w:name w:val="CoverDate"/>
    <w:basedOn w:val="Normal"/>
    <w:pPr>
      <w:widowControl w:val="0"/>
      <w:spacing w:before="240" w:after="1200"/>
    </w:pPr>
  </w:style>
  <w:style w:type="paragraph" w:customStyle="1" w:styleId="CoverDocType24a">
    <w:name w:val="CoverDocType24a"/>
    <w:basedOn w:val="Normal"/>
    <w:pPr>
      <w:widowControl w:val="0"/>
      <w:spacing w:after="480"/>
      <w:ind w:left="1416"/>
    </w:pPr>
    <w:rPr>
      <w:rFonts w:ascii="Arial" w:eastAsia="Arial" w:hAnsi="Arial" w:cs="Arial"/>
      <w:b/>
      <w:sz w:val="48"/>
    </w:rPr>
  </w:style>
  <w:style w:type="paragraph" w:customStyle="1" w:styleId="CoverBold">
    <w:name w:val="CoverBold"/>
    <w:basedOn w:val="Normal"/>
    <w:pPr>
      <w:widowControl w:val="0"/>
      <w:ind w:left="1416"/>
    </w:pPr>
    <w:rPr>
      <w:b/>
    </w:rPr>
  </w:style>
  <w:style w:type="paragraph" w:customStyle="1" w:styleId="EPBody">
    <w:name w:val="EPBody"/>
    <w:basedOn w:val="Normal"/>
    <w:pPr>
      <w:widowControl w:val="0"/>
      <w:jc w:val="center"/>
    </w:pPr>
    <w:rPr>
      <w:rFonts w:ascii="Arial" w:eastAsia="Arial" w:hAnsi="Arial" w:cs="Arial"/>
      <w:i/>
      <w:sz w:val="22"/>
    </w:rPr>
  </w:style>
  <w:style w:type="paragraph" w:customStyle="1" w:styleId="LineTop">
    <w:name w:val="LineTop"/>
    <w:basedOn w:val="Normal"/>
    <w:next w:val="Normal"/>
    <w:pPr>
      <w:widowControl w:val="0"/>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val="0"/>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val="0"/>
      <w:spacing w:after="80"/>
    </w:pPr>
    <w:rPr>
      <w:rFonts w:ascii="Arial" w:eastAsia="Arial" w:hAnsi="Arial" w:cs="Arial"/>
      <w:sz w:val="20"/>
    </w:rPr>
  </w:style>
  <w:style w:type="paragraph" w:customStyle="1" w:styleId="EPLogo">
    <w:name w:val="EPLogo"/>
    <w:basedOn w:val="Normal"/>
    <w:pPr>
      <w:widowControl w:val="0"/>
      <w:jc w:val="right"/>
    </w:pPr>
  </w:style>
  <w:style w:type="paragraph" w:customStyle="1" w:styleId="NormalBold">
    <w:name w:val="NormalBold"/>
    <w:basedOn w:val="Normal"/>
    <w:pPr>
      <w:widowControl w:val="0"/>
    </w:pPr>
    <w:rPr>
      <w:b/>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AmOrLang">
    <w:name w:val="AmOrLang"/>
    <w:basedOn w:val="Normal"/>
    <w:pPr>
      <w:widowControl w:val="0"/>
      <w:spacing w:before="240" w:after="240"/>
      <w:jc w:val="right"/>
    </w:pPr>
  </w:style>
  <w:style w:type="paragraph" w:customStyle="1" w:styleId="Normal6a">
    <w:name w:val="Normal6a"/>
    <w:basedOn w:val="Normal"/>
    <w:pPr>
      <w:widowControl w:val="0"/>
      <w:spacing w:after="120"/>
    </w:pPr>
  </w:style>
  <w:style w:type="paragraph" w:customStyle="1" w:styleId="AmJustTitle">
    <w:name w:val="AmJustTitle"/>
    <w:basedOn w:val="Normal"/>
    <w:next w:val="AmJustText"/>
    <w:pPr>
      <w:keepNext/>
      <w:widowControl w:val="0"/>
      <w:spacing w:before="240" w:after="240"/>
      <w:jc w:val="center"/>
    </w:pPr>
    <w:rPr>
      <w:i/>
    </w:rPr>
  </w:style>
  <w:style w:type="paragraph" w:customStyle="1" w:styleId="AmColumnHeading">
    <w:name w:val="AmColumnHeading"/>
    <w:basedOn w:val="Normal"/>
    <w:pPr>
      <w:widowControl w:val="0"/>
      <w:spacing w:after="240"/>
      <w:jc w:val="center"/>
    </w:pPr>
    <w:rPr>
      <w:i/>
    </w:rPr>
  </w:style>
  <w:style w:type="paragraph" w:customStyle="1" w:styleId="AmJustText">
    <w:name w:val="AmJustText"/>
    <w:basedOn w:val="Normal"/>
    <w:pPr>
      <w:widowControl w:val="0"/>
      <w:spacing w:after="240"/>
    </w:pPr>
    <w:rPr>
      <w:i/>
    </w:rPr>
  </w:style>
  <w:style w:type="paragraph" w:customStyle="1" w:styleId="AmNumberTabs">
    <w:name w:val="AmNumberTabs"/>
    <w:basedOn w:val="Normal"/>
    <w:pPr>
      <w:widowControl w:val="0"/>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val="0"/>
      <w:tabs>
        <w:tab w:val="center" w:pos="4534"/>
        <w:tab w:val="right" w:pos="9070"/>
      </w:tabs>
      <w:spacing w:before="240" w:after="240"/>
    </w:pPr>
    <w:rPr>
      <w:sz w:val="22"/>
    </w:rPr>
  </w:style>
  <w:style w:type="paragraph" w:customStyle="1" w:styleId="AmCrossRef">
    <w:name w:val="AmCrossRef"/>
    <w:basedOn w:val="Normal"/>
    <w:pPr>
      <w:widowControl w:val="0"/>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pPr>
      <w:widowControl w:val="0"/>
    </w:pPr>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PMissingStyle">
    <w:name w:val="P_MissingStyle"/>
    <w:basedOn w:val="Normal"/>
    <w:pPr>
      <w:widowControl w:val="0"/>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val="0"/>
      <w:spacing w:after="24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204</Pages>
  <Words>42084</Words>
  <Characters>234399</Characters>
  <Application>Microsoft Office Word</Application>
  <DocSecurity>0</DocSecurity>
  <Lines>1</Lines>
  <Paragraphs>3662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273869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BG</vt:lpwstr>
  </property>
  <property fmtid="{D5CDD505-2E9C-101B-9397-08002B2CF9AE}" pid="3" name="&lt;FdR&gt;">
    <vt:lpwstr>1314143</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136637</vt:lpwstr>
  </property>
  <property fmtid="{D5CDD505-2E9C-101B-9397-08002B2CF9AE}" pid="7" name="dmxml.render.traceId">
    <vt:lpwstr>67c1912cfdb0beaeaefdb8265e280645</vt:lpwstr>
  </property>
  <property fmtid="{D5CDD505-2E9C-101B-9397-08002B2CF9AE}" pid="8" name="FooterPath">
    <vt:lpwstr>AM\1314143BG.docx</vt:lpwstr>
  </property>
  <property fmtid="{D5CDD505-2E9C-101B-9397-08002B2CF9AE}" pid="9" name="PE Number">
    <vt:lpwstr>768.051</vt:lpwstr>
  </property>
  <property fmtid="{D5CDD505-2E9C-101B-9397-08002B2CF9AE}" pid="10" name="UID">
    <vt:lpwstr>eu.europa.europarl-DIN1-2025-0000011133_02.00-bg-01.00_text-xml</vt:lpwstr>
  </property>
</Properties>
</file>